
<file path=[Content_Types].xml><?xml version="1.0" encoding="utf-8"?>
<Types xmlns="http://schemas.openxmlformats.org/package/2006/content-types">
  <Default Extension="xml" ContentType="application/xml"/>
  <Default Extension="bin" ContentType="application/vnd.openxmlformats-officedocument.oleObject"/>
  <Default Extension="emf" ContentType="image/x-emf"/>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rPr>
          <w:rFonts w:ascii="仿宋_GB2312" w:hAnsi="仿宋_GB2312" w:eastAsia="仿宋_GB2312" w:cs="仿宋_GB2312"/>
          <w:color w:val="auto"/>
          <w:sz w:val="36"/>
          <w:szCs w:val="36"/>
          <w:highlight w:val="none"/>
        </w:rPr>
      </w:pPr>
    </w:p>
    <w:p>
      <w:pPr>
        <w:rPr>
          <w:rFonts w:ascii="仿宋_GB2312" w:hAnsi="仿宋_GB2312" w:eastAsia="仿宋_GB2312" w:cs="仿宋_GB2312"/>
          <w:color w:val="auto"/>
          <w:sz w:val="36"/>
          <w:szCs w:val="36"/>
          <w:highlight w:val="none"/>
        </w:rPr>
      </w:pPr>
    </w:p>
    <w:p>
      <w:pPr>
        <w:rPr>
          <w:rFonts w:ascii="仿宋_GB2312" w:hAnsi="仿宋_GB2312" w:eastAsia="仿宋_GB2312" w:cs="仿宋_GB2312"/>
          <w:color w:val="auto"/>
          <w:sz w:val="36"/>
          <w:szCs w:val="36"/>
          <w:highlight w:val="none"/>
        </w:rPr>
      </w:pPr>
    </w:p>
    <w:p>
      <w:pPr>
        <w:rPr>
          <w:rFonts w:ascii="仿宋_GB2312" w:hAnsi="仿宋_GB2312" w:eastAsia="仿宋_GB2312" w:cs="仿宋_GB2312"/>
          <w:color w:val="auto"/>
          <w:sz w:val="36"/>
          <w:szCs w:val="36"/>
          <w:highlight w:val="none"/>
        </w:rPr>
      </w:pPr>
    </w:p>
    <w:p>
      <w:pPr>
        <w:rPr>
          <w:rFonts w:hint="eastAsia" w:ascii="仿宋_GB2312" w:hAnsi="仿宋_GB2312" w:eastAsia="仿宋_GB2312" w:cs="仿宋_GB2312"/>
          <w:color w:val="auto"/>
          <w:sz w:val="36"/>
          <w:szCs w:val="36"/>
          <w:highlight w:val="none"/>
        </w:rPr>
      </w:pPr>
    </w:p>
    <w:p>
      <w:pPr>
        <w:adjustRightInd w:val="0"/>
        <w:snapToGrid w:val="0"/>
        <w:jc w:val="center"/>
        <w:outlineLvl w:val="0"/>
        <w:rPr>
          <w:rFonts w:hint="default" w:ascii="Times New Roman" w:hAnsi="Times New Roman" w:eastAsia="方正小标宋_GBK" w:cs="Times New Roman"/>
          <w:bCs/>
          <w:color w:val="auto"/>
          <w:sz w:val="72"/>
          <w:szCs w:val="72"/>
          <w:highlight w:val="none"/>
        </w:rPr>
      </w:pPr>
      <w:r>
        <w:rPr>
          <w:rFonts w:hint="eastAsia" w:ascii="方正小标宋_GBK" w:eastAsia="方正小标宋_GBK"/>
          <w:bCs/>
          <w:color w:val="auto"/>
          <w:sz w:val="72"/>
          <w:szCs w:val="72"/>
          <w:highlight w:val="none"/>
        </w:rPr>
        <w:t>建设项目</w:t>
      </w:r>
      <w:r>
        <w:rPr>
          <w:rFonts w:hint="default" w:ascii="Times New Roman" w:hAnsi="Times New Roman" w:eastAsia="方正小标宋_GBK" w:cs="Times New Roman"/>
          <w:bCs/>
          <w:color w:val="auto"/>
          <w:sz w:val="72"/>
          <w:szCs w:val="72"/>
          <w:highlight w:val="none"/>
        </w:rPr>
        <w:t>环境影响报告表</w:t>
      </w:r>
    </w:p>
    <w:p>
      <w:pPr>
        <w:adjustRightInd w:val="0"/>
        <w:snapToGrid w:val="0"/>
        <w:spacing w:before="192" w:beforeLines="80"/>
        <w:jc w:val="center"/>
        <w:rPr>
          <w:rFonts w:hint="default" w:ascii="Times New Roman" w:hAnsi="Times New Roman" w:eastAsia="楷体_GB2312" w:cs="Times New Roman"/>
          <w:bCs/>
          <w:color w:val="auto"/>
          <w:sz w:val="48"/>
          <w:szCs w:val="48"/>
          <w:highlight w:val="none"/>
        </w:rPr>
      </w:pPr>
      <w:r>
        <w:rPr>
          <w:rFonts w:hint="default" w:ascii="Times New Roman" w:hAnsi="Times New Roman" w:eastAsia="楷体_GB2312" w:cs="Times New Roman"/>
          <w:bCs/>
          <w:color w:val="auto"/>
          <w:sz w:val="48"/>
          <w:szCs w:val="48"/>
          <w:highlight w:val="none"/>
        </w:rPr>
        <w:t>（污染影响类）</w:t>
      </w:r>
    </w:p>
    <w:p>
      <w:pPr>
        <w:adjustRightInd w:val="0"/>
        <w:snapToGrid w:val="0"/>
        <w:spacing w:line="288" w:lineRule="auto"/>
        <w:jc w:val="center"/>
        <w:outlineLvl w:val="0"/>
        <w:rPr>
          <w:rFonts w:hint="default" w:ascii="Times New Roman" w:hAnsi="Times New Roman" w:eastAsia="华文仿宋" w:cs="Times New Roman"/>
          <w:color w:val="auto"/>
          <w:kern w:val="44"/>
          <w:sz w:val="44"/>
          <w:szCs w:val="44"/>
          <w:highlight w:val="none"/>
        </w:rPr>
      </w:pPr>
    </w:p>
    <w:p>
      <w:pPr>
        <w:jc w:val="center"/>
        <w:rPr>
          <w:rFonts w:hint="default" w:ascii="Times New Roman" w:hAnsi="Times New Roman" w:eastAsia="仿宋" w:cs="Times New Roman"/>
          <w:color w:val="auto"/>
          <w:sz w:val="52"/>
          <w:szCs w:val="52"/>
          <w:highlight w:val="none"/>
        </w:rPr>
      </w:pPr>
    </w:p>
    <w:p>
      <w:pPr>
        <w:ind w:firstLine="1040"/>
        <w:rPr>
          <w:rFonts w:hint="default" w:ascii="Times New Roman" w:hAnsi="Times New Roman" w:eastAsia="仿宋" w:cs="Times New Roman"/>
          <w:color w:val="auto"/>
          <w:sz w:val="44"/>
          <w:szCs w:val="44"/>
          <w:highlight w:val="none"/>
        </w:rPr>
      </w:pPr>
    </w:p>
    <w:p>
      <w:pPr>
        <w:ind w:firstLine="1040"/>
        <w:rPr>
          <w:rFonts w:hint="default" w:ascii="Times New Roman" w:hAnsi="Times New Roman" w:eastAsia="仿宋" w:cs="Times New Roman"/>
          <w:color w:val="auto"/>
          <w:sz w:val="44"/>
          <w:szCs w:val="44"/>
          <w:highlight w:val="none"/>
        </w:rPr>
      </w:pPr>
    </w:p>
    <w:p>
      <w:pPr>
        <w:ind w:firstLine="1040"/>
        <w:rPr>
          <w:rFonts w:hint="default" w:ascii="Times New Roman" w:hAnsi="Times New Roman" w:eastAsia="仿宋" w:cs="Times New Roman"/>
          <w:color w:val="auto"/>
          <w:sz w:val="44"/>
          <w:szCs w:val="44"/>
          <w:highlight w:val="none"/>
        </w:rPr>
      </w:pPr>
    </w:p>
    <w:p>
      <w:pPr>
        <w:ind w:firstLine="1040"/>
        <w:rPr>
          <w:rFonts w:hint="default" w:ascii="Times New Roman" w:hAnsi="Times New Roman" w:eastAsia="仿宋" w:cs="Times New Roman"/>
          <w:color w:val="auto"/>
          <w:sz w:val="44"/>
          <w:szCs w:val="44"/>
          <w:highlight w:val="none"/>
        </w:rPr>
      </w:pPr>
    </w:p>
    <w:p>
      <w:pPr>
        <w:adjustRightInd w:val="0"/>
        <w:snapToGrid w:val="0"/>
        <w:spacing w:line="288" w:lineRule="auto"/>
        <w:ind w:firstLine="1040"/>
        <w:rPr>
          <w:rFonts w:hint="default" w:ascii="Times New Roman" w:hAnsi="Times New Roman" w:eastAsia="仿宋_GB2312" w:cs="Times New Roman"/>
          <w:color w:val="auto"/>
          <w:sz w:val="36"/>
          <w:szCs w:val="36"/>
          <w:highlight w:val="none"/>
          <w:u w:val="single"/>
        </w:rPr>
      </w:pPr>
      <w:r>
        <w:rPr>
          <w:rFonts w:hint="default" w:ascii="Times New Roman" w:hAnsi="Times New Roman" w:eastAsia="仿宋_GB2312" w:cs="Times New Roman"/>
          <w:color w:val="auto"/>
          <w:sz w:val="36"/>
          <w:szCs w:val="36"/>
          <w:highlight w:val="none"/>
        </w:rPr>
        <w:t>项目名称：</w:t>
      </w:r>
      <w:r>
        <w:rPr>
          <w:rFonts w:hint="default" w:ascii="Times New Roman" w:hAnsi="Times New Roman" w:eastAsia="仿宋_GB2312" w:cs="Times New Roman"/>
          <w:color w:val="auto"/>
          <w:sz w:val="36"/>
          <w:szCs w:val="36"/>
          <w:highlight w:val="none"/>
          <w:u w:val="single"/>
        </w:rPr>
        <w:t>巴州原始食品有限公司农产品精深加</w:t>
      </w:r>
    </w:p>
    <w:p>
      <w:pPr>
        <w:adjustRightInd w:val="0"/>
        <w:snapToGrid w:val="0"/>
        <w:spacing w:line="288" w:lineRule="auto"/>
        <w:ind w:firstLine="2858" w:firstLineChars="794"/>
        <w:rPr>
          <w:rFonts w:hint="eastAsia" w:ascii="Times New Roman" w:hAnsi="Times New Roman" w:eastAsia="仿宋_GB2312" w:cs="Times New Roman"/>
          <w:color w:val="auto"/>
          <w:sz w:val="36"/>
          <w:szCs w:val="36"/>
          <w:highlight w:val="none"/>
          <w:lang w:val="en-US" w:eastAsia="zh-CN"/>
        </w:rPr>
      </w:pPr>
      <w:r>
        <w:rPr>
          <w:rFonts w:hint="default" w:ascii="Times New Roman" w:hAnsi="Times New Roman" w:eastAsia="仿宋_GB2312" w:cs="Times New Roman"/>
          <w:color w:val="auto"/>
          <w:sz w:val="36"/>
          <w:szCs w:val="36"/>
          <w:highlight w:val="none"/>
          <w:u w:val="single"/>
        </w:rPr>
        <w:t>工（香梨）NFC鲜榨果汁建设项目</w:t>
      </w:r>
    </w:p>
    <w:p>
      <w:pPr>
        <w:adjustRightInd w:val="0"/>
        <w:snapToGrid w:val="0"/>
        <w:spacing w:line="288" w:lineRule="auto"/>
        <w:ind w:firstLine="1040"/>
        <w:rPr>
          <w:rFonts w:hint="default" w:ascii="Times New Roman" w:hAnsi="Times New Roman" w:eastAsia="仿宋_GB2312" w:cs="Times New Roman"/>
          <w:color w:val="auto"/>
          <w:sz w:val="36"/>
          <w:szCs w:val="36"/>
          <w:highlight w:val="none"/>
          <w:u w:val="single"/>
          <w:lang w:val="en-US"/>
        </w:rPr>
      </w:pPr>
      <w:r>
        <w:rPr>
          <w:rFonts w:hint="default" w:ascii="Times New Roman" w:hAnsi="Times New Roman" w:eastAsia="仿宋_GB2312" w:cs="Times New Roman"/>
          <w:color w:val="auto"/>
          <w:sz w:val="36"/>
          <w:szCs w:val="36"/>
          <w:highlight w:val="none"/>
        </w:rPr>
        <w:t>建设单位（盖章）：</w:t>
      </w:r>
      <w:r>
        <w:rPr>
          <w:rFonts w:hint="default" w:ascii="Times New Roman" w:hAnsi="Times New Roman" w:eastAsia="仿宋_GB2312" w:cs="Times New Roman"/>
          <w:color w:val="auto"/>
          <w:sz w:val="36"/>
          <w:szCs w:val="36"/>
          <w:highlight w:val="none"/>
          <w:u w:val="single"/>
          <w:lang w:val="en-US" w:eastAsia="zh-CN"/>
        </w:rPr>
        <w:t>巴州原始食品有限公司</w:t>
      </w:r>
      <w:r>
        <w:rPr>
          <w:rFonts w:hint="eastAsia" w:eastAsia="仿宋_GB2312" w:cs="Times New Roman"/>
          <w:color w:val="auto"/>
          <w:sz w:val="36"/>
          <w:szCs w:val="36"/>
          <w:highlight w:val="none"/>
          <w:u w:val="single"/>
          <w:lang w:val="en-US" w:eastAsia="zh-CN"/>
        </w:rPr>
        <w:t xml:space="preserve">   </w:t>
      </w:r>
    </w:p>
    <w:p>
      <w:pPr>
        <w:adjustRightInd w:val="0"/>
        <w:snapToGrid w:val="0"/>
        <w:spacing w:line="288" w:lineRule="auto"/>
        <w:ind w:firstLine="1040"/>
        <w:rPr>
          <w:rFonts w:hint="default" w:ascii="Times New Roman" w:hAnsi="Times New Roman" w:eastAsia="仿宋_GB2312" w:cs="Times New Roman"/>
          <w:color w:val="auto"/>
          <w:sz w:val="36"/>
          <w:szCs w:val="36"/>
          <w:highlight w:val="none"/>
          <w:u w:val="single"/>
          <w:lang w:val="en-US" w:eastAsia="zh-CN"/>
        </w:rPr>
      </w:pPr>
      <w:r>
        <w:rPr>
          <w:rFonts w:hint="default" w:ascii="Times New Roman" w:hAnsi="Times New Roman" w:eastAsia="仿宋_GB2312" w:cs="Times New Roman"/>
          <w:color w:val="auto"/>
          <w:sz w:val="36"/>
          <w:szCs w:val="36"/>
          <w:highlight w:val="none"/>
        </w:rPr>
        <w:t>编制日期：</w:t>
      </w:r>
      <w:r>
        <w:rPr>
          <w:rFonts w:hint="default" w:ascii="Times New Roman" w:hAnsi="Times New Roman" w:eastAsia="仿宋_GB2312" w:cs="Times New Roman"/>
          <w:color w:val="auto"/>
          <w:sz w:val="36"/>
          <w:szCs w:val="36"/>
          <w:highlight w:val="none"/>
          <w:u w:val="single"/>
        </w:rPr>
        <w:t xml:space="preserve">      </w:t>
      </w:r>
      <w:r>
        <w:rPr>
          <w:rFonts w:hint="eastAsia" w:eastAsia="仿宋_GB2312" w:cs="Times New Roman"/>
          <w:color w:val="auto"/>
          <w:sz w:val="36"/>
          <w:szCs w:val="36"/>
          <w:highlight w:val="none"/>
          <w:u w:val="single"/>
          <w:lang w:val="en-US" w:eastAsia="zh-CN"/>
        </w:rPr>
        <w:t xml:space="preserve"> </w:t>
      </w:r>
      <w:r>
        <w:rPr>
          <w:rFonts w:hint="default" w:ascii="Times New Roman" w:hAnsi="Times New Roman" w:eastAsia="仿宋_GB2312" w:cs="Times New Roman"/>
          <w:color w:val="auto"/>
          <w:sz w:val="36"/>
          <w:szCs w:val="36"/>
          <w:highlight w:val="none"/>
          <w:u w:val="single"/>
        </w:rPr>
        <w:t xml:space="preserve"> </w:t>
      </w:r>
      <w:r>
        <w:rPr>
          <w:rFonts w:hint="default" w:ascii="Times New Roman" w:hAnsi="Times New Roman" w:eastAsia="仿宋_GB2312" w:cs="Times New Roman"/>
          <w:color w:val="auto"/>
          <w:sz w:val="36"/>
          <w:szCs w:val="36"/>
          <w:highlight w:val="none"/>
          <w:u w:val="single"/>
          <w:lang w:val="en-US" w:eastAsia="zh-CN"/>
        </w:rPr>
        <w:t>202</w:t>
      </w:r>
      <w:r>
        <w:rPr>
          <w:rFonts w:hint="eastAsia" w:eastAsia="仿宋_GB2312" w:cs="Times New Roman"/>
          <w:color w:val="auto"/>
          <w:sz w:val="36"/>
          <w:szCs w:val="36"/>
          <w:highlight w:val="none"/>
          <w:u w:val="single"/>
          <w:lang w:val="en-US" w:eastAsia="zh-CN"/>
        </w:rPr>
        <w:t>6</w:t>
      </w:r>
      <w:r>
        <w:rPr>
          <w:rFonts w:hint="default" w:ascii="Times New Roman" w:hAnsi="Times New Roman" w:eastAsia="仿宋_GB2312" w:cs="Times New Roman"/>
          <w:color w:val="auto"/>
          <w:sz w:val="36"/>
          <w:szCs w:val="36"/>
          <w:highlight w:val="none"/>
          <w:u w:val="single"/>
          <w:lang w:val="en-US" w:eastAsia="zh-CN"/>
        </w:rPr>
        <w:t>年</w:t>
      </w:r>
      <w:r>
        <w:rPr>
          <w:rFonts w:hint="eastAsia" w:eastAsia="仿宋_GB2312" w:cs="Times New Roman"/>
          <w:color w:val="auto"/>
          <w:sz w:val="36"/>
          <w:szCs w:val="36"/>
          <w:highlight w:val="none"/>
          <w:u w:val="single"/>
          <w:lang w:val="en-US" w:eastAsia="zh-CN"/>
        </w:rPr>
        <w:t>07</w:t>
      </w:r>
      <w:bookmarkStart w:id="14" w:name="_GoBack"/>
      <w:bookmarkEnd w:id="14"/>
      <w:r>
        <w:rPr>
          <w:rFonts w:hint="default" w:ascii="Times New Roman" w:hAnsi="Times New Roman" w:eastAsia="仿宋_GB2312" w:cs="Times New Roman"/>
          <w:color w:val="auto"/>
          <w:sz w:val="36"/>
          <w:szCs w:val="36"/>
          <w:highlight w:val="none"/>
          <w:u w:val="single"/>
          <w:lang w:val="en-US" w:eastAsia="zh-CN"/>
        </w:rPr>
        <w:t>月</w:t>
      </w:r>
      <w:r>
        <w:rPr>
          <w:rFonts w:hint="default" w:ascii="Times New Roman" w:hAnsi="Times New Roman" w:eastAsia="仿宋_GB2312" w:cs="Times New Roman"/>
          <w:color w:val="auto"/>
          <w:sz w:val="36"/>
          <w:szCs w:val="36"/>
          <w:highlight w:val="none"/>
          <w:u w:val="single"/>
        </w:rPr>
        <w:t xml:space="preserve">      </w:t>
      </w:r>
      <w:r>
        <w:rPr>
          <w:rFonts w:hint="eastAsia" w:eastAsia="仿宋_GB2312" w:cs="Times New Roman"/>
          <w:color w:val="auto"/>
          <w:sz w:val="36"/>
          <w:szCs w:val="36"/>
          <w:highlight w:val="none"/>
          <w:u w:val="single"/>
          <w:lang w:val="en-US" w:eastAsia="zh-CN"/>
        </w:rPr>
        <w:t xml:space="preserve">     </w:t>
      </w:r>
    </w:p>
    <w:p>
      <w:pPr>
        <w:adjustRightInd w:val="0"/>
        <w:snapToGrid w:val="0"/>
        <w:spacing w:line="288" w:lineRule="auto"/>
        <w:ind w:firstLine="1040"/>
        <w:rPr>
          <w:rFonts w:hint="default" w:ascii="Times New Roman" w:hAnsi="Times New Roman" w:eastAsia="仿宋_GB2312" w:cs="Times New Roman"/>
          <w:color w:val="auto"/>
          <w:sz w:val="36"/>
          <w:szCs w:val="36"/>
          <w:highlight w:val="none"/>
          <w:u w:val="single"/>
        </w:rPr>
      </w:pPr>
      <w:bookmarkStart w:id="0" w:name="_Hlk57884087"/>
    </w:p>
    <w:p>
      <w:pPr>
        <w:adjustRightInd w:val="0"/>
        <w:snapToGrid w:val="0"/>
        <w:spacing w:line="288" w:lineRule="auto"/>
        <w:ind w:firstLine="1040"/>
        <w:rPr>
          <w:rFonts w:hint="default" w:ascii="Times New Roman" w:hAnsi="Times New Roman" w:eastAsia="仿宋_GB2312" w:cs="Times New Roman"/>
          <w:color w:val="auto"/>
          <w:sz w:val="36"/>
          <w:szCs w:val="36"/>
          <w:highlight w:val="none"/>
        </w:rPr>
      </w:pPr>
    </w:p>
    <w:p>
      <w:pPr>
        <w:adjustRightInd w:val="0"/>
        <w:snapToGrid w:val="0"/>
        <w:spacing w:line="288" w:lineRule="auto"/>
        <w:ind w:firstLine="1040"/>
        <w:rPr>
          <w:rFonts w:hint="default" w:ascii="Times New Roman" w:hAnsi="Times New Roman" w:eastAsia="仿宋_GB2312" w:cs="Times New Roman"/>
          <w:color w:val="auto"/>
          <w:sz w:val="36"/>
          <w:szCs w:val="36"/>
          <w:highlight w:val="none"/>
        </w:rPr>
      </w:pPr>
    </w:p>
    <w:p>
      <w:pPr>
        <w:adjustRightInd w:val="0"/>
        <w:snapToGrid w:val="0"/>
        <w:spacing w:line="288" w:lineRule="auto"/>
        <w:ind w:firstLine="1040"/>
        <w:rPr>
          <w:rFonts w:hint="default" w:ascii="Times New Roman" w:hAnsi="Times New Roman" w:eastAsia="仿宋_GB2312" w:cs="Times New Roman"/>
          <w:color w:val="auto"/>
          <w:sz w:val="36"/>
          <w:szCs w:val="36"/>
          <w:highlight w:val="none"/>
        </w:rPr>
      </w:pPr>
    </w:p>
    <w:p>
      <w:pPr>
        <w:adjustRightInd w:val="0"/>
        <w:snapToGrid w:val="0"/>
        <w:spacing w:line="288" w:lineRule="auto"/>
        <w:ind w:firstLine="1040"/>
        <w:rPr>
          <w:rFonts w:hint="default" w:ascii="Times New Roman" w:hAnsi="Times New Roman" w:eastAsia="仿宋_GB2312" w:cs="Times New Roman"/>
          <w:color w:val="auto"/>
          <w:sz w:val="36"/>
          <w:szCs w:val="36"/>
          <w:highlight w:val="none"/>
        </w:rPr>
      </w:pPr>
    </w:p>
    <w:bookmarkEnd w:id="0"/>
    <w:p>
      <w:pPr>
        <w:adjustRightInd w:val="0"/>
        <w:snapToGrid w:val="0"/>
        <w:spacing w:line="288" w:lineRule="auto"/>
        <w:jc w:val="center"/>
        <w:rPr>
          <w:rFonts w:hint="default" w:ascii="Times New Roman" w:hAnsi="Times New Roman" w:eastAsia="楷体_GB2312" w:cs="Times New Roman"/>
          <w:color w:val="auto"/>
          <w:sz w:val="36"/>
          <w:szCs w:val="36"/>
          <w:highlight w:val="none"/>
        </w:rPr>
      </w:pPr>
      <w:r>
        <w:rPr>
          <w:rFonts w:hint="default" w:ascii="Times New Roman" w:hAnsi="Times New Roman" w:eastAsia="楷体_GB2312" w:cs="Times New Roman"/>
          <w:color w:val="auto"/>
          <w:sz w:val="36"/>
          <w:szCs w:val="36"/>
          <w:highlight w:val="none"/>
        </w:rPr>
        <w:t>中华人民共和国生态环境部制</w:t>
      </w:r>
    </w:p>
    <w:p>
      <w:pPr>
        <w:adjustRightInd w:val="0"/>
        <w:snapToGrid w:val="0"/>
        <w:spacing w:line="288" w:lineRule="auto"/>
        <w:ind w:firstLine="1040"/>
        <w:rPr>
          <w:rFonts w:hint="default" w:ascii="Times New Roman" w:hAnsi="Times New Roman" w:eastAsia="仿宋_GB2312" w:cs="Times New Roman"/>
          <w:color w:val="auto"/>
          <w:sz w:val="36"/>
          <w:szCs w:val="36"/>
          <w:highlight w:val="none"/>
        </w:rPr>
        <w:sectPr>
          <w:footerReference r:id="rId3" w:type="default"/>
          <w:footerReference r:id="rId4" w:type="even"/>
          <w:pgSz w:w="11906" w:h="16838"/>
          <w:pgMar w:top="1701" w:right="1531" w:bottom="1701" w:left="1531" w:header="851" w:footer="1077" w:gutter="0"/>
          <w:pgNumType w:start="3"/>
          <w:cols w:space="720" w:num="1"/>
          <w:docGrid w:linePitch="312" w:charSpace="0"/>
        </w:sectPr>
      </w:pPr>
    </w:p>
    <w:p>
      <w:pPr>
        <w:pStyle w:val="18"/>
        <w:jc w:val="center"/>
        <w:outlineLvl w:val="0"/>
        <w:rPr>
          <w:rFonts w:hint="eastAsia" w:ascii="黑体" w:hAnsi="黑体" w:eastAsia="黑体"/>
          <w:snapToGrid w:val="0"/>
          <w:color w:val="auto"/>
          <w:sz w:val="30"/>
          <w:szCs w:val="30"/>
          <w:highlight w:val="none"/>
        </w:rPr>
      </w:pPr>
      <w:r>
        <w:rPr>
          <w:rFonts w:hint="eastAsia" w:ascii="黑体" w:hAnsi="黑体" w:eastAsia="黑体"/>
          <w:snapToGrid w:val="0"/>
          <w:color w:val="auto"/>
          <w:sz w:val="30"/>
          <w:szCs w:val="30"/>
          <w:highlight w:val="none"/>
        </w:rPr>
        <w:t>一、建设项目基本情况</w:t>
      </w:r>
    </w:p>
    <w:tbl>
      <w:tblPr>
        <w:tblStyle w:val="21"/>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0" w:type="dxa"/>
          <w:bottom w:w="0" w:type="dxa"/>
          <w:right w:w="0" w:type="dxa"/>
        </w:tblCellMar>
      </w:tblPr>
      <w:tblGrid>
        <w:gridCol w:w="1541"/>
        <w:gridCol w:w="2478"/>
        <w:gridCol w:w="2036"/>
        <w:gridCol w:w="281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541" w:type="dxa"/>
            <w:noWrap w:val="0"/>
            <w:tcMar>
              <w:top w:w="16" w:type="dxa"/>
              <w:left w:w="16" w:type="dxa"/>
              <w:right w:w="16" w:type="dxa"/>
            </w:tcMar>
            <w:vAlign w:val="center"/>
          </w:tcPr>
          <w:p>
            <w:pPr>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建设项目名称</w:t>
            </w:r>
          </w:p>
        </w:tc>
        <w:tc>
          <w:tcPr>
            <w:tcW w:w="7329" w:type="dxa"/>
            <w:gridSpan w:val="3"/>
            <w:noWrap w:val="0"/>
            <w:vAlign w:val="center"/>
          </w:tcPr>
          <w:p>
            <w:pPr>
              <w:adjustRightInd w:val="0"/>
              <w:snapToGrid w:val="0"/>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val="en-US" w:eastAsia="zh-CN"/>
              </w:rPr>
              <w:t>巴州原始食品有限公司农产品精深加工（香梨）NFC鲜榨果汁建设项目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541" w:type="dxa"/>
            <w:noWrap w:val="0"/>
            <w:tcMar>
              <w:top w:w="16" w:type="dxa"/>
              <w:left w:w="16" w:type="dxa"/>
              <w:right w:w="16" w:type="dxa"/>
            </w:tcMar>
            <w:vAlign w:val="center"/>
          </w:tcPr>
          <w:p>
            <w:pPr>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项目代码</w:t>
            </w:r>
          </w:p>
        </w:tc>
        <w:tc>
          <w:tcPr>
            <w:tcW w:w="7329" w:type="dxa"/>
            <w:gridSpan w:val="3"/>
            <w:noWrap w:val="0"/>
            <w:vAlign w:val="center"/>
          </w:tcPr>
          <w:p>
            <w:pPr>
              <w:adjustRightInd w:val="0"/>
              <w:snapToGrid w:val="0"/>
              <w:jc w:val="center"/>
              <w:rPr>
                <w:rFonts w:hint="default" w:ascii="Times New Roman" w:hAnsi="Times New Roman" w:eastAsia="宋体" w:cs="Times New Roman"/>
                <w:color w:val="auto"/>
                <w:sz w:val="21"/>
                <w:szCs w:val="21"/>
                <w:highlight w:val="none"/>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541" w:type="dxa"/>
            <w:noWrap w:val="0"/>
            <w:tcMar>
              <w:top w:w="16" w:type="dxa"/>
              <w:left w:w="16" w:type="dxa"/>
              <w:right w:w="16" w:type="dxa"/>
            </w:tcMar>
            <w:vAlign w:val="center"/>
          </w:tcPr>
          <w:p>
            <w:pPr>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建设单位联系人</w:t>
            </w:r>
          </w:p>
        </w:tc>
        <w:tc>
          <w:tcPr>
            <w:tcW w:w="2478" w:type="dxa"/>
            <w:noWrap w:val="0"/>
            <w:vAlign w:val="center"/>
          </w:tcPr>
          <w:p>
            <w:pPr>
              <w:adjustRightInd w:val="0"/>
              <w:snapToGrid w:val="0"/>
              <w:jc w:val="center"/>
              <w:rPr>
                <w:rFonts w:hint="default" w:ascii="Times New Roman" w:hAnsi="Times New Roman" w:eastAsia="宋体" w:cs="Times New Roman"/>
                <w:color w:val="auto"/>
                <w:sz w:val="21"/>
                <w:szCs w:val="21"/>
                <w:highlight w:val="none"/>
                <w:lang w:val="en-US" w:eastAsia="zh-CN"/>
              </w:rPr>
            </w:pPr>
          </w:p>
        </w:tc>
        <w:tc>
          <w:tcPr>
            <w:tcW w:w="2036" w:type="dxa"/>
            <w:noWrap w:val="0"/>
            <w:vAlign w:val="center"/>
          </w:tcPr>
          <w:p>
            <w:pPr>
              <w:adjustRightInd w:val="0"/>
              <w:snapToGrid w:val="0"/>
              <w:jc w:val="center"/>
              <w:rPr>
                <w:rFonts w:hint="default" w:ascii="Times New Roman" w:hAnsi="Times New Roman" w:cs="Times New Roman"/>
                <w:color w:val="auto"/>
                <w:sz w:val="21"/>
                <w:szCs w:val="21"/>
                <w:highlight w:val="none"/>
              </w:rPr>
            </w:pPr>
          </w:p>
        </w:tc>
        <w:tc>
          <w:tcPr>
            <w:tcW w:w="2815" w:type="dxa"/>
            <w:noWrap w:val="0"/>
            <w:vAlign w:val="center"/>
          </w:tcPr>
          <w:p>
            <w:pPr>
              <w:adjustRightInd w:val="0"/>
              <w:snapToGrid w:val="0"/>
              <w:jc w:val="center"/>
              <w:rPr>
                <w:rFonts w:hint="default" w:ascii="Times New Roman" w:hAnsi="Times New Roman" w:eastAsia="宋体" w:cs="Times New Roman"/>
                <w:color w:val="auto"/>
                <w:sz w:val="21"/>
                <w:szCs w:val="21"/>
                <w:highlight w:val="none"/>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541" w:type="dxa"/>
            <w:noWrap w:val="0"/>
            <w:tcMar>
              <w:top w:w="16" w:type="dxa"/>
              <w:left w:w="16" w:type="dxa"/>
              <w:right w:w="16" w:type="dxa"/>
            </w:tcMar>
            <w:vAlign w:val="center"/>
          </w:tcPr>
          <w:p>
            <w:pPr>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建设地点</w:t>
            </w:r>
          </w:p>
        </w:tc>
        <w:tc>
          <w:tcPr>
            <w:tcW w:w="7329" w:type="dxa"/>
            <w:gridSpan w:val="3"/>
            <w:noWrap w:val="0"/>
            <w:vAlign w:val="center"/>
          </w:tcPr>
          <w:p>
            <w:pPr>
              <w:adjustRightInd w:val="0"/>
              <w:snapToGrid w:val="0"/>
              <w:jc w:val="center"/>
              <w:rPr>
                <w:rFonts w:hint="default" w:ascii="Times New Roman" w:hAnsi="Times New Roman" w:eastAsia="宋体" w:cs="Times New Roman"/>
                <w:color w:val="auto"/>
                <w:sz w:val="21"/>
                <w:szCs w:val="21"/>
                <w:highlight w:val="none"/>
                <w:lang w:val="en-US" w:eastAsia="zh-CN"/>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541" w:type="dxa"/>
            <w:noWrap w:val="0"/>
            <w:tcMar>
              <w:top w:w="16" w:type="dxa"/>
              <w:left w:w="16" w:type="dxa"/>
              <w:right w:w="16" w:type="dxa"/>
            </w:tcMar>
            <w:vAlign w:val="center"/>
          </w:tcPr>
          <w:p>
            <w:pPr>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地理坐标</w:t>
            </w:r>
          </w:p>
        </w:tc>
        <w:tc>
          <w:tcPr>
            <w:tcW w:w="7329" w:type="dxa"/>
            <w:gridSpan w:val="3"/>
            <w:noWrap w:val="0"/>
            <w:vAlign w:val="center"/>
          </w:tcPr>
          <w:p>
            <w:pPr>
              <w:jc w:val="center"/>
              <w:rPr>
                <w:rFonts w:hint="default" w:ascii="Times New Roman" w:hAnsi="Times New Roman" w:cs="Times New Roman"/>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541" w:type="dxa"/>
            <w:noWrap w:val="0"/>
            <w:tcMar>
              <w:top w:w="16" w:type="dxa"/>
              <w:left w:w="16" w:type="dxa"/>
              <w:right w:w="16" w:type="dxa"/>
            </w:tcMar>
            <w:vAlign w:val="center"/>
          </w:tcPr>
          <w:p>
            <w:pPr>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国民经济</w:t>
            </w:r>
          </w:p>
          <w:p>
            <w:pPr>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行业类别</w:t>
            </w:r>
          </w:p>
        </w:tc>
        <w:tc>
          <w:tcPr>
            <w:tcW w:w="2478" w:type="dxa"/>
            <w:noWrap w:val="0"/>
            <w:vAlign w:val="center"/>
          </w:tcPr>
          <w:p>
            <w:pPr>
              <w:adjustRightInd w:val="0"/>
              <w:snapToGrid w:val="0"/>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C1523果菜汁及果菜汁饮料制造</w:t>
            </w:r>
          </w:p>
          <w:p>
            <w:pPr>
              <w:adjustRightInd w:val="0"/>
              <w:snapToGrid w:val="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C1522瓶（罐）装饮用水制造</w:t>
            </w:r>
          </w:p>
          <w:p>
            <w:pPr>
              <w:adjustRightInd w:val="0"/>
              <w:snapToGrid w:val="0"/>
              <w:jc w:val="center"/>
              <w:rPr>
                <w:rFonts w:hint="default" w:ascii="Times New Roman" w:hAnsi="Times New Roman" w:cs="Times New Roman"/>
                <w:color w:val="auto"/>
                <w:sz w:val="21"/>
                <w:szCs w:val="21"/>
                <w:highlight w:val="none"/>
              </w:rPr>
            </w:pPr>
            <w:r>
              <w:rPr>
                <w:rFonts w:hint="eastAsia"/>
                <w:color w:val="auto"/>
                <w:sz w:val="21"/>
                <w:szCs w:val="21"/>
                <w:highlight w:val="none"/>
                <w:lang w:val="en-US" w:eastAsia="zh-CN"/>
              </w:rPr>
              <w:t>C2926塑料包装箱及容器制造</w:t>
            </w:r>
          </w:p>
        </w:tc>
        <w:tc>
          <w:tcPr>
            <w:tcW w:w="2036" w:type="dxa"/>
            <w:noWrap w:val="0"/>
            <w:vAlign w:val="center"/>
          </w:tcPr>
          <w:p>
            <w:pPr>
              <w:adjustRightInd w:val="0"/>
              <w:snapToGrid w:val="0"/>
              <w:jc w:val="center"/>
              <w:rPr>
                <w:rFonts w:hint="default" w:ascii="Times New Roman" w:hAnsi="Times New Roman" w:cs="Times New Roman"/>
                <w:color w:val="auto"/>
                <w:sz w:val="21"/>
                <w:szCs w:val="21"/>
                <w:highlight w:val="none"/>
              </w:rPr>
            </w:pPr>
            <w:bookmarkStart w:id="1" w:name="_Hlk49843745"/>
            <w:r>
              <w:rPr>
                <w:rFonts w:hint="default" w:ascii="Times New Roman" w:hAnsi="Times New Roman" w:cs="Times New Roman"/>
                <w:color w:val="auto"/>
                <w:sz w:val="21"/>
                <w:szCs w:val="21"/>
                <w:highlight w:val="none"/>
              </w:rPr>
              <w:t>建设项目</w:t>
            </w:r>
          </w:p>
          <w:p>
            <w:pPr>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行业类别</w:t>
            </w:r>
            <w:bookmarkEnd w:id="1"/>
          </w:p>
        </w:tc>
        <w:tc>
          <w:tcPr>
            <w:tcW w:w="2815" w:type="dxa"/>
            <w:noWrap w:val="0"/>
            <w:vAlign w:val="center"/>
          </w:tcPr>
          <w:p>
            <w:pPr>
              <w:numPr>
                <w:ilvl w:val="0"/>
                <w:numId w:val="0"/>
              </w:numPr>
              <w:adjustRightInd w:val="0"/>
              <w:snapToGrid w:val="0"/>
              <w:rPr>
                <w:rFonts w:hint="eastAsia" w:cs="Times New Roman"/>
                <w:color w:val="auto"/>
                <w:sz w:val="21"/>
                <w:szCs w:val="21"/>
                <w:highlight w:val="none"/>
                <w:lang w:val="en-US" w:eastAsia="zh-CN"/>
              </w:rPr>
            </w:pPr>
            <w:r>
              <w:rPr>
                <w:rFonts w:hint="eastAsia" w:ascii="Times New Roman" w:hAnsi="Times New Roman" w:eastAsia="宋体" w:cs="Times New Roman"/>
                <w:color w:val="auto"/>
                <w:kern w:val="2"/>
                <w:sz w:val="21"/>
                <w:szCs w:val="21"/>
                <w:lang w:val="en-US" w:eastAsia="zh-CN" w:bidi="ar-SA"/>
              </w:rPr>
              <w:t>十二、</w:t>
            </w:r>
            <w:r>
              <w:rPr>
                <w:rFonts w:hint="default" w:ascii="Times New Roman" w:hAnsi="Times New Roman" w:cs="Times New Roman"/>
                <w:color w:val="auto"/>
                <w:sz w:val="21"/>
                <w:szCs w:val="21"/>
                <w:highlight w:val="none"/>
                <w:lang w:val="en-US" w:eastAsia="zh-CN"/>
              </w:rPr>
              <w:t>酒、饮料制造业</w:t>
            </w:r>
            <w:r>
              <w:rPr>
                <w:rFonts w:hint="eastAsia" w:ascii="Times New Roman" w:hAnsi="Times New Roman"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饮料制造152*</w:t>
            </w:r>
            <w:r>
              <w:rPr>
                <w:rFonts w:hint="eastAsia" w:ascii="Times New Roman" w:hAnsi="Times New Roman" w:cs="Times New Roman"/>
                <w:color w:val="auto"/>
                <w:sz w:val="21"/>
                <w:szCs w:val="21"/>
                <w:highlight w:val="none"/>
                <w:lang w:val="en-US" w:eastAsia="zh-CN"/>
              </w:rPr>
              <w:t>-</w:t>
            </w:r>
            <w:r>
              <w:rPr>
                <w:rFonts w:hint="eastAsia" w:cs="Times New Roman"/>
                <w:color w:val="auto"/>
                <w:sz w:val="21"/>
                <w:szCs w:val="21"/>
                <w:highlight w:val="none"/>
                <w:lang w:val="en-US" w:eastAsia="zh-CN"/>
              </w:rPr>
              <w:t>有发酵工艺、原汁生产的；</w:t>
            </w:r>
          </w:p>
          <w:p>
            <w:pPr>
              <w:numPr>
                <w:ilvl w:val="0"/>
                <w:numId w:val="0"/>
              </w:numPr>
              <w:adjustRightInd w:val="0"/>
              <w:snapToGrid w:val="0"/>
              <w:rPr>
                <w:rFonts w:hint="eastAsia" w:cs="Times New Roman"/>
                <w:color w:val="auto"/>
                <w:sz w:val="21"/>
                <w:szCs w:val="21"/>
                <w:highlight w:val="none"/>
                <w:lang w:val="en-US" w:eastAsia="zh-CN"/>
              </w:rPr>
            </w:pPr>
            <w:r>
              <w:rPr>
                <w:rFonts w:hint="eastAsia" w:ascii="Times New Roman" w:hAnsi="Times New Roman" w:eastAsia="宋体" w:cs="Times New Roman"/>
                <w:color w:val="auto"/>
                <w:kern w:val="2"/>
                <w:sz w:val="21"/>
                <w:szCs w:val="21"/>
                <w:lang w:val="en-US" w:eastAsia="zh-CN" w:bidi="ar-SA"/>
              </w:rPr>
              <w:t>十二、</w:t>
            </w:r>
            <w:r>
              <w:rPr>
                <w:rFonts w:hint="default" w:ascii="Times New Roman" w:hAnsi="Times New Roman" w:cs="Times New Roman"/>
                <w:color w:val="auto"/>
                <w:sz w:val="21"/>
                <w:szCs w:val="21"/>
                <w:highlight w:val="none"/>
                <w:lang w:val="en-US" w:eastAsia="zh-CN"/>
              </w:rPr>
              <w:t>酒、饮料制造业</w:t>
            </w:r>
            <w:r>
              <w:rPr>
                <w:rFonts w:hint="eastAsia" w:ascii="Times New Roman" w:hAnsi="Times New Roman"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饮料制造152*</w:t>
            </w:r>
            <w:r>
              <w:rPr>
                <w:rFonts w:hint="eastAsia" w:ascii="Times New Roman" w:hAnsi="Times New Roman" w:cs="Times New Roman"/>
                <w:color w:val="auto"/>
                <w:sz w:val="21"/>
                <w:szCs w:val="21"/>
                <w:highlight w:val="none"/>
                <w:lang w:val="en-US" w:eastAsia="zh-CN"/>
              </w:rPr>
              <w:t>-</w:t>
            </w:r>
            <w:r>
              <w:rPr>
                <w:rFonts w:hint="eastAsia" w:cs="Times New Roman"/>
                <w:color w:val="auto"/>
                <w:sz w:val="21"/>
                <w:szCs w:val="21"/>
                <w:highlight w:val="none"/>
                <w:lang w:val="en-US" w:eastAsia="zh-CN"/>
              </w:rPr>
              <w:t>/；</w:t>
            </w:r>
          </w:p>
          <w:p>
            <w:pPr>
              <w:adjustRightInd w:val="0"/>
              <w:snapToGrid w:val="0"/>
              <w:rPr>
                <w:rFonts w:hint="eastAsia"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二十六、橡胶和塑料制品业 29</w:t>
            </w:r>
            <w:r>
              <w:rPr>
                <w:rFonts w:hint="eastAsia" w:ascii="Times New Roman" w:hAnsi="Times New Roman" w:cs="Times New Roman"/>
                <w:color w:val="auto"/>
                <w:sz w:val="21"/>
                <w:szCs w:val="21"/>
                <w:highlight w:val="none"/>
                <w:lang w:val="en-US" w:eastAsia="zh-CN"/>
              </w:rPr>
              <w:t>-53塑料制品业 292-其他（年用非溶剂型低VOCs含量涂料10吨以下的除外）</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541" w:type="dxa"/>
            <w:noWrap w:val="0"/>
            <w:tcMar>
              <w:top w:w="16" w:type="dxa"/>
              <w:left w:w="16" w:type="dxa"/>
              <w:right w:w="16" w:type="dxa"/>
            </w:tcMar>
            <w:vAlign w:val="center"/>
          </w:tcPr>
          <w:p>
            <w:pPr>
              <w:adjustRightInd w:val="0"/>
              <w:snapToGrid w:val="0"/>
              <w:jc w:val="center"/>
              <w:rPr>
                <w:rFonts w:ascii="宋体" w:hAnsi="宋体" w:cs="宋体"/>
                <w:color w:val="auto"/>
                <w:sz w:val="21"/>
                <w:szCs w:val="21"/>
                <w:highlight w:val="none"/>
              </w:rPr>
            </w:pPr>
            <w:r>
              <w:rPr>
                <w:rFonts w:hint="eastAsia" w:ascii="宋体" w:hAnsi="宋体" w:cs="宋体"/>
                <w:color w:val="auto"/>
                <w:sz w:val="21"/>
                <w:szCs w:val="21"/>
                <w:highlight w:val="none"/>
              </w:rPr>
              <w:t>建设性质</w:t>
            </w:r>
          </w:p>
        </w:tc>
        <w:tc>
          <w:tcPr>
            <w:tcW w:w="2478" w:type="dxa"/>
            <w:noWrap w:val="0"/>
            <w:vAlign w:val="center"/>
          </w:tcPr>
          <w:p>
            <w:pPr>
              <w:jc w:val="left"/>
              <w:rPr>
                <w:rFonts w:ascii="宋体" w:hAnsi="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新建（迁建）</w:t>
            </w:r>
          </w:p>
          <w:p>
            <w:pPr>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□改建</w:t>
            </w:r>
          </w:p>
          <w:p>
            <w:pPr>
              <w:jc w:val="left"/>
              <w:rPr>
                <w:rFonts w:hint="eastAsia" w:ascii="宋体" w:hAnsi="宋体" w:cs="宋体"/>
                <w:color w:val="auto"/>
                <w:sz w:val="21"/>
                <w:szCs w:val="21"/>
                <w:highlight w:val="none"/>
              </w:rPr>
            </w:pPr>
            <w:r>
              <w:rPr>
                <w:rFonts w:hint="eastAsia" w:ascii="宋体" w:hAnsi="宋体" w:cs="宋体"/>
                <w:color w:val="auto"/>
                <w:sz w:val="21"/>
                <w:szCs w:val="21"/>
                <w:highlight w:val="none"/>
              </w:rPr>
              <w:t>□扩建</w:t>
            </w:r>
          </w:p>
          <w:p>
            <w:pPr>
              <w:jc w:val="left"/>
              <w:rPr>
                <w:rFonts w:ascii="宋体" w:hAnsi="宋体" w:cs="宋体"/>
                <w:color w:val="auto"/>
                <w:sz w:val="21"/>
                <w:szCs w:val="21"/>
                <w:highlight w:val="none"/>
              </w:rPr>
            </w:pPr>
            <w:r>
              <w:rPr>
                <w:rFonts w:hint="eastAsia" w:ascii="宋体" w:hAnsi="宋体" w:cs="宋体"/>
                <w:color w:val="auto"/>
                <w:sz w:val="21"/>
                <w:szCs w:val="21"/>
                <w:highlight w:val="none"/>
              </w:rPr>
              <w:t>□技术改造</w:t>
            </w:r>
          </w:p>
        </w:tc>
        <w:tc>
          <w:tcPr>
            <w:tcW w:w="2036" w:type="dxa"/>
            <w:noWrap w:val="0"/>
            <w:vAlign w:val="center"/>
          </w:tcPr>
          <w:p>
            <w:pPr>
              <w:adjustRightInd w:val="0"/>
              <w:snapToGrid w:val="0"/>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建设项目</w:t>
            </w:r>
          </w:p>
          <w:p>
            <w:pPr>
              <w:adjustRightInd w:val="0"/>
              <w:snapToGrid w:val="0"/>
              <w:jc w:val="center"/>
              <w:rPr>
                <w:rFonts w:ascii="宋体" w:hAnsi="宋体" w:cs="宋体"/>
                <w:color w:val="auto"/>
                <w:sz w:val="21"/>
                <w:szCs w:val="21"/>
                <w:highlight w:val="none"/>
              </w:rPr>
            </w:pPr>
            <w:r>
              <w:rPr>
                <w:rFonts w:hint="eastAsia" w:ascii="宋体" w:hAnsi="宋体" w:cs="宋体"/>
                <w:color w:val="auto"/>
                <w:sz w:val="21"/>
                <w:szCs w:val="21"/>
                <w:highlight w:val="none"/>
              </w:rPr>
              <w:t>申报情形</w:t>
            </w:r>
          </w:p>
        </w:tc>
        <w:tc>
          <w:tcPr>
            <w:tcW w:w="2815" w:type="dxa"/>
            <w:noWrap w:val="0"/>
            <w:vAlign w:val="center"/>
          </w:tcPr>
          <w:p>
            <w:pPr>
              <w:jc w:val="left"/>
              <w:rPr>
                <w:rFonts w:ascii="宋体" w:hAnsi="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首次申报项目</w:t>
            </w:r>
            <w:r>
              <w:rPr>
                <w:rFonts w:ascii="宋体" w:hAnsi="宋体" w:cs="宋体"/>
                <w:color w:val="auto"/>
                <w:sz w:val="21"/>
                <w:szCs w:val="21"/>
                <w:highlight w:val="none"/>
              </w:rPr>
              <w:t xml:space="preserve">             </w:t>
            </w:r>
          </w:p>
          <w:p>
            <w:pPr>
              <w:jc w:val="left"/>
              <w:rPr>
                <w:rFonts w:ascii="宋体" w:hAnsi="宋体" w:cs="宋体"/>
                <w:color w:val="auto"/>
                <w:sz w:val="21"/>
                <w:szCs w:val="21"/>
                <w:highlight w:val="none"/>
              </w:rPr>
            </w:pPr>
            <w:r>
              <w:rPr>
                <w:rFonts w:hint="eastAsia" w:ascii="宋体" w:hAnsi="宋体" w:cs="宋体"/>
                <w:color w:val="auto"/>
                <w:sz w:val="21"/>
                <w:szCs w:val="21"/>
                <w:highlight w:val="none"/>
              </w:rPr>
              <w:t>□不予批准后再次申报项目</w:t>
            </w:r>
          </w:p>
          <w:p>
            <w:pPr>
              <w:jc w:val="left"/>
              <w:rPr>
                <w:rFonts w:ascii="宋体" w:hAnsi="宋体" w:cs="宋体"/>
                <w:color w:val="auto"/>
                <w:sz w:val="21"/>
                <w:szCs w:val="21"/>
                <w:highlight w:val="none"/>
              </w:rPr>
            </w:pPr>
            <w:r>
              <w:rPr>
                <w:rFonts w:hint="eastAsia" w:ascii="宋体" w:hAnsi="宋体" w:cs="宋体"/>
                <w:color w:val="auto"/>
                <w:sz w:val="21"/>
                <w:szCs w:val="21"/>
                <w:highlight w:val="none"/>
              </w:rPr>
              <w:t>□超五年重新审核项目</w:t>
            </w:r>
            <w:r>
              <w:rPr>
                <w:rFonts w:ascii="宋体" w:hAnsi="宋体" w:cs="宋体"/>
                <w:color w:val="auto"/>
                <w:sz w:val="21"/>
                <w:szCs w:val="21"/>
                <w:highlight w:val="none"/>
              </w:rPr>
              <w:t xml:space="preserve">     </w:t>
            </w:r>
          </w:p>
          <w:p>
            <w:pPr>
              <w:jc w:val="left"/>
              <w:rPr>
                <w:rFonts w:ascii="宋体" w:hAnsi="宋体" w:cs="宋体"/>
                <w:color w:val="auto"/>
                <w:sz w:val="21"/>
                <w:szCs w:val="21"/>
                <w:highlight w:val="none"/>
              </w:rPr>
            </w:pPr>
            <w:r>
              <w:rPr>
                <w:rFonts w:hint="eastAsia" w:ascii="宋体" w:hAnsi="宋体" w:cs="宋体"/>
                <w:color w:val="auto"/>
                <w:sz w:val="21"/>
                <w:szCs w:val="21"/>
                <w:highlight w:val="none"/>
              </w:rPr>
              <w:t>□重大变动重新报批项目</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541" w:type="dxa"/>
            <w:noWrap w:val="0"/>
            <w:tcMar>
              <w:top w:w="16" w:type="dxa"/>
              <w:left w:w="16" w:type="dxa"/>
              <w:right w:w="16" w:type="dxa"/>
            </w:tcMar>
            <w:vAlign w:val="center"/>
          </w:tcPr>
          <w:p>
            <w:pPr>
              <w:adjustRightInd w:val="0"/>
              <w:snapToGrid w:val="0"/>
              <w:jc w:val="center"/>
              <w:rPr>
                <w:rFonts w:ascii="宋体" w:hAnsi="宋体" w:cs="宋体"/>
                <w:color w:val="auto"/>
                <w:sz w:val="21"/>
                <w:szCs w:val="21"/>
                <w:highlight w:val="none"/>
              </w:rPr>
            </w:pPr>
            <w:r>
              <w:rPr>
                <w:rFonts w:hint="eastAsia" w:ascii="宋体" w:hAnsi="宋体" w:cs="宋体"/>
                <w:color w:val="auto"/>
                <w:sz w:val="21"/>
                <w:szCs w:val="21"/>
                <w:highlight w:val="none"/>
              </w:rPr>
              <w:t>项目审批（核准</w:t>
            </w:r>
            <w:r>
              <w:rPr>
                <w:rFonts w:ascii="宋体" w:hAnsi="宋体" w:cs="宋体"/>
                <w:color w:val="auto"/>
                <w:sz w:val="21"/>
                <w:szCs w:val="21"/>
                <w:highlight w:val="none"/>
              </w:rPr>
              <w:t>/</w:t>
            </w:r>
            <w:r>
              <w:rPr>
                <w:rFonts w:hint="eastAsia" w:ascii="宋体" w:hAnsi="宋体" w:cs="宋体"/>
                <w:color w:val="auto"/>
                <w:sz w:val="21"/>
                <w:szCs w:val="21"/>
                <w:highlight w:val="none"/>
              </w:rPr>
              <w:t>备案）部门（选填）</w:t>
            </w:r>
          </w:p>
        </w:tc>
        <w:tc>
          <w:tcPr>
            <w:tcW w:w="2478" w:type="dxa"/>
            <w:noWrap w:val="0"/>
            <w:vAlign w:val="center"/>
          </w:tcPr>
          <w:p>
            <w:pPr>
              <w:adjustRightInd w:val="0"/>
              <w:snapToGrid w:val="0"/>
              <w:jc w:val="center"/>
              <w:rPr>
                <w:rFonts w:hint="default" w:ascii="宋体" w:hAnsi="宋体" w:eastAsia="宋体" w:cs="宋体"/>
                <w:color w:val="auto"/>
                <w:sz w:val="21"/>
                <w:szCs w:val="21"/>
                <w:highlight w:val="none"/>
                <w:lang w:val="en-US" w:eastAsia="zh-CN"/>
              </w:rPr>
            </w:pPr>
            <w:r>
              <w:rPr>
                <w:rFonts w:hint="eastAsia" w:ascii="宋体" w:hAnsi="宋体" w:cs="宋体"/>
                <w:color w:val="auto"/>
                <w:sz w:val="21"/>
                <w:szCs w:val="21"/>
                <w:highlight w:val="none"/>
                <w:lang w:val="en-US" w:eastAsia="zh-CN"/>
              </w:rPr>
              <w:t>库尔勒经济技术开发区管理委员会经济发展局</w:t>
            </w:r>
          </w:p>
        </w:tc>
        <w:tc>
          <w:tcPr>
            <w:tcW w:w="2036" w:type="dxa"/>
            <w:noWrap w:val="0"/>
            <w:vAlign w:val="center"/>
          </w:tcPr>
          <w:p>
            <w:pPr>
              <w:adjustRightInd w:val="0"/>
              <w:snapToGrid w:val="0"/>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项目审批（核准</w:t>
            </w:r>
            <w:r>
              <w:rPr>
                <w:rFonts w:ascii="宋体" w:hAnsi="宋体" w:cs="宋体"/>
                <w:color w:val="auto"/>
                <w:sz w:val="21"/>
                <w:szCs w:val="21"/>
                <w:highlight w:val="none"/>
              </w:rPr>
              <w:t>/</w:t>
            </w:r>
          </w:p>
          <w:p>
            <w:pPr>
              <w:adjustRightInd w:val="0"/>
              <w:snapToGrid w:val="0"/>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备案）文号（选填）</w:t>
            </w:r>
          </w:p>
        </w:tc>
        <w:tc>
          <w:tcPr>
            <w:tcW w:w="2815" w:type="dxa"/>
            <w:noWrap w:val="0"/>
            <w:vAlign w:val="center"/>
          </w:tcPr>
          <w:p>
            <w:pPr>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备案证号：2507291217652871000107</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541" w:type="dxa"/>
            <w:noWrap w:val="0"/>
            <w:tcMar>
              <w:top w:w="16" w:type="dxa"/>
              <w:left w:w="16" w:type="dxa"/>
              <w:right w:w="16" w:type="dxa"/>
            </w:tcMar>
            <w:vAlign w:val="center"/>
          </w:tcPr>
          <w:p>
            <w:pPr>
              <w:adjustRightInd w:val="0"/>
              <w:snapToGrid w:val="0"/>
              <w:jc w:val="center"/>
              <w:rPr>
                <w:rFonts w:ascii="宋体" w:hAnsi="宋体" w:cs="宋体"/>
                <w:color w:val="auto"/>
                <w:sz w:val="21"/>
                <w:szCs w:val="21"/>
                <w:highlight w:val="none"/>
              </w:rPr>
            </w:pPr>
            <w:r>
              <w:rPr>
                <w:rFonts w:hint="eastAsia" w:ascii="宋体" w:hAnsi="宋体" w:cs="宋体"/>
                <w:color w:val="auto"/>
                <w:sz w:val="21"/>
                <w:szCs w:val="21"/>
                <w:highlight w:val="none"/>
              </w:rPr>
              <w:t>总投资（万元）</w:t>
            </w:r>
          </w:p>
        </w:tc>
        <w:tc>
          <w:tcPr>
            <w:tcW w:w="2478" w:type="dxa"/>
            <w:noWrap w:val="0"/>
            <w:vAlign w:val="center"/>
          </w:tcPr>
          <w:p>
            <w:pPr>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5000</w:t>
            </w:r>
          </w:p>
        </w:tc>
        <w:tc>
          <w:tcPr>
            <w:tcW w:w="2036" w:type="dxa"/>
            <w:noWrap w:val="0"/>
            <w:tcMar>
              <w:top w:w="16" w:type="dxa"/>
              <w:left w:w="16" w:type="dxa"/>
              <w:right w:w="16" w:type="dxa"/>
            </w:tcMar>
            <w:vAlign w:val="center"/>
          </w:tcPr>
          <w:p>
            <w:pPr>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环保投资（万元）</w:t>
            </w:r>
          </w:p>
        </w:tc>
        <w:tc>
          <w:tcPr>
            <w:tcW w:w="2815" w:type="dxa"/>
            <w:noWrap w:val="0"/>
            <w:vAlign w:val="center"/>
          </w:tcPr>
          <w:p>
            <w:pPr>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114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541" w:type="dxa"/>
            <w:noWrap w:val="0"/>
            <w:tcMar>
              <w:top w:w="16" w:type="dxa"/>
              <w:left w:w="16" w:type="dxa"/>
              <w:right w:w="16" w:type="dxa"/>
            </w:tcMar>
            <w:vAlign w:val="center"/>
          </w:tcPr>
          <w:p>
            <w:pPr>
              <w:adjustRightInd w:val="0"/>
              <w:snapToGrid w:val="0"/>
              <w:jc w:val="center"/>
              <w:rPr>
                <w:rFonts w:ascii="宋体" w:hAnsi="宋体" w:cs="宋体"/>
                <w:color w:val="auto"/>
                <w:sz w:val="21"/>
                <w:szCs w:val="21"/>
                <w:highlight w:val="none"/>
              </w:rPr>
            </w:pPr>
            <w:r>
              <w:rPr>
                <w:rFonts w:hint="eastAsia" w:ascii="宋体" w:hAnsi="宋体" w:cs="宋体"/>
                <w:color w:val="auto"/>
                <w:sz w:val="21"/>
                <w:szCs w:val="21"/>
                <w:highlight w:val="none"/>
              </w:rPr>
              <w:t>环保投资占比（</w:t>
            </w:r>
            <w:r>
              <w:rPr>
                <w:rFonts w:ascii="宋体" w:hAnsi="宋体" w:cs="宋体"/>
                <w:color w:val="auto"/>
                <w:sz w:val="21"/>
                <w:szCs w:val="21"/>
                <w:highlight w:val="none"/>
              </w:rPr>
              <w:t>%</w:t>
            </w:r>
            <w:r>
              <w:rPr>
                <w:rFonts w:hint="eastAsia" w:ascii="宋体" w:hAnsi="宋体" w:cs="宋体"/>
                <w:color w:val="auto"/>
                <w:sz w:val="21"/>
                <w:szCs w:val="21"/>
                <w:highlight w:val="none"/>
              </w:rPr>
              <w:t>）</w:t>
            </w:r>
          </w:p>
        </w:tc>
        <w:tc>
          <w:tcPr>
            <w:tcW w:w="2478" w:type="dxa"/>
            <w:noWrap w:val="0"/>
            <w:vAlign w:val="center"/>
          </w:tcPr>
          <w:p>
            <w:pPr>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2.28</w:t>
            </w:r>
          </w:p>
        </w:tc>
        <w:tc>
          <w:tcPr>
            <w:tcW w:w="2036" w:type="dxa"/>
            <w:noWrap w:val="0"/>
            <w:tcMar>
              <w:top w:w="16" w:type="dxa"/>
              <w:left w:w="16" w:type="dxa"/>
              <w:right w:w="16" w:type="dxa"/>
            </w:tcMar>
            <w:vAlign w:val="center"/>
          </w:tcPr>
          <w:p>
            <w:pPr>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施工工期</w:t>
            </w:r>
          </w:p>
        </w:tc>
        <w:tc>
          <w:tcPr>
            <w:tcW w:w="2815" w:type="dxa"/>
            <w:noWrap w:val="0"/>
            <w:vAlign w:val="center"/>
          </w:tcPr>
          <w:p>
            <w:pPr>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2年</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0" w:type="dxa"/>
            <w:bottom w:w="0" w:type="dxa"/>
            <w:right w:w="0" w:type="dxa"/>
          </w:tblCellMar>
        </w:tblPrEx>
        <w:trPr>
          <w:trHeight w:val="567" w:hRule="atLeast"/>
          <w:jc w:val="center"/>
        </w:trPr>
        <w:tc>
          <w:tcPr>
            <w:tcW w:w="1541" w:type="dxa"/>
            <w:noWrap w:val="0"/>
            <w:tcMar>
              <w:top w:w="16" w:type="dxa"/>
              <w:left w:w="16" w:type="dxa"/>
              <w:right w:w="16" w:type="dxa"/>
            </w:tcMar>
            <w:vAlign w:val="center"/>
          </w:tcPr>
          <w:p>
            <w:pPr>
              <w:adjustRightInd w:val="0"/>
              <w:snapToGrid w:val="0"/>
              <w:jc w:val="center"/>
              <w:rPr>
                <w:rFonts w:hint="eastAsia" w:ascii="宋体" w:hAnsi="宋体" w:cs="宋体"/>
                <w:color w:val="auto"/>
                <w:sz w:val="21"/>
                <w:szCs w:val="21"/>
                <w:highlight w:val="none"/>
              </w:rPr>
            </w:pPr>
            <w:r>
              <w:rPr>
                <w:rFonts w:hint="eastAsia" w:ascii="宋体" w:hAnsi="宋体" w:cs="宋体"/>
                <w:color w:val="auto"/>
                <w:sz w:val="21"/>
                <w:szCs w:val="21"/>
                <w:highlight w:val="none"/>
              </w:rPr>
              <w:t>是否开工建设</w:t>
            </w:r>
          </w:p>
        </w:tc>
        <w:tc>
          <w:tcPr>
            <w:tcW w:w="2478" w:type="dxa"/>
            <w:noWrap w:val="0"/>
            <w:vAlign w:val="center"/>
          </w:tcPr>
          <w:p>
            <w:pPr>
              <w:adjustRightInd w:val="0"/>
              <w:snapToGrid w:val="0"/>
              <w:rPr>
                <w:rFonts w:ascii="宋体" w:hAnsi="宋体" w:cs="宋体"/>
                <w:color w:val="auto"/>
                <w:sz w:val="21"/>
                <w:szCs w:val="21"/>
                <w:highlight w:val="none"/>
              </w:rPr>
            </w:pPr>
            <w:r>
              <w:rPr>
                <w:rFonts w:hint="eastAsia" w:ascii="宋体" w:hAnsi="宋体" w:cs="宋体"/>
                <w:color w:val="auto"/>
                <w:sz w:val="21"/>
                <w:szCs w:val="21"/>
                <w:highlight w:val="none"/>
                <w:lang w:eastAsia="zh-CN"/>
              </w:rPr>
              <w:t>☑</w:t>
            </w:r>
            <w:r>
              <w:rPr>
                <w:rFonts w:hint="eastAsia" w:ascii="宋体" w:hAnsi="宋体" w:cs="宋体"/>
                <w:color w:val="auto"/>
                <w:sz w:val="21"/>
                <w:szCs w:val="21"/>
                <w:highlight w:val="none"/>
              </w:rPr>
              <w:t>否</w:t>
            </w:r>
          </w:p>
          <w:p>
            <w:pPr>
              <w:adjustRightInd w:val="0"/>
              <w:snapToGrid w:val="0"/>
              <w:rPr>
                <w:rFonts w:ascii="宋体" w:hAnsi="宋体" w:cs="宋体"/>
                <w:color w:val="auto"/>
                <w:sz w:val="21"/>
                <w:szCs w:val="21"/>
                <w:highlight w:val="none"/>
              </w:rPr>
            </w:pPr>
            <w:r>
              <w:rPr>
                <w:rFonts w:hint="eastAsia" w:ascii="宋体" w:hAnsi="宋体" w:cs="宋体"/>
                <w:color w:val="auto"/>
                <w:sz w:val="21"/>
                <w:szCs w:val="21"/>
                <w:highlight w:val="none"/>
              </w:rPr>
              <w:t>□是：</w:t>
            </w:r>
            <w:r>
              <w:rPr>
                <w:rFonts w:hint="eastAsia" w:ascii="宋体" w:hAnsi="宋体" w:cs="宋体"/>
                <w:color w:val="auto"/>
                <w:sz w:val="21"/>
                <w:szCs w:val="21"/>
                <w:highlight w:val="none"/>
                <w:u w:val="single"/>
              </w:rPr>
              <w:t xml:space="preserve">             </w:t>
            </w:r>
          </w:p>
        </w:tc>
        <w:tc>
          <w:tcPr>
            <w:tcW w:w="2036" w:type="dxa"/>
            <w:noWrap w:val="0"/>
            <w:tcMar>
              <w:top w:w="16" w:type="dxa"/>
              <w:left w:w="16" w:type="dxa"/>
              <w:right w:w="16" w:type="dxa"/>
            </w:tcMar>
            <w:vAlign w:val="center"/>
          </w:tcPr>
          <w:p>
            <w:pPr>
              <w:adjustRightInd w:val="0"/>
              <w:snapToGrid w:val="0"/>
              <w:jc w:val="center"/>
              <w:rPr>
                <w:rFonts w:hint="default" w:ascii="Times New Roman" w:hAnsi="Times New Roman" w:cs="Times New Roman"/>
                <w:color w:val="auto"/>
                <w:spacing w:val="-6"/>
                <w:sz w:val="21"/>
                <w:szCs w:val="21"/>
                <w:highlight w:val="none"/>
              </w:rPr>
            </w:pPr>
            <w:r>
              <w:rPr>
                <w:rFonts w:hint="default" w:ascii="Times New Roman" w:hAnsi="Times New Roman" w:cs="Times New Roman"/>
                <w:color w:val="auto"/>
                <w:spacing w:val="-6"/>
                <w:sz w:val="21"/>
                <w:szCs w:val="21"/>
                <w:highlight w:val="none"/>
              </w:rPr>
              <w:t>用地（用海）</w:t>
            </w:r>
          </w:p>
          <w:p>
            <w:pPr>
              <w:adjustRightInd w:val="0"/>
              <w:snapToGrid w:val="0"/>
              <w:jc w:val="center"/>
              <w:rPr>
                <w:rFonts w:hint="eastAsia" w:ascii="宋体" w:hAnsi="宋体" w:cs="宋体"/>
                <w:color w:val="auto"/>
                <w:sz w:val="21"/>
                <w:szCs w:val="21"/>
                <w:highlight w:val="none"/>
              </w:rPr>
            </w:pPr>
            <w:r>
              <w:rPr>
                <w:rFonts w:hint="default" w:ascii="Times New Roman" w:hAnsi="Times New Roman" w:cs="Times New Roman"/>
                <w:color w:val="auto"/>
                <w:spacing w:val="-6"/>
                <w:sz w:val="21"/>
                <w:szCs w:val="21"/>
                <w:highlight w:val="none"/>
              </w:rPr>
              <w:t>面积（m</w:t>
            </w:r>
            <w:r>
              <w:rPr>
                <w:rFonts w:hint="default" w:ascii="Times New Roman" w:hAnsi="Times New Roman" w:cs="Times New Roman"/>
                <w:color w:val="auto"/>
                <w:spacing w:val="-6"/>
                <w:sz w:val="21"/>
                <w:szCs w:val="21"/>
                <w:highlight w:val="none"/>
                <w:vertAlign w:val="superscript"/>
              </w:rPr>
              <w:t>2</w:t>
            </w:r>
            <w:r>
              <w:rPr>
                <w:rFonts w:hint="default" w:ascii="Times New Roman" w:hAnsi="Times New Roman" w:cs="Times New Roman"/>
                <w:color w:val="auto"/>
                <w:spacing w:val="-6"/>
                <w:sz w:val="21"/>
                <w:szCs w:val="21"/>
                <w:highlight w:val="none"/>
              </w:rPr>
              <w:t>）</w:t>
            </w:r>
          </w:p>
        </w:tc>
        <w:tc>
          <w:tcPr>
            <w:tcW w:w="2815" w:type="dxa"/>
            <w:noWrap w:val="0"/>
            <w:vAlign w:val="center"/>
          </w:tcPr>
          <w:p>
            <w:pPr>
              <w:adjustRightInd w:val="0"/>
              <w:snapToGrid w:val="0"/>
              <w:jc w:val="center"/>
              <w:rPr>
                <w:rFonts w:hint="default" w:ascii="宋体" w:hAnsi="宋体" w:eastAsia="宋体" w:cs="宋体"/>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10931.08</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41" w:type="dxa"/>
            <w:noWrap w:val="0"/>
            <w:vAlign w:val="center"/>
          </w:tcPr>
          <w:p>
            <w:pPr>
              <w:autoSpaceDE w:val="0"/>
              <w:autoSpaceDN w:val="0"/>
              <w:adjustRightInd w:val="0"/>
              <w:snapToGrid w:val="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专项评价设置情况</w:t>
            </w:r>
          </w:p>
        </w:tc>
        <w:tc>
          <w:tcPr>
            <w:tcW w:w="7329" w:type="dxa"/>
            <w:gridSpan w:val="3"/>
            <w:noWrap w:val="0"/>
            <w:vAlign w:val="center"/>
          </w:tcPr>
          <w:p>
            <w:pPr>
              <w:autoSpaceDE w:val="0"/>
              <w:autoSpaceDN w:val="0"/>
              <w:adjustRightInd w:val="0"/>
              <w:snapToGrid w:val="0"/>
              <w:jc w:val="center"/>
              <w:rPr>
                <w:rFonts w:hint="eastAsia" w:ascii="宋体" w:hAnsi="宋体" w:eastAsia="宋体" w:cs="宋体"/>
                <w:color w:val="auto"/>
                <w:kern w:val="0"/>
                <w:sz w:val="21"/>
                <w:szCs w:val="21"/>
                <w:highlight w:val="none"/>
                <w:lang w:val="en-US" w:eastAsia="zh-CN"/>
              </w:rPr>
            </w:pPr>
            <w:r>
              <w:rPr>
                <w:rFonts w:hint="eastAsia" w:ascii="宋体" w:hAnsi="宋体" w:cs="宋体"/>
                <w:color w:val="auto"/>
                <w:kern w:val="0"/>
                <w:sz w:val="21"/>
                <w:szCs w:val="21"/>
                <w:highlight w:val="none"/>
                <w:lang w:val="en-US" w:eastAsia="zh-CN"/>
              </w:rPr>
              <w:t>无</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41" w:type="dxa"/>
            <w:noWrap w:val="0"/>
            <w:vAlign w:val="center"/>
          </w:tcPr>
          <w:p>
            <w:pPr>
              <w:autoSpaceDE w:val="0"/>
              <w:autoSpaceDN w:val="0"/>
              <w:adjustRightInd w:val="0"/>
              <w:snapToGrid w:val="0"/>
              <w:jc w:val="center"/>
              <w:rPr>
                <w:rFonts w:hint="eastAsia" w:ascii="宋体" w:hAnsi="宋体" w:cs="宋体"/>
                <w:color w:val="auto"/>
                <w:kern w:val="0"/>
                <w:sz w:val="21"/>
                <w:szCs w:val="21"/>
                <w:highlight w:val="none"/>
              </w:rPr>
            </w:pPr>
            <w:r>
              <w:rPr>
                <w:rFonts w:hint="eastAsia" w:ascii="宋体" w:hAnsi="宋体" w:cs="宋体"/>
                <w:color w:val="auto"/>
                <w:sz w:val="21"/>
                <w:szCs w:val="21"/>
                <w:highlight w:val="none"/>
              </w:rPr>
              <w:t>规划情况</w:t>
            </w:r>
          </w:p>
        </w:tc>
        <w:tc>
          <w:tcPr>
            <w:tcW w:w="7329" w:type="dxa"/>
            <w:gridSpan w:val="3"/>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库尔勒经济技术开发区位于库尔勒市主城区东南侧，与主城区紧密相连。2000年7月，经自治区人民政府以《关于设立库尔勒经济技术开发区的批复》（新政函[2000]152号）文批准建立库尔勒经济技术开发区，规划控制面积为18平方公里，首期开发面积为2平方公里；2007年12月列入全国循环经济试点园区；2008年经批准为自治区级高新技术产业开发区；2010年9月，经自治区人民政府以《关于同意库尔勒经济技术开发区扩区的批复》（新政函[2010]231号）文批准，同意将开发区规划面积由18平方公里扩大至71平方公里；2011年4月，经国务院以《国务院办公厅关于新疆维吾尔自治区库尔勒经济开发区升级为国家级经济技术开发区的复函》（国办函[2011]33号）文批准升级为国家级经济技术开发区，批准规划面积18平方公里；2014年6月，巴州人民政府出具了《关于库尔勒经济技术开发区管理范围的通知》（巴政办发[2014]24号），将博斯腾湖苇业、国电库尔勒发电有限公司、星凯物流划归开发区管理，开发区的确权管辖面积扩大至137.55平方公里。库尔勒经济技术开发区于2006年6月，原自治区环境保护局以《关于库尔勒经济技术开发区总体规划环境影响报告书的审查意见》（新环财函[2006]280号）文，对开发区规划环评进行了批复，批复明确开发区规划面积为80.23平方公里；随后至2023年期间，开发区管委会陆续组织编制了《光电新材料产业园区发展规划（2023-2027年）》、《巴州航天科技产业园总体规划（2019-2035年）》、《库尔勒经济技术开发区化工园区总体规划（2022-2035年）》、《库尔勒纺织服装配套暨冀疆合作区总体规划（2017-2035年）》共四个片区规划。2026年2月，库尔勒经济技术开发区招商局编制了《库尔勒经济技术开发区重点产业发展规划》，规划总面积137.55平方公里，分为北部片区、中部片区、南部片区三个片区。</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21" w:hRule="atLeast"/>
          <w:jc w:val="center"/>
        </w:trPr>
        <w:tc>
          <w:tcPr>
            <w:tcW w:w="1541" w:type="dxa"/>
            <w:noWrap w:val="0"/>
            <w:vAlign w:val="center"/>
          </w:tcPr>
          <w:p>
            <w:pPr>
              <w:adjustRightInd w:val="0"/>
              <w:snapToGrid w:val="0"/>
              <w:jc w:val="center"/>
              <w:rPr>
                <w:rFonts w:ascii="宋体" w:hAnsi="宋体" w:cs="宋体"/>
                <w:color w:val="auto"/>
                <w:sz w:val="21"/>
                <w:szCs w:val="21"/>
                <w:highlight w:val="none"/>
              </w:rPr>
            </w:pPr>
            <w:r>
              <w:rPr>
                <w:rFonts w:hint="eastAsia" w:ascii="宋体" w:hAnsi="宋体" w:cs="宋体"/>
                <w:color w:val="auto"/>
                <w:sz w:val="21"/>
                <w:szCs w:val="21"/>
                <w:highlight w:val="none"/>
              </w:rPr>
              <w:t>规划环境影响</w:t>
            </w:r>
          </w:p>
          <w:p>
            <w:pPr>
              <w:adjustRightInd w:val="0"/>
              <w:snapToGrid w:val="0"/>
              <w:jc w:val="center"/>
              <w:rPr>
                <w:rFonts w:hint="eastAsia" w:ascii="宋体" w:hAnsi="宋体" w:cs="宋体"/>
                <w:color w:val="auto"/>
                <w:kern w:val="0"/>
                <w:sz w:val="21"/>
                <w:szCs w:val="21"/>
                <w:highlight w:val="none"/>
              </w:rPr>
            </w:pPr>
            <w:r>
              <w:rPr>
                <w:rFonts w:hint="eastAsia" w:ascii="宋体" w:hAnsi="宋体" w:cs="宋体"/>
                <w:color w:val="auto"/>
                <w:sz w:val="21"/>
                <w:szCs w:val="21"/>
                <w:highlight w:val="none"/>
              </w:rPr>
              <w:t>评价情况</w:t>
            </w:r>
          </w:p>
        </w:tc>
        <w:tc>
          <w:tcPr>
            <w:tcW w:w="7329" w:type="dxa"/>
            <w:gridSpan w:val="3"/>
            <w:noWrap w:val="0"/>
            <w:vAlign w:val="center"/>
          </w:tcPr>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2026年3月，库尔勒经济技术开发区招商局组织编制了《库尔勒经济技术开发区重点产业发展规划环境影响报告书》，目前该规划环评审批中。</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8" w:hRule="atLeast"/>
          <w:jc w:val="center"/>
        </w:trPr>
        <w:tc>
          <w:tcPr>
            <w:tcW w:w="1541" w:type="dxa"/>
            <w:noWrap w:val="0"/>
            <w:vAlign w:val="center"/>
          </w:tcPr>
          <w:p>
            <w:pPr>
              <w:autoSpaceDE w:val="0"/>
              <w:autoSpaceDN w:val="0"/>
              <w:adjustRightInd w:val="0"/>
              <w:snapToGrid w:val="0"/>
              <w:jc w:val="center"/>
              <w:rPr>
                <w:rFonts w:ascii="宋体" w:hAnsi="宋体" w:cs="宋体"/>
                <w:color w:val="auto"/>
                <w:kern w:val="0"/>
                <w:sz w:val="21"/>
                <w:szCs w:val="21"/>
                <w:highlight w:val="none"/>
              </w:rPr>
            </w:pPr>
            <w:r>
              <w:rPr>
                <w:rFonts w:hint="eastAsia" w:ascii="宋体" w:hAnsi="宋体" w:cs="宋体"/>
                <w:color w:val="auto"/>
                <w:kern w:val="0"/>
                <w:sz w:val="21"/>
                <w:szCs w:val="21"/>
                <w:highlight w:val="none"/>
              </w:rPr>
              <w:t>规划及规划环境影响评价符合性分析</w:t>
            </w:r>
          </w:p>
        </w:tc>
        <w:tc>
          <w:tcPr>
            <w:tcW w:w="7329" w:type="dxa"/>
            <w:gridSpan w:val="3"/>
            <w:noWrap w:val="0"/>
            <w:vAlign w:val="center"/>
          </w:tcPr>
          <w:p>
            <w:pPr>
              <w:spacing w:line="360" w:lineRule="auto"/>
              <w:ind w:firstLine="420" w:firstLineChars="200"/>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根据</w:t>
            </w:r>
            <w:r>
              <w:rPr>
                <w:rFonts w:hint="default" w:ascii="Times New Roman" w:hAnsi="Times New Roman" w:eastAsia="宋体" w:cs="Times New Roman"/>
                <w:color w:val="auto"/>
                <w:sz w:val="21"/>
                <w:szCs w:val="21"/>
                <w:highlight w:val="none"/>
                <w:lang w:val="en-US" w:eastAsia="zh-CN"/>
              </w:rPr>
              <w:t>《库尔勒经济技术开发区重点产业发展规划》</w:t>
            </w:r>
            <w:r>
              <w:rPr>
                <w:rFonts w:hint="eastAsia" w:cs="Times New Roman"/>
                <w:color w:val="auto"/>
                <w:sz w:val="21"/>
                <w:szCs w:val="21"/>
                <w:highlight w:val="none"/>
                <w:lang w:val="en-US" w:eastAsia="zh-CN"/>
              </w:rPr>
              <w:t>，本项目用地为工业用地，且位于</w:t>
            </w:r>
            <w:r>
              <w:rPr>
                <w:rFonts w:hint="default" w:ascii="Times New Roman" w:hAnsi="Times New Roman" w:eastAsia="宋体" w:cs="Times New Roman"/>
                <w:color w:val="auto"/>
                <w:sz w:val="21"/>
                <w:szCs w:val="21"/>
                <w:highlight w:val="none"/>
                <w:lang w:val="en-US" w:eastAsia="zh-CN"/>
              </w:rPr>
              <w:t>北部片区</w:t>
            </w:r>
            <w:r>
              <w:rPr>
                <w:rFonts w:hint="eastAsia" w:cs="Times New Roman"/>
                <w:color w:val="auto"/>
                <w:sz w:val="21"/>
                <w:szCs w:val="21"/>
                <w:highlight w:val="none"/>
                <w:lang w:val="en-US" w:eastAsia="zh-CN"/>
              </w:rPr>
              <w:t>-绿色食品产业布局范围内，符合</w:t>
            </w:r>
            <w:r>
              <w:rPr>
                <w:rFonts w:hint="default" w:ascii="Times New Roman" w:hAnsi="Times New Roman" w:eastAsia="宋体" w:cs="Times New Roman"/>
                <w:color w:val="auto"/>
                <w:sz w:val="21"/>
                <w:szCs w:val="21"/>
                <w:highlight w:val="none"/>
                <w:lang w:val="en-US" w:eastAsia="zh-CN"/>
              </w:rPr>
              <w:t>库尔勒经济技术开发区</w:t>
            </w:r>
            <w:r>
              <w:rPr>
                <w:rFonts w:hint="eastAsia" w:cs="Times New Roman"/>
                <w:color w:val="auto"/>
                <w:sz w:val="21"/>
                <w:szCs w:val="21"/>
                <w:highlight w:val="none"/>
                <w:lang w:val="en-US" w:eastAsia="zh-CN"/>
              </w:rPr>
              <w:t>产业布局规划。</w:t>
            </w:r>
          </w:p>
          <w:p>
            <w:pPr>
              <w:spacing w:line="360" w:lineRule="auto"/>
              <w:ind w:firstLine="420" w:firstLineChars="200"/>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根据《库尔勒经济技术开发区重点产业发展规划环境影响报告书》，入区企业准入条件包括：①符合国家及地方产业政策要求；②符合规划的产业定位；③符合行业准入条件；④清洁生产水平应达到国内先进水平；⑤提高资源能源利用效率；⑥符合园区规划指标要求；⑦符合总量控制的要求；⑧符合节能减排要求；⑨符合相关风险防控要求。本项目不属于《产业结构调整指导目录（2024年本）》限制类或淘汰类，符合国家及地方产业政策要求；本项目属于食品制造行业，符合库尔勒经济技术开发区重点产业发展规划及行业准入条件；本项目清洁生产水平可达到国内先进水平；本项目需控制总量污染物为颗粒物、氮氧化物及挥发性有机物，排放量较小，符合总量控制要求；本项目使用电能、天然气等清洁能源，本项目建成后将编制应急预案，积极进行风险防控，综上所述，本项目符合规划环评要求。</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567" w:hRule="atLeast"/>
          <w:jc w:val="center"/>
        </w:trPr>
        <w:tc>
          <w:tcPr>
            <w:tcW w:w="1541" w:type="dxa"/>
            <w:noWrap w:val="0"/>
            <w:vAlign w:val="center"/>
          </w:tcPr>
          <w:p>
            <w:pPr>
              <w:autoSpaceDE w:val="0"/>
              <w:autoSpaceDN w:val="0"/>
              <w:adjustRightInd w:val="0"/>
              <w:snapToGrid w:val="0"/>
              <w:jc w:val="center"/>
              <w:rPr>
                <w:rFonts w:hint="eastAsia" w:ascii="宋体" w:hAnsi="宋体" w:cs="宋体"/>
                <w:color w:val="auto"/>
                <w:kern w:val="0"/>
                <w:sz w:val="21"/>
                <w:szCs w:val="21"/>
                <w:highlight w:val="none"/>
              </w:rPr>
            </w:pPr>
            <w:r>
              <w:rPr>
                <w:rFonts w:hint="eastAsia" w:ascii="宋体" w:hAnsi="宋体" w:cs="宋体"/>
                <w:color w:val="auto"/>
                <w:kern w:val="0"/>
                <w:sz w:val="21"/>
                <w:szCs w:val="21"/>
                <w:highlight w:val="none"/>
              </w:rPr>
              <w:t>其他符合性分析</w:t>
            </w:r>
          </w:p>
        </w:tc>
        <w:tc>
          <w:tcPr>
            <w:tcW w:w="7329" w:type="dxa"/>
            <w:gridSpan w:val="3"/>
            <w:noWrap w:val="0"/>
            <w:vAlign w:val="center"/>
          </w:tcPr>
          <w:p>
            <w:pPr>
              <w:keepNext w:val="0"/>
              <w:keepLines w:val="0"/>
              <w:pageBreakBefore w:val="0"/>
              <w:suppressLineNumbers w:val="0"/>
              <w:kinsoku/>
              <w:wordWrap/>
              <w:overflowPunct/>
              <w:topLinePunct w:val="0"/>
              <w:bidi w:val="0"/>
              <w:spacing w:before="0" w:beforeAutospacing="0" w:after="0" w:afterAutospacing="0" w:line="360" w:lineRule="auto"/>
              <w:ind w:right="0"/>
              <w:textAlignment w:val="auto"/>
              <w:rPr>
                <w:rFonts w:hint="default" w:ascii="Times New Roman" w:hAnsi="Times New Roman" w:cs="Times New Roman"/>
                <w:b/>
                <w:bCs/>
                <w:color w:val="auto"/>
                <w:sz w:val="21"/>
                <w:szCs w:val="21"/>
                <w:highlight w:val="none"/>
              </w:rPr>
            </w:pPr>
            <w:r>
              <w:rPr>
                <w:rFonts w:hint="eastAsia" w:ascii="Times New Roman" w:hAnsi="Times New Roman" w:cs="Times New Roman"/>
                <w:b/>
                <w:bCs/>
                <w:color w:val="auto"/>
                <w:sz w:val="21"/>
                <w:szCs w:val="21"/>
                <w:highlight w:val="none"/>
                <w:lang w:val="en-US" w:eastAsia="zh-CN"/>
              </w:rPr>
              <w:t>1</w:t>
            </w:r>
            <w:r>
              <w:rPr>
                <w:rFonts w:hint="eastAsia" w:cs="Times New Roman"/>
                <w:b/>
                <w:bCs/>
                <w:color w:val="auto"/>
                <w:sz w:val="21"/>
                <w:szCs w:val="21"/>
                <w:highlight w:val="none"/>
                <w:lang w:val="en-US" w:eastAsia="zh-CN"/>
              </w:rPr>
              <w:t>、</w:t>
            </w:r>
            <w:r>
              <w:rPr>
                <w:rFonts w:hint="default" w:ascii="Times New Roman" w:hAnsi="Times New Roman" w:cs="Times New Roman"/>
                <w:b/>
                <w:bCs/>
                <w:color w:val="auto"/>
                <w:sz w:val="21"/>
                <w:szCs w:val="21"/>
                <w:highlight w:val="none"/>
              </w:rPr>
              <w:t>产业政策符合性分析</w:t>
            </w:r>
          </w:p>
          <w:p>
            <w:pPr>
              <w:pStyle w:val="74"/>
              <w:keepNext w:val="0"/>
              <w:keepLines w:val="0"/>
              <w:pageBreakBefore w:val="0"/>
              <w:widowControl/>
              <w:shd w:val="clear" w:color="auto" w:fill="auto"/>
              <w:kinsoku/>
              <w:wordWrap/>
              <w:overflowPunct/>
              <w:topLinePunct w:val="0"/>
              <w:autoSpaceDE/>
              <w:autoSpaceDN/>
              <w:bidi w:val="0"/>
              <w:adjustRightInd w:val="0"/>
              <w:snapToGrid w:val="0"/>
              <w:ind w:firstLine="420"/>
              <w:textAlignment w:val="baseline"/>
              <w:rPr>
                <w:rStyle w:val="75"/>
                <w:rFonts w:hint="eastAsia"/>
                <w:color w:val="auto"/>
                <w:highlight w:val="none"/>
                <w:lang w:val="en-US" w:eastAsia="zh-CN"/>
              </w:rPr>
            </w:pPr>
            <w:r>
              <w:rPr>
                <w:rStyle w:val="75"/>
                <w:rFonts w:hint="eastAsia"/>
                <w:color w:val="auto"/>
                <w:highlight w:val="none"/>
                <w:lang w:val="en-US" w:eastAsia="zh-CN"/>
              </w:rPr>
              <w:t>本项目高端鲜榨果汁饮料、</w:t>
            </w:r>
            <w:r>
              <w:rPr>
                <w:rFonts w:hint="default" w:ascii="Times New Roman" w:hAnsi="Times New Roman" w:cs="Times New Roman"/>
                <w:b w:val="0"/>
                <w:bCs/>
                <w:color w:val="auto"/>
                <w:sz w:val="21"/>
                <w:szCs w:val="21"/>
                <w:highlight w:val="none"/>
                <w:lang w:val="en-US" w:eastAsia="zh-CN"/>
              </w:rPr>
              <w:t>普通</w:t>
            </w:r>
            <w:r>
              <w:rPr>
                <w:rFonts w:hint="default" w:ascii="Times New Roman" w:hAnsi="Times New Roman" w:eastAsia="宋体" w:cs="Times New Roman"/>
                <w:b w:val="0"/>
                <w:bCs/>
                <w:color w:val="auto"/>
                <w:sz w:val="21"/>
                <w:szCs w:val="21"/>
                <w:highlight w:val="none"/>
                <w:lang w:val="en-US" w:eastAsia="zh-CN"/>
              </w:rPr>
              <w:t>果汁饮料</w:t>
            </w:r>
            <w:r>
              <w:rPr>
                <w:rFonts w:hint="eastAsia" w:ascii="Times New Roman" w:hAnsi="Times New Roman" w:eastAsia="宋体" w:cs="Times New Roman"/>
                <w:b w:val="0"/>
                <w:bCs/>
                <w:color w:val="auto"/>
                <w:sz w:val="21"/>
                <w:szCs w:val="21"/>
                <w:highlight w:val="none"/>
                <w:lang w:val="en-US" w:eastAsia="zh-CN"/>
              </w:rPr>
              <w:t>、碳酸饮料生产属于</w:t>
            </w:r>
            <w:r>
              <w:rPr>
                <w:rStyle w:val="75"/>
                <w:rFonts w:hint="eastAsia"/>
                <w:color w:val="auto"/>
                <w:highlight w:val="none"/>
                <w:lang w:val="en-US" w:eastAsia="zh-CN"/>
              </w:rPr>
              <w:t>C1523果菜汁及果菜汁饮料制造行业，包装饮用水生产属于C1522瓶（罐）装饮用水制造行业，PET瓶生产属于C2926塑料包装箱及容器制造行业，根据《产业结构调整指导目录（2024年本）》，本项目不属于其中限制类或淘汰类；</w:t>
            </w:r>
            <w:r>
              <w:rPr>
                <w:rStyle w:val="75"/>
                <w:color w:val="auto"/>
                <w:highlight w:val="none"/>
              </w:rPr>
              <w:t>根据《市场准入负面清单（20</w:t>
            </w:r>
            <w:r>
              <w:rPr>
                <w:rStyle w:val="75"/>
                <w:rFonts w:hint="eastAsia"/>
                <w:color w:val="auto"/>
                <w:highlight w:val="none"/>
                <w:lang w:val="en-US" w:eastAsia="zh-CN"/>
              </w:rPr>
              <w:t>25</w:t>
            </w:r>
            <w:r>
              <w:rPr>
                <w:rStyle w:val="75"/>
                <w:color w:val="auto"/>
                <w:highlight w:val="none"/>
              </w:rPr>
              <w:t>年版）》，</w:t>
            </w:r>
            <w:r>
              <w:rPr>
                <w:rStyle w:val="75"/>
                <w:rFonts w:hint="eastAsia"/>
                <w:color w:val="auto"/>
                <w:highlight w:val="none"/>
                <w:lang w:val="en-US" w:eastAsia="zh-CN"/>
              </w:rPr>
              <w:t>本项目</w:t>
            </w:r>
            <w:r>
              <w:rPr>
                <w:rStyle w:val="75"/>
                <w:color w:val="auto"/>
                <w:highlight w:val="none"/>
              </w:rPr>
              <w:t>不属于禁止、限制及淘汰类产业项目，符合市场准入负面清单的要求。同时</w:t>
            </w:r>
            <w:r>
              <w:rPr>
                <w:rStyle w:val="75"/>
                <w:rFonts w:hint="eastAsia"/>
                <w:color w:val="auto"/>
                <w:highlight w:val="none"/>
                <w:lang w:val="en-US" w:eastAsia="zh-CN"/>
              </w:rPr>
              <w:t>本</w:t>
            </w:r>
            <w:r>
              <w:rPr>
                <w:rStyle w:val="75"/>
                <w:color w:val="auto"/>
                <w:highlight w:val="none"/>
              </w:rPr>
              <w:t>项目不属于《环境保护综合名录》（2021年版）所列“高污染、高环境风险”产品，不属于国家规定必须实行产能置换的“两高”项目</w:t>
            </w:r>
            <w:r>
              <w:rPr>
                <w:rStyle w:val="75"/>
                <w:rFonts w:hint="eastAsia"/>
                <w:color w:val="auto"/>
                <w:highlight w:val="none"/>
                <w:lang w:val="en-US" w:eastAsia="zh-CN"/>
              </w:rPr>
              <w:t>。</w:t>
            </w:r>
          </w:p>
          <w:p>
            <w:pPr>
              <w:pStyle w:val="74"/>
              <w:keepNext w:val="0"/>
              <w:keepLines w:val="0"/>
              <w:pageBreakBefore w:val="0"/>
              <w:widowControl/>
              <w:shd w:val="clear" w:color="auto" w:fill="auto"/>
              <w:kinsoku/>
              <w:wordWrap/>
              <w:overflowPunct/>
              <w:topLinePunct w:val="0"/>
              <w:autoSpaceDE/>
              <w:autoSpaceDN/>
              <w:bidi w:val="0"/>
              <w:adjustRightInd w:val="0"/>
              <w:snapToGrid w:val="0"/>
              <w:ind w:firstLine="420"/>
              <w:textAlignment w:val="baseline"/>
              <w:rPr>
                <w:rFonts w:hint="eastAsia"/>
                <w:color w:val="auto"/>
                <w:sz w:val="21"/>
                <w:szCs w:val="21"/>
                <w:lang w:val="en-US" w:eastAsia="zh-CN"/>
              </w:rPr>
            </w:pPr>
            <w:r>
              <w:rPr>
                <w:rStyle w:val="75"/>
                <w:rFonts w:hint="eastAsia"/>
                <w:color w:val="auto"/>
                <w:highlight w:val="none"/>
                <w:lang w:val="en-US" w:eastAsia="zh-CN"/>
              </w:rPr>
              <w:t>本项目位于新疆维吾尔自治区巴音郭楞蒙古自治州库尔勒经济技术开发区，不属于《新疆维吾尔自治区28个国家重点生态功能区县（市）产业准入负面清单（试行）》和《新疆维吾尔自治区17个新增纳入国家重点生态功能区县（市）产业准入负面清单》中所列的县市，同时本项目已取得库尔勒经济技术开发区管理委员会经济发展局</w:t>
            </w:r>
            <w:r>
              <w:rPr>
                <w:rFonts w:hint="eastAsia"/>
                <w:color w:val="auto"/>
                <w:sz w:val="21"/>
                <w:szCs w:val="21"/>
                <w:lang w:val="en-US" w:eastAsia="zh-CN"/>
              </w:rPr>
              <w:t>出具的《新疆维吾尔自治区投资项目备案证》（</w:t>
            </w:r>
            <w:r>
              <w:rPr>
                <w:rFonts w:hint="eastAsia" w:eastAsia="宋体"/>
                <w:color w:val="auto"/>
                <w:lang w:val="en-US" w:eastAsia="zh-CN"/>
              </w:rPr>
              <w:t>项目代码：2507-652871-31-01-672533</w:t>
            </w:r>
            <w:r>
              <w:rPr>
                <w:rFonts w:hint="eastAsia"/>
                <w:color w:val="auto"/>
                <w:sz w:val="21"/>
                <w:szCs w:val="21"/>
                <w:lang w:val="en-US" w:eastAsia="zh-CN"/>
              </w:rPr>
              <w:t>）（见附件）。</w:t>
            </w:r>
          </w:p>
          <w:p>
            <w:pPr>
              <w:pStyle w:val="74"/>
              <w:keepNext w:val="0"/>
              <w:keepLines w:val="0"/>
              <w:pageBreakBefore w:val="0"/>
              <w:widowControl/>
              <w:shd w:val="clear" w:color="auto" w:fill="auto"/>
              <w:kinsoku/>
              <w:wordWrap/>
              <w:overflowPunct/>
              <w:topLinePunct w:val="0"/>
              <w:autoSpaceDE/>
              <w:autoSpaceDN/>
              <w:bidi w:val="0"/>
              <w:adjustRightInd w:val="0"/>
              <w:snapToGrid w:val="0"/>
              <w:ind w:firstLine="420"/>
              <w:textAlignment w:val="baseline"/>
              <w:rPr>
                <w:rFonts w:hint="default" w:ascii="Times New Roman" w:hAnsi="Times New Roman" w:cs="Times New Roman"/>
                <w:color w:val="auto"/>
                <w:sz w:val="21"/>
                <w:szCs w:val="21"/>
                <w:highlight w:val="none"/>
              </w:rPr>
            </w:pPr>
            <w:r>
              <w:rPr>
                <w:rFonts w:hint="eastAsia"/>
                <w:color w:val="auto"/>
                <w:sz w:val="21"/>
                <w:szCs w:val="21"/>
                <w:lang w:val="en-US" w:eastAsia="zh-CN"/>
              </w:rPr>
              <w:t>综上所述</w:t>
            </w:r>
            <w:r>
              <w:rPr>
                <w:rFonts w:hint="eastAsia"/>
                <w:color w:val="auto"/>
                <w:sz w:val="21"/>
                <w:szCs w:val="21"/>
              </w:rPr>
              <w:t>，</w:t>
            </w:r>
            <w:r>
              <w:rPr>
                <w:rFonts w:hint="eastAsia"/>
                <w:color w:val="auto"/>
                <w:sz w:val="21"/>
                <w:szCs w:val="21"/>
                <w:lang w:val="en-US" w:eastAsia="zh-CN"/>
              </w:rPr>
              <w:t>本</w:t>
            </w:r>
            <w:r>
              <w:rPr>
                <w:rFonts w:hint="eastAsia"/>
                <w:color w:val="auto"/>
                <w:sz w:val="21"/>
                <w:szCs w:val="21"/>
              </w:rPr>
              <w:t>项目的建设符合国家</w:t>
            </w:r>
            <w:r>
              <w:rPr>
                <w:rFonts w:hint="eastAsia"/>
                <w:color w:val="auto"/>
                <w:sz w:val="21"/>
                <w:szCs w:val="21"/>
                <w:lang w:val="en-US" w:eastAsia="zh-CN"/>
              </w:rPr>
              <w:t>有关</w:t>
            </w:r>
            <w:r>
              <w:rPr>
                <w:rFonts w:hint="eastAsia"/>
                <w:color w:val="auto"/>
                <w:sz w:val="21"/>
                <w:szCs w:val="21"/>
              </w:rPr>
              <w:t>产业政策</w:t>
            </w:r>
            <w:r>
              <w:rPr>
                <w:rFonts w:hint="eastAsia"/>
                <w:color w:val="auto"/>
                <w:sz w:val="21"/>
                <w:szCs w:val="21"/>
                <w:lang w:val="en-US" w:eastAsia="zh-CN"/>
              </w:rPr>
              <w:t>的要求。</w:t>
            </w:r>
          </w:p>
          <w:p>
            <w:pPr>
              <w:keepNext w:val="0"/>
              <w:keepLines w:val="0"/>
              <w:pageBreakBefore w:val="0"/>
              <w:suppressLineNumbers w:val="0"/>
              <w:kinsoku/>
              <w:wordWrap/>
              <w:overflowPunct/>
              <w:topLinePunct w:val="0"/>
              <w:bidi w:val="0"/>
              <w:spacing w:before="0" w:beforeAutospacing="0" w:after="0" w:afterAutospacing="0" w:line="360" w:lineRule="auto"/>
              <w:ind w:right="0"/>
              <w:textAlignment w:val="auto"/>
              <w:rPr>
                <w:rFonts w:hint="default" w:ascii="Times New Roman" w:hAnsi="Times New Roman" w:cs="Times New Roman"/>
                <w:b/>
                <w:bCs/>
                <w:color w:val="auto"/>
                <w:sz w:val="21"/>
                <w:szCs w:val="21"/>
                <w:highlight w:val="none"/>
              </w:rPr>
            </w:pPr>
            <w:r>
              <w:rPr>
                <w:rFonts w:hint="eastAsia" w:ascii="Times New Roman" w:hAnsi="Times New Roman" w:cs="Times New Roman"/>
                <w:b/>
                <w:bCs/>
                <w:color w:val="auto"/>
                <w:sz w:val="21"/>
                <w:szCs w:val="21"/>
                <w:highlight w:val="none"/>
                <w:lang w:val="en-US" w:eastAsia="zh-CN"/>
              </w:rPr>
              <w:t>2</w:t>
            </w:r>
            <w:r>
              <w:rPr>
                <w:rFonts w:hint="eastAsia" w:cs="Times New Roman"/>
                <w:b/>
                <w:bCs/>
                <w:color w:val="auto"/>
                <w:sz w:val="21"/>
                <w:szCs w:val="21"/>
                <w:highlight w:val="none"/>
                <w:lang w:val="en-US" w:eastAsia="zh-CN"/>
              </w:rPr>
              <w:t>、</w:t>
            </w:r>
            <w:r>
              <w:rPr>
                <w:rFonts w:hint="default" w:ascii="Times New Roman" w:hAnsi="Times New Roman" w:cs="Times New Roman"/>
                <w:b/>
                <w:bCs/>
                <w:color w:val="auto"/>
                <w:sz w:val="21"/>
                <w:szCs w:val="21"/>
                <w:highlight w:val="none"/>
              </w:rPr>
              <w:t>“三线一单”符合性分析</w:t>
            </w:r>
          </w:p>
          <w:p>
            <w:pPr>
              <w:keepNext w:val="0"/>
              <w:keepLines w:val="0"/>
              <w:pageBreakBefore w:val="0"/>
              <w:suppressLineNumbers w:val="0"/>
              <w:kinsoku/>
              <w:wordWrap/>
              <w:overflowPunct/>
              <w:topLinePunct w:val="0"/>
              <w:bidi w:val="0"/>
              <w:spacing w:before="0" w:beforeAutospacing="0" w:after="0" w:afterAutospacing="0" w:line="360" w:lineRule="auto"/>
              <w:ind w:left="0" w:right="0" w:firstLine="420" w:firstLineChars="20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w:t>
            </w:r>
            <w:r>
              <w:rPr>
                <w:rFonts w:ascii="Times New Roman" w:hAnsi="Times New Roman" w:eastAsia="宋体"/>
                <w:color w:val="auto"/>
                <w:sz w:val="21"/>
                <w:szCs w:val="21"/>
                <w:highlight w:val="none"/>
              </w:rPr>
              <w:t>《</w:t>
            </w:r>
            <w:r>
              <w:rPr>
                <w:rFonts w:hint="eastAsia" w:ascii="Times New Roman" w:hAnsi="Times New Roman" w:eastAsia="宋体"/>
                <w:color w:val="auto"/>
                <w:sz w:val="21"/>
                <w:szCs w:val="21"/>
                <w:highlight w:val="none"/>
              </w:rPr>
              <w:t>巴音郭楞蒙古自治州“三线一单”生态环境分区管控动态更新成果（2023年）</w:t>
            </w:r>
            <w:r>
              <w:rPr>
                <w:rFonts w:ascii="Times New Roman" w:hAnsi="Times New Roman" w:eastAsia="宋体"/>
                <w:color w:val="auto"/>
                <w:sz w:val="21"/>
                <w:szCs w:val="21"/>
                <w:highlight w:val="none"/>
              </w:rPr>
              <w:t>》</w:t>
            </w:r>
            <w:r>
              <w:rPr>
                <w:rFonts w:hint="default" w:ascii="Times New Roman" w:hAnsi="Times New Roman" w:cs="Times New Roman"/>
                <w:color w:val="auto"/>
                <w:sz w:val="21"/>
                <w:szCs w:val="21"/>
                <w:highlight w:val="none"/>
              </w:rPr>
              <w:t>符合性分析</w:t>
            </w:r>
          </w:p>
          <w:p>
            <w:pPr>
              <w:keepNext w:val="0"/>
              <w:keepLines w:val="0"/>
              <w:pageBreakBefore w:val="0"/>
              <w:suppressLineNumbers w:val="0"/>
              <w:kinsoku/>
              <w:wordWrap/>
              <w:overflowPunct/>
              <w:topLinePunct w:val="0"/>
              <w:bidi w:val="0"/>
              <w:spacing w:before="0" w:beforeAutospacing="0" w:after="0" w:afterAutospacing="0" w:line="360" w:lineRule="auto"/>
              <w:ind w:left="0" w:right="0" w:firstLine="420" w:firstLineChars="20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根据</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关于印发巴音郭楞蒙古自治州“三线一单”生态环境分区管控动态更新成果（2023年）的通知</w:t>
            </w:r>
            <w:r>
              <w:rPr>
                <w:rFonts w:hint="default" w:ascii="Times New Roman" w:hAnsi="Times New Roman" w:cs="Times New Roman"/>
                <w:color w:val="auto"/>
                <w:sz w:val="21"/>
                <w:szCs w:val="21"/>
                <w:highlight w:val="none"/>
                <w:lang w:eastAsia="zh-CN"/>
              </w:rPr>
              <w:t>》（巴政办发〔2024〕32号）</w:t>
            </w:r>
            <w:r>
              <w:rPr>
                <w:rFonts w:hint="default" w:ascii="Times New Roman" w:hAnsi="Times New Roman" w:cs="Times New Roman"/>
                <w:color w:val="auto"/>
                <w:sz w:val="21"/>
                <w:szCs w:val="21"/>
                <w:highlight w:val="none"/>
              </w:rPr>
              <w:t>，将本工程与生态保护红线、环境质量底线、资源利用上线和生态环境准入清单相关要求对比分析，详见表1-</w:t>
            </w:r>
            <w:r>
              <w:rPr>
                <w:rFonts w:hint="eastAsia" w:cs="Times New Roman"/>
                <w:color w:val="auto"/>
                <w:sz w:val="21"/>
                <w:szCs w:val="21"/>
                <w:highlight w:val="none"/>
                <w:lang w:val="en-US" w:eastAsia="zh-CN"/>
              </w:rPr>
              <w:t>3及1-4</w:t>
            </w:r>
            <w:r>
              <w:rPr>
                <w:rFonts w:hint="default" w:ascii="Times New Roman" w:hAnsi="Times New Roman" w:cs="Times New Roman"/>
                <w:color w:val="auto"/>
                <w:sz w:val="21"/>
                <w:szCs w:val="21"/>
                <w:highlight w:val="none"/>
              </w:rPr>
              <w:t>。</w:t>
            </w:r>
          </w:p>
          <w:p>
            <w:pPr>
              <w:pStyle w:val="28"/>
              <w:keepNext w:val="0"/>
              <w:keepLines w:val="0"/>
              <w:pageBreakBefore w:val="0"/>
              <w:widowControl/>
              <w:suppressLineNumbers w:val="0"/>
              <w:kinsoku/>
              <w:wordWrap/>
              <w:overflowPunct/>
              <w:topLinePunct w:val="0"/>
              <w:autoSpaceDE w:val="0"/>
              <w:autoSpaceDN w:val="0"/>
              <w:bidi w:val="0"/>
              <w:adjustRightInd w:val="0"/>
              <w:snapToGrid w:val="0"/>
              <w:spacing w:beforeAutospacing="0" w:after="0" w:afterAutospacing="0" w:line="240" w:lineRule="auto"/>
              <w:ind w:left="0" w:right="0"/>
              <w:textAlignment w:val="auto"/>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表1-</w:t>
            </w:r>
            <w:r>
              <w:rPr>
                <w:rFonts w:hint="eastAsia" w:hAnsi="Times New Roman" w:eastAsia="宋体" w:cs="Times New Roman"/>
                <w:b/>
                <w:color w:val="auto"/>
                <w:sz w:val="21"/>
                <w:szCs w:val="21"/>
                <w:highlight w:val="none"/>
                <w:lang w:val="en-US" w:eastAsia="zh-CN"/>
              </w:rPr>
              <w:t>3</w:t>
            </w:r>
            <w:r>
              <w:rPr>
                <w:rFonts w:hint="default" w:ascii="Times New Roman" w:hAnsi="Times New Roman" w:eastAsia="宋体" w:cs="Times New Roman"/>
                <w:b/>
                <w:color w:val="auto"/>
                <w:sz w:val="21"/>
                <w:szCs w:val="21"/>
                <w:highlight w:val="none"/>
              </w:rPr>
              <w:t xml:space="preserve"> 与《巴音郭楞蒙古自治州“三线一单”生态环境分区管控动态更新成果（2023年）》相符性分析</w:t>
            </w:r>
          </w:p>
          <w:tbl>
            <w:tblPr>
              <w:tblStyle w:val="22"/>
              <w:tblW w:w="4995"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50"/>
              <w:gridCol w:w="3160"/>
              <w:gridCol w:w="2809"/>
              <w:gridCol w:w="47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rPr>
              <w:tc>
                <w:tcPr>
                  <w:tcW w:w="458" w:type="pct"/>
                  <w:vAlign w:val="center"/>
                </w:tcPr>
                <w:p>
                  <w:pPr>
                    <w:pStyle w:val="3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管控要求</w:t>
                  </w:r>
                </w:p>
              </w:tc>
              <w:tc>
                <w:tcPr>
                  <w:tcW w:w="2227" w:type="pct"/>
                  <w:vAlign w:val="center"/>
                </w:tcPr>
                <w:p>
                  <w:pPr>
                    <w:pStyle w:val="3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环境管理政策有关要求</w:t>
                  </w:r>
                </w:p>
              </w:tc>
              <w:tc>
                <w:tcPr>
                  <w:tcW w:w="1979" w:type="pct"/>
                  <w:vAlign w:val="center"/>
                </w:tcPr>
                <w:p>
                  <w:pPr>
                    <w:pStyle w:val="3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本项目情况</w:t>
                  </w:r>
                </w:p>
              </w:tc>
              <w:tc>
                <w:tcPr>
                  <w:tcW w:w="335" w:type="pct"/>
                  <w:vAlign w:val="center"/>
                </w:tcPr>
                <w:p>
                  <w:pPr>
                    <w:pStyle w:val="3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相符性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58" w:type="pct"/>
                  <w:vAlign w:val="center"/>
                </w:tcPr>
                <w:p>
                  <w:pPr>
                    <w:pStyle w:val="3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生态保护红线</w:t>
                  </w:r>
                </w:p>
              </w:tc>
              <w:tc>
                <w:tcPr>
                  <w:tcW w:w="2227" w:type="pct"/>
                  <w:vAlign w:val="center"/>
                </w:tcPr>
                <w:p>
                  <w:pPr>
                    <w:pStyle w:val="3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left"/>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按照“生态功能不降低、面积不减少、性质不改变”的基本要求，对划定的生态保护红线实施严格管控，保障和维护国家生态安全的底线和生命线。</w:t>
                  </w:r>
                </w:p>
              </w:tc>
              <w:tc>
                <w:tcPr>
                  <w:tcW w:w="1979" w:type="pct"/>
                  <w:vAlign w:val="center"/>
                </w:tcPr>
                <w:p>
                  <w:pPr>
                    <w:pStyle w:val="3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项目</w:t>
                  </w:r>
                  <w:r>
                    <w:rPr>
                      <w:rFonts w:hint="default" w:ascii="Times New Roman" w:hAnsi="Times New Roman" w:cs="Times New Roman" w:eastAsiaTheme="minorEastAsia"/>
                      <w:color w:val="auto"/>
                      <w:sz w:val="21"/>
                      <w:szCs w:val="21"/>
                      <w:highlight w:val="none"/>
                    </w:rPr>
                    <w:t>位于库尔勒经济技术开发区，项目评价范围内无自然保护区、风景名胜区、水源地保护区等生态保护目标。</w:t>
                  </w:r>
                  <w:r>
                    <w:rPr>
                      <w:rFonts w:hint="default" w:ascii="Times New Roman" w:hAnsi="Times New Roman" w:cs="Times New Roman" w:eastAsiaTheme="minorEastAsia"/>
                      <w:color w:val="auto"/>
                      <w:sz w:val="21"/>
                      <w:szCs w:val="21"/>
                      <w:highlight w:val="none"/>
                      <w:lang w:val="en-US" w:eastAsia="zh-CN"/>
                    </w:rPr>
                    <w:t>项目</w:t>
                  </w:r>
                  <w:r>
                    <w:rPr>
                      <w:rFonts w:hint="default" w:ascii="Times New Roman" w:hAnsi="Times New Roman" w:cs="Times New Roman" w:eastAsiaTheme="minorEastAsia"/>
                      <w:color w:val="auto"/>
                      <w:sz w:val="21"/>
                      <w:szCs w:val="21"/>
                      <w:highlight w:val="none"/>
                    </w:rPr>
                    <w:t>建设不涉及生态保护红线。</w:t>
                  </w:r>
                </w:p>
              </w:tc>
              <w:tc>
                <w:tcPr>
                  <w:tcW w:w="335" w:type="pct"/>
                  <w:vAlign w:val="center"/>
                </w:tcPr>
                <w:p>
                  <w:pPr>
                    <w:pStyle w:val="3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58" w:type="pct"/>
                  <w:vAlign w:val="center"/>
                </w:tcPr>
                <w:p>
                  <w:pPr>
                    <w:pStyle w:val="3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环境质量底线</w:t>
                  </w:r>
                </w:p>
              </w:tc>
              <w:tc>
                <w:tcPr>
                  <w:tcW w:w="2227" w:type="pct"/>
                  <w:vAlign w:val="center"/>
                </w:tcPr>
                <w:p>
                  <w:pPr>
                    <w:pStyle w:val="3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left"/>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全区水环境质量持续改善，受污染地表水体得到有效治理，饮用水安全保障水平持续提升，地下水超采得到严格控制，地下水水质保持稳定；全区环境空气质量有所提升，重污染天数持续减少，已达标城市环境空气质量保持稳定，未达标城市环境空气质量持续改善，沙尘影响严重地区做好防风固沙、生态环境保护修复等工作；全区土壤环境质量保持稳定，污染地块安全利用水平稳中有升，土壤环境风险得到进一步管控。</w:t>
                  </w:r>
                </w:p>
              </w:tc>
              <w:tc>
                <w:tcPr>
                  <w:tcW w:w="1979" w:type="pct"/>
                  <w:vAlign w:val="center"/>
                </w:tcPr>
                <w:p>
                  <w:pPr>
                    <w:pStyle w:val="3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left"/>
                    <w:textAlignment w:val="auto"/>
                    <w:rPr>
                      <w:rFonts w:hint="default" w:ascii="Times New Roman" w:hAnsi="Times New Roman" w:cs="Times New Roman" w:eastAsiaTheme="minorEastAsia"/>
                      <w:color w:val="auto"/>
                      <w:sz w:val="21"/>
                      <w:szCs w:val="21"/>
                      <w:highlight w:val="none"/>
                    </w:rPr>
                  </w:pPr>
                  <w:r>
                    <w:rPr>
                      <w:rFonts w:hint="eastAsia" w:hAnsi="Times New Roman" w:cs="Times New Roman" w:eastAsiaTheme="minorEastAsia"/>
                      <w:color w:val="auto"/>
                      <w:sz w:val="21"/>
                      <w:szCs w:val="21"/>
                      <w:highlight w:val="none"/>
                      <w:lang w:val="en-US" w:eastAsia="zh-CN"/>
                    </w:rPr>
                    <w:t>项目用水来自园区供水管网，不涉及地下水开采，</w:t>
                  </w:r>
                  <w:r>
                    <w:rPr>
                      <w:rFonts w:hint="default" w:ascii="Times New Roman" w:hAnsi="Times New Roman" w:cs="Times New Roman" w:eastAsiaTheme="minorEastAsia"/>
                      <w:color w:val="auto"/>
                      <w:sz w:val="21"/>
                      <w:szCs w:val="21"/>
                      <w:highlight w:val="none"/>
                      <w:lang w:eastAsia="zh-CN"/>
                    </w:rPr>
                    <w:t>项目</w:t>
                  </w:r>
                  <w:r>
                    <w:rPr>
                      <w:rFonts w:hint="eastAsia" w:ascii="Times New Roman" w:hAnsi="Times New Roman" w:cs="Times New Roman" w:eastAsiaTheme="minorEastAsia"/>
                      <w:color w:val="auto"/>
                      <w:sz w:val="21"/>
                      <w:szCs w:val="21"/>
                      <w:highlight w:val="none"/>
                      <w:lang w:val="en-US" w:eastAsia="zh-CN"/>
                    </w:rPr>
                    <w:t>冷却水循环使用，不外排；</w:t>
                  </w:r>
                  <w:r>
                    <w:rPr>
                      <w:rFonts w:hint="eastAsia" w:cs="宋体"/>
                      <w:color w:val="auto"/>
                      <w:sz w:val="21"/>
                      <w:szCs w:val="21"/>
                      <w:highlight w:val="none"/>
                      <w:lang w:val="en-US" w:eastAsia="zh-CN"/>
                    </w:rPr>
                    <w:t>项目生活污水经化粪池处理后，原料清洗废水、洗瓶废水、CIP系统清洗废水经厂区污水站处理后与纯水制备浓水、锅炉排污水一起排入园区下水管网，</w:t>
                  </w:r>
                  <w:r>
                    <w:rPr>
                      <w:rFonts w:hint="eastAsia" w:ascii="Times New Roman" w:hAnsi="Times New Roman" w:eastAsia="宋体" w:cs="Times New Roman"/>
                      <w:b w:val="0"/>
                      <w:bCs w:val="0"/>
                      <w:color w:val="auto"/>
                      <w:sz w:val="21"/>
                      <w:szCs w:val="21"/>
                      <w:highlight w:val="none"/>
                      <w:lang w:val="en-US" w:eastAsia="zh-CN"/>
                    </w:rPr>
                    <w:t>最终</w:t>
                  </w:r>
                  <w:r>
                    <w:rPr>
                      <w:rFonts w:hint="eastAsia" w:ascii="Times New Roman" w:hAnsi="Times New Roman" w:eastAsia="宋体" w:cs="Times New Roman"/>
                      <w:b w:val="0"/>
                      <w:bCs w:val="0"/>
                      <w:color w:val="auto"/>
                      <w:sz w:val="21"/>
                      <w:szCs w:val="21"/>
                      <w:highlight w:val="none"/>
                      <w:lang w:eastAsia="zh-CN"/>
                    </w:rPr>
                    <w:t>进入</w:t>
                  </w:r>
                  <w:r>
                    <w:rPr>
                      <w:rFonts w:hint="eastAsia"/>
                      <w:b w:val="0"/>
                      <w:bCs w:val="0"/>
                      <w:color w:val="auto"/>
                      <w:sz w:val="21"/>
                      <w:szCs w:val="21"/>
                      <w:highlight w:val="none"/>
                      <w:lang w:eastAsia="zh-CN"/>
                    </w:rPr>
                    <w:t>库尔勒经济技术开发区工业废水处理回用厂</w:t>
                  </w:r>
                  <w:r>
                    <w:rPr>
                      <w:rFonts w:hint="eastAsia"/>
                      <w:b w:val="0"/>
                      <w:bCs w:val="0"/>
                      <w:color w:val="auto"/>
                      <w:sz w:val="21"/>
                      <w:szCs w:val="21"/>
                      <w:highlight w:val="none"/>
                      <w:lang w:val="en-US" w:eastAsia="zh-CN"/>
                    </w:rPr>
                    <w:t>深度处理</w:t>
                  </w:r>
                  <w:r>
                    <w:rPr>
                      <w:rFonts w:hint="eastAsia" w:hAnsi="Times New Roman" w:cs="Times New Roman" w:eastAsiaTheme="minorEastAsia"/>
                      <w:color w:val="auto"/>
                      <w:sz w:val="21"/>
                      <w:szCs w:val="21"/>
                      <w:highlight w:val="none"/>
                      <w:lang w:val="en-US" w:eastAsia="zh-CN"/>
                    </w:rPr>
                    <w:t>，</w:t>
                  </w:r>
                  <w:r>
                    <w:rPr>
                      <w:rFonts w:hint="default" w:ascii="Times New Roman" w:hAnsi="Times New Roman" w:cs="Times New Roman" w:eastAsiaTheme="minorEastAsia"/>
                      <w:color w:val="auto"/>
                      <w:sz w:val="21"/>
                      <w:szCs w:val="21"/>
                      <w:highlight w:val="none"/>
                    </w:rPr>
                    <w:t>不会影响区域水环境质量；</w:t>
                  </w:r>
                  <w:r>
                    <w:rPr>
                      <w:rFonts w:hint="eastAsia" w:hAnsi="Times New Roman" w:cs="Times New Roman" w:eastAsiaTheme="minorEastAsia"/>
                      <w:color w:val="auto"/>
                      <w:sz w:val="21"/>
                      <w:szCs w:val="21"/>
                      <w:highlight w:val="none"/>
                      <w:lang w:val="en-US" w:eastAsia="zh-CN"/>
                    </w:rPr>
                    <w:t>项目所在区域空气质量未达标</w:t>
                  </w:r>
                  <w:r>
                    <w:rPr>
                      <w:rFonts w:hint="default" w:hAnsi="Times New Roman" w:cs="Times New Roman" w:eastAsiaTheme="minorEastAsia"/>
                      <w:color w:val="auto"/>
                      <w:sz w:val="21"/>
                      <w:szCs w:val="21"/>
                      <w:highlight w:val="none"/>
                      <w:lang w:eastAsia="zh-CN"/>
                    </w:rPr>
                    <w:t>。</w:t>
                  </w:r>
                  <w:r>
                    <w:rPr>
                      <w:rFonts w:hint="default" w:ascii="Times New Roman" w:hAnsi="Times New Roman" w:cs="Times New Roman" w:eastAsiaTheme="minorEastAsia"/>
                      <w:color w:val="auto"/>
                      <w:sz w:val="21"/>
                      <w:szCs w:val="21"/>
                      <w:highlight w:val="none"/>
                    </w:rPr>
                    <w:t>本工程采取的环保措施能确保污染物对环境质量影响降到最低，不突破所在区域环境质量底线。</w:t>
                  </w:r>
                </w:p>
              </w:tc>
              <w:tc>
                <w:tcPr>
                  <w:tcW w:w="335" w:type="pct"/>
                  <w:vAlign w:val="center"/>
                </w:tcPr>
                <w:p>
                  <w:pPr>
                    <w:pStyle w:val="3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58" w:type="pct"/>
                  <w:vAlign w:val="center"/>
                </w:tcPr>
                <w:p>
                  <w:pPr>
                    <w:pStyle w:val="3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资源利用上线</w:t>
                  </w:r>
                </w:p>
              </w:tc>
              <w:tc>
                <w:tcPr>
                  <w:tcW w:w="2227" w:type="pct"/>
                  <w:vAlign w:val="center"/>
                </w:tcPr>
                <w:p>
                  <w:pPr>
                    <w:pStyle w:val="3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left"/>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强化节约集约利用，持续提升资源能源利用效率，水资源、土地资源、能源消耗等达到国家、自治区下达的总量和强度控制目标。加快区域低碳发展，积极推动乌鲁木齐市、昌吉市、伊宁市、和田市等4个国家级低碳试点城市发挥低碳试点示范和引领作用。</w:t>
                  </w:r>
                </w:p>
              </w:tc>
              <w:tc>
                <w:tcPr>
                  <w:tcW w:w="1979" w:type="pct"/>
                  <w:vAlign w:val="center"/>
                </w:tcPr>
                <w:p>
                  <w:pPr>
                    <w:pStyle w:val="3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left"/>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项目用水由园区供水管网供给，用电来自园区电网，能够满足其供水、供电要求。项目用电量较少，不触及资源利用上线。</w:t>
                  </w:r>
                </w:p>
              </w:tc>
              <w:tc>
                <w:tcPr>
                  <w:tcW w:w="335" w:type="pct"/>
                  <w:vAlign w:val="center"/>
                </w:tcPr>
                <w:p>
                  <w:pPr>
                    <w:pStyle w:val="3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符合</w:t>
                  </w:r>
                </w:p>
              </w:tc>
            </w:tr>
          </w:tbl>
          <w:p>
            <w:pPr>
              <w:pStyle w:val="28"/>
              <w:keepNext w:val="0"/>
              <w:keepLines w:val="0"/>
              <w:pageBreakBefore w:val="0"/>
              <w:widowControl/>
              <w:suppressLineNumbers w:val="0"/>
              <w:kinsoku/>
              <w:wordWrap/>
              <w:overflowPunct/>
              <w:topLinePunct w:val="0"/>
              <w:autoSpaceDE w:val="0"/>
              <w:autoSpaceDN w:val="0"/>
              <w:bidi w:val="0"/>
              <w:adjustRightInd w:val="0"/>
              <w:snapToGrid w:val="0"/>
              <w:spacing w:before="157" w:beforeLines="50" w:beforeAutospacing="0" w:after="0" w:afterAutospacing="0" w:line="240" w:lineRule="auto"/>
              <w:ind w:left="0" w:right="0"/>
              <w:textAlignment w:val="auto"/>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表1-4 本项目与《巴音郭楞蒙古自治州生态环境准入清单》相符性分析</w:t>
            </w:r>
          </w:p>
          <w:tbl>
            <w:tblPr>
              <w:tblStyle w:val="22"/>
              <w:tblW w:w="4997"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54"/>
              <w:gridCol w:w="827"/>
              <w:gridCol w:w="3139"/>
              <w:gridCol w:w="2091"/>
              <w:gridCol w:w="48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71" w:type="pct"/>
                  <w:gridSpan w:val="2"/>
                  <w:vAlign w:val="center"/>
                </w:tcPr>
                <w:p>
                  <w:pPr>
                    <w:pStyle w:val="3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环境管控单元编码</w:t>
                  </w:r>
                </w:p>
              </w:tc>
              <w:tc>
                <w:tcPr>
                  <w:tcW w:w="2210" w:type="pct"/>
                  <w:vAlign w:val="center"/>
                </w:tcPr>
                <w:p>
                  <w:pPr>
                    <w:pStyle w:val="3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eastAsiaTheme="minorEastAsia"/>
                      <w:color w:val="auto"/>
                      <w:sz w:val="21"/>
                      <w:szCs w:val="21"/>
                      <w:highlight w:val="none"/>
                    </w:rPr>
                  </w:pPr>
                  <w:bookmarkStart w:id="2" w:name="OLE_LINK1"/>
                  <w:r>
                    <w:rPr>
                      <w:rFonts w:hint="default" w:ascii="Times New Roman" w:hAnsi="Times New Roman" w:cs="Times New Roman" w:eastAsiaTheme="minorEastAsia"/>
                      <w:color w:val="auto"/>
                      <w:sz w:val="21"/>
                      <w:szCs w:val="21"/>
                      <w:highlight w:val="none"/>
                    </w:rPr>
                    <w:t>ZH652801200</w:t>
                  </w:r>
                  <w:r>
                    <w:rPr>
                      <w:rFonts w:hint="eastAsia" w:hAnsi="Times New Roman" w:cs="Times New Roman" w:eastAsiaTheme="minorEastAsia"/>
                      <w:color w:val="auto"/>
                      <w:sz w:val="21"/>
                      <w:szCs w:val="21"/>
                      <w:highlight w:val="none"/>
                      <w:lang w:val="en-US" w:eastAsia="zh-CN"/>
                    </w:rPr>
                    <w:t>11</w:t>
                  </w:r>
                  <w:bookmarkEnd w:id="2"/>
                </w:p>
              </w:tc>
              <w:tc>
                <w:tcPr>
                  <w:tcW w:w="1473" w:type="pct"/>
                  <w:vMerge w:val="restart"/>
                  <w:vAlign w:val="center"/>
                </w:tcPr>
                <w:p>
                  <w:pPr>
                    <w:pStyle w:val="3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本工程情况</w:t>
                  </w:r>
                </w:p>
              </w:tc>
              <w:tc>
                <w:tcPr>
                  <w:tcW w:w="344" w:type="pct"/>
                  <w:vMerge w:val="restart"/>
                  <w:vAlign w:val="center"/>
                </w:tcPr>
                <w:p>
                  <w:pPr>
                    <w:pStyle w:val="3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相符性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71" w:type="pct"/>
                  <w:gridSpan w:val="2"/>
                  <w:vAlign w:val="center"/>
                </w:tcPr>
                <w:p>
                  <w:pPr>
                    <w:pStyle w:val="3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环境管控单元名称</w:t>
                  </w:r>
                </w:p>
              </w:tc>
              <w:tc>
                <w:tcPr>
                  <w:tcW w:w="2210" w:type="pct"/>
                  <w:vAlign w:val="center"/>
                </w:tcPr>
                <w:p>
                  <w:pPr>
                    <w:pStyle w:val="3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库尔勒市城区地下水禁采区</w:t>
                  </w:r>
                </w:p>
              </w:tc>
              <w:tc>
                <w:tcPr>
                  <w:tcW w:w="1473" w:type="pct"/>
                  <w:vMerge w:val="continue"/>
                  <w:vAlign w:val="center"/>
                </w:tcPr>
                <w:p>
                  <w:pPr>
                    <w:pStyle w:val="3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44" w:type="pct"/>
                  <w:vMerge w:val="continue"/>
                  <w:vAlign w:val="center"/>
                </w:tcPr>
                <w:p>
                  <w:pPr>
                    <w:pStyle w:val="3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eastAsiaTheme="minorEastAsia"/>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71" w:type="pct"/>
                  <w:gridSpan w:val="2"/>
                  <w:vAlign w:val="center"/>
                </w:tcPr>
                <w:p>
                  <w:pPr>
                    <w:pStyle w:val="3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环境管控单元类别</w:t>
                  </w:r>
                </w:p>
              </w:tc>
              <w:tc>
                <w:tcPr>
                  <w:tcW w:w="2210" w:type="pct"/>
                  <w:vAlign w:val="center"/>
                </w:tcPr>
                <w:p>
                  <w:pPr>
                    <w:pStyle w:val="3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重点管控单元</w:t>
                  </w:r>
                </w:p>
              </w:tc>
              <w:tc>
                <w:tcPr>
                  <w:tcW w:w="1473" w:type="pct"/>
                  <w:vMerge w:val="continue"/>
                  <w:vAlign w:val="center"/>
                </w:tcPr>
                <w:p>
                  <w:pPr>
                    <w:pStyle w:val="3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344" w:type="pct"/>
                  <w:vMerge w:val="continue"/>
                  <w:vAlign w:val="center"/>
                </w:tcPr>
                <w:p>
                  <w:pPr>
                    <w:pStyle w:val="3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eastAsiaTheme="minorEastAsia"/>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rPr>
              <w:tc>
                <w:tcPr>
                  <w:tcW w:w="389" w:type="pct"/>
                  <w:vMerge w:val="restart"/>
                  <w:vAlign w:val="center"/>
                </w:tcPr>
                <w:p>
                  <w:pPr>
                    <w:pStyle w:val="3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管控要求</w:t>
                  </w:r>
                </w:p>
              </w:tc>
              <w:tc>
                <w:tcPr>
                  <w:tcW w:w="582" w:type="pct"/>
                  <w:vAlign w:val="center"/>
                </w:tcPr>
                <w:p>
                  <w:pPr>
                    <w:pStyle w:val="3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空间布局约束</w:t>
                  </w:r>
                </w:p>
              </w:tc>
              <w:tc>
                <w:tcPr>
                  <w:tcW w:w="2210" w:type="pct"/>
                  <w:vAlign w:val="center"/>
                </w:tcPr>
                <w:p>
                  <w:pPr>
                    <w:pStyle w:val="3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1.除城乡生活饮用水或者战略储备、旱灾、火灾、地震等应急需要取水外，原有的地下水取水工程全部限期封停。</w:t>
                  </w:r>
                </w:p>
                <w:p>
                  <w:pPr>
                    <w:pStyle w:val="3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2.县级以上人民政府水行政主管部门应当会同有关部门制定封停方案，经本级人民政府批准后实施。</w:t>
                  </w:r>
                </w:p>
              </w:tc>
              <w:tc>
                <w:tcPr>
                  <w:tcW w:w="1473" w:type="pct"/>
                  <w:vAlign w:val="center"/>
                </w:tcPr>
                <w:p>
                  <w:pPr>
                    <w:pStyle w:val="3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项目</w:t>
                  </w:r>
                  <w:r>
                    <w:rPr>
                      <w:rFonts w:hint="default" w:ascii="Times New Roman" w:hAnsi="Times New Roman" w:cs="Times New Roman" w:eastAsiaTheme="minorEastAsia"/>
                      <w:color w:val="auto"/>
                      <w:sz w:val="21"/>
                      <w:szCs w:val="21"/>
                      <w:highlight w:val="none"/>
                    </w:rPr>
                    <w:t>不属于《产业结构调整指导目录（2024年本）》中鼓励类、限制类和淘汰类</w:t>
                  </w:r>
                  <w:r>
                    <w:rPr>
                      <w:rFonts w:hint="eastAsia" w:ascii="Times New Roman" w:hAnsi="Times New Roman" w:cs="Times New Roman" w:eastAsiaTheme="minorEastAsia"/>
                      <w:color w:val="auto"/>
                      <w:sz w:val="21"/>
                      <w:szCs w:val="21"/>
                      <w:highlight w:val="none"/>
                      <w:lang w:val="en-US" w:eastAsia="zh-CN"/>
                    </w:rPr>
                    <w:t>项目</w:t>
                  </w:r>
                  <w:r>
                    <w:rPr>
                      <w:rFonts w:hint="default" w:ascii="Times New Roman" w:hAnsi="Times New Roman" w:cs="Times New Roman" w:eastAsiaTheme="minorEastAsia"/>
                      <w:color w:val="auto"/>
                      <w:sz w:val="21"/>
                      <w:szCs w:val="21"/>
                      <w:highlight w:val="none"/>
                    </w:rPr>
                    <w:t>，属于允许类，符合国家产业政策；项目</w:t>
                  </w:r>
                  <w:r>
                    <w:rPr>
                      <w:rFonts w:hint="eastAsia" w:hAnsi="Times New Roman" w:cs="Times New Roman" w:eastAsiaTheme="minorEastAsia"/>
                      <w:color w:val="auto"/>
                      <w:sz w:val="21"/>
                      <w:szCs w:val="21"/>
                      <w:highlight w:val="none"/>
                      <w:lang w:val="en-US" w:eastAsia="zh-CN"/>
                    </w:rPr>
                    <w:t>用水来自园区供水管网，不使用地下水</w:t>
                  </w:r>
                  <w:r>
                    <w:rPr>
                      <w:rFonts w:hint="eastAsia" w:ascii="Times New Roman" w:hAnsi="Times New Roman" w:cs="Times New Roman" w:eastAsiaTheme="minorEastAsia"/>
                      <w:color w:val="auto"/>
                      <w:sz w:val="21"/>
                      <w:szCs w:val="21"/>
                      <w:highlight w:val="none"/>
                      <w:lang w:eastAsia="zh-CN"/>
                    </w:rPr>
                    <w:t>，</w:t>
                  </w:r>
                  <w:r>
                    <w:rPr>
                      <w:rFonts w:hint="eastAsia" w:ascii="Times New Roman" w:hAnsi="Times New Roman" w:cs="Times New Roman" w:eastAsiaTheme="minorEastAsia"/>
                      <w:color w:val="auto"/>
                      <w:sz w:val="21"/>
                      <w:szCs w:val="21"/>
                      <w:highlight w:val="none"/>
                      <w:lang w:val="en-US" w:eastAsia="zh-CN"/>
                    </w:rPr>
                    <w:t>符合该管控单元空间布局约束要求。</w:t>
                  </w:r>
                </w:p>
              </w:tc>
              <w:tc>
                <w:tcPr>
                  <w:tcW w:w="344" w:type="pct"/>
                  <w:vAlign w:val="center"/>
                </w:tcPr>
                <w:p>
                  <w:pPr>
                    <w:pStyle w:val="3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89" w:type="pct"/>
                  <w:vMerge w:val="continue"/>
                  <w:vAlign w:val="center"/>
                </w:tcPr>
                <w:p>
                  <w:pPr>
                    <w:pStyle w:val="3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582" w:type="pct"/>
                  <w:vAlign w:val="center"/>
                </w:tcPr>
                <w:p>
                  <w:pPr>
                    <w:pStyle w:val="3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污染物排放管控</w:t>
                  </w:r>
                </w:p>
              </w:tc>
              <w:tc>
                <w:tcPr>
                  <w:tcW w:w="2210" w:type="pct"/>
                  <w:vAlign w:val="center"/>
                </w:tcPr>
                <w:p>
                  <w:pPr>
                    <w:pStyle w:val="3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1.禁止私设暗管或者利用渗井、渗坑和裂隙排放、倾倒含有毒污染物的废水、含病原体的污水和其他废弃物。禁止利用无防渗漏措施的沟渠、坑塘等输送或者存贮含有毒污染物的废水、含病原体的污水和其他废弃物。</w:t>
                  </w:r>
                </w:p>
                <w:p>
                  <w:pPr>
                    <w:pStyle w:val="3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2.禁止向地表及水体排放、倾倒下列物质：（一）油类、酸液、碱液或者剧毒废液及未达标的工业及生活废水；（二）放射性固体废物或者含有高放射性和中放射性物质的废水；（三）工业废渣、城镇垃圾和其他废弃物。</w:t>
                  </w:r>
                </w:p>
                <w:p>
                  <w:pPr>
                    <w:pStyle w:val="3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3.建设单位建设危险废物堆存、垃圾填埋场、矿山渣场（含尾矿）、储灰场、加油站、贮存有毒有害物质的场所应当按照有关规定落实有关水污染防治措施，制定防渗处理方案，并按照规定定时向环境保护主管部门和水行政主管部门报告水质监测数据。禁止将含有汞、镉、砷、铬、铅、氰化物、黄磷等可溶性剧毒废渣及难降解有机物或者含油废弃物直接埋入地下。</w:t>
                  </w:r>
                </w:p>
                <w:p>
                  <w:pPr>
                    <w:pStyle w:val="3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4.工矿企业应当优先利用基坑水、矿坑水和疏干水。无法全部利用的，应当处理达标后排放。</w:t>
                  </w:r>
                </w:p>
                <w:p>
                  <w:pPr>
                    <w:pStyle w:val="3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5.人工回灌补给地下水，不得恶化地下水水质。</w:t>
                  </w:r>
                </w:p>
                <w:p>
                  <w:pPr>
                    <w:pStyle w:val="3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6.定期调查评估集中式地下水型饮用水水源补给区等区域环境状况，严格控制地下水富集区污染物排放。组织实施地下水监测工程建设，建立较完整的地下水监测网。定期评估地下水环境安全隐患，检查重点工业企业周边地下水污染状况，并定期公布污染地下水的企业名单。</w:t>
                  </w:r>
                </w:p>
              </w:tc>
              <w:tc>
                <w:tcPr>
                  <w:tcW w:w="1473" w:type="pct"/>
                  <w:vAlign w:val="center"/>
                </w:tcPr>
                <w:p>
                  <w:pPr>
                    <w:pStyle w:val="3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default" w:ascii="Times New Roman" w:hAnsi="Times New Roman" w:cs="Times New Roman" w:eastAsiaTheme="minorEastAsia"/>
                      <w:color w:val="auto"/>
                      <w:sz w:val="21"/>
                      <w:szCs w:val="21"/>
                      <w:highlight w:val="none"/>
                      <w:lang w:val="en-US" w:eastAsia="zh-CN"/>
                    </w:rPr>
                  </w:pPr>
                  <w:r>
                    <w:rPr>
                      <w:rFonts w:hint="eastAsia" w:cs="宋体"/>
                      <w:color w:val="auto"/>
                      <w:sz w:val="21"/>
                      <w:szCs w:val="21"/>
                      <w:highlight w:val="none"/>
                      <w:lang w:val="en-US" w:eastAsia="zh-CN"/>
                    </w:rPr>
                    <w:t>项目生活污水经化粪池处理后，原料清洗废水、洗瓶废水、CIP系统清洗废水经厂区污水站处理后与纯水制备浓水、锅炉排污水一起排入园区下水管网，</w:t>
                  </w:r>
                  <w:r>
                    <w:rPr>
                      <w:rFonts w:hint="eastAsia" w:ascii="Times New Roman" w:hAnsi="Times New Roman" w:eastAsia="宋体" w:cs="Times New Roman"/>
                      <w:b w:val="0"/>
                      <w:bCs w:val="0"/>
                      <w:color w:val="auto"/>
                      <w:sz w:val="21"/>
                      <w:szCs w:val="21"/>
                      <w:highlight w:val="none"/>
                      <w:lang w:val="en-US" w:eastAsia="zh-CN"/>
                    </w:rPr>
                    <w:t>最终</w:t>
                  </w:r>
                  <w:r>
                    <w:rPr>
                      <w:rFonts w:hint="eastAsia" w:ascii="Times New Roman" w:hAnsi="Times New Roman" w:eastAsia="宋体" w:cs="Times New Roman"/>
                      <w:b w:val="0"/>
                      <w:bCs w:val="0"/>
                      <w:color w:val="auto"/>
                      <w:sz w:val="21"/>
                      <w:szCs w:val="21"/>
                      <w:highlight w:val="none"/>
                      <w:lang w:eastAsia="zh-CN"/>
                    </w:rPr>
                    <w:t>进入</w:t>
                  </w:r>
                  <w:r>
                    <w:rPr>
                      <w:rFonts w:hint="eastAsia"/>
                      <w:b w:val="0"/>
                      <w:bCs w:val="0"/>
                      <w:color w:val="auto"/>
                      <w:sz w:val="21"/>
                      <w:szCs w:val="21"/>
                      <w:highlight w:val="none"/>
                      <w:lang w:eastAsia="zh-CN"/>
                    </w:rPr>
                    <w:t>库尔勒经济技术开发区工业废水处理回用厂</w:t>
                  </w:r>
                  <w:r>
                    <w:rPr>
                      <w:rFonts w:hint="eastAsia"/>
                      <w:b w:val="0"/>
                      <w:bCs w:val="0"/>
                      <w:color w:val="auto"/>
                      <w:sz w:val="21"/>
                      <w:szCs w:val="21"/>
                      <w:highlight w:val="none"/>
                      <w:lang w:val="en-US" w:eastAsia="zh-CN"/>
                    </w:rPr>
                    <w:t>深度处理</w:t>
                  </w:r>
                  <w:r>
                    <w:rPr>
                      <w:rFonts w:hint="default" w:ascii="Times New Roman" w:hAnsi="Times New Roman" w:cs="Times New Roman" w:eastAsiaTheme="minorEastAsia"/>
                      <w:color w:val="auto"/>
                      <w:sz w:val="21"/>
                      <w:szCs w:val="21"/>
                      <w:highlight w:val="none"/>
                      <w:lang w:val="en-US" w:eastAsia="zh-CN"/>
                    </w:rPr>
                    <w:t>。</w:t>
                  </w:r>
                  <w:r>
                    <w:rPr>
                      <w:rFonts w:hint="eastAsia" w:hAnsi="Times New Roman" w:cs="Times New Roman" w:eastAsiaTheme="minorEastAsia"/>
                      <w:color w:val="auto"/>
                      <w:sz w:val="21"/>
                      <w:szCs w:val="21"/>
                      <w:highlight w:val="none"/>
                      <w:lang w:val="en-US" w:eastAsia="zh-CN"/>
                    </w:rPr>
                    <w:t>项目一般固废贮存于一般固废暂存间或专用贮存点，危险废物贮存于危废暂存点，均做好防渗，可切断废水或渗漏液通过垂直下渗污染地下水途径。</w:t>
                  </w:r>
                </w:p>
              </w:tc>
              <w:tc>
                <w:tcPr>
                  <w:tcW w:w="344" w:type="pct"/>
                  <w:vAlign w:val="center"/>
                </w:tcPr>
                <w:p>
                  <w:pPr>
                    <w:pStyle w:val="3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89" w:type="pct"/>
                  <w:vMerge w:val="continue"/>
                  <w:vAlign w:val="center"/>
                </w:tcPr>
                <w:p>
                  <w:pPr>
                    <w:pStyle w:val="3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582" w:type="pct"/>
                  <w:vAlign w:val="center"/>
                </w:tcPr>
                <w:p>
                  <w:pPr>
                    <w:pStyle w:val="3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环境风险防控</w:t>
                  </w:r>
                </w:p>
              </w:tc>
              <w:tc>
                <w:tcPr>
                  <w:tcW w:w="2210" w:type="pct"/>
                  <w:vAlign w:val="center"/>
                </w:tcPr>
                <w:p>
                  <w:pPr>
                    <w:pStyle w:val="3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应当统筹规划、合理布局地下水监测站网，加强地下水监测能力建设，组织做好地下水水位、水量、水质、水温等地下水动态监测工作，及时采集、传输、处理、储存监测数据，定期向社会公布监测结果。建成常规监测、移动监测、动态预警监测三位一体的水环境质量监测网络</w:t>
                  </w:r>
                  <w:r>
                    <w:rPr>
                      <w:rFonts w:hint="eastAsia" w:hAnsi="Times New Roman" w:cs="Times New Roman" w:eastAsiaTheme="minorEastAsia"/>
                      <w:color w:val="auto"/>
                      <w:sz w:val="21"/>
                      <w:szCs w:val="21"/>
                      <w:highlight w:val="none"/>
                      <w:lang w:val="en-US" w:eastAsia="zh-CN"/>
                    </w:rPr>
                    <w:t>。</w:t>
                  </w:r>
                </w:p>
              </w:tc>
              <w:tc>
                <w:tcPr>
                  <w:tcW w:w="1473" w:type="pct"/>
                  <w:vAlign w:val="center"/>
                </w:tcPr>
                <w:p>
                  <w:pPr>
                    <w:pStyle w:val="3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default" w:ascii="Times New Roman" w:hAnsi="Times New Roman" w:cs="Times New Roman" w:eastAsiaTheme="minorEastAsia"/>
                      <w:color w:val="auto"/>
                      <w:sz w:val="21"/>
                      <w:szCs w:val="21"/>
                      <w:highlight w:val="none"/>
                      <w:lang w:val="en-US" w:eastAsia="zh-CN"/>
                    </w:rPr>
                  </w:pPr>
                  <w:r>
                    <w:rPr>
                      <w:rFonts w:hint="eastAsia" w:cs="宋体"/>
                      <w:color w:val="auto"/>
                      <w:sz w:val="21"/>
                      <w:szCs w:val="21"/>
                      <w:highlight w:val="none"/>
                      <w:lang w:val="en-US" w:eastAsia="zh-CN"/>
                    </w:rPr>
                    <w:t>项目生活污水经化粪池处理后，原料清洗废水、洗瓶废水、CIP系统清洗废水经厂区污水站处理后与纯水制备浓水、锅炉排污水一起排入园区下水管网，</w:t>
                  </w:r>
                  <w:r>
                    <w:rPr>
                      <w:rFonts w:hint="eastAsia" w:ascii="Times New Roman" w:hAnsi="Times New Roman" w:eastAsia="宋体" w:cs="Times New Roman"/>
                      <w:b w:val="0"/>
                      <w:bCs w:val="0"/>
                      <w:color w:val="auto"/>
                      <w:sz w:val="21"/>
                      <w:szCs w:val="21"/>
                      <w:highlight w:val="none"/>
                      <w:lang w:val="en-US" w:eastAsia="zh-CN"/>
                    </w:rPr>
                    <w:t>最终</w:t>
                  </w:r>
                  <w:r>
                    <w:rPr>
                      <w:rFonts w:hint="eastAsia" w:ascii="Times New Roman" w:hAnsi="Times New Roman" w:eastAsia="宋体" w:cs="Times New Roman"/>
                      <w:b w:val="0"/>
                      <w:bCs w:val="0"/>
                      <w:color w:val="auto"/>
                      <w:sz w:val="21"/>
                      <w:szCs w:val="21"/>
                      <w:highlight w:val="none"/>
                      <w:lang w:eastAsia="zh-CN"/>
                    </w:rPr>
                    <w:t>进入</w:t>
                  </w:r>
                  <w:r>
                    <w:rPr>
                      <w:rFonts w:hint="eastAsia"/>
                      <w:b w:val="0"/>
                      <w:bCs w:val="0"/>
                      <w:color w:val="auto"/>
                      <w:sz w:val="21"/>
                      <w:szCs w:val="21"/>
                      <w:highlight w:val="none"/>
                      <w:lang w:eastAsia="zh-CN"/>
                    </w:rPr>
                    <w:t>库尔勒经济技术开发区工业废水处理回用厂</w:t>
                  </w:r>
                  <w:r>
                    <w:rPr>
                      <w:rFonts w:hint="eastAsia"/>
                      <w:b w:val="0"/>
                      <w:bCs w:val="0"/>
                      <w:color w:val="auto"/>
                      <w:sz w:val="21"/>
                      <w:szCs w:val="21"/>
                      <w:highlight w:val="none"/>
                      <w:lang w:val="en-US" w:eastAsia="zh-CN"/>
                    </w:rPr>
                    <w:t>深度处理。本项目将做好运营期废水监测计划，确保废水达标排放。</w:t>
                  </w:r>
                </w:p>
              </w:tc>
              <w:tc>
                <w:tcPr>
                  <w:tcW w:w="344" w:type="pct"/>
                  <w:vAlign w:val="center"/>
                </w:tcPr>
                <w:p>
                  <w:pPr>
                    <w:pStyle w:val="3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89" w:type="pct"/>
                  <w:vMerge w:val="continue"/>
                  <w:vAlign w:val="center"/>
                </w:tcPr>
                <w:p>
                  <w:pPr>
                    <w:pStyle w:val="3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eastAsiaTheme="minorEastAsia"/>
                      <w:color w:val="auto"/>
                      <w:sz w:val="21"/>
                      <w:szCs w:val="21"/>
                      <w:highlight w:val="none"/>
                    </w:rPr>
                  </w:pPr>
                </w:p>
              </w:tc>
              <w:tc>
                <w:tcPr>
                  <w:tcW w:w="582" w:type="pct"/>
                  <w:vAlign w:val="center"/>
                </w:tcPr>
                <w:p>
                  <w:pPr>
                    <w:pStyle w:val="3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资源利用效率</w:t>
                  </w:r>
                </w:p>
              </w:tc>
              <w:tc>
                <w:tcPr>
                  <w:tcW w:w="2210" w:type="pct"/>
                  <w:vAlign w:val="center"/>
                </w:tcPr>
                <w:p>
                  <w:pPr>
                    <w:pStyle w:val="3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left"/>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1.编制重点超采区域地下水压采方案，禁止工农业生产及服务业新增取用地下水。</w:t>
                  </w:r>
                </w:p>
                <w:p>
                  <w:pPr>
                    <w:pStyle w:val="3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left"/>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lang w:val="en-US" w:eastAsia="zh-CN"/>
                    </w:rPr>
                    <w:t>2.大力发展高效节水，加强水源置换。</w:t>
                  </w:r>
                </w:p>
                <w:p>
                  <w:pPr>
                    <w:pStyle w:val="3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left"/>
                    <w:textAlignment w:val="auto"/>
                    <w:rPr>
                      <w:rFonts w:hint="default" w:ascii="Times New Roman" w:hAnsi="Times New Roman" w:cs="Times New Roman" w:eastAsiaTheme="minorEastAsia"/>
                      <w:color w:val="auto"/>
                      <w:sz w:val="21"/>
                      <w:szCs w:val="21"/>
                      <w:highlight w:val="none"/>
                    </w:rPr>
                  </w:pPr>
                </w:p>
              </w:tc>
              <w:tc>
                <w:tcPr>
                  <w:tcW w:w="1473" w:type="pct"/>
                  <w:vAlign w:val="center"/>
                </w:tcPr>
                <w:p>
                  <w:pPr>
                    <w:pStyle w:val="3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both"/>
                    <w:textAlignment w:val="auto"/>
                    <w:rPr>
                      <w:rFonts w:hint="default" w:ascii="Times New Roman" w:hAnsi="Times New Roman" w:cs="Times New Roman" w:eastAsiaTheme="minorEastAsia"/>
                      <w:color w:val="auto"/>
                      <w:sz w:val="21"/>
                      <w:szCs w:val="21"/>
                      <w:highlight w:val="none"/>
                      <w:lang w:val="en-US" w:eastAsia="zh-CN"/>
                    </w:rPr>
                  </w:pPr>
                  <w:r>
                    <w:rPr>
                      <w:rFonts w:hint="eastAsia" w:hAnsi="Times New Roman" w:cs="Times New Roman" w:eastAsiaTheme="minorEastAsia"/>
                      <w:color w:val="auto"/>
                      <w:sz w:val="21"/>
                      <w:szCs w:val="21"/>
                      <w:highlight w:val="none"/>
                      <w:lang w:val="en-US" w:eastAsia="zh-CN"/>
                    </w:rPr>
                    <w:t>本项目用水来水园区供水管网，不采用地下水，本项目用水大多数进入产品，日常生产运营将采取多项措施节约用水，提高水的重复利用率。</w:t>
                  </w:r>
                </w:p>
              </w:tc>
              <w:tc>
                <w:tcPr>
                  <w:tcW w:w="344" w:type="pct"/>
                  <w:vAlign w:val="center"/>
                </w:tcPr>
                <w:p>
                  <w:pPr>
                    <w:pStyle w:val="31"/>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firstLine="0" w:firstLineChars="0"/>
                    <w:jc w:val="center"/>
                    <w:textAlignment w:val="auto"/>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符合</w:t>
                  </w:r>
                </w:p>
              </w:tc>
            </w:tr>
          </w:tbl>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s="Times New Roman"/>
                <w:b/>
                <w:color w:val="auto"/>
                <w:kern w:val="0"/>
                <w:sz w:val="21"/>
                <w:szCs w:val="21"/>
                <w:highlight w:val="none"/>
                <w:lang w:val="en-US" w:eastAsia="zh-CN" w:bidi="ar"/>
              </w:rPr>
            </w:pPr>
            <w:r>
              <w:rPr>
                <w:rFonts w:hint="default" w:ascii="Times New Roman" w:hAnsi="Times New Roman" w:cs="Times New Roman"/>
                <w:color w:val="auto"/>
                <w:sz w:val="21"/>
                <w:szCs w:val="21"/>
                <w:highlight w:val="none"/>
              </w:rPr>
              <w:t>综合以上分析判定结果，本项目</w:t>
            </w:r>
            <w:r>
              <w:rPr>
                <w:rFonts w:hint="default" w:ascii="Times New Roman" w:hAnsi="Times New Roman" w:cs="Times New Roman"/>
                <w:color w:val="auto"/>
                <w:sz w:val="21"/>
                <w:szCs w:val="21"/>
                <w:highlight w:val="none"/>
                <w:lang w:eastAsia="zh-CN"/>
              </w:rPr>
              <w:t>符合《巴音郭楞蒙古自治州“三线一单”生态环境分区管控方案》</w:t>
            </w:r>
            <w:r>
              <w:rPr>
                <w:rFonts w:hint="default" w:ascii="Times New Roman" w:hAnsi="Times New Roman" w:cs="Times New Roman"/>
                <w:color w:val="auto"/>
                <w:sz w:val="21"/>
                <w:szCs w:val="21"/>
                <w:highlight w:val="none"/>
              </w:rPr>
              <w:t>文件</w:t>
            </w:r>
            <w:r>
              <w:rPr>
                <w:rFonts w:hint="default" w:ascii="Times New Roman" w:hAnsi="Times New Roman" w:cs="Times New Roman"/>
                <w:color w:val="auto"/>
                <w:sz w:val="21"/>
                <w:szCs w:val="21"/>
                <w:highlight w:val="none"/>
                <w:lang w:eastAsia="zh-CN"/>
              </w:rPr>
              <w:t>要求</w:t>
            </w:r>
            <w:r>
              <w:rPr>
                <w:rFonts w:hint="default" w:ascii="Times New Roman" w:hAnsi="Times New Roman" w:cs="Times New Roman"/>
                <w:color w:val="auto"/>
                <w:sz w:val="21"/>
                <w:szCs w:val="21"/>
                <w:highlight w:val="none"/>
              </w:rPr>
              <w:t>。</w:t>
            </w:r>
          </w:p>
          <w:p>
            <w:pPr>
              <w:keepNext w:val="0"/>
              <w:keepLines w:val="0"/>
              <w:pageBreakBefore w:val="0"/>
              <w:widowControl w:val="0"/>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b/>
                <w:color w:val="auto"/>
                <w:kern w:val="0"/>
                <w:sz w:val="21"/>
                <w:szCs w:val="21"/>
                <w:highlight w:val="none"/>
                <w:lang w:bidi="ar"/>
              </w:rPr>
            </w:pPr>
            <w:r>
              <w:rPr>
                <w:rFonts w:hint="eastAsia" w:cs="Times New Roman"/>
                <w:b/>
                <w:color w:val="auto"/>
                <w:kern w:val="0"/>
                <w:sz w:val="21"/>
                <w:szCs w:val="21"/>
                <w:highlight w:val="none"/>
                <w:lang w:val="en-US" w:eastAsia="zh-CN" w:bidi="ar"/>
              </w:rPr>
              <w:t>3</w:t>
            </w:r>
            <w:r>
              <w:rPr>
                <w:rFonts w:hint="default" w:ascii="Times New Roman" w:hAnsi="Times New Roman" w:cs="Times New Roman"/>
                <w:b/>
                <w:color w:val="auto"/>
                <w:kern w:val="0"/>
                <w:sz w:val="21"/>
                <w:szCs w:val="21"/>
                <w:highlight w:val="none"/>
                <w:lang w:bidi="ar"/>
              </w:rPr>
              <w:t>环境管理</w:t>
            </w:r>
            <w:r>
              <w:rPr>
                <w:rFonts w:hint="default" w:ascii="Times New Roman" w:hAnsi="Times New Roman" w:cs="Times New Roman"/>
                <w:b/>
                <w:color w:val="auto"/>
                <w:kern w:val="0"/>
                <w:sz w:val="21"/>
                <w:szCs w:val="21"/>
                <w:highlight w:val="none"/>
              </w:rPr>
              <w:t>政策分析</w:t>
            </w:r>
          </w:p>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表</w:t>
            </w:r>
            <w:r>
              <w:rPr>
                <w:rFonts w:hint="default" w:ascii="Times New Roman" w:hAnsi="Times New Roman" w:cs="Times New Roman"/>
                <w:b/>
                <w:bCs/>
                <w:color w:val="auto"/>
                <w:sz w:val="21"/>
                <w:szCs w:val="21"/>
                <w:highlight w:val="none"/>
                <w:lang w:val="en-US" w:eastAsia="zh-CN"/>
              </w:rPr>
              <w:t>1-5</w:t>
            </w:r>
            <w:r>
              <w:rPr>
                <w:rFonts w:hint="default" w:ascii="Times New Roman" w:hAnsi="Times New Roman" w:cs="Times New Roman"/>
                <w:b/>
                <w:bCs/>
                <w:color w:val="auto"/>
                <w:sz w:val="21"/>
                <w:szCs w:val="21"/>
                <w:highlight w:val="none"/>
              </w:rPr>
              <w:t xml:space="preserve"> 环境管理政策相符性分析</w:t>
            </w:r>
          </w:p>
          <w:tbl>
            <w:tblPr>
              <w:tblStyle w:val="21"/>
              <w:tblW w:w="4999"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01"/>
              <w:gridCol w:w="3139"/>
              <w:gridCol w:w="2233"/>
              <w:gridCol w:w="42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16" w:type="pct"/>
                  <w:tcBorders>
                    <w:top w:val="single" w:color="auto" w:sz="4" w:space="0"/>
                    <w:left w:val="single" w:color="auto" w:sz="4" w:space="0"/>
                    <w:bottom w:val="single" w:color="auto" w:sz="4" w:space="0"/>
                    <w:right w:val="single" w:color="auto" w:sz="4" w:space="0"/>
                  </w:tcBorders>
                  <w:noWrap w:val="0"/>
                  <w:vAlign w:val="center"/>
                </w:tcPr>
                <w:p>
                  <w:pPr>
                    <w:pStyle w:val="48"/>
                    <w:keepNext w:val="0"/>
                    <w:keepLines w:val="0"/>
                    <w:pageBreakBefore w:val="0"/>
                    <w:widowControl w:val="0"/>
                    <w:kinsoku/>
                    <w:wordWrap/>
                    <w:overflowPunct/>
                    <w:topLinePunct w:val="0"/>
                    <w:bidi w:val="0"/>
                    <w:spacing w:beforeLines="0" w:afterLines="0" w:line="240" w:lineRule="auto"/>
                    <w:ind w:firstLine="0" w:firstLineChars="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文件</w:t>
                  </w:r>
                </w:p>
              </w:tc>
              <w:tc>
                <w:tcPr>
                  <w:tcW w:w="2209" w:type="pct"/>
                  <w:tcBorders>
                    <w:top w:val="single" w:color="auto" w:sz="4" w:space="0"/>
                    <w:left w:val="single" w:color="auto" w:sz="4" w:space="0"/>
                    <w:bottom w:val="single" w:color="auto" w:sz="4" w:space="0"/>
                    <w:right w:val="single" w:color="auto" w:sz="4" w:space="0"/>
                  </w:tcBorders>
                  <w:noWrap w:val="0"/>
                  <w:vAlign w:val="center"/>
                </w:tcPr>
                <w:p>
                  <w:pPr>
                    <w:pStyle w:val="48"/>
                    <w:keepNext w:val="0"/>
                    <w:keepLines w:val="0"/>
                    <w:pageBreakBefore w:val="0"/>
                    <w:widowControl w:val="0"/>
                    <w:kinsoku/>
                    <w:wordWrap/>
                    <w:overflowPunct/>
                    <w:topLinePunct w:val="0"/>
                    <w:bidi w:val="0"/>
                    <w:spacing w:beforeLines="0" w:afterLines="0" w:line="240" w:lineRule="auto"/>
                    <w:ind w:firstLine="0" w:firstLineChars="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环境管理政策要求</w:t>
                  </w:r>
                </w:p>
              </w:tc>
              <w:tc>
                <w:tcPr>
                  <w:tcW w:w="1572" w:type="pct"/>
                  <w:tcBorders>
                    <w:top w:val="single" w:color="auto" w:sz="4" w:space="0"/>
                    <w:left w:val="single" w:color="auto" w:sz="4" w:space="0"/>
                    <w:bottom w:val="single" w:color="auto" w:sz="4" w:space="0"/>
                    <w:right w:val="single" w:color="auto" w:sz="4" w:space="0"/>
                  </w:tcBorders>
                  <w:noWrap w:val="0"/>
                  <w:vAlign w:val="center"/>
                </w:tcPr>
                <w:p>
                  <w:pPr>
                    <w:pStyle w:val="48"/>
                    <w:keepNext w:val="0"/>
                    <w:keepLines w:val="0"/>
                    <w:pageBreakBefore w:val="0"/>
                    <w:widowControl w:val="0"/>
                    <w:kinsoku/>
                    <w:wordWrap/>
                    <w:overflowPunct/>
                    <w:topLinePunct w:val="0"/>
                    <w:bidi w:val="0"/>
                    <w:spacing w:beforeLines="0" w:afterLines="0" w:line="240" w:lineRule="auto"/>
                    <w:ind w:firstLine="0" w:firstLineChars="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本项目情况</w:t>
                  </w:r>
                </w:p>
              </w:tc>
              <w:tc>
                <w:tcPr>
                  <w:tcW w:w="301" w:type="pct"/>
                  <w:tcBorders>
                    <w:top w:val="single" w:color="auto" w:sz="4" w:space="0"/>
                    <w:left w:val="single" w:color="auto" w:sz="4" w:space="0"/>
                    <w:bottom w:val="single" w:color="auto" w:sz="4" w:space="0"/>
                    <w:right w:val="single" w:color="auto" w:sz="4" w:space="0"/>
                  </w:tcBorders>
                  <w:noWrap w:val="0"/>
                  <w:vAlign w:val="center"/>
                </w:tcPr>
                <w:p>
                  <w:pPr>
                    <w:pStyle w:val="48"/>
                    <w:keepNext w:val="0"/>
                    <w:keepLines w:val="0"/>
                    <w:pageBreakBefore w:val="0"/>
                    <w:widowControl w:val="0"/>
                    <w:kinsoku/>
                    <w:wordWrap/>
                    <w:overflowPunct/>
                    <w:topLinePunct w:val="0"/>
                    <w:bidi w:val="0"/>
                    <w:spacing w:beforeLines="0" w:afterLines="0" w:line="240" w:lineRule="auto"/>
                    <w:ind w:firstLine="0" w:firstLineChars="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符合性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16" w:type="pct"/>
                  <w:tcBorders>
                    <w:top w:val="single" w:color="auto" w:sz="4" w:space="0"/>
                    <w:left w:val="single" w:color="auto" w:sz="4" w:space="0"/>
                    <w:bottom w:val="single" w:color="auto" w:sz="4" w:space="0"/>
                    <w:right w:val="single" w:color="auto" w:sz="4" w:space="0"/>
                  </w:tcBorders>
                  <w:noWrap w:val="0"/>
                  <w:vAlign w:val="center"/>
                </w:tcPr>
                <w:p>
                  <w:pPr>
                    <w:pStyle w:val="48"/>
                    <w:keepNext w:val="0"/>
                    <w:keepLines w:val="0"/>
                    <w:pageBreakBefore w:val="0"/>
                    <w:widowControl w:val="0"/>
                    <w:kinsoku/>
                    <w:wordWrap/>
                    <w:overflowPunct/>
                    <w:topLinePunct w:val="0"/>
                    <w:bidi w:val="0"/>
                    <w:spacing w:beforeLines="0" w:afterLines="0" w:line="240" w:lineRule="auto"/>
                    <w:ind w:firstLine="0" w:firstLineChars="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w:t>
                  </w:r>
                  <w:r>
                    <w:rPr>
                      <w:rFonts w:hint="eastAsia" w:ascii="Times New Roman" w:hAnsi="Times New Roman" w:cs="Times New Roman"/>
                      <w:color w:val="auto"/>
                      <w:sz w:val="21"/>
                      <w:szCs w:val="21"/>
                      <w:highlight w:val="none"/>
                      <w:lang w:eastAsia="zh-CN"/>
                    </w:rPr>
                    <w:t>巴音郭楞蒙古自治州大气污染防治办法</w:t>
                  </w:r>
                  <w:r>
                    <w:rPr>
                      <w:rFonts w:hint="default" w:ascii="Times New Roman" w:hAnsi="Times New Roman" w:cs="Times New Roman"/>
                      <w:color w:val="auto"/>
                      <w:sz w:val="21"/>
                      <w:szCs w:val="21"/>
                      <w:highlight w:val="none"/>
                    </w:rPr>
                    <w:t>》州人大常委会公告，2019年第5号</w:t>
                  </w:r>
                </w:p>
              </w:tc>
              <w:tc>
                <w:tcPr>
                  <w:tcW w:w="2209" w:type="pct"/>
                  <w:tcBorders>
                    <w:top w:val="single" w:color="auto" w:sz="4" w:space="0"/>
                    <w:left w:val="single" w:color="auto" w:sz="4" w:space="0"/>
                    <w:bottom w:val="single" w:color="auto" w:sz="4" w:space="0"/>
                    <w:right w:val="single" w:color="auto" w:sz="4" w:space="0"/>
                  </w:tcBorders>
                  <w:noWrap w:val="0"/>
                  <w:vAlign w:val="center"/>
                </w:tcPr>
                <w:p>
                  <w:pPr>
                    <w:pStyle w:val="48"/>
                    <w:keepNext w:val="0"/>
                    <w:keepLines w:val="0"/>
                    <w:pageBreakBefore w:val="0"/>
                    <w:widowControl w:val="0"/>
                    <w:kinsoku/>
                    <w:wordWrap/>
                    <w:overflowPunct/>
                    <w:topLinePunct w:val="0"/>
                    <w:bidi w:val="0"/>
                    <w:spacing w:beforeLines="0" w:afterLines="0" w:line="240" w:lineRule="auto"/>
                    <w:ind w:firstLine="0" w:firstLineChars="0"/>
                    <w:jc w:val="both"/>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禁止新建、改建、扩建严重污染大气环境的项目。向大气排放污染物的企事业单位和其他生产经营者应当履行大</w:t>
                  </w:r>
                  <w:r>
                    <w:rPr>
                      <w:rFonts w:hint="eastAsia" w:ascii="Times New Roman" w:cs="Times New Roman"/>
                      <w:color w:val="auto"/>
                      <w:sz w:val="21"/>
                      <w:szCs w:val="21"/>
                      <w:highlight w:val="none"/>
                      <w:lang w:val="en-US" w:eastAsia="zh-CN"/>
                    </w:rPr>
                    <w:t>气</w:t>
                  </w:r>
                  <w:r>
                    <w:rPr>
                      <w:rFonts w:hint="default" w:ascii="Times New Roman" w:hAnsi="Times New Roman" w:cs="Times New Roman"/>
                      <w:color w:val="auto"/>
                      <w:sz w:val="21"/>
                      <w:szCs w:val="21"/>
                      <w:highlight w:val="none"/>
                    </w:rPr>
                    <w:t>污染防治的法治义务，执行大气污染物排放标准，遵守大气污染物排放总量控制要求。</w:t>
                  </w:r>
                </w:p>
              </w:tc>
              <w:tc>
                <w:tcPr>
                  <w:tcW w:w="1572" w:type="pct"/>
                  <w:tcBorders>
                    <w:top w:val="single" w:color="auto" w:sz="4" w:space="0"/>
                    <w:left w:val="single" w:color="auto" w:sz="4" w:space="0"/>
                    <w:bottom w:val="single" w:color="auto" w:sz="4" w:space="0"/>
                    <w:right w:val="single" w:color="auto" w:sz="4" w:space="0"/>
                  </w:tcBorders>
                  <w:noWrap w:val="0"/>
                  <w:vAlign w:val="center"/>
                </w:tcPr>
                <w:p>
                  <w:pPr>
                    <w:pStyle w:val="48"/>
                    <w:keepNext w:val="0"/>
                    <w:keepLines w:val="0"/>
                    <w:pageBreakBefore w:val="0"/>
                    <w:widowControl w:val="0"/>
                    <w:kinsoku/>
                    <w:wordWrap/>
                    <w:overflowPunct/>
                    <w:topLinePunct w:val="0"/>
                    <w:bidi w:val="0"/>
                    <w:spacing w:beforeLines="0" w:afterLines="0" w:line="240" w:lineRule="auto"/>
                    <w:ind w:firstLine="0" w:firstLineChars="0"/>
                    <w:jc w:val="both"/>
                    <w:textAlignment w:val="auto"/>
                    <w:rPr>
                      <w:rFonts w:hint="default" w:ascii="Times New Roman" w:hAnsi="Times New Roman" w:eastAsia="宋体" w:cs="Times New Roman"/>
                      <w:color w:val="auto"/>
                      <w:sz w:val="21"/>
                      <w:szCs w:val="21"/>
                      <w:highlight w:val="none"/>
                      <w:lang w:val="en-US"/>
                    </w:rPr>
                  </w:pPr>
                  <w:r>
                    <w:rPr>
                      <w:rFonts w:hint="default" w:ascii="Times New Roman" w:hAnsi="Times New Roman" w:eastAsia="宋体" w:cs="Times New Roman"/>
                      <w:color w:val="auto"/>
                      <w:sz w:val="21"/>
                      <w:szCs w:val="21"/>
                      <w:highlight w:val="none"/>
                    </w:rPr>
                    <w:t>本项目不属于严重污染大气环境的项目。</w:t>
                  </w:r>
                  <w:r>
                    <w:rPr>
                      <w:rFonts w:hint="eastAsia" w:ascii="Times New Roman" w:cs="Times New Roman"/>
                      <w:color w:val="auto"/>
                      <w:sz w:val="21"/>
                      <w:szCs w:val="21"/>
                      <w:highlight w:val="none"/>
                      <w:lang w:val="en-US" w:eastAsia="zh-CN"/>
                    </w:rPr>
                    <w:t>产生的废气主要有天然气燃烧废气，主要污染物颗粒物、二氧化硫、氮氧化物、烟气黑度，经治理后排放满足《锅炉大气污染物排放标准》（GB13271-2014）中表3大气污染物特别排放浓度限值要求；瓶胚预热废气及包装缩膜废气，主要污染物为非甲烷总烃，经治理后排放满足</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合成树脂工业污染物排放标准</w:t>
                  </w:r>
                  <w:r>
                    <w:rPr>
                      <w:rFonts w:hint="default" w:ascii="Times New Roman" w:hAnsi="Times New Roman" w:eastAsia="宋体" w:cs="Times New Roman"/>
                      <w:color w:val="auto"/>
                      <w:sz w:val="21"/>
                      <w:szCs w:val="21"/>
                      <w:highlight w:val="none"/>
                      <w:lang w:eastAsia="zh-CN"/>
                    </w:rPr>
                    <w:t>》（GB 31572-2015，含2024年修改单）</w:t>
                  </w:r>
                  <w:r>
                    <w:rPr>
                      <w:rFonts w:hint="eastAsia" w:ascii="Times New Roman" w:cs="Times New Roman"/>
                      <w:color w:val="auto"/>
                      <w:sz w:val="21"/>
                      <w:szCs w:val="21"/>
                      <w:highlight w:val="none"/>
                      <w:lang w:val="en-US" w:eastAsia="zh-CN"/>
                    </w:rPr>
                    <w:t>特别排放限值要求；污水站臭气，坏果及果渣暂存臭气，经治理后厂界臭气浓度满足《恶臭污染物排放标准》（GB14554-93）表1新改扩建限值要求。同时本项目氮氧化物、VOCs（非甲烷总烃）污染物已申请总量指标，符合总量管理要求。</w:t>
                  </w:r>
                </w:p>
              </w:tc>
              <w:tc>
                <w:tcPr>
                  <w:tcW w:w="301" w:type="pct"/>
                  <w:tcBorders>
                    <w:top w:val="single" w:color="auto" w:sz="4" w:space="0"/>
                    <w:left w:val="single" w:color="auto" w:sz="4" w:space="0"/>
                    <w:bottom w:val="single" w:color="auto" w:sz="4" w:space="0"/>
                    <w:right w:val="single" w:color="auto" w:sz="4" w:space="0"/>
                  </w:tcBorders>
                  <w:noWrap w:val="0"/>
                  <w:vAlign w:val="center"/>
                </w:tcPr>
                <w:p>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color w:val="auto"/>
                      <w:sz w:val="21"/>
                      <w:szCs w:val="21"/>
                      <w:highlight w:val="none"/>
                      <w:lang w:val="en-US"/>
                    </w:rPr>
                  </w:pPr>
                  <w:r>
                    <w:rPr>
                      <w:rFonts w:hint="eastAsia" w:ascii="Times New Roman" w:eastAsia="宋体" w:cs="Times New Roman"/>
                      <w:color w:val="auto"/>
                      <w:sz w:val="21"/>
                      <w:szCs w:val="21"/>
                      <w:highlight w:val="none"/>
                      <w:lang w:val="en-US" w:eastAsia="zh-CN"/>
                    </w:rPr>
                    <w:t>符</w:t>
                  </w:r>
                  <w:r>
                    <w:rPr>
                      <w:rFonts w:hint="eastAsia" w:ascii="Times New Roman" w:cs="Times New Roman"/>
                      <w:color w:val="auto"/>
                      <w:sz w:val="21"/>
                      <w:szCs w:val="21"/>
                      <w:highlight w:val="none"/>
                      <w:lang w:val="en-US" w:eastAsia="zh-CN"/>
                    </w:rPr>
                    <w:t>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1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bidi w:val="0"/>
                    <w:snapToGrid/>
                    <w:spacing w:line="240" w:lineRule="auto"/>
                    <w:ind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eastAsia="宋体" w:cs="Times New Roman"/>
                      <w:color w:val="auto"/>
                      <w:sz w:val="21"/>
                      <w:szCs w:val="21"/>
                      <w:highlight w:val="none"/>
                    </w:rPr>
                    <w:t>《</w:t>
                  </w:r>
                  <w:r>
                    <w:rPr>
                      <w:rFonts w:hint="default" w:ascii="Times New Roman" w:hAnsi="Times New Roman" w:eastAsia="宋体" w:cs="Times New Roman"/>
                      <w:color w:val="auto"/>
                      <w:sz w:val="21"/>
                      <w:szCs w:val="21"/>
                      <w:highlight w:val="none"/>
                      <w:lang w:val="en-US" w:eastAsia="zh-CN"/>
                    </w:rPr>
                    <w:t>自治州大气污染防治三年攻坚行动方案（2023－2025年）</w:t>
                  </w:r>
                  <w:r>
                    <w:rPr>
                      <w:rFonts w:hint="default" w:ascii="Times New Roman" w:hAnsi="Times New Roman" w:eastAsia="宋体" w:cs="Times New Roman"/>
                      <w:color w:val="auto"/>
                      <w:sz w:val="21"/>
                      <w:szCs w:val="21"/>
                      <w:highlight w:val="none"/>
                    </w:rPr>
                    <w:t>》（巴政发〔2023〕27号）</w:t>
                  </w:r>
                </w:p>
              </w:tc>
              <w:tc>
                <w:tcPr>
                  <w:tcW w:w="220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bidi w:val="0"/>
                    <w:snapToGrid/>
                    <w:spacing w:line="240" w:lineRule="auto"/>
                    <w:ind w:firstLine="0" w:firstLineChars="0"/>
                    <w:jc w:val="both"/>
                    <w:textAlignment w:val="auto"/>
                    <w:rPr>
                      <w:rFonts w:hint="default" w:ascii="Times New Roman" w:hAnsi="Times New Roman" w:cs="Times New Roman"/>
                      <w:color w:val="auto"/>
                      <w:sz w:val="21"/>
                      <w:szCs w:val="21"/>
                      <w:highlight w:val="none"/>
                    </w:rPr>
                  </w:pPr>
                  <w:r>
                    <w:rPr>
                      <w:rStyle w:val="27"/>
                      <w:rFonts w:hint="default" w:ascii="Times New Roman" w:hAnsi="Times New Roman" w:eastAsia="宋体" w:cs="Times New Roman"/>
                      <w:color w:val="auto"/>
                      <w:sz w:val="21"/>
                      <w:szCs w:val="21"/>
                      <w:highlight w:val="none"/>
                      <w:lang w:val="en-US" w:eastAsia="zh-CN"/>
                    </w:rPr>
                    <w:t>严把高耗能、高排放、低水平项目准入关口，严格落实国家产业规划、产业政策、“三线一单”、规划环评，以及产能置换、煤炭消费减量替代、区域污染物消减要求，对不符合规定的项目坚决停批停建。加强已审批高耗能高排放项目环评文件审查，动态更新管理台账。库尔勒大气污染联防联控区严禁新增钢铁、水泥熟料、平板玻璃、炼油产能。其他地区钢铁、水泥熟料、平板玻璃、炼油、电解铝等新建、扩建项目严格实施产能等量置换要求。</w:t>
                  </w:r>
                </w:p>
              </w:tc>
              <w:tc>
                <w:tcPr>
                  <w:tcW w:w="157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kinsoku/>
                    <w:wordWrap/>
                    <w:overflowPunct/>
                    <w:topLinePunct w:val="0"/>
                    <w:bidi w:val="0"/>
                    <w:snapToGrid/>
                    <w:spacing w:line="240" w:lineRule="auto"/>
                    <w:ind w:firstLine="0" w:firstLineChars="0"/>
                    <w:jc w:val="both"/>
                    <w:textAlignment w:val="auto"/>
                    <w:rPr>
                      <w:rFonts w:hint="default" w:ascii="Times New Roman" w:hAnsi="Times New Roman"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rPr>
                    <w:t>该项目位于</w:t>
                  </w:r>
                  <w:r>
                    <w:rPr>
                      <w:rFonts w:hint="eastAsia" w:ascii="Times New Roman" w:hAnsi="Times New Roman" w:eastAsia="宋体" w:cs="Times New Roman"/>
                      <w:b w:val="0"/>
                      <w:bCs w:val="0"/>
                      <w:color w:val="auto"/>
                      <w:sz w:val="21"/>
                      <w:szCs w:val="21"/>
                      <w:highlight w:val="none"/>
                      <w:lang w:val="en-US" w:eastAsia="zh-CN"/>
                    </w:rPr>
                    <w:t>库尔勒经济技术开发区</w:t>
                  </w:r>
                  <w:r>
                    <w:rPr>
                      <w:rFonts w:hint="default" w:ascii="Times New Roman" w:hAnsi="Times New Roman" w:eastAsia="宋体" w:cs="Times New Roman"/>
                      <w:b w:val="0"/>
                      <w:bCs w:val="0"/>
                      <w:color w:val="auto"/>
                      <w:sz w:val="21"/>
                      <w:szCs w:val="21"/>
                      <w:highlight w:val="none"/>
                    </w:rPr>
                    <w:t>，</w:t>
                  </w:r>
                  <w:r>
                    <w:rPr>
                      <w:rFonts w:hint="default" w:ascii="Times New Roman" w:hAnsi="Times New Roman" w:cs="Times New Roman"/>
                      <w:b w:val="0"/>
                      <w:bCs w:val="0"/>
                      <w:color w:val="auto"/>
                      <w:sz w:val="21"/>
                      <w:szCs w:val="21"/>
                      <w:highlight w:val="none"/>
                      <w:lang w:eastAsia="zh-CN"/>
                    </w:rPr>
                    <w:t>不属于</w:t>
                  </w:r>
                  <w:r>
                    <w:rPr>
                      <w:rStyle w:val="27"/>
                      <w:rFonts w:hint="default" w:ascii="Times New Roman" w:hAnsi="Times New Roman" w:eastAsia="宋体" w:cs="Times New Roman"/>
                      <w:color w:val="auto"/>
                      <w:sz w:val="21"/>
                      <w:szCs w:val="21"/>
                      <w:highlight w:val="none"/>
                      <w:lang w:val="en-US" w:eastAsia="zh-CN"/>
                    </w:rPr>
                    <w:t>高耗能、高排放、低水平项目。</w:t>
                  </w:r>
                  <w:r>
                    <w:rPr>
                      <w:rFonts w:hint="default" w:ascii="Times New Roman" w:hAnsi="Times New Roman" w:eastAsia="宋体" w:cs="Times New Roman"/>
                      <w:b w:val="0"/>
                      <w:bCs w:val="0"/>
                      <w:color w:val="auto"/>
                      <w:sz w:val="21"/>
                      <w:szCs w:val="21"/>
                      <w:highlight w:val="none"/>
                    </w:rPr>
                    <w:t>相应污染治理设施建成运行后，</w:t>
                  </w:r>
                  <w:r>
                    <w:rPr>
                      <w:rFonts w:hint="default" w:ascii="Times New Roman" w:hAnsi="Times New Roman" w:cs="Times New Roman"/>
                      <w:b w:val="0"/>
                      <w:bCs w:val="0"/>
                      <w:color w:val="auto"/>
                      <w:sz w:val="21"/>
                      <w:szCs w:val="21"/>
                      <w:highlight w:val="none"/>
                      <w:lang w:val="en-US" w:eastAsia="zh-CN"/>
                    </w:rPr>
                    <w:t>污染物均可实现达标排放</w:t>
                  </w:r>
                  <w:r>
                    <w:rPr>
                      <w:rFonts w:hint="default" w:ascii="Times New Roman" w:hAnsi="Times New Roman" w:eastAsia="宋体" w:cs="Times New Roman"/>
                      <w:b w:val="0"/>
                      <w:bCs w:val="0"/>
                      <w:color w:val="auto"/>
                      <w:sz w:val="21"/>
                      <w:szCs w:val="21"/>
                      <w:highlight w:val="none"/>
                    </w:rPr>
                    <w:t>。</w:t>
                  </w:r>
                </w:p>
              </w:tc>
              <w:tc>
                <w:tcPr>
                  <w:tcW w:w="301" w:type="pct"/>
                  <w:tcBorders>
                    <w:top w:val="single" w:color="auto" w:sz="4" w:space="0"/>
                    <w:left w:val="single" w:color="auto" w:sz="4" w:space="0"/>
                    <w:bottom w:val="single" w:color="auto" w:sz="4" w:space="0"/>
                    <w:right w:val="single" w:color="auto" w:sz="4" w:space="0"/>
                  </w:tcBorders>
                  <w:noWrap w:val="0"/>
                  <w:vAlign w:val="center"/>
                </w:tcPr>
                <w:p>
                  <w:pPr>
                    <w:pStyle w:val="66"/>
                    <w:keepNext w:val="0"/>
                    <w:keepLines w:val="0"/>
                    <w:pageBreakBefore w:val="0"/>
                    <w:widowControl w:val="0"/>
                    <w:kinsoku/>
                    <w:wordWrap/>
                    <w:overflowPunct/>
                    <w:topLinePunct w:val="0"/>
                    <w:bidi w:val="0"/>
                    <w:snapToGrid/>
                    <w:spacing w:line="240" w:lineRule="auto"/>
                    <w:ind w:firstLine="0" w:firstLineChars="0"/>
                    <w:jc w:val="center"/>
                    <w:textAlignment w:val="auto"/>
                    <w:rPr>
                      <w:rFonts w:hint="default" w:ascii="Times New Roman" w:hAnsi="Times New Roman" w:cs="Times New Roman"/>
                      <w:b w:val="0"/>
                      <w:bCs w:val="0"/>
                      <w:color w:val="auto"/>
                      <w:sz w:val="21"/>
                      <w:szCs w:val="21"/>
                      <w:highlight w:val="none"/>
                    </w:rPr>
                  </w:pPr>
                  <w:r>
                    <w:rPr>
                      <w:rFonts w:hint="default" w:ascii="Times New Roman" w:hAnsi="Times New Roman" w:eastAsia="宋体" w:cs="Times New Roman"/>
                      <w:b w:val="0"/>
                      <w:bCs w:val="0"/>
                      <w:color w:val="auto"/>
                      <w:kern w:val="2"/>
                      <w:sz w:val="21"/>
                      <w:szCs w:val="21"/>
                      <w:highlight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736" w:hRule="atLeast"/>
              </w:trPr>
              <w:tc>
                <w:tcPr>
                  <w:tcW w:w="91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bidi w:val="0"/>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rPr>
                  </w:pPr>
                  <w:r>
                    <w:rPr>
                      <w:rStyle w:val="27"/>
                      <w:rFonts w:hint="default" w:ascii="Times New Roman" w:hAnsi="Times New Roman" w:eastAsia="宋体" w:cs="Times New Roman"/>
                      <w:color w:val="auto"/>
                      <w:sz w:val="21"/>
                      <w:szCs w:val="21"/>
                      <w:highlight w:val="none"/>
                      <w:lang w:val="en-US" w:eastAsia="zh-CN"/>
                    </w:rPr>
                    <w:t>《巴音郭楞蒙古自治州生态环境“十四五”规划》</w:t>
                  </w:r>
                </w:p>
              </w:tc>
              <w:tc>
                <w:tcPr>
                  <w:tcW w:w="220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bidi w:val="0"/>
                    <w:snapToGrid/>
                    <w:spacing w:beforeAutospacing="0" w:afterAutospacing="0" w:line="240" w:lineRule="auto"/>
                    <w:ind w:left="0" w:leftChars="0" w:right="0" w:rightChars="0" w:firstLine="0" w:firstLineChars="0"/>
                    <w:jc w:val="both"/>
                    <w:textAlignment w:val="auto"/>
                    <w:rPr>
                      <w:rStyle w:val="27"/>
                      <w:rFonts w:hint="default" w:ascii="Times New Roman" w:hAnsi="Times New Roman" w:eastAsia="宋体" w:cs="Times New Roman"/>
                      <w:color w:val="auto"/>
                      <w:sz w:val="21"/>
                      <w:szCs w:val="21"/>
                      <w:highlight w:val="none"/>
                      <w:lang w:val="en-US" w:eastAsia="zh-CN"/>
                    </w:rPr>
                  </w:pPr>
                  <w:r>
                    <w:rPr>
                      <w:rFonts w:hint="default"/>
                      <w:color w:val="auto"/>
                      <w:sz w:val="21"/>
                      <w:szCs w:val="21"/>
                      <w:highlight w:val="none"/>
                      <w:lang w:val="en-US" w:eastAsia="zh-CN"/>
                    </w:rPr>
                    <w:t>强化大气污染分区控制和分类管理，加强污染源解析，实行差异化控制要求，制定有针对性的污染防治措施。库尔勒等大气复合型污染区域，重点针对不同时段PM</w:t>
                  </w:r>
                  <w:r>
                    <w:rPr>
                      <w:rFonts w:hint="default"/>
                      <w:color w:val="auto"/>
                      <w:sz w:val="21"/>
                      <w:szCs w:val="21"/>
                      <w:highlight w:val="none"/>
                      <w:vertAlign w:val="subscript"/>
                      <w:lang w:val="en-US" w:eastAsia="zh-CN"/>
                    </w:rPr>
                    <w:t>10</w:t>
                  </w:r>
                  <w:r>
                    <w:rPr>
                      <w:rFonts w:hint="default"/>
                      <w:color w:val="auto"/>
                      <w:sz w:val="21"/>
                      <w:szCs w:val="21"/>
                      <w:highlight w:val="none"/>
                      <w:lang w:val="en-US" w:eastAsia="zh-CN"/>
                    </w:rPr>
                    <w:t>、PM</w:t>
                  </w:r>
                  <w:r>
                    <w:rPr>
                      <w:rFonts w:hint="default"/>
                      <w:color w:val="auto"/>
                      <w:sz w:val="21"/>
                      <w:szCs w:val="21"/>
                      <w:highlight w:val="none"/>
                      <w:vertAlign w:val="subscript"/>
                      <w:lang w:val="en-US" w:eastAsia="zh-CN"/>
                    </w:rPr>
                    <w:t>2.5</w:t>
                  </w:r>
                  <w:r>
                    <w:rPr>
                      <w:rFonts w:hint="default"/>
                      <w:color w:val="auto"/>
                      <w:sz w:val="21"/>
                      <w:szCs w:val="21"/>
                      <w:highlight w:val="none"/>
                      <w:lang w:val="en-US" w:eastAsia="zh-CN"/>
                    </w:rPr>
                    <w:t>、O</w:t>
                  </w:r>
                  <w:r>
                    <w:rPr>
                      <w:rFonts w:hint="default"/>
                      <w:color w:val="auto"/>
                      <w:sz w:val="21"/>
                      <w:szCs w:val="21"/>
                      <w:highlight w:val="none"/>
                      <w:vertAlign w:val="subscript"/>
                      <w:lang w:val="en-US" w:eastAsia="zh-CN"/>
                    </w:rPr>
                    <w:t>3</w:t>
                  </w:r>
                  <w:r>
                    <w:rPr>
                      <w:rFonts w:hint="default"/>
                      <w:color w:val="auto"/>
                      <w:sz w:val="21"/>
                      <w:szCs w:val="21"/>
                      <w:highlight w:val="none"/>
                      <w:lang w:val="en-US" w:eastAsia="zh-CN"/>
                    </w:rPr>
                    <w:t>等突出问题，加强采暖季燃煤污染控制，以及机动车、VOCs（挥发性有机物）污染防治；库尉轮地区及且若区域沙尘污染严重区，重点做好防风固沙、生态环境保护修复等工作，同时持续加强传统煤烟型、扬尘污染的控制，实现空气质量持续改善</w:t>
                  </w:r>
                  <w:r>
                    <w:rPr>
                      <w:rFonts w:hint="eastAsia"/>
                      <w:color w:val="auto"/>
                      <w:sz w:val="21"/>
                      <w:szCs w:val="21"/>
                      <w:highlight w:val="none"/>
                      <w:lang w:val="en-US" w:eastAsia="zh-CN"/>
                    </w:rPr>
                    <w:t>。</w:t>
                  </w:r>
                </w:p>
              </w:tc>
              <w:tc>
                <w:tcPr>
                  <w:tcW w:w="157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bidi w:val="0"/>
                    <w:snapToGrid/>
                    <w:spacing w:beforeAutospacing="0" w:afterAutospacing="0" w:line="240" w:lineRule="auto"/>
                    <w:ind w:left="0" w:leftChars="0" w:right="0" w:rightChars="0" w:firstLine="0" w:firstLineChars="0"/>
                    <w:jc w:val="both"/>
                    <w:textAlignment w:val="auto"/>
                    <w:rPr>
                      <w:rFonts w:hint="default" w:ascii="Times New Roman" w:hAnsi="Times New Roman" w:eastAsia="宋体" w:cs="Times New Roman"/>
                      <w:b w:val="0"/>
                      <w:bCs w:val="0"/>
                      <w:color w:val="auto"/>
                      <w:sz w:val="21"/>
                      <w:szCs w:val="21"/>
                      <w:highlight w:val="none"/>
                    </w:rPr>
                  </w:pPr>
                  <w:r>
                    <w:rPr>
                      <w:rFonts w:hint="eastAsia"/>
                      <w:color w:val="auto"/>
                      <w:sz w:val="21"/>
                      <w:szCs w:val="21"/>
                      <w:highlight w:val="none"/>
                      <w:lang w:val="en-US" w:eastAsia="zh-CN"/>
                    </w:rPr>
                    <w:t>本项目涉及塑料包装箱及容器制造，本项目瓶胚预热、包装缩膜工序产生的非甲烷总烃经二级</w:t>
                  </w:r>
                  <w:r>
                    <w:rPr>
                      <w:rFonts w:hint="default"/>
                      <w:color w:val="auto"/>
                      <w:sz w:val="21"/>
                      <w:szCs w:val="21"/>
                      <w:highlight w:val="none"/>
                      <w:lang w:val="en-US" w:eastAsia="zh-CN"/>
                    </w:rPr>
                    <w:t>活性炭吸附</w:t>
                  </w:r>
                  <w:r>
                    <w:rPr>
                      <w:rFonts w:hint="eastAsia"/>
                      <w:color w:val="auto"/>
                      <w:sz w:val="21"/>
                      <w:szCs w:val="21"/>
                      <w:highlight w:val="none"/>
                      <w:lang w:val="en-US" w:eastAsia="zh-CN"/>
                    </w:rPr>
                    <w:t>装置处理后，最终由</w:t>
                  </w:r>
                  <w:r>
                    <w:rPr>
                      <w:rFonts w:hint="default"/>
                      <w:color w:val="auto"/>
                      <w:sz w:val="21"/>
                      <w:szCs w:val="21"/>
                      <w:highlight w:val="none"/>
                      <w:lang w:val="en-US" w:eastAsia="zh-CN"/>
                    </w:rPr>
                    <w:t>15m排气筒</w:t>
                  </w:r>
                  <w:r>
                    <w:rPr>
                      <w:rFonts w:hint="eastAsia"/>
                      <w:color w:val="auto"/>
                      <w:sz w:val="21"/>
                      <w:szCs w:val="21"/>
                      <w:highlight w:val="none"/>
                      <w:lang w:val="en-US" w:eastAsia="zh-CN"/>
                    </w:rPr>
                    <w:t>达标排放。</w:t>
                  </w:r>
                </w:p>
              </w:tc>
              <w:tc>
                <w:tcPr>
                  <w:tcW w:w="301" w:type="pct"/>
                  <w:tcBorders>
                    <w:top w:val="single" w:color="auto" w:sz="4" w:space="0"/>
                    <w:left w:val="single" w:color="auto" w:sz="4" w:space="0"/>
                    <w:bottom w:val="single" w:color="auto" w:sz="4" w:space="0"/>
                    <w:right w:val="single" w:color="auto" w:sz="4" w:space="0"/>
                  </w:tcBorders>
                  <w:noWrap w:val="0"/>
                  <w:vAlign w:val="center"/>
                </w:tcPr>
                <w:p>
                  <w:pPr>
                    <w:pStyle w:val="66"/>
                    <w:keepNext w:val="0"/>
                    <w:keepLines w:val="0"/>
                    <w:pageBreakBefore w:val="0"/>
                    <w:widowControl w:val="0"/>
                    <w:suppressLineNumbers w:val="0"/>
                    <w:kinsoku/>
                    <w:wordWrap/>
                    <w:overflowPunct/>
                    <w:topLinePunct w:val="0"/>
                    <w:bidi w:val="0"/>
                    <w:snapToGrid/>
                    <w:spacing w:beforeAutospacing="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2"/>
                      <w:sz w:val="21"/>
                      <w:szCs w:val="21"/>
                      <w:highlight w:val="none"/>
                    </w:rPr>
                  </w:pPr>
                  <w:r>
                    <w:rPr>
                      <w:rFonts w:hint="default" w:ascii="Times New Roman" w:hAnsi="Times New Roman" w:eastAsia="宋体" w:cs="Times New Roman"/>
                      <w:b w:val="0"/>
                      <w:bCs w:val="0"/>
                      <w:color w:val="auto"/>
                      <w:kern w:val="2"/>
                      <w:sz w:val="21"/>
                      <w:szCs w:val="21"/>
                      <w:highlight w:val="none"/>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38" w:hRule="atLeast"/>
              </w:trPr>
              <w:tc>
                <w:tcPr>
                  <w:tcW w:w="91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bidi w:val="0"/>
                    <w:snapToGrid/>
                    <w:spacing w:beforeAutospacing="0" w:afterAutospacing="0" w:line="240" w:lineRule="auto"/>
                    <w:ind w:left="0" w:leftChars="0" w:right="0" w:rightChars="0" w:firstLine="0" w:firstLineChars="0"/>
                    <w:jc w:val="center"/>
                    <w:textAlignment w:val="auto"/>
                    <w:rPr>
                      <w:rStyle w:val="27"/>
                      <w:rFonts w:hint="default" w:ascii="Times New Roman" w:hAnsi="Times New Roman" w:eastAsia="宋体" w:cs="Times New Roman"/>
                      <w:color w:val="auto"/>
                      <w:sz w:val="21"/>
                      <w:szCs w:val="21"/>
                      <w:highlight w:val="none"/>
                      <w:lang w:val="en-US" w:eastAsia="zh-CN"/>
                    </w:rPr>
                  </w:pPr>
                  <w:r>
                    <w:rPr>
                      <w:rFonts w:hint="eastAsia"/>
                      <w:color w:val="auto"/>
                      <w:sz w:val="21"/>
                      <w:szCs w:val="21"/>
                      <w:highlight w:val="none"/>
                      <w:lang w:val="en-US" w:eastAsia="zh-CN"/>
                    </w:rPr>
                    <w:t>《挥发性有机物无组织排放控制标准》（GB 37822—2019）</w:t>
                  </w:r>
                </w:p>
              </w:tc>
              <w:tc>
                <w:tcPr>
                  <w:tcW w:w="220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bidi w:val="0"/>
                    <w:snapToGrid/>
                    <w:spacing w:beforeAutospacing="0" w:afterAutospacing="0" w:line="240" w:lineRule="auto"/>
                    <w:ind w:left="0" w:leftChars="0" w:right="0" w:rightChars="0" w:firstLine="0" w:firstLineChars="0"/>
                    <w:jc w:val="both"/>
                    <w:textAlignment w:val="auto"/>
                    <w:rPr>
                      <w:rFonts w:hint="default"/>
                      <w:color w:val="auto"/>
                      <w:sz w:val="21"/>
                      <w:szCs w:val="21"/>
                      <w:highlight w:val="none"/>
                      <w:lang w:val="en-US" w:eastAsia="zh-CN"/>
                    </w:rPr>
                  </w:pPr>
                  <w:r>
                    <w:rPr>
                      <w:rFonts w:hint="default"/>
                      <w:color w:val="auto"/>
                      <w:sz w:val="21"/>
                      <w:szCs w:val="21"/>
                      <w:highlight w:val="none"/>
                      <w:lang w:val="en-US" w:eastAsia="zh-CN"/>
                    </w:rPr>
                    <w:t>有机聚合物产品用于制品生产的过程，在混合/混炼、塑炼/塑化/熔化、加工成型</w:t>
                  </w:r>
                  <w:r>
                    <w:rPr>
                      <w:rFonts w:hint="eastAsia"/>
                      <w:color w:val="auto"/>
                      <w:sz w:val="21"/>
                      <w:szCs w:val="21"/>
                      <w:highlight w:val="none"/>
                      <w:lang w:val="en-US" w:eastAsia="zh-CN"/>
                    </w:rPr>
                    <w:t>（</w:t>
                  </w:r>
                  <w:r>
                    <w:rPr>
                      <w:rFonts w:hint="default"/>
                      <w:color w:val="auto"/>
                      <w:sz w:val="21"/>
                      <w:szCs w:val="21"/>
                      <w:highlight w:val="none"/>
                      <w:lang w:val="en-US" w:eastAsia="zh-CN"/>
                    </w:rPr>
                    <w:t>挤出、注射、压制、压延、发泡、纺丝等</w:t>
                  </w:r>
                  <w:r>
                    <w:rPr>
                      <w:rFonts w:hint="eastAsia"/>
                      <w:color w:val="auto"/>
                      <w:sz w:val="21"/>
                      <w:szCs w:val="21"/>
                      <w:highlight w:val="none"/>
                      <w:lang w:val="en-US" w:eastAsia="zh-CN"/>
                    </w:rPr>
                    <w:t>）</w:t>
                  </w:r>
                  <w:r>
                    <w:rPr>
                      <w:rFonts w:hint="default"/>
                      <w:color w:val="auto"/>
                      <w:sz w:val="21"/>
                      <w:szCs w:val="21"/>
                      <w:highlight w:val="none"/>
                      <w:lang w:val="en-US" w:eastAsia="zh-CN"/>
                    </w:rPr>
                    <w:t>等作业中应采用密闭设备或在密闭空间内操作，废气应排至VOCs废气收集处理系统</w:t>
                  </w:r>
                  <w:r>
                    <w:rPr>
                      <w:rFonts w:hint="eastAsia"/>
                      <w:color w:val="auto"/>
                      <w:sz w:val="21"/>
                      <w:szCs w:val="21"/>
                      <w:highlight w:val="none"/>
                      <w:lang w:val="en-US" w:eastAsia="zh-CN"/>
                    </w:rPr>
                    <w:t>：</w:t>
                  </w:r>
                  <w:r>
                    <w:rPr>
                      <w:rFonts w:hint="default"/>
                      <w:color w:val="auto"/>
                      <w:sz w:val="21"/>
                      <w:szCs w:val="21"/>
                      <w:highlight w:val="none"/>
                      <w:lang w:val="en-US" w:eastAsia="zh-CN"/>
                    </w:rPr>
                    <w:t>无法密闭的，应采取局部气体收集措施，废气应排至VOCs废气收集处理系统。</w:t>
                  </w:r>
                </w:p>
                <w:p>
                  <w:pPr>
                    <w:keepNext w:val="0"/>
                    <w:keepLines w:val="0"/>
                    <w:pageBreakBefore w:val="0"/>
                    <w:widowControl w:val="0"/>
                    <w:suppressLineNumbers w:val="0"/>
                    <w:kinsoku/>
                    <w:wordWrap/>
                    <w:overflowPunct/>
                    <w:topLinePunct w:val="0"/>
                    <w:bidi w:val="0"/>
                    <w:snapToGrid/>
                    <w:spacing w:beforeAutospacing="0" w:afterAutospacing="0" w:line="240" w:lineRule="auto"/>
                    <w:ind w:left="0" w:leftChars="0" w:right="0" w:rightChars="0" w:firstLine="0" w:firstLineChars="0"/>
                    <w:jc w:val="both"/>
                    <w:textAlignment w:val="auto"/>
                    <w:rPr>
                      <w:rFonts w:hint="default"/>
                      <w:color w:val="auto"/>
                      <w:sz w:val="21"/>
                      <w:szCs w:val="21"/>
                      <w:highlight w:val="none"/>
                      <w:lang w:val="en-US" w:eastAsia="zh-CN"/>
                    </w:rPr>
                  </w:pPr>
                  <w:r>
                    <w:rPr>
                      <w:rFonts w:hint="default"/>
                      <w:color w:val="auto"/>
                      <w:sz w:val="21"/>
                      <w:szCs w:val="21"/>
                      <w:highlight w:val="none"/>
                      <w:lang w:val="en-US" w:eastAsia="zh-CN"/>
                    </w:rPr>
                    <w:t>企业应考虑生产工艺、操作方式、废气性质、处理方法等因素，对VOCs废气进行分类收集。</w:t>
                  </w:r>
                </w:p>
                <w:p>
                  <w:pPr>
                    <w:keepNext w:val="0"/>
                    <w:keepLines w:val="0"/>
                    <w:pageBreakBefore w:val="0"/>
                    <w:widowControl w:val="0"/>
                    <w:suppressLineNumbers w:val="0"/>
                    <w:kinsoku/>
                    <w:wordWrap/>
                    <w:overflowPunct/>
                    <w:topLinePunct w:val="0"/>
                    <w:bidi w:val="0"/>
                    <w:snapToGrid/>
                    <w:spacing w:beforeAutospacing="0" w:afterAutospacing="0" w:line="240" w:lineRule="auto"/>
                    <w:ind w:left="0" w:leftChars="0" w:right="0" w:rightChars="0" w:firstLine="0" w:firstLineChars="0"/>
                    <w:jc w:val="both"/>
                    <w:textAlignment w:val="auto"/>
                    <w:rPr>
                      <w:rStyle w:val="27"/>
                      <w:rFonts w:hint="default" w:ascii="Times New Roman" w:hAnsi="Times New Roman" w:eastAsia="宋体" w:cs="Times New Roman"/>
                      <w:color w:val="auto"/>
                      <w:sz w:val="21"/>
                      <w:szCs w:val="21"/>
                      <w:highlight w:val="none"/>
                    </w:rPr>
                  </w:pPr>
                  <w:r>
                    <w:rPr>
                      <w:rFonts w:hint="default"/>
                      <w:color w:val="auto"/>
                      <w:sz w:val="21"/>
                      <w:szCs w:val="21"/>
                      <w:highlight w:val="none"/>
                      <w:lang w:val="en-US" w:eastAsia="zh-CN"/>
                    </w:rPr>
                    <w:t>废气收集系统排风罩</w:t>
                  </w:r>
                  <w:r>
                    <w:rPr>
                      <w:rFonts w:hint="eastAsia"/>
                      <w:color w:val="auto"/>
                      <w:sz w:val="21"/>
                      <w:szCs w:val="21"/>
                      <w:highlight w:val="none"/>
                      <w:lang w:val="en-US" w:eastAsia="zh-CN"/>
                    </w:rPr>
                    <w:t>（</w:t>
                  </w:r>
                  <w:r>
                    <w:rPr>
                      <w:rFonts w:hint="default"/>
                      <w:color w:val="auto"/>
                      <w:sz w:val="21"/>
                      <w:szCs w:val="21"/>
                      <w:highlight w:val="none"/>
                      <w:lang w:val="en-US" w:eastAsia="zh-CN"/>
                    </w:rPr>
                    <w:t>集气罩</w:t>
                  </w:r>
                  <w:r>
                    <w:rPr>
                      <w:rFonts w:hint="eastAsia"/>
                      <w:color w:val="auto"/>
                      <w:sz w:val="21"/>
                      <w:szCs w:val="21"/>
                      <w:highlight w:val="none"/>
                      <w:lang w:val="en-US" w:eastAsia="zh-CN"/>
                    </w:rPr>
                    <w:t>）</w:t>
                  </w:r>
                  <w:r>
                    <w:rPr>
                      <w:rFonts w:hint="default"/>
                      <w:color w:val="auto"/>
                      <w:sz w:val="21"/>
                      <w:szCs w:val="21"/>
                      <w:highlight w:val="none"/>
                      <w:lang w:val="en-US" w:eastAsia="zh-CN"/>
                    </w:rPr>
                    <w:t>的设置应符合GB/T16758的规定。采用外部排风罩的，应按GB</w:t>
                  </w:r>
                  <w:r>
                    <w:rPr>
                      <w:rFonts w:hint="eastAsia"/>
                      <w:color w:val="auto"/>
                      <w:sz w:val="21"/>
                      <w:szCs w:val="21"/>
                      <w:highlight w:val="none"/>
                      <w:lang w:val="en-US" w:eastAsia="zh-CN"/>
                    </w:rPr>
                    <w:t>/</w:t>
                  </w:r>
                  <w:r>
                    <w:rPr>
                      <w:rFonts w:hint="default"/>
                      <w:color w:val="auto"/>
                      <w:sz w:val="21"/>
                      <w:szCs w:val="21"/>
                      <w:highlight w:val="none"/>
                      <w:lang w:val="en-US" w:eastAsia="zh-CN"/>
                    </w:rPr>
                    <w:t>T16758、AO/T4274-2016规定的方法测量控制风速，测量点应选取在距排风罩开口面最远处的VOCs无组织排放位置，控制风速不应低于0</w:t>
                  </w:r>
                  <w:r>
                    <w:rPr>
                      <w:rFonts w:hint="eastAsia"/>
                      <w:color w:val="auto"/>
                      <w:sz w:val="21"/>
                      <w:szCs w:val="21"/>
                      <w:highlight w:val="none"/>
                      <w:lang w:val="en-US" w:eastAsia="zh-CN"/>
                    </w:rPr>
                    <w:t>.</w:t>
                  </w:r>
                  <w:r>
                    <w:rPr>
                      <w:rFonts w:hint="default"/>
                      <w:color w:val="auto"/>
                      <w:sz w:val="21"/>
                      <w:szCs w:val="21"/>
                      <w:highlight w:val="none"/>
                      <w:lang w:val="en-US" w:eastAsia="zh-CN"/>
                    </w:rPr>
                    <w:t>3m</w:t>
                  </w:r>
                  <w:r>
                    <w:rPr>
                      <w:rFonts w:hint="eastAsia"/>
                      <w:color w:val="auto"/>
                      <w:sz w:val="21"/>
                      <w:szCs w:val="21"/>
                      <w:highlight w:val="none"/>
                      <w:lang w:val="en-US" w:eastAsia="zh-CN"/>
                    </w:rPr>
                    <w:t>/</w:t>
                  </w:r>
                  <w:r>
                    <w:rPr>
                      <w:rFonts w:hint="default"/>
                      <w:color w:val="auto"/>
                      <w:sz w:val="21"/>
                      <w:szCs w:val="21"/>
                      <w:highlight w:val="none"/>
                      <w:lang w:val="en-US" w:eastAsia="zh-CN"/>
                    </w:rPr>
                    <w:t>s</w:t>
                  </w:r>
                  <w:r>
                    <w:rPr>
                      <w:rFonts w:hint="eastAsia"/>
                      <w:color w:val="auto"/>
                      <w:sz w:val="21"/>
                      <w:szCs w:val="21"/>
                      <w:highlight w:val="none"/>
                      <w:lang w:val="en-US" w:eastAsia="zh-CN"/>
                    </w:rPr>
                    <w:t>（</w:t>
                  </w:r>
                  <w:r>
                    <w:rPr>
                      <w:rFonts w:hint="default"/>
                      <w:color w:val="auto"/>
                      <w:sz w:val="21"/>
                      <w:szCs w:val="21"/>
                      <w:highlight w:val="none"/>
                      <w:lang w:val="en-US" w:eastAsia="zh-CN"/>
                    </w:rPr>
                    <w:t>行业相关规范有具体规定的，按相关规定执行</w:t>
                  </w:r>
                  <w:r>
                    <w:rPr>
                      <w:rFonts w:hint="eastAsia"/>
                      <w:color w:val="auto"/>
                      <w:sz w:val="21"/>
                      <w:szCs w:val="21"/>
                      <w:highlight w:val="none"/>
                      <w:lang w:val="en-US" w:eastAsia="zh-CN"/>
                    </w:rPr>
                    <w:t>）</w:t>
                  </w:r>
                  <w:r>
                    <w:rPr>
                      <w:rFonts w:hint="default"/>
                      <w:color w:val="auto"/>
                      <w:sz w:val="21"/>
                      <w:szCs w:val="21"/>
                      <w:highlight w:val="none"/>
                      <w:lang w:val="en-US" w:eastAsia="zh-CN"/>
                    </w:rPr>
                    <w:t>。</w:t>
                  </w:r>
                </w:p>
              </w:tc>
              <w:tc>
                <w:tcPr>
                  <w:tcW w:w="157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bidi w:val="0"/>
                    <w:snapToGrid/>
                    <w:spacing w:beforeAutospacing="0" w:afterAutospacing="0" w:line="240" w:lineRule="auto"/>
                    <w:ind w:left="0" w:leftChars="0" w:right="0" w:rightChars="0" w:firstLine="0" w:firstLineChars="0"/>
                    <w:jc w:val="both"/>
                    <w:textAlignment w:val="auto"/>
                    <w:rPr>
                      <w:rFonts w:hint="default" w:ascii="Times New Roman" w:hAnsi="Times New Roman" w:eastAsia="宋体" w:cs="Times New Roman"/>
                      <w:b w:val="0"/>
                      <w:bCs w:val="0"/>
                      <w:color w:val="auto"/>
                      <w:sz w:val="21"/>
                      <w:szCs w:val="21"/>
                      <w:highlight w:val="none"/>
                      <w:lang w:val="en-US"/>
                    </w:rPr>
                  </w:pPr>
                  <w:r>
                    <w:rPr>
                      <w:rFonts w:hint="eastAsia"/>
                      <w:color w:val="auto"/>
                      <w:sz w:val="21"/>
                      <w:szCs w:val="21"/>
                      <w:highlight w:val="none"/>
                      <w:lang w:val="en-US" w:eastAsia="zh-CN"/>
                    </w:rPr>
                    <w:t>本项目生产过程均在全封闭厂房内进行生产，吹瓶、包装设备上方设置集气罩，通过微负压形式收集非甲烷总烃，提高废气的捕集效率；吹瓶工序外部集气罩面积为（1.5</w:t>
                  </w:r>
                  <w:r>
                    <w:rPr>
                      <w:rFonts w:hint="default" w:ascii="Arial" w:hAnsi="Arial" w:cs="Arial"/>
                      <w:color w:val="auto"/>
                      <w:sz w:val="21"/>
                      <w:szCs w:val="21"/>
                      <w:highlight w:val="none"/>
                      <w:lang w:val="en-US" w:eastAsia="zh-CN"/>
                    </w:rPr>
                    <w:t>×</w:t>
                  </w:r>
                  <w:r>
                    <w:rPr>
                      <w:rFonts w:hint="eastAsia"/>
                      <w:color w:val="auto"/>
                      <w:sz w:val="21"/>
                      <w:szCs w:val="21"/>
                      <w:highlight w:val="none"/>
                      <w:lang w:val="en-US" w:eastAsia="zh-CN"/>
                    </w:rPr>
                    <w:t>1.5）m</w:t>
                  </w:r>
                  <w:r>
                    <w:rPr>
                      <w:rFonts w:hint="eastAsia"/>
                      <w:color w:val="auto"/>
                      <w:sz w:val="21"/>
                      <w:szCs w:val="21"/>
                      <w:highlight w:val="none"/>
                      <w:vertAlign w:val="superscript"/>
                      <w:lang w:val="en-US" w:eastAsia="zh-CN"/>
                    </w:rPr>
                    <w:t>2</w:t>
                  </w:r>
                  <w:r>
                    <w:rPr>
                      <w:rFonts w:hint="eastAsia"/>
                      <w:color w:val="auto"/>
                      <w:sz w:val="21"/>
                      <w:szCs w:val="21"/>
                      <w:highlight w:val="none"/>
                      <w:vertAlign w:val="baseline"/>
                      <w:lang w:val="en-US" w:eastAsia="zh-CN"/>
                    </w:rPr>
                    <w:t>，包装工序集气罩面积为</w:t>
                  </w:r>
                  <w:r>
                    <w:rPr>
                      <w:rFonts w:hint="eastAsia"/>
                      <w:color w:val="auto"/>
                      <w:sz w:val="21"/>
                      <w:szCs w:val="21"/>
                      <w:highlight w:val="none"/>
                      <w:lang w:val="en-US" w:eastAsia="zh-CN"/>
                    </w:rPr>
                    <w:t>（0.5</w:t>
                  </w:r>
                  <w:r>
                    <w:rPr>
                      <w:rFonts w:hint="default" w:ascii="Arial" w:hAnsi="Arial" w:cs="Arial"/>
                      <w:color w:val="auto"/>
                      <w:sz w:val="21"/>
                      <w:szCs w:val="21"/>
                      <w:highlight w:val="none"/>
                      <w:lang w:val="en-US" w:eastAsia="zh-CN"/>
                    </w:rPr>
                    <w:t>×</w:t>
                  </w:r>
                  <w:r>
                    <w:rPr>
                      <w:rFonts w:hint="eastAsia"/>
                      <w:color w:val="auto"/>
                      <w:sz w:val="21"/>
                      <w:szCs w:val="21"/>
                      <w:highlight w:val="none"/>
                      <w:lang w:val="en-US" w:eastAsia="zh-CN"/>
                    </w:rPr>
                    <w:t>1.0）m</w:t>
                  </w:r>
                  <w:r>
                    <w:rPr>
                      <w:rFonts w:hint="eastAsia"/>
                      <w:color w:val="auto"/>
                      <w:sz w:val="21"/>
                      <w:szCs w:val="21"/>
                      <w:highlight w:val="none"/>
                      <w:vertAlign w:val="superscript"/>
                      <w:lang w:val="en-US" w:eastAsia="zh-CN"/>
                    </w:rPr>
                    <w:t>2</w:t>
                  </w:r>
                  <w:r>
                    <w:rPr>
                      <w:rFonts w:hint="eastAsia"/>
                      <w:color w:val="auto"/>
                      <w:sz w:val="21"/>
                      <w:szCs w:val="21"/>
                      <w:highlight w:val="none"/>
                      <w:vertAlign w:val="baseline"/>
                      <w:lang w:val="en-US" w:eastAsia="zh-CN"/>
                    </w:rPr>
                    <w:t>集气罩安装位置距离最大控制点为1m，设计风速不小于1m/s，核算风机风量分别为8100m</w:t>
                  </w:r>
                  <w:r>
                    <w:rPr>
                      <w:rFonts w:hint="eastAsia"/>
                      <w:color w:val="auto"/>
                      <w:sz w:val="21"/>
                      <w:szCs w:val="21"/>
                      <w:highlight w:val="none"/>
                      <w:vertAlign w:val="superscript"/>
                      <w:lang w:val="en-US" w:eastAsia="zh-CN"/>
                    </w:rPr>
                    <w:t>3</w:t>
                  </w:r>
                  <w:r>
                    <w:rPr>
                      <w:rFonts w:hint="eastAsia"/>
                      <w:color w:val="auto"/>
                      <w:sz w:val="21"/>
                      <w:szCs w:val="21"/>
                      <w:highlight w:val="none"/>
                      <w:vertAlign w:val="baseline"/>
                      <w:lang w:val="en-US" w:eastAsia="zh-CN"/>
                    </w:rPr>
                    <w:t>/h、1800m</w:t>
                  </w:r>
                  <w:r>
                    <w:rPr>
                      <w:rFonts w:hint="eastAsia"/>
                      <w:color w:val="auto"/>
                      <w:sz w:val="21"/>
                      <w:szCs w:val="21"/>
                      <w:highlight w:val="none"/>
                      <w:vertAlign w:val="superscript"/>
                      <w:lang w:val="en-US" w:eastAsia="zh-CN"/>
                    </w:rPr>
                    <w:t>3</w:t>
                  </w:r>
                  <w:r>
                    <w:rPr>
                      <w:rFonts w:hint="eastAsia"/>
                      <w:color w:val="auto"/>
                      <w:sz w:val="21"/>
                      <w:szCs w:val="21"/>
                      <w:highlight w:val="none"/>
                      <w:vertAlign w:val="baseline"/>
                      <w:lang w:val="en-US" w:eastAsia="zh-CN"/>
                    </w:rPr>
                    <w:t>/h，项目安装的废气治理设施风机风量分别为15000m</w:t>
                  </w:r>
                  <w:r>
                    <w:rPr>
                      <w:rFonts w:hint="eastAsia"/>
                      <w:color w:val="auto"/>
                      <w:sz w:val="21"/>
                      <w:szCs w:val="21"/>
                      <w:highlight w:val="none"/>
                      <w:vertAlign w:val="superscript"/>
                      <w:lang w:val="en-US" w:eastAsia="zh-CN"/>
                    </w:rPr>
                    <w:t>3</w:t>
                  </w:r>
                  <w:r>
                    <w:rPr>
                      <w:rFonts w:hint="eastAsia"/>
                      <w:color w:val="auto"/>
                      <w:sz w:val="21"/>
                      <w:szCs w:val="21"/>
                      <w:highlight w:val="none"/>
                      <w:vertAlign w:val="baseline"/>
                      <w:lang w:val="en-US" w:eastAsia="zh-CN"/>
                    </w:rPr>
                    <w:t>/h、2000m</w:t>
                  </w:r>
                  <w:r>
                    <w:rPr>
                      <w:rFonts w:hint="eastAsia"/>
                      <w:color w:val="auto"/>
                      <w:sz w:val="21"/>
                      <w:szCs w:val="21"/>
                      <w:highlight w:val="none"/>
                      <w:vertAlign w:val="superscript"/>
                      <w:lang w:val="en-US" w:eastAsia="zh-CN"/>
                    </w:rPr>
                    <w:t>3</w:t>
                  </w:r>
                  <w:r>
                    <w:rPr>
                      <w:rFonts w:hint="eastAsia"/>
                      <w:color w:val="auto"/>
                      <w:sz w:val="21"/>
                      <w:szCs w:val="21"/>
                      <w:highlight w:val="none"/>
                      <w:vertAlign w:val="baseline"/>
                      <w:lang w:val="en-US" w:eastAsia="zh-CN"/>
                    </w:rPr>
                    <w:t>/h，符合</w:t>
                  </w:r>
                  <w:r>
                    <w:rPr>
                      <w:rFonts w:hint="default"/>
                      <w:color w:val="auto"/>
                      <w:sz w:val="21"/>
                      <w:szCs w:val="21"/>
                      <w:highlight w:val="none"/>
                      <w:lang w:val="en-US" w:eastAsia="zh-CN"/>
                    </w:rPr>
                    <w:t>控制风速不应低于0</w:t>
                  </w:r>
                  <w:r>
                    <w:rPr>
                      <w:rFonts w:hint="eastAsia"/>
                      <w:color w:val="auto"/>
                      <w:sz w:val="21"/>
                      <w:szCs w:val="21"/>
                      <w:highlight w:val="none"/>
                      <w:lang w:val="en-US" w:eastAsia="zh-CN"/>
                    </w:rPr>
                    <w:t>.</w:t>
                  </w:r>
                  <w:r>
                    <w:rPr>
                      <w:rFonts w:hint="default"/>
                      <w:color w:val="auto"/>
                      <w:sz w:val="21"/>
                      <w:szCs w:val="21"/>
                      <w:highlight w:val="none"/>
                      <w:lang w:val="en-US" w:eastAsia="zh-CN"/>
                    </w:rPr>
                    <w:t>3m</w:t>
                  </w:r>
                  <w:r>
                    <w:rPr>
                      <w:rFonts w:hint="eastAsia"/>
                      <w:color w:val="auto"/>
                      <w:sz w:val="21"/>
                      <w:szCs w:val="21"/>
                      <w:highlight w:val="none"/>
                      <w:lang w:val="en-US" w:eastAsia="zh-CN"/>
                    </w:rPr>
                    <w:t>/</w:t>
                  </w:r>
                  <w:r>
                    <w:rPr>
                      <w:rFonts w:hint="default"/>
                      <w:color w:val="auto"/>
                      <w:sz w:val="21"/>
                      <w:szCs w:val="21"/>
                      <w:highlight w:val="none"/>
                      <w:lang w:val="en-US" w:eastAsia="zh-CN"/>
                    </w:rPr>
                    <w:t>s</w:t>
                  </w:r>
                  <w:r>
                    <w:rPr>
                      <w:rFonts w:hint="eastAsia"/>
                      <w:color w:val="auto"/>
                      <w:sz w:val="21"/>
                      <w:szCs w:val="21"/>
                      <w:highlight w:val="none"/>
                      <w:lang w:val="en-US" w:eastAsia="zh-CN"/>
                    </w:rPr>
                    <w:t>要求</w:t>
                  </w:r>
                </w:p>
              </w:tc>
              <w:tc>
                <w:tcPr>
                  <w:tcW w:w="301" w:type="pct"/>
                  <w:tcBorders>
                    <w:top w:val="single" w:color="auto" w:sz="4" w:space="0"/>
                    <w:left w:val="single" w:color="auto" w:sz="4" w:space="0"/>
                    <w:bottom w:val="single" w:color="auto" w:sz="4" w:space="0"/>
                    <w:right w:val="single" w:color="auto" w:sz="4" w:space="0"/>
                  </w:tcBorders>
                  <w:noWrap w:val="0"/>
                  <w:vAlign w:val="center"/>
                </w:tcPr>
                <w:p>
                  <w:pPr>
                    <w:pStyle w:val="66"/>
                    <w:keepNext w:val="0"/>
                    <w:keepLines w:val="0"/>
                    <w:pageBreakBefore w:val="0"/>
                    <w:widowControl w:val="0"/>
                    <w:suppressLineNumbers w:val="0"/>
                    <w:kinsoku/>
                    <w:wordWrap/>
                    <w:overflowPunct/>
                    <w:topLinePunct w:val="0"/>
                    <w:bidi w:val="0"/>
                    <w:snapToGrid/>
                    <w:spacing w:beforeAutospacing="0" w:afterAutospacing="0" w:line="240" w:lineRule="auto"/>
                    <w:ind w:left="0" w:leftChars="0" w:right="0" w:rightChars="0" w:firstLine="0" w:firstLineChars="0"/>
                    <w:jc w:val="center"/>
                    <w:textAlignment w:val="auto"/>
                    <w:rPr>
                      <w:rFonts w:hint="eastAsia" w:ascii="Times New Roman" w:hAnsi="Times New Roman" w:eastAsia="宋体" w:cs="Times New Roman"/>
                      <w:b w:val="0"/>
                      <w:bCs w:val="0"/>
                      <w:color w:val="auto"/>
                      <w:kern w:val="2"/>
                      <w:sz w:val="21"/>
                      <w:szCs w:val="21"/>
                      <w:highlight w:val="none"/>
                      <w:lang w:val="en-US" w:eastAsia="zh-CN"/>
                    </w:rPr>
                  </w:pPr>
                  <w:r>
                    <w:rPr>
                      <w:rFonts w:hint="eastAsia" w:ascii="Times New Roman" w:cs="Times New Roman"/>
                      <w:b w:val="0"/>
                      <w:bCs w:val="0"/>
                      <w:color w:val="auto"/>
                      <w:kern w:val="2"/>
                      <w:sz w:val="21"/>
                      <w:szCs w:val="21"/>
                      <w:highlight w:val="none"/>
                      <w:lang w:val="en-US" w:eastAsia="zh-CN"/>
                    </w:rPr>
                    <w:t>符合</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736" w:hRule="atLeast"/>
              </w:trPr>
              <w:tc>
                <w:tcPr>
                  <w:tcW w:w="916"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bidi w:val="0"/>
                    <w:snapToGrid/>
                    <w:spacing w:beforeAutospacing="0" w:afterAutospacing="0" w:line="240" w:lineRule="auto"/>
                    <w:ind w:right="0" w:rightChars="0" w:firstLine="0" w:firstLineChars="0"/>
                    <w:jc w:val="both"/>
                    <w:textAlignment w:val="auto"/>
                    <w:rPr>
                      <w:rFonts w:hint="eastAsia"/>
                      <w:color w:val="auto"/>
                      <w:sz w:val="21"/>
                      <w:szCs w:val="21"/>
                      <w:highlight w:val="none"/>
                      <w:lang w:val="en-US" w:eastAsia="zh-CN"/>
                    </w:rPr>
                  </w:pPr>
                  <w:r>
                    <w:rPr>
                      <w:rFonts w:hint="eastAsia" w:eastAsia="宋体"/>
                      <w:color w:val="auto"/>
                      <w:sz w:val="21"/>
                      <w:szCs w:val="21"/>
                      <w:highlight w:val="none"/>
                      <w:lang w:val="en-US" w:eastAsia="zh-CN"/>
                    </w:rPr>
                    <w:t>《挥发性有机物（VOCs）污染防治技术政策》（公告2013年第31号）</w:t>
                  </w:r>
                </w:p>
              </w:tc>
              <w:tc>
                <w:tcPr>
                  <w:tcW w:w="2209"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bidi w:val="0"/>
                    <w:snapToGrid/>
                    <w:spacing w:beforeAutospacing="0" w:afterAutospacing="0" w:line="240" w:lineRule="auto"/>
                    <w:ind w:left="0" w:leftChars="0" w:right="0" w:rightChars="0" w:firstLine="0" w:firstLineChars="0"/>
                    <w:jc w:val="both"/>
                    <w:textAlignment w:val="auto"/>
                    <w:rPr>
                      <w:rFonts w:hint="eastAsia" w:eastAsia="宋体"/>
                      <w:color w:val="auto"/>
                      <w:sz w:val="21"/>
                      <w:szCs w:val="21"/>
                      <w:highlight w:val="none"/>
                      <w:lang w:val="en-US" w:eastAsia="zh-CN"/>
                    </w:rPr>
                  </w:pPr>
                  <w:r>
                    <w:rPr>
                      <w:rFonts w:hint="eastAsia" w:eastAsia="宋体"/>
                      <w:color w:val="auto"/>
                      <w:sz w:val="21"/>
                      <w:szCs w:val="21"/>
                      <w:highlight w:val="none"/>
                      <w:lang w:val="en-US" w:eastAsia="zh-CN"/>
                    </w:rPr>
                    <w:t>1.在工业生产过程中鼓励VOCs的回收利用，并优先鼓励在生产系统内回用。</w:t>
                  </w:r>
                </w:p>
                <w:p>
                  <w:pPr>
                    <w:keepNext w:val="0"/>
                    <w:keepLines w:val="0"/>
                    <w:pageBreakBefore w:val="0"/>
                    <w:widowControl w:val="0"/>
                    <w:suppressLineNumbers w:val="0"/>
                    <w:kinsoku/>
                    <w:wordWrap/>
                    <w:overflowPunct/>
                    <w:topLinePunct w:val="0"/>
                    <w:bidi w:val="0"/>
                    <w:snapToGrid/>
                    <w:spacing w:beforeAutospacing="0" w:afterAutospacing="0" w:line="240" w:lineRule="auto"/>
                    <w:ind w:left="0" w:leftChars="0" w:right="0" w:rightChars="0" w:firstLine="0" w:firstLineChars="0"/>
                    <w:jc w:val="both"/>
                    <w:textAlignment w:val="auto"/>
                    <w:rPr>
                      <w:rFonts w:hint="eastAsia" w:eastAsia="宋体"/>
                      <w:color w:val="auto"/>
                      <w:sz w:val="21"/>
                      <w:szCs w:val="21"/>
                      <w:highlight w:val="none"/>
                      <w:lang w:val="en-US" w:eastAsia="zh-CN"/>
                    </w:rPr>
                  </w:pPr>
                  <w:r>
                    <w:rPr>
                      <w:rFonts w:hint="eastAsia" w:eastAsia="宋体"/>
                      <w:color w:val="auto"/>
                      <w:sz w:val="21"/>
                      <w:szCs w:val="21"/>
                      <w:highlight w:val="none"/>
                      <w:lang w:val="en-US" w:eastAsia="zh-CN"/>
                    </w:rPr>
                    <w:t>2.对于含低浓度VOCs的废气，有回收价值时可采用吸附技术、吸收技术对有机溶剂回收后达标排放；不宜回收时，可采用吸附浓缩燃烧技术、生物技术、吸收技术、等离子体技术或紫外光高级氧化技术等净化后达标排放。</w:t>
                  </w:r>
                </w:p>
                <w:p>
                  <w:pPr>
                    <w:keepNext w:val="0"/>
                    <w:keepLines w:val="0"/>
                    <w:pageBreakBefore w:val="0"/>
                    <w:widowControl w:val="0"/>
                    <w:suppressLineNumbers w:val="0"/>
                    <w:kinsoku/>
                    <w:wordWrap/>
                    <w:overflowPunct/>
                    <w:topLinePunct w:val="0"/>
                    <w:bidi w:val="0"/>
                    <w:snapToGrid/>
                    <w:spacing w:beforeAutospacing="0" w:afterAutospacing="0" w:line="240" w:lineRule="auto"/>
                    <w:ind w:left="0" w:leftChars="0" w:right="0" w:rightChars="0" w:firstLine="0" w:firstLineChars="0"/>
                    <w:jc w:val="both"/>
                    <w:textAlignment w:val="auto"/>
                    <w:rPr>
                      <w:rFonts w:hint="eastAsia" w:eastAsia="宋体"/>
                      <w:color w:val="auto"/>
                      <w:sz w:val="21"/>
                      <w:szCs w:val="21"/>
                      <w:highlight w:val="none"/>
                      <w:lang w:val="en-US" w:eastAsia="zh-CN"/>
                    </w:rPr>
                  </w:pPr>
                  <w:r>
                    <w:rPr>
                      <w:rFonts w:hint="eastAsia" w:eastAsia="宋体"/>
                      <w:color w:val="auto"/>
                      <w:sz w:val="21"/>
                      <w:szCs w:val="21"/>
                      <w:highlight w:val="none"/>
                      <w:lang w:val="en-US" w:eastAsia="zh-CN"/>
                    </w:rPr>
                    <w:t>3.严格控制VOCs处理过程中产生的二次污染，对于催化燃烧和热力焚烧过程中产生的含硫、氮、氯等无机废气，以及吸附、吸收、冷凝、生物等治理过程中所产生的含有机物废水，应处理后达标排放。</w:t>
                  </w:r>
                </w:p>
                <w:p>
                  <w:pPr>
                    <w:keepNext w:val="0"/>
                    <w:keepLines w:val="0"/>
                    <w:pageBreakBefore w:val="0"/>
                    <w:widowControl w:val="0"/>
                    <w:suppressLineNumbers w:val="0"/>
                    <w:kinsoku/>
                    <w:wordWrap/>
                    <w:overflowPunct/>
                    <w:topLinePunct w:val="0"/>
                    <w:bidi w:val="0"/>
                    <w:snapToGrid/>
                    <w:spacing w:beforeAutospacing="0" w:afterAutospacing="0" w:line="240" w:lineRule="auto"/>
                    <w:ind w:left="0" w:leftChars="0" w:right="0" w:rightChars="0" w:firstLine="0" w:firstLineChars="0"/>
                    <w:jc w:val="both"/>
                    <w:textAlignment w:val="auto"/>
                    <w:rPr>
                      <w:rFonts w:hint="default" w:eastAsia="宋体"/>
                      <w:color w:val="auto"/>
                      <w:sz w:val="21"/>
                      <w:szCs w:val="21"/>
                      <w:highlight w:val="none"/>
                      <w:lang w:val="en-US" w:eastAsia="zh-CN"/>
                    </w:rPr>
                  </w:pPr>
                  <w:r>
                    <w:rPr>
                      <w:rFonts w:hint="eastAsia" w:eastAsia="宋体"/>
                      <w:color w:val="auto"/>
                      <w:sz w:val="21"/>
                      <w:szCs w:val="21"/>
                      <w:highlight w:val="none"/>
                      <w:lang w:val="en-US" w:eastAsia="zh-CN"/>
                    </w:rPr>
                    <w:t>4.对于不能再生的过滤材料、吸附剂及催化剂等净化材料，应按照国家固体废物管理的相关规定处理处置。</w:t>
                  </w:r>
                </w:p>
              </w:tc>
              <w:tc>
                <w:tcPr>
                  <w:tcW w:w="1572" w:type="pct"/>
                  <w:tcBorders>
                    <w:top w:val="single" w:color="auto" w:sz="4" w:space="0"/>
                    <w:left w:val="single" w:color="auto" w:sz="4" w:space="0"/>
                    <w:bottom w:val="single" w:color="auto" w:sz="4" w:space="0"/>
                    <w:right w:val="single" w:color="auto" w:sz="4" w:space="0"/>
                  </w:tcBorders>
                  <w:noWrap w:val="0"/>
                  <w:vAlign w:val="center"/>
                </w:tcPr>
                <w:p>
                  <w:pPr>
                    <w:keepNext w:val="0"/>
                    <w:keepLines w:val="0"/>
                    <w:pageBreakBefore w:val="0"/>
                    <w:widowControl w:val="0"/>
                    <w:suppressLineNumbers w:val="0"/>
                    <w:kinsoku/>
                    <w:wordWrap/>
                    <w:overflowPunct/>
                    <w:topLinePunct w:val="0"/>
                    <w:bidi w:val="0"/>
                    <w:snapToGrid/>
                    <w:spacing w:beforeAutospacing="0" w:afterAutospacing="0" w:line="240" w:lineRule="auto"/>
                    <w:ind w:left="0" w:leftChars="0" w:right="0" w:rightChars="0" w:firstLine="0" w:firstLineChars="0"/>
                    <w:jc w:val="both"/>
                    <w:textAlignment w:val="auto"/>
                    <w:rPr>
                      <w:rFonts w:hint="eastAsia" w:eastAsia="宋体"/>
                      <w:color w:val="auto"/>
                      <w:sz w:val="21"/>
                      <w:szCs w:val="21"/>
                      <w:highlight w:val="none"/>
                      <w:lang w:val="en-US" w:eastAsia="zh-CN"/>
                    </w:rPr>
                  </w:pPr>
                  <w:r>
                    <w:rPr>
                      <w:rFonts w:hint="default" w:eastAsia="宋体"/>
                      <w:color w:val="auto"/>
                      <w:sz w:val="21"/>
                      <w:szCs w:val="21"/>
                      <w:highlight w:val="none"/>
                      <w:lang w:val="en-US" w:eastAsia="zh-CN"/>
                    </w:rPr>
                    <w:t>本项目在</w:t>
                  </w:r>
                  <w:r>
                    <w:rPr>
                      <w:rFonts w:hint="eastAsia" w:eastAsia="宋体"/>
                      <w:color w:val="auto"/>
                      <w:sz w:val="21"/>
                      <w:szCs w:val="21"/>
                      <w:highlight w:val="none"/>
                      <w:lang w:val="en-US" w:eastAsia="zh-CN"/>
                    </w:rPr>
                    <w:t>吹瓶、包装设备上方</w:t>
                  </w:r>
                  <w:r>
                    <w:rPr>
                      <w:rFonts w:hint="default" w:eastAsia="宋体"/>
                      <w:color w:val="auto"/>
                      <w:sz w:val="21"/>
                      <w:szCs w:val="21"/>
                      <w:highlight w:val="none"/>
                      <w:lang w:val="en-US" w:eastAsia="zh-CN"/>
                    </w:rPr>
                    <w:t>设置集气</w:t>
                  </w:r>
                  <w:r>
                    <w:rPr>
                      <w:rFonts w:hint="eastAsia" w:eastAsia="宋体"/>
                      <w:color w:val="auto"/>
                      <w:sz w:val="21"/>
                      <w:szCs w:val="21"/>
                      <w:highlight w:val="none"/>
                      <w:lang w:val="en-US" w:eastAsia="zh-CN"/>
                    </w:rPr>
                    <w:t>罩</w:t>
                  </w:r>
                  <w:r>
                    <w:rPr>
                      <w:rFonts w:hint="default" w:eastAsia="宋体"/>
                      <w:color w:val="auto"/>
                      <w:sz w:val="21"/>
                      <w:szCs w:val="21"/>
                      <w:highlight w:val="none"/>
                      <w:lang w:val="en-US" w:eastAsia="zh-CN"/>
                    </w:rPr>
                    <w:t>，</w:t>
                  </w:r>
                  <w:r>
                    <w:rPr>
                      <w:rFonts w:hint="eastAsia" w:eastAsia="宋体"/>
                      <w:color w:val="auto"/>
                      <w:sz w:val="21"/>
                      <w:szCs w:val="21"/>
                      <w:highlight w:val="none"/>
                      <w:lang w:val="en-US" w:eastAsia="zh-CN"/>
                    </w:rPr>
                    <w:t>废气</w:t>
                  </w:r>
                  <w:r>
                    <w:rPr>
                      <w:rFonts w:hint="default" w:eastAsia="宋体"/>
                      <w:color w:val="auto"/>
                      <w:sz w:val="21"/>
                      <w:szCs w:val="21"/>
                      <w:highlight w:val="none"/>
                      <w:lang w:val="en-US" w:eastAsia="zh-CN"/>
                    </w:rPr>
                    <w:t>经</w:t>
                  </w:r>
                  <w:r>
                    <w:rPr>
                      <w:rFonts w:hint="eastAsia" w:eastAsia="宋体"/>
                      <w:color w:val="auto"/>
                      <w:sz w:val="21"/>
                      <w:szCs w:val="21"/>
                      <w:highlight w:val="none"/>
                      <w:lang w:val="en-US" w:eastAsia="zh-CN"/>
                    </w:rPr>
                    <w:t>二级</w:t>
                  </w:r>
                  <w:r>
                    <w:rPr>
                      <w:rFonts w:hint="default" w:eastAsia="宋体"/>
                      <w:color w:val="auto"/>
                      <w:sz w:val="21"/>
                      <w:szCs w:val="21"/>
                      <w:highlight w:val="none"/>
                      <w:lang w:val="en-US" w:eastAsia="zh-CN"/>
                    </w:rPr>
                    <w:t>活性炭吸附装置进行处理，最终通过15m排气筒排放，可以达标排放。活性炭吸附过程中产生的废活性炭，收集后暂存在危险废物贮存点，定期交由有资质的单位处置。符合《危险废物贮存污染控制标准》（GB</w:t>
                  </w:r>
                  <w:r>
                    <w:rPr>
                      <w:rFonts w:hint="eastAsia" w:eastAsia="宋体"/>
                      <w:color w:val="auto"/>
                      <w:sz w:val="21"/>
                      <w:szCs w:val="21"/>
                      <w:highlight w:val="none"/>
                      <w:lang w:val="en-US" w:eastAsia="zh-CN"/>
                    </w:rPr>
                    <w:t xml:space="preserve"> </w:t>
                  </w:r>
                  <w:r>
                    <w:rPr>
                      <w:rFonts w:hint="default" w:eastAsia="宋体"/>
                      <w:color w:val="auto"/>
                      <w:sz w:val="21"/>
                      <w:szCs w:val="21"/>
                      <w:highlight w:val="none"/>
                      <w:lang w:val="en-US" w:eastAsia="zh-CN"/>
                    </w:rPr>
                    <w:t>18597-2023）相关规定。</w:t>
                  </w:r>
                </w:p>
              </w:tc>
              <w:tc>
                <w:tcPr>
                  <w:tcW w:w="301" w:type="pct"/>
                  <w:tcBorders>
                    <w:top w:val="single" w:color="auto" w:sz="4" w:space="0"/>
                    <w:left w:val="single" w:color="auto" w:sz="4" w:space="0"/>
                    <w:bottom w:val="single" w:color="auto" w:sz="4" w:space="0"/>
                    <w:right w:val="single" w:color="auto" w:sz="4" w:space="0"/>
                  </w:tcBorders>
                  <w:noWrap w:val="0"/>
                  <w:vAlign w:val="center"/>
                </w:tcPr>
                <w:p>
                  <w:pPr>
                    <w:pStyle w:val="66"/>
                    <w:keepNext w:val="0"/>
                    <w:keepLines w:val="0"/>
                    <w:pageBreakBefore w:val="0"/>
                    <w:widowControl w:val="0"/>
                    <w:suppressLineNumbers w:val="0"/>
                    <w:kinsoku/>
                    <w:wordWrap/>
                    <w:overflowPunct/>
                    <w:topLinePunct w:val="0"/>
                    <w:bidi w:val="0"/>
                    <w:snapToGrid/>
                    <w:spacing w:beforeAutospacing="0" w:afterAutospacing="0" w:line="240" w:lineRule="auto"/>
                    <w:ind w:left="0" w:leftChars="0" w:right="0" w:rightChars="0" w:firstLine="0" w:firstLineChars="0"/>
                    <w:jc w:val="center"/>
                    <w:textAlignment w:val="auto"/>
                    <w:rPr>
                      <w:rFonts w:hint="eastAsia" w:ascii="Times New Roman" w:hAnsi="Times New Roman" w:eastAsia="宋体" w:cs="Times New Roman"/>
                      <w:b w:val="0"/>
                      <w:bCs w:val="0"/>
                      <w:color w:val="auto"/>
                      <w:kern w:val="2"/>
                      <w:sz w:val="21"/>
                      <w:szCs w:val="21"/>
                      <w:highlight w:val="none"/>
                      <w:lang w:val="en-US" w:eastAsia="zh-CN"/>
                    </w:rPr>
                  </w:pPr>
                  <w:r>
                    <w:rPr>
                      <w:rFonts w:hint="eastAsia" w:ascii="Times New Roman" w:cs="Times New Roman"/>
                      <w:b w:val="0"/>
                      <w:bCs w:val="0"/>
                      <w:color w:val="auto"/>
                      <w:kern w:val="2"/>
                      <w:sz w:val="21"/>
                      <w:szCs w:val="21"/>
                      <w:highlight w:val="none"/>
                      <w:lang w:val="en-US" w:eastAsia="zh-CN"/>
                    </w:rPr>
                    <w:t>符合</w:t>
                  </w:r>
                </w:p>
              </w:tc>
            </w:tr>
          </w:tbl>
          <w:p>
            <w:pPr>
              <w:autoSpaceDE w:val="0"/>
              <w:autoSpaceDN w:val="0"/>
              <w:adjustRightInd w:val="0"/>
              <w:snapToGrid w:val="0"/>
              <w:jc w:val="both"/>
              <w:rPr>
                <w:rFonts w:ascii="宋体" w:hAnsi="宋体" w:cs="宋体"/>
                <w:color w:val="auto"/>
                <w:kern w:val="0"/>
                <w:sz w:val="21"/>
                <w:szCs w:val="21"/>
                <w:highlight w:val="none"/>
              </w:rPr>
            </w:pPr>
          </w:p>
        </w:tc>
      </w:tr>
    </w:tbl>
    <w:p>
      <w:pPr>
        <w:spacing w:line="360" w:lineRule="auto"/>
        <w:outlineLvl w:val="0"/>
        <w:rPr>
          <w:rFonts w:eastAsia="黑体"/>
          <w:color w:val="auto"/>
          <w:sz w:val="30"/>
          <w:highlight w:val="none"/>
        </w:rPr>
        <w:sectPr>
          <w:footerReference r:id="rId5" w:type="default"/>
          <w:pgSz w:w="11906" w:h="16838"/>
          <w:pgMar w:top="1701" w:right="1531" w:bottom="1701" w:left="1531" w:header="851" w:footer="1077" w:gutter="0"/>
          <w:pgNumType w:start="1"/>
          <w:cols w:space="720" w:num="1"/>
          <w:docGrid w:linePitch="312" w:charSpace="0"/>
        </w:sectPr>
      </w:pPr>
    </w:p>
    <w:p>
      <w:pPr>
        <w:pStyle w:val="18"/>
        <w:jc w:val="center"/>
        <w:outlineLvl w:val="0"/>
        <w:rPr>
          <w:rFonts w:ascii="黑体" w:hAnsi="黑体" w:eastAsia="黑体"/>
          <w:snapToGrid w:val="0"/>
          <w:color w:val="auto"/>
          <w:sz w:val="30"/>
          <w:szCs w:val="30"/>
          <w:highlight w:val="none"/>
        </w:rPr>
      </w:pPr>
      <w:r>
        <w:rPr>
          <w:rFonts w:hint="eastAsia" w:ascii="黑体" w:hAnsi="黑体" w:eastAsia="黑体"/>
          <w:snapToGrid w:val="0"/>
          <w:color w:val="auto"/>
          <w:sz w:val="30"/>
          <w:szCs w:val="30"/>
          <w:highlight w:val="none"/>
        </w:rPr>
        <w:t>二、建设项目工程分析</w:t>
      </w:r>
    </w:p>
    <w:tbl>
      <w:tblPr>
        <w:tblStyle w:val="21"/>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29"/>
        <w:gridCol w:w="8331"/>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90" w:hRule="atLeast"/>
          <w:jc w:val="center"/>
        </w:trPr>
        <w:tc>
          <w:tcPr>
            <w:tcW w:w="729" w:type="dxa"/>
            <w:noWrap w:val="0"/>
            <w:vAlign w:val="center"/>
          </w:tcPr>
          <w:p>
            <w:pPr>
              <w:pStyle w:val="18"/>
              <w:adjustRightInd w:val="0"/>
              <w:snapToGrid w:val="0"/>
              <w:spacing w:before="0" w:beforeAutospacing="0" w:after="0" w:afterAutospacing="0"/>
              <w:jc w:val="center"/>
              <w:rPr>
                <w:rFonts w:cs="宋体"/>
                <w:color w:val="auto"/>
                <w:sz w:val="21"/>
                <w:szCs w:val="21"/>
                <w:highlight w:val="none"/>
              </w:rPr>
            </w:pPr>
            <w:r>
              <w:rPr>
                <w:rFonts w:hint="eastAsia" w:cs="宋体"/>
                <w:color w:val="auto"/>
                <w:sz w:val="21"/>
                <w:szCs w:val="21"/>
                <w:highlight w:val="none"/>
              </w:rPr>
              <w:t>建设内容</w:t>
            </w:r>
          </w:p>
        </w:tc>
        <w:tc>
          <w:tcPr>
            <w:tcW w:w="8331" w:type="dxa"/>
            <w:noWrap w:val="0"/>
            <w:vAlign w:val="top"/>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b/>
                <w:bCs/>
                <w:color w:val="auto"/>
                <w:sz w:val="21"/>
                <w:szCs w:val="21"/>
                <w:highlight w:val="none"/>
                <w:lang w:eastAsia="zh-CN"/>
              </w:rPr>
            </w:pPr>
            <w:r>
              <w:rPr>
                <w:rFonts w:hint="default" w:ascii="Times New Roman" w:hAnsi="Times New Roman" w:cs="Times New Roman"/>
                <w:b/>
                <w:bCs/>
                <w:color w:val="auto"/>
                <w:sz w:val="21"/>
                <w:szCs w:val="21"/>
                <w:highlight w:val="none"/>
                <w:lang w:val="en-US" w:eastAsia="zh-CN"/>
              </w:rPr>
              <w:t>一、</w:t>
            </w:r>
            <w:r>
              <w:rPr>
                <w:rFonts w:hint="default" w:ascii="Times New Roman" w:hAnsi="Times New Roman" w:eastAsia="宋体" w:cs="Times New Roman"/>
                <w:b/>
                <w:bCs/>
                <w:color w:val="auto"/>
                <w:sz w:val="21"/>
                <w:szCs w:val="21"/>
                <w:highlight w:val="none"/>
                <w:lang w:eastAsia="zh-CN"/>
              </w:rPr>
              <w:t>项目由来</w:t>
            </w:r>
          </w:p>
          <w:p>
            <w:pPr>
              <w:pStyle w:val="16"/>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目前，饮料行业在中国呈现出快速发展的态势。随着居民消费能力的稳步提升、健康消费理念的深入普及以及消费场景的不断细分，饮料市场规模实现逐年扩容。为</w:t>
            </w:r>
            <w:r>
              <w:rPr>
                <w:rFonts w:hint="default" w:ascii="Times New Roman" w:hAnsi="Times New Roman" w:cs="Times New Roman"/>
                <w:color w:val="auto"/>
                <w:sz w:val="21"/>
                <w:szCs w:val="21"/>
                <w:highlight w:val="none"/>
                <w:lang w:val="en-US" w:eastAsia="zh-CN"/>
              </w:rPr>
              <w:t>满足市场需求，</w:t>
            </w:r>
            <w:r>
              <w:rPr>
                <w:rFonts w:hint="default" w:ascii="Times New Roman" w:hAnsi="Times New Roman" w:eastAsia="宋体" w:cs="Times New Roman"/>
                <w:color w:val="auto"/>
                <w:sz w:val="21"/>
                <w:szCs w:val="21"/>
                <w:highlight w:val="none"/>
                <w:lang w:val="en-US" w:eastAsia="zh-CN"/>
              </w:rPr>
              <w:t>巴州原始食品有限公司</w:t>
            </w:r>
            <w:r>
              <w:rPr>
                <w:rFonts w:hint="default" w:ascii="Times New Roman" w:hAnsi="Times New Roman" w:cs="Times New Roman"/>
                <w:color w:val="auto"/>
                <w:sz w:val="21"/>
                <w:szCs w:val="21"/>
                <w:highlight w:val="none"/>
                <w:lang w:val="en-US" w:eastAsia="zh-CN"/>
              </w:rPr>
              <w:t>拟投资5000万元，依托新疆丰富的林果资源优势，在新疆维吾尔自治区巴音郭楞蒙古自治州库尔勒经济技术开发区友谊路南侧、园中苑路西侧新建“巴州原始食品有限公司农产品精深加工（香梨）NFC鲜榨果汁建设项目”</w:t>
            </w:r>
            <w:r>
              <w:rPr>
                <w:rFonts w:hint="default" w:ascii="Times New Roman" w:hAnsi="Times New Roman" w:eastAsia="宋体"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该项目</w:t>
            </w:r>
            <w:r>
              <w:rPr>
                <w:rFonts w:hint="default" w:ascii="Times New Roman" w:hAnsi="Times New Roman" w:eastAsia="宋体" w:cs="Times New Roman"/>
                <w:color w:val="auto"/>
                <w:sz w:val="21"/>
                <w:szCs w:val="21"/>
                <w:highlight w:val="none"/>
                <w:lang w:val="en-US" w:eastAsia="zh-CN"/>
              </w:rPr>
              <w:t>总建筑面积8340m</w:t>
            </w:r>
            <w:r>
              <w:rPr>
                <w:rFonts w:hint="default" w:ascii="Times New Roman" w:hAnsi="Times New Roman" w:cs="Times New Roman"/>
                <w:color w:val="auto"/>
                <w:sz w:val="21"/>
                <w:szCs w:val="21"/>
                <w:highlight w:val="none"/>
                <w:vertAlign w:val="superscript"/>
                <w:lang w:val="en-US" w:eastAsia="zh-CN"/>
              </w:rPr>
              <w:t>2</w:t>
            </w:r>
            <w:r>
              <w:rPr>
                <w:rFonts w:hint="default" w:ascii="Times New Roman" w:hAnsi="Times New Roman" w:eastAsia="宋体" w:cs="Times New Roman"/>
                <w:color w:val="auto"/>
                <w:sz w:val="21"/>
                <w:szCs w:val="21"/>
                <w:highlight w:val="none"/>
                <w:lang w:val="en-US" w:eastAsia="zh-CN"/>
              </w:rPr>
              <w:t>，其中办公楼3层1962.36m</w:t>
            </w:r>
            <w:r>
              <w:rPr>
                <w:rFonts w:hint="default" w:ascii="Times New Roman" w:hAnsi="Times New Roman" w:cs="Times New Roman"/>
                <w:color w:val="auto"/>
                <w:sz w:val="21"/>
                <w:szCs w:val="21"/>
                <w:highlight w:val="none"/>
                <w:vertAlign w:val="superscript"/>
                <w:lang w:val="en-US" w:eastAsia="zh-CN"/>
              </w:rPr>
              <w:t>2</w:t>
            </w:r>
            <w:r>
              <w:rPr>
                <w:rFonts w:hint="default" w:ascii="Times New Roman" w:hAnsi="Times New Roman" w:eastAsia="宋体" w:cs="Times New Roman"/>
                <w:color w:val="auto"/>
                <w:sz w:val="21"/>
                <w:szCs w:val="21"/>
                <w:highlight w:val="none"/>
                <w:lang w:val="en-US" w:eastAsia="zh-CN"/>
              </w:rPr>
              <w:t>，生产车间6377.65m</w:t>
            </w:r>
            <w:r>
              <w:rPr>
                <w:rFonts w:hint="default" w:ascii="Times New Roman" w:hAnsi="Times New Roman" w:cs="Times New Roman"/>
                <w:color w:val="auto"/>
                <w:sz w:val="21"/>
                <w:szCs w:val="21"/>
                <w:highlight w:val="none"/>
                <w:vertAlign w:val="superscript"/>
                <w:lang w:val="en-US" w:eastAsia="zh-CN"/>
              </w:rPr>
              <w:t>2</w:t>
            </w:r>
            <w:r>
              <w:rPr>
                <w:rFonts w:hint="default" w:ascii="Times New Roman" w:hAnsi="Times New Roman"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购置水果清洗、压榨、打浆、果汁调配、杀菌、果汁无菌灌装线及包装</w:t>
            </w:r>
            <w:r>
              <w:rPr>
                <w:rFonts w:hint="eastAsia"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PET瓶吹塑设备，建设</w:t>
            </w:r>
            <w:r>
              <w:rPr>
                <w:rFonts w:hint="default" w:ascii="Times New Roman" w:hAnsi="Times New Roman" w:cs="Times New Roman"/>
                <w:color w:val="auto"/>
                <w:sz w:val="21"/>
                <w:szCs w:val="21"/>
                <w:highlight w:val="none"/>
                <w:lang w:val="en-US" w:eastAsia="zh-CN"/>
              </w:rPr>
              <w:t>果汁</w:t>
            </w:r>
            <w:r>
              <w:rPr>
                <w:rFonts w:hint="default" w:ascii="Times New Roman" w:hAnsi="Times New Roman" w:eastAsia="宋体" w:cs="Times New Roman"/>
                <w:color w:val="auto"/>
                <w:sz w:val="21"/>
                <w:szCs w:val="21"/>
                <w:highlight w:val="none"/>
                <w:lang w:val="en-US" w:eastAsia="zh-CN"/>
              </w:rPr>
              <w:t>饮料、</w:t>
            </w:r>
            <w:r>
              <w:rPr>
                <w:rFonts w:hint="default" w:ascii="Times New Roman" w:hAnsi="Times New Roman" w:cs="Times New Roman"/>
                <w:color w:val="auto"/>
                <w:sz w:val="21"/>
                <w:szCs w:val="21"/>
                <w:highlight w:val="none"/>
                <w:lang w:val="en-US" w:eastAsia="zh-CN"/>
              </w:rPr>
              <w:t>碳酸饮料</w:t>
            </w:r>
            <w:r>
              <w:rPr>
                <w:rFonts w:hint="default" w:ascii="Times New Roman" w:hAnsi="Times New Roman" w:eastAsia="宋体" w:cs="Times New Roman"/>
                <w:color w:val="auto"/>
                <w:sz w:val="21"/>
                <w:szCs w:val="21"/>
                <w:highlight w:val="none"/>
                <w:lang w:val="en-US" w:eastAsia="zh-CN"/>
              </w:rPr>
              <w:t>、包装饮用水、P</w:t>
            </w:r>
            <w:r>
              <w:rPr>
                <w:rFonts w:hint="default" w:ascii="Times New Roman" w:hAnsi="Times New Roman" w:cs="Times New Roman"/>
                <w:color w:val="auto"/>
                <w:sz w:val="21"/>
                <w:szCs w:val="21"/>
                <w:highlight w:val="none"/>
                <w:lang w:val="en-US" w:eastAsia="zh-CN"/>
              </w:rPr>
              <w:t>ET瓶吹塑生产</w:t>
            </w:r>
            <w:r>
              <w:rPr>
                <w:rFonts w:hint="default" w:ascii="Times New Roman" w:hAnsi="Times New Roman" w:eastAsia="宋体" w:cs="Times New Roman"/>
                <w:color w:val="auto"/>
                <w:sz w:val="21"/>
                <w:szCs w:val="21"/>
                <w:highlight w:val="none"/>
                <w:lang w:val="en-US" w:eastAsia="zh-CN"/>
              </w:rPr>
              <w:t>线</w:t>
            </w:r>
            <w:r>
              <w:rPr>
                <w:rFonts w:hint="default" w:ascii="Times New Roman" w:hAnsi="Times New Roman"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建成后形成年产高端鲜榨</w:t>
            </w:r>
            <w:r>
              <w:rPr>
                <w:rFonts w:hint="default" w:ascii="Times New Roman" w:hAnsi="Times New Roman" w:cs="Times New Roman"/>
                <w:color w:val="auto"/>
                <w:sz w:val="21"/>
                <w:szCs w:val="21"/>
                <w:highlight w:val="none"/>
                <w:lang w:val="en-US" w:eastAsia="zh-CN"/>
              </w:rPr>
              <w:t>果汁</w:t>
            </w:r>
            <w:r>
              <w:rPr>
                <w:rFonts w:hint="default" w:ascii="Times New Roman" w:hAnsi="Times New Roman" w:eastAsia="宋体" w:cs="Times New Roman"/>
                <w:color w:val="auto"/>
                <w:sz w:val="21"/>
                <w:szCs w:val="21"/>
                <w:highlight w:val="none"/>
                <w:lang w:val="en-US" w:eastAsia="zh-CN"/>
              </w:rPr>
              <w:t>饮料</w:t>
            </w:r>
            <w:r>
              <w:rPr>
                <w:rFonts w:hint="default" w:ascii="Times New Roman" w:hAnsi="Times New Roman" w:cs="Times New Roman"/>
                <w:color w:val="auto"/>
                <w:sz w:val="21"/>
                <w:szCs w:val="21"/>
                <w:highlight w:val="none"/>
                <w:lang w:val="en-US" w:eastAsia="zh-CN"/>
              </w:rPr>
              <w:t>0</w:t>
            </w:r>
            <w:r>
              <w:rPr>
                <w:rFonts w:hint="default" w:ascii="Times New Roman" w:hAnsi="Times New Roman" w:eastAsia="宋体" w:cs="Times New Roman"/>
                <w:color w:val="auto"/>
                <w:sz w:val="21"/>
                <w:szCs w:val="21"/>
                <w:highlight w:val="none"/>
                <w:lang w:val="en-US" w:eastAsia="zh-CN"/>
              </w:rPr>
              <w:t>.9</w:t>
            </w:r>
            <w:r>
              <w:rPr>
                <w:rFonts w:hint="default" w:ascii="Times New Roman" w:hAnsi="Times New Roman" w:cs="Times New Roman"/>
                <w:color w:val="auto"/>
                <w:sz w:val="21"/>
                <w:szCs w:val="21"/>
                <w:highlight w:val="none"/>
                <w:lang w:val="en-US" w:eastAsia="zh-CN"/>
              </w:rPr>
              <w:t>3</w:t>
            </w:r>
            <w:r>
              <w:rPr>
                <w:rFonts w:hint="default" w:ascii="Times New Roman" w:hAnsi="Times New Roman" w:eastAsia="宋体" w:cs="Times New Roman"/>
                <w:color w:val="auto"/>
                <w:sz w:val="21"/>
                <w:szCs w:val="21"/>
                <w:highlight w:val="none"/>
                <w:lang w:val="en-US" w:eastAsia="zh-CN"/>
              </w:rPr>
              <w:t>万吨，普通</w:t>
            </w:r>
            <w:r>
              <w:rPr>
                <w:rFonts w:hint="default" w:ascii="Times New Roman" w:hAnsi="Times New Roman" w:cs="Times New Roman"/>
                <w:color w:val="auto"/>
                <w:sz w:val="21"/>
                <w:szCs w:val="21"/>
                <w:highlight w:val="none"/>
                <w:lang w:val="en-US" w:eastAsia="zh-CN"/>
              </w:rPr>
              <w:t>果汁饮料</w:t>
            </w:r>
            <w:r>
              <w:rPr>
                <w:rFonts w:hint="default" w:ascii="Times New Roman" w:hAnsi="Times New Roman" w:eastAsia="宋体" w:cs="Times New Roman"/>
                <w:color w:val="auto"/>
                <w:sz w:val="21"/>
                <w:szCs w:val="21"/>
                <w:highlight w:val="none"/>
                <w:lang w:val="en-US" w:eastAsia="zh-CN"/>
              </w:rPr>
              <w:t>0.9</w:t>
            </w:r>
            <w:r>
              <w:rPr>
                <w:rFonts w:hint="default" w:ascii="Times New Roman" w:hAnsi="Times New Roman" w:cs="Times New Roman"/>
                <w:color w:val="auto"/>
                <w:sz w:val="21"/>
                <w:szCs w:val="21"/>
                <w:highlight w:val="none"/>
                <w:lang w:val="en-US" w:eastAsia="zh-CN"/>
              </w:rPr>
              <w:t>万吨</w:t>
            </w:r>
            <w:r>
              <w:rPr>
                <w:rFonts w:hint="default" w:ascii="Times New Roman" w:hAnsi="Times New Roman" w:eastAsia="宋体"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碳酸饮料</w:t>
            </w:r>
            <w:r>
              <w:rPr>
                <w:rFonts w:hint="default" w:ascii="Times New Roman" w:hAnsi="Times New Roman" w:eastAsia="宋体" w:cs="Times New Roman"/>
                <w:color w:val="auto"/>
                <w:sz w:val="21"/>
                <w:szCs w:val="21"/>
                <w:highlight w:val="none"/>
                <w:lang w:val="en-US" w:eastAsia="zh-CN"/>
              </w:rPr>
              <w:t>0.65</w:t>
            </w:r>
            <w:r>
              <w:rPr>
                <w:rFonts w:hint="default" w:ascii="Times New Roman" w:hAnsi="Times New Roman" w:cs="Times New Roman"/>
                <w:color w:val="auto"/>
                <w:sz w:val="21"/>
                <w:szCs w:val="21"/>
                <w:highlight w:val="none"/>
                <w:lang w:val="en-US" w:eastAsia="zh-CN"/>
              </w:rPr>
              <w:t>万</w:t>
            </w:r>
            <w:r>
              <w:rPr>
                <w:rFonts w:hint="default" w:ascii="Times New Roman" w:hAnsi="Times New Roman" w:eastAsia="宋体" w:cs="Times New Roman"/>
                <w:color w:val="auto"/>
                <w:sz w:val="21"/>
                <w:szCs w:val="21"/>
                <w:highlight w:val="none"/>
                <w:lang w:val="en-US" w:eastAsia="zh-CN"/>
              </w:rPr>
              <w:t>吨、瓶装饮用纯净水1</w:t>
            </w:r>
            <w:r>
              <w:rPr>
                <w:rFonts w:hint="default" w:ascii="Times New Roman" w:hAnsi="Times New Roman"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8</w:t>
            </w:r>
            <w:r>
              <w:rPr>
                <w:rFonts w:hint="default" w:ascii="Times New Roman" w:hAnsi="Times New Roman" w:cs="Times New Roman"/>
                <w:color w:val="auto"/>
                <w:sz w:val="21"/>
                <w:szCs w:val="21"/>
                <w:highlight w:val="none"/>
                <w:lang w:val="en-US" w:eastAsia="zh-CN"/>
              </w:rPr>
              <w:t>万</w:t>
            </w:r>
            <w:r>
              <w:rPr>
                <w:rFonts w:hint="default" w:ascii="Times New Roman" w:hAnsi="Times New Roman" w:eastAsia="宋体" w:cs="Times New Roman"/>
                <w:color w:val="auto"/>
                <w:sz w:val="21"/>
                <w:szCs w:val="21"/>
                <w:highlight w:val="none"/>
                <w:lang w:val="en-US" w:eastAsia="zh-CN"/>
              </w:rPr>
              <w:t>吨的生产规模。</w:t>
            </w:r>
            <w:r>
              <w:rPr>
                <w:rFonts w:hint="default" w:ascii="Times New Roman" w:hAnsi="Times New Roman" w:cs="Times New Roman"/>
                <w:color w:val="auto"/>
                <w:sz w:val="21"/>
                <w:szCs w:val="21"/>
                <w:highlight w:val="none"/>
                <w:lang w:val="en-US" w:eastAsia="zh-CN"/>
              </w:rPr>
              <w:t>本</w:t>
            </w:r>
            <w:r>
              <w:rPr>
                <w:rFonts w:hint="default" w:ascii="Times New Roman" w:hAnsi="Times New Roman" w:eastAsia="宋体" w:cs="Times New Roman"/>
                <w:color w:val="auto"/>
                <w:sz w:val="21"/>
                <w:szCs w:val="21"/>
                <w:highlight w:val="none"/>
                <w:lang w:val="en-US" w:eastAsia="zh-CN"/>
              </w:rPr>
              <w:t>项目建成投产后，能有效填补区域内优质饮品供给的缺口，</w:t>
            </w:r>
            <w:r>
              <w:rPr>
                <w:rFonts w:hint="default" w:ascii="Times New Roman" w:hAnsi="Times New Roman" w:cs="Times New Roman"/>
                <w:color w:val="auto"/>
                <w:sz w:val="21"/>
                <w:szCs w:val="21"/>
                <w:highlight w:val="none"/>
                <w:lang w:val="en-US" w:eastAsia="zh-CN"/>
              </w:rPr>
              <w:t>同时</w:t>
            </w:r>
            <w:r>
              <w:rPr>
                <w:rFonts w:hint="default" w:ascii="Times New Roman" w:hAnsi="Times New Roman" w:eastAsia="宋体" w:cs="Times New Roman"/>
                <w:color w:val="auto"/>
                <w:sz w:val="21"/>
                <w:szCs w:val="21"/>
                <w:highlight w:val="none"/>
                <w:lang w:val="en-US" w:eastAsia="zh-CN"/>
              </w:rPr>
              <w:t>带动当地林果种植、包装制造、物流运输等相关产业发展，创造就业岗位，为地方经济高质量发展注入新动能。</w:t>
            </w:r>
          </w:p>
          <w:p>
            <w:pPr>
              <w:pStyle w:val="16"/>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按</w:t>
            </w:r>
            <w:r>
              <w:rPr>
                <w:rFonts w:hint="default" w:ascii="Times New Roman" w:hAnsi="Times New Roman" w:eastAsia="宋体" w:cs="Times New Roman"/>
                <w:color w:val="auto"/>
                <w:sz w:val="21"/>
                <w:szCs w:val="21"/>
                <w:highlight w:val="none"/>
                <w:lang w:val="en-US" w:eastAsia="zh-CN"/>
              </w:rPr>
              <w:t>照《建设项目环境影响评价分类管理名录》</w:t>
            </w:r>
            <w:r>
              <w:rPr>
                <w:rFonts w:hint="default" w:ascii="Times New Roman" w:hAnsi="Times New Roman" w:cs="Times New Roman"/>
                <w:color w:val="auto"/>
                <w:sz w:val="21"/>
                <w:szCs w:val="21"/>
                <w:highlight w:val="none"/>
                <w:lang w:val="en-US" w:eastAsia="zh-CN"/>
              </w:rPr>
              <w:t>（2021年版）</w:t>
            </w:r>
            <w:r>
              <w:rPr>
                <w:rFonts w:hint="default" w:ascii="Times New Roman" w:hAnsi="Times New Roman" w:eastAsia="宋体" w:cs="Times New Roman"/>
                <w:color w:val="auto"/>
                <w:sz w:val="21"/>
                <w:szCs w:val="21"/>
                <w:highlight w:val="none"/>
                <w:lang w:val="en-US" w:eastAsia="zh-CN"/>
              </w:rPr>
              <w:t>等有关法律、法规规定，</w:t>
            </w:r>
            <w:r>
              <w:rPr>
                <w:rFonts w:hint="default" w:ascii="Times New Roman" w:hAnsi="Times New Roman" w:cs="Times New Roman"/>
                <w:color w:val="auto"/>
                <w:sz w:val="21"/>
                <w:szCs w:val="21"/>
                <w:highlight w:val="none"/>
                <w:lang w:val="en-US" w:eastAsia="zh-CN"/>
              </w:rPr>
              <w:t>本</w:t>
            </w:r>
            <w:r>
              <w:rPr>
                <w:rFonts w:hint="default" w:ascii="Times New Roman" w:hAnsi="Times New Roman" w:eastAsia="宋体" w:cs="Times New Roman"/>
                <w:color w:val="auto"/>
                <w:sz w:val="21"/>
                <w:szCs w:val="21"/>
                <w:highlight w:val="none"/>
                <w:lang w:val="en-US" w:eastAsia="zh-CN"/>
              </w:rPr>
              <w:t>项目</w:t>
            </w:r>
            <w:r>
              <w:rPr>
                <w:rFonts w:hint="default" w:ascii="Times New Roman" w:hAnsi="Times New Roman" w:cs="Times New Roman"/>
                <w:color w:val="auto"/>
                <w:sz w:val="21"/>
                <w:szCs w:val="21"/>
                <w:highlight w:val="none"/>
                <w:lang w:val="en-US" w:eastAsia="zh-CN"/>
              </w:rPr>
              <w:t>高端鲜榨果汁饮料生产属于</w:t>
            </w:r>
            <w:r>
              <w:rPr>
                <w:rFonts w:hint="default" w:ascii="Times New Roman" w:hAnsi="Times New Roman" w:eastAsia="宋体" w:cs="Times New Roman"/>
                <w:color w:val="auto"/>
                <w:sz w:val="21"/>
                <w:szCs w:val="21"/>
                <w:highlight w:val="none"/>
                <w:lang w:val="en-US" w:eastAsia="zh-CN"/>
              </w:rPr>
              <w:t>《名录》所列“</w:t>
            </w:r>
            <w:r>
              <w:rPr>
                <w:rFonts w:hint="default" w:ascii="Times New Roman" w:hAnsi="Times New Roman" w:cs="Times New Roman"/>
                <w:color w:val="auto"/>
                <w:sz w:val="21"/>
                <w:szCs w:val="21"/>
                <w:highlight w:val="none"/>
                <w:lang w:val="en-US" w:eastAsia="zh-CN"/>
              </w:rPr>
              <w:t>十二、酒、饮料制造业15-26 饮料制造152*-有发酵工艺、原汁生产的”类别，应编制环境影响报告表；同时本项目</w:t>
            </w:r>
            <w:r>
              <w:rPr>
                <w:rFonts w:hint="default" w:ascii="Times New Roman" w:hAnsi="Times New Roman" w:eastAsia="宋体" w:cs="Times New Roman"/>
                <w:color w:val="auto"/>
                <w:sz w:val="21"/>
                <w:szCs w:val="21"/>
                <w:highlight w:val="none"/>
                <w:lang w:val="en-US" w:eastAsia="zh-CN"/>
              </w:rPr>
              <w:t>P</w:t>
            </w:r>
            <w:r>
              <w:rPr>
                <w:rFonts w:hint="default" w:ascii="Times New Roman" w:hAnsi="Times New Roman" w:cs="Times New Roman"/>
                <w:color w:val="auto"/>
                <w:sz w:val="21"/>
                <w:szCs w:val="21"/>
                <w:highlight w:val="none"/>
                <w:lang w:val="en-US" w:eastAsia="zh-CN"/>
              </w:rPr>
              <w:t>ET瓶吹塑生产属于</w:t>
            </w:r>
            <w:r>
              <w:rPr>
                <w:rFonts w:hint="default" w:ascii="Times New Roman" w:hAnsi="Times New Roman" w:eastAsia="宋体" w:cs="Times New Roman"/>
                <w:color w:val="auto"/>
                <w:sz w:val="21"/>
                <w:szCs w:val="21"/>
                <w:highlight w:val="none"/>
                <w:lang w:val="en-US" w:eastAsia="zh-CN"/>
              </w:rPr>
              <w:t>《名录》所列</w:t>
            </w:r>
            <w:r>
              <w:rPr>
                <w:rFonts w:hint="default" w:ascii="Times New Roman" w:hAnsi="Times New Roman"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二十六、橡胶和塑料制品业29-53塑料制品业292-其他（年用非溶剂型低VOCs含量涂料10吨以下的除外）”</w:t>
            </w:r>
            <w:r>
              <w:rPr>
                <w:rFonts w:hint="default" w:ascii="Times New Roman" w:hAnsi="Times New Roman" w:cs="Times New Roman"/>
                <w:color w:val="auto"/>
                <w:sz w:val="21"/>
                <w:szCs w:val="21"/>
                <w:highlight w:val="none"/>
                <w:lang w:val="en-US" w:eastAsia="zh-CN"/>
              </w:rPr>
              <w:t>类别</w:t>
            </w:r>
            <w:r>
              <w:rPr>
                <w:rFonts w:hint="default" w:ascii="Times New Roman" w:hAnsi="Times New Roman" w:eastAsia="宋体" w:cs="Times New Roman"/>
                <w:color w:val="auto"/>
                <w:sz w:val="21"/>
                <w:szCs w:val="21"/>
                <w:highlight w:val="none"/>
                <w:lang w:val="en-US" w:eastAsia="zh-CN"/>
              </w:rPr>
              <w:t>，应编制环境影响报告表。</w:t>
            </w:r>
          </w:p>
          <w:p>
            <w:pPr>
              <w:pStyle w:val="16"/>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受建设单位委托，新疆绿清环科技术咨询服务有限公司承担了本项目的环境影响评价工作。我单位在资料收集、现场踏勘后，依据环境影响评价技术导则和技术规范的要求编制了本项目的环境影响报告表，报请审查。</w:t>
            </w:r>
          </w:p>
          <w:p>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left"/>
              <w:textAlignment w:val="auto"/>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cs="Times New Roman"/>
                <w:b/>
                <w:bCs/>
                <w:color w:val="auto"/>
                <w:kern w:val="2"/>
                <w:sz w:val="21"/>
                <w:szCs w:val="21"/>
                <w:highlight w:val="none"/>
                <w:lang w:val="en-US" w:eastAsia="zh-CN" w:bidi="ar-SA"/>
              </w:rPr>
              <w:t>二、</w:t>
            </w:r>
            <w:r>
              <w:rPr>
                <w:rFonts w:hint="default" w:ascii="Times New Roman" w:hAnsi="Times New Roman" w:eastAsia="宋体" w:cs="Times New Roman"/>
                <w:b/>
                <w:bCs/>
                <w:color w:val="auto"/>
                <w:kern w:val="2"/>
                <w:sz w:val="21"/>
                <w:szCs w:val="21"/>
                <w:highlight w:val="none"/>
                <w:lang w:val="en-US" w:eastAsia="zh-CN" w:bidi="ar-SA"/>
              </w:rPr>
              <w:t>项目位置及周边环境关系</w:t>
            </w:r>
          </w:p>
          <w:p>
            <w:pPr>
              <w:pStyle w:val="53"/>
              <w:bidi w:val="0"/>
              <w:spacing w:line="360" w:lineRule="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项目位于</w:t>
            </w:r>
            <w:r>
              <w:rPr>
                <w:rFonts w:hint="default" w:ascii="Times New Roman" w:hAnsi="Times New Roman" w:cs="Times New Roman"/>
                <w:color w:val="auto"/>
                <w:sz w:val="21"/>
                <w:szCs w:val="21"/>
                <w:highlight w:val="none"/>
              </w:rPr>
              <w:t>新疆维吾尔自治区巴音郭楞蒙古自治州库尔勒</w:t>
            </w:r>
            <w:r>
              <w:rPr>
                <w:rFonts w:hint="default" w:ascii="Times New Roman" w:hAnsi="Times New Roman" w:cs="Times New Roman"/>
                <w:color w:val="auto"/>
                <w:sz w:val="21"/>
                <w:szCs w:val="21"/>
                <w:highlight w:val="none"/>
                <w:lang w:val="en-US" w:eastAsia="zh-CN"/>
              </w:rPr>
              <w:t>经济技术开发区，中心地理坐标为：东经</w:t>
            </w:r>
            <w:r>
              <w:rPr>
                <w:rFonts w:hint="default" w:ascii="Times New Roman" w:hAnsi="Times New Roman" w:cs="Times New Roman"/>
                <w:color w:val="auto"/>
                <w:sz w:val="21"/>
                <w:szCs w:val="21"/>
                <w:highlight w:val="none"/>
              </w:rPr>
              <w:t>86°13′45.037″</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lang w:val="en-US" w:eastAsia="zh-CN"/>
              </w:rPr>
              <w:t>北纬</w:t>
            </w:r>
            <w:r>
              <w:rPr>
                <w:rFonts w:hint="default" w:ascii="Times New Roman" w:hAnsi="Times New Roman" w:cs="Times New Roman"/>
                <w:color w:val="auto"/>
                <w:sz w:val="21"/>
                <w:szCs w:val="21"/>
                <w:highlight w:val="none"/>
              </w:rPr>
              <w:t>41°40′49.920″</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lang w:val="en-US" w:eastAsia="zh-CN"/>
              </w:rPr>
              <w:t>地理位置详见图1。</w:t>
            </w:r>
          </w:p>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left"/>
              <w:textAlignment w:val="auto"/>
              <w:rPr>
                <w:rFonts w:hint="default" w:ascii="Times New Roman" w:hAnsi="Times New Roman" w:eastAsia="宋体" w:cs="Times New Roman"/>
                <w:b w:val="0"/>
                <w:bCs w:val="0"/>
                <w:color w:val="auto"/>
                <w:kern w:val="2"/>
                <w:sz w:val="21"/>
                <w:szCs w:val="21"/>
                <w:highlight w:val="none"/>
                <w:lang w:val="en-US" w:eastAsia="zh-CN" w:bidi="ar-SA"/>
              </w:rPr>
            </w:pPr>
            <w:r>
              <w:rPr>
                <w:rFonts w:hint="default" w:ascii="Times New Roman" w:hAnsi="Times New Roman" w:eastAsia="宋体" w:cs="Times New Roman"/>
                <w:b w:val="0"/>
                <w:bCs w:val="0"/>
                <w:color w:val="auto"/>
                <w:kern w:val="2"/>
                <w:sz w:val="21"/>
                <w:szCs w:val="21"/>
                <w:highlight w:val="none"/>
                <w:lang w:val="en-US" w:eastAsia="zh-CN" w:bidi="ar-SA"/>
              </w:rPr>
              <w:t>本项目北侧紧邻友谊路，东侧</w:t>
            </w:r>
            <w:r>
              <w:rPr>
                <w:rFonts w:hint="eastAsia" w:cs="Times New Roman"/>
                <w:b w:val="0"/>
                <w:bCs w:val="0"/>
                <w:color w:val="auto"/>
                <w:kern w:val="2"/>
                <w:sz w:val="21"/>
                <w:szCs w:val="21"/>
                <w:highlight w:val="none"/>
                <w:lang w:val="en-US" w:eastAsia="zh-CN" w:bidi="ar-SA"/>
              </w:rPr>
              <w:t>隔便道</w:t>
            </w:r>
            <w:r>
              <w:rPr>
                <w:rFonts w:hint="default" w:ascii="Times New Roman" w:hAnsi="Times New Roman" w:eastAsia="宋体" w:cs="Times New Roman"/>
                <w:b w:val="0"/>
                <w:bCs w:val="0"/>
                <w:color w:val="auto"/>
                <w:kern w:val="2"/>
                <w:sz w:val="21"/>
                <w:szCs w:val="21"/>
                <w:highlight w:val="none"/>
                <w:lang w:val="en-US" w:eastAsia="zh-CN" w:bidi="ar-SA"/>
              </w:rPr>
              <w:t>为巴州捷诚机动车检测有限公司，南侧紧邻</w:t>
            </w:r>
            <w:r>
              <w:rPr>
                <w:rFonts w:hint="eastAsia" w:cs="Times New Roman"/>
                <w:b w:val="0"/>
                <w:bCs w:val="0"/>
                <w:color w:val="auto"/>
                <w:kern w:val="2"/>
                <w:sz w:val="21"/>
                <w:szCs w:val="21"/>
                <w:highlight w:val="none"/>
                <w:lang w:val="en-US" w:eastAsia="zh-CN" w:bidi="ar-SA"/>
              </w:rPr>
              <w:t>巴州日报印务有限责任公司</w:t>
            </w:r>
            <w:r>
              <w:rPr>
                <w:rFonts w:hint="default" w:ascii="Times New Roman" w:hAnsi="Times New Roman" w:eastAsia="宋体" w:cs="Times New Roman"/>
                <w:b w:val="0"/>
                <w:bCs w:val="0"/>
                <w:color w:val="auto"/>
                <w:kern w:val="2"/>
                <w:sz w:val="21"/>
                <w:szCs w:val="21"/>
                <w:highlight w:val="none"/>
                <w:lang w:val="en-US" w:eastAsia="zh-CN" w:bidi="ar-SA"/>
              </w:rPr>
              <w:t>，西侧为空地</w:t>
            </w:r>
            <w:r>
              <w:rPr>
                <w:rFonts w:hint="default" w:ascii="Times New Roman" w:hAnsi="Times New Roman" w:cs="Times New Roman"/>
                <w:b w:val="0"/>
                <w:bCs w:val="0"/>
                <w:color w:val="auto"/>
                <w:kern w:val="2"/>
                <w:sz w:val="21"/>
                <w:szCs w:val="21"/>
                <w:highlight w:val="none"/>
                <w:lang w:val="en-US" w:eastAsia="zh-CN" w:bidi="ar-SA"/>
              </w:rPr>
              <w:t>。项目</w:t>
            </w:r>
            <w:r>
              <w:rPr>
                <w:rFonts w:hint="default" w:ascii="Times New Roman" w:hAnsi="Times New Roman" w:cs="Times New Roman"/>
                <w:color w:val="auto"/>
                <w:sz w:val="21"/>
                <w:szCs w:val="21"/>
                <w:highlight w:val="none"/>
                <w:lang w:val="en-US" w:eastAsia="zh-CN"/>
              </w:rPr>
              <w:t>周边环境关系</w:t>
            </w:r>
            <w:r>
              <w:rPr>
                <w:rFonts w:hint="default" w:ascii="Times New Roman" w:hAnsi="Times New Roman" w:eastAsia="宋体" w:cs="Times New Roman"/>
                <w:b w:val="0"/>
                <w:bCs w:val="0"/>
                <w:color w:val="auto"/>
                <w:kern w:val="2"/>
                <w:sz w:val="21"/>
                <w:szCs w:val="21"/>
                <w:highlight w:val="none"/>
                <w:lang w:val="en-US" w:eastAsia="zh-CN" w:bidi="ar-SA"/>
              </w:rPr>
              <w:t>详见</w:t>
            </w:r>
            <w:r>
              <w:rPr>
                <w:rFonts w:hint="default" w:ascii="Times New Roman" w:hAnsi="Times New Roman" w:cs="Times New Roman"/>
                <w:color w:val="auto"/>
                <w:sz w:val="21"/>
                <w:szCs w:val="21"/>
                <w:highlight w:val="none"/>
              </w:rPr>
              <w:t>图</w:t>
            </w:r>
            <w:r>
              <w:rPr>
                <w:rFonts w:hint="eastAsia" w:cs="Times New Roman"/>
                <w:color w:val="auto"/>
                <w:sz w:val="21"/>
                <w:szCs w:val="21"/>
                <w:highlight w:val="none"/>
                <w:lang w:val="en-US" w:eastAsia="zh-CN"/>
              </w:rPr>
              <w:t>3</w:t>
            </w:r>
            <w:r>
              <w:rPr>
                <w:rFonts w:hint="default" w:ascii="Times New Roman" w:hAnsi="Times New Roman" w:cs="Times New Roman"/>
                <w:color w:val="auto"/>
                <w:sz w:val="21"/>
                <w:szCs w:val="21"/>
                <w:highlight w:val="none"/>
              </w:rPr>
              <w:t>。</w:t>
            </w:r>
          </w:p>
          <w:p>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left"/>
              <w:textAlignment w:val="auto"/>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cs="Times New Roman"/>
                <w:b/>
                <w:bCs/>
                <w:color w:val="auto"/>
                <w:kern w:val="2"/>
                <w:sz w:val="21"/>
                <w:szCs w:val="21"/>
                <w:highlight w:val="none"/>
                <w:lang w:val="en-US" w:eastAsia="zh-CN" w:bidi="ar-SA"/>
              </w:rPr>
              <w:t>三、</w:t>
            </w:r>
            <w:r>
              <w:rPr>
                <w:rFonts w:hint="default" w:ascii="Times New Roman" w:hAnsi="Times New Roman" w:eastAsia="宋体" w:cs="Times New Roman"/>
                <w:b/>
                <w:bCs/>
                <w:color w:val="auto"/>
                <w:kern w:val="2"/>
                <w:sz w:val="21"/>
                <w:szCs w:val="21"/>
                <w:highlight w:val="none"/>
                <w:lang w:val="en-US" w:eastAsia="zh-CN" w:bidi="ar-SA"/>
              </w:rPr>
              <w:t>建设内容与规模</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本项目</w:t>
            </w:r>
            <w:r>
              <w:rPr>
                <w:rFonts w:hint="default" w:ascii="Times New Roman" w:hAnsi="Times New Roman" w:cs="Times New Roman"/>
                <w:color w:val="auto"/>
                <w:sz w:val="21"/>
                <w:szCs w:val="21"/>
                <w:highlight w:val="none"/>
                <w:lang w:val="en-US" w:eastAsia="zh-CN"/>
              </w:rPr>
              <w:t>位于库尔勒经济技术开发区友谊路南侧、园中苑路西侧，</w:t>
            </w:r>
            <w:r>
              <w:rPr>
                <w:rFonts w:hint="default" w:ascii="Times New Roman" w:hAnsi="Times New Roman" w:eastAsia="宋体" w:cs="Times New Roman"/>
                <w:color w:val="auto"/>
                <w:sz w:val="21"/>
                <w:szCs w:val="21"/>
                <w:highlight w:val="none"/>
                <w:lang w:val="en-US" w:eastAsia="zh-CN"/>
              </w:rPr>
              <w:t>总建筑面积8340m</w:t>
            </w:r>
            <w:r>
              <w:rPr>
                <w:rFonts w:hint="default" w:ascii="Times New Roman" w:hAnsi="Times New Roman" w:cs="Times New Roman"/>
                <w:color w:val="auto"/>
                <w:sz w:val="21"/>
                <w:szCs w:val="21"/>
                <w:highlight w:val="none"/>
                <w:vertAlign w:val="superscript"/>
                <w:lang w:val="en-US" w:eastAsia="zh-CN"/>
              </w:rPr>
              <w:t>2</w:t>
            </w:r>
            <w:r>
              <w:rPr>
                <w:rFonts w:hint="default" w:ascii="Times New Roman" w:hAnsi="Times New Roman" w:eastAsia="宋体" w:cs="Times New Roman"/>
                <w:color w:val="auto"/>
                <w:sz w:val="21"/>
                <w:szCs w:val="21"/>
                <w:highlight w:val="none"/>
                <w:lang w:val="en-US" w:eastAsia="zh-CN"/>
              </w:rPr>
              <w:t>，其中办公楼3层1962.36m</w:t>
            </w:r>
            <w:r>
              <w:rPr>
                <w:rFonts w:hint="default" w:ascii="Times New Roman" w:hAnsi="Times New Roman" w:cs="Times New Roman"/>
                <w:color w:val="auto"/>
                <w:sz w:val="21"/>
                <w:szCs w:val="21"/>
                <w:highlight w:val="none"/>
                <w:vertAlign w:val="superscript"/>
                <w:lang w:val="en-US" w:eastAsia="zh-CN"/>
              </w:rPr>
              <w:t>2</w:t>
            </w:r>
            <w:r>
              <w:rPr>
                <w:rFonts w:hint="default" w:ascii="Times New Roman" w:hAnsi="Times New Roman" w:eastAsia="宋体" w:cs="Times New Roman"/>
                <w:color w:val="auto"/>
                <w:sz w:val="21"/>
                <w:szCs w:val="21"/>
                <w:highlight w:val="none"/>
                <w:lang w:val="en-US" w:eastAsia="zh-CN"/>
              </w:rPr>
              <w:t>，生产车间6377.65m</w:t>
            </w:r>
            <w:r>
              <w:rPr>
                <w:rFonts w:hint="default" w:ascii="Times New Roman" w:hAnsi="Times New Roman" w:cs="Times New Roman"/>
                <w:color w:val="auto"/>
                <w:sz w:val="21"/>
                <w:szCs w:val="21"/>
                <w:highlight w:val="none"/>
                <w:vertAlign w:val="superscript"/>
                <w:lang w:val="en-US" w:eastAsia="zh-CN"/>
              </w:rPr>
              <w:t>2</w:t>
            </w:r>
            <w:r>
              <w:rPr>
                <w:rFonts w:hint="default" w:ascii="Times New Roman" w:hAnsi="Times New Roman" w:cs="Times New Roman"/>
                <w:color w:val="auto"/>
                <w:sz w:val="21"/>
                <w:szCs w:val="21"/>
                <w:highlight w:val="none"/>
                <w:vertAlign w:val="baseline"/>
                <w:lang w:val="en-US" w:eastAsia="zh-CN"/>
              </w:rPr>
              <w:t>，项目主要工程组成</w:t>
            </w:r>
            <w:r>
              <w:rPr>
                <w:rFonts w:hint="default" w:ascii="Times New Roman" w:hAnsi="Times New Roman" w:cs="Times New Roman"/>
                <w:color w:val="auto"/>
                <w:sz w:val="21"/>
                <w:szCs w:val="21"/>
                <w:highlight w:val="none"/>
              </w:rPr>
              <w:t>见表2-1。</w:t>
            </w: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表2-1 建设项目工程一览表</w:t>
            </w:r>
          </w:p>
          <w:tbl>
            <w:tblPr>
              <w:tblStyle w:val="21"/>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3"/>
              <w:gridCol w:w="929"/>
              <w:gridCol w:w="1177"/>
              <w:gridCol w:w="4325"/>
              <w:gridCol w:w="90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470" w:type="pct"/>
                  <w:noWrap w:val="0"/>
                  <w:vAlign w:val="center"/>
                </w:tcPr>
                <w:p>
                  <w:pPr>
                    <w:pStyle w:val="48"/>
                    <w:keepNext w:val="0"/>
                    <w:keepLines w:val="0"/>
                    <w:pageBreakBefore w:val="0"/>
                    <w:widowControl w:val="0"/>
                    <w:kinsoku/>
                    <w:wordWrap/>
                    <w:overflowPunct/>
                    <w:topLinePunct w:val="0"/>
                    <w:autoSpaceDE/>
                    <w:autoSpaceDN/>
                    <w:bidi w:val="0"/>
                    <w:spacing w:line="240" w:lineRule="auto"/>
                    <w:ind w:firstLine="0"/>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工程内容</w:t>
                  </w:r>
                </w:p>
              </w:tc>
              <w:tc>
                <w:tcPr>
                  <w:tcW w:w="3968" w:type="pct"/>
                  <w:gridSpan w:val="3"/>
                  <w:noWrap w:val="0"/>
                  <w:vAlign w:val="center"/>
                </w:tcPr>
                <w:p>
                  <w:pPr>
                    <w:pStyle w:val="48"/>
                    <w:keepNext w:val="0"/>
                    <w:keepLines w:val="0"/>
                    <w:pageBreakBefore w:val="0"/>
                    <w:widowControl w:val="0"/>
                    <w:kinsoku/>
                    <w:wordWrap/>
                    <w:overflowPunct/>
                    <w:topLinePunct w:val="0"/>
                    <w:autoSpaceDE/>
                    <w:autoSpaceDN/>
                    <w:bidi w:val="0"/>
                    <w:spacing w:line="240" w:lineRule="auto"/>
                    <w:ind w:firstLine="0"/>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项目组成</w:t>
                  </w:r>
                </w:p>
              </w:tc>
              <w:tc>
                <w:tcPr>
                  <w:tcW w:w="560" w:type="pct"/>
                  <w:noWrap w:val="0"/>
                  <w:vAlign w:val="center"/>
                </w:tcPr>
                <w:p>
                  <w:pPr>
                    <w:pStyle w:val="48"/>
                    <w:keepNext w:val="0"/>
                    <w:keepLines w:val="0"/>
                    <w:pageBreakBefore w:val="0"/>
                    <w:widowControl w:val="0"/>
                    <w:kinsoku/>
                    <w:wordWrap/>
                    <w:overflowPunct/>
                    <w:topLinePunct w:val="0"/>
                    <w:autoSpaceDE/>
                    <w:autoSpaceDN/>
                    <w:bidi w:val="0"/>
                    <w:spacing w:line="240" w:lineRule="auto"/>
                    <w:ind w:firstLine="0"/>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38" w:hRule="atLeast"/>
              </w:trPr>
              <w:tc>
                <w:tcPr>
                  <w:tcW w:w="470" w:type="pct"/>
                  <w:noWrap w:val="0"/>
                  <w:vAlign w:val="center"/>
                </w:tcPr>
                <w:p>
                  <w:pPr>
                    <w:pStyle w:val="48"/>
                    <w:keepNext w:val="0"/>
                    <w:keepLines w:val="0"/>
                    <w:pageBreakBefore w:val="0"/>
                    <w:widowControl w:val="0"/>
                    <w:kinsoku/>
                    <w:wordWrap/>
                    <w:overflowPunct/>
                    <w:topLinePunct w:val="0"/>
                    <w:autoSpaceDE/>
                    <w:autoSpaceDN/>
                    <w:bidi w:val="0"/>
                    <w:spacing w:line="240" w:lineRule="auto"/>
                    <w:ind w:firstLine="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主体工程</w:t>
                  </w:r>
                </w:p>
              </w:tc>
              <w:tc>
                <w:tcPr>
                  <w:tcW w:w="573" w:type="pct"/>
                  <w:noWrap w:val="0"/>
                  <w:vAlign w:val="center"/>
                </w:tcPr>
                <w:p>
                  <w:pPr>
                    <w:pStyle w:val="48"/>
                    <w:keepNext w:val="0"/>
                    <w:keepLines w:val="0"/>
                    <w:pageBreakBefore w:val="0"/>
                    <w:widowControl w:val="0"/>
                    <w:kinsoku/>
                    <w:wordWrap/>
                    <w:overflowPunct/>
                    <w:topLinePunct w:val="0"/>
                    <w:autoSpaceDE/>
                    <w:autoSpaceDN/>
                    <w:bidi w:val="0"/>
                    <w:spacing w:line="240" w:lineRule="auto"/>
                    <w:ind w:firstLine="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生产车间</w:t>
                  </w:r>
                </w:p>
              </w:tc>
              <w:tc>
                <w:tcPr>
                  <w:tcW w:w="3395" w:type="pct"/>
                  <w:gridSpan w:val="2"/>
                  <w:noWrap w:val="0"/>
                  <w:vAlign w:val="center"/>
                </w:tcPr>
                <w:p>
                  <w:pPr>
                    <w:pStyle w:val="48"/>
                    <w:keepNext w:val="0"/>
                    <w:keepLines w:val="0"/>
                    <w:pageBreakBefore w:val="0"/>
                    <w:widowControl w:val="0"/>
                    <w:kinsoku/>
                    <w:wordWrap/>
                    <w:overflowPunct/>
                    <w:topLinePunct w:val="0"/>
                    <w:autoSpaceDE/>
                    <w:autoSpaceDN/>
                    <w:bidi w:val="0"/>
                    <w:spacing w:line="240" w:lineRule="auto"/>
                    <w:ind w:firstLine="0"/>
                    <w:jc w:val="both"/>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lang w:val="en-US" w:eastAsia="zh-CN"/>
                    </w:rPr>
                    <w:t>1F，建筑面积为6377.65m</w:t>
                  </w:r>
                  <w:r>
                    <w:rPr>
                      <w:rFonts w:hint="default" w:ascii="Times New Roman" w:hAnsi="Times New Roman" w:cs="Times New Roman"/>
                      <w:color w:val="auto"/>
                      <w:sz w:val="21"/>
                      <w:szCs w:val="21"/>
                      <w:highlight w:val="none"/>
                      <w:vertAlign w:val="superscript"/>
                      <w:lang w:val="en-US" w:eastAsia="zh-CN"/>
                    </w:rPr>
                    <w:t>2</w:t>
                  </w:r>
                  <w:r>
                    <w:rPr>
                      <w:rFonts w:hint="default" w:ascii="Times New Roman" w:hAnsi="Times New Roman" w:cs="Times New Roman"/>
                      <w:color w:val="auto"/>
                      <w:sz w:val="21"/>
                      <w:szCs w:val="21"/>
                      <w:highlight w:val="none"/>
                      <w:vertAlign w:val="baseline"/>
                      <w:lang w:val="en-US" w:eastAsia="zh-CN"/>
                    </w:rPr>
                    <w:t>，</w:t>
                  </w:r>
                  <w:r>
                    <w:rPr>
                      <w:rFonts w:hint="default" w:ascii="Times New Roman" w:hAnsi="Times New Roman" w:cs="Times New Roman"/>
                      <w:color w:val="auto"/>
                      <w:sz w:val="21"/>
                      <w:szCs w:val="21"/>
                      <w:highlight w:val="none"/>
                      <w:lang w:val="en-US" w:eastAsia="zh-CN"/>
                    </w:rPr>
                    <w:t>划为饮料生产区、PET瓶生产区、成品库房三个区域，饮料生产区内置鲜榨果汁、</w:t>
                  </w:r>
                  <w:r>
                    <w:rPr>
                      <w:rFonts w:hint="default" w:ascii="Times New Roman" w:hAnsi="Times New Roman" w:cs="Times New Roman"/>
                      <w:color w:val="auto"/>
                      <w:sz w:val="21"/>
                      <w:szCs w:val="21"/>
                      <w:highlight w:val="none"/>
                      <w:vertAlign w:val="baseline"/>
                      <w:lang w:val="en-US" w:eastAsia="zh-CN"/>
                    </w:rPr>
                    <w:t>果汁饮料、碳酸饮料、包装饮用水生产线各一条，PET瓶生产区内置PET瓶吹塑生产线。</w:t>
                  </w:r>
                </w:p>
              </w:tc>
              <w:tc>
                <w:tcPr>
                  <w:tcW w:w="560" w:type="pct"/>
                  <w:noWrap w:val="0"/>
                  <w:vAlign w:val="center"/>
                </w:tcPr>
                <w:p>
                  <w:pPr>
                    <w:pStyle w:val="48"/>
                    <w:keepNext w:val="0"/>
                    <w:keepLines w:val="0"/>
                    <w:pageBreakBefore w:val="0"/>
                    <w:widowControl w:val="0"/>
                    <w:kinsoku/>
                    <w:wordWrap/>
                    <w:overflowPunct/>
                    <w:topLinePunct w:val="0"/>
                    <w:autoSpaceDE/>
                    <w:autoSpaceDN/>
                    <w:bidi w:val="0"/>
                    <w:spacing w:line="240" w:lineRule="auto"/>
                    <w:ind w:firstLine="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依托现有，新购置设备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8" w:hRule="atLeast"/>
              </w:trPr>
              <w:tc>
                <w:tcPr>
                  <w:tcW w:w="470" w:type="pct"/>
                  <w:noWrap w:val="0"/>
                  <w:vAlign w:val="center"/>
                </w:tcPr>
                <w:p>
                  <w:pPr>
                    <w:pStyle w:val="48"/>
                    <w:keepNext w:val="0"/>
                    <w:keepLines w:val="0"/>
                    <w:pageBreakBefore w:val="0"/>
                    <w:widowControl w:val="0"/>
                    <w:kinsoku/>
                    <w:wordWrap/>
                    <w:overflowPunct/>
                    <w:topLinePunct w:val="0"/>
                    <w:autoSpaceDE/>
                    <w:autoSpaceDN/>
                    <w:bidi w:val="0"/>
                    <w:spacing w:line="240" w:lineRule="auto"/>
                    <w:ind w:firstLine="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辅助工程</w:t>
                  </w:r>
                </w:p>
              </w:tc>
              <w:tc>
                <w:tcPr>
                  <w:tcW w:w="573" w:type="pct"/>
                  <w:noWrap w:val="0"/>
                  <w:vAlign w:val="center"/>
                </w:tcPr>
                <w:p>
                  <w:pPr>
                    <w:pStyle w:val="48"/>
                    <w:keepNext w:val="0"/>
                    <w:keepLines w:val="0"/>
                    <w:pageBreakBefore w:val="0"/>
                    <w:widowControl w:val="0"/>
                    <w:kinsoku/>
                    <w:wordWrap/>
                    <w:overflowPunct/>
                    <w:topLinePunct w:val="0"/>
                    <w:autoSpaceDE/>
                    <w:autoSpaceDN/>
                    <w:bidi w:val="0"/>
                    <w:spacing w:line="240" w:lineRule="auto"/>
                    <w:ind w:firstLine="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办公楼</w:t>
                  </w:r>
                </w:p>
              </w:tc>
              <w:tc>
                <w:tcPr>
                  <w:tcW w:w="3395" w:type="pct"/>
                  <w:gridSpan w:val="2"/>
                  <w:noWrap w:val="0"/>
                  <w:vAlign w:val="center"/>
                </w:tcPr>
                <w:p>
                  <w:pPr>
                    <w:pStyle w:val="48"/>
                    <w:keepNext w:val="0"/>
                    <w:keepLines w:val="0"/>
                    <w:pageBreakBefore w:val="0"/>
                    <w:widowControl w:val="0"/>
                    <w:kinsoku/>
                    <w:wordWrap/>
                    <w:overflowPunct/>
                    <w:topLinePunct w:val="0"/>
                    <w:autoSpaceDE/>
                    <w:autoSpaceDN/>
                    <w:bidi w:val="0"/>
                    <w:spacing w:line="240" w:lineRule="auto"/>
                    <w:ind w:firstLine="0"/>
                    <w:jc w:val="both"/>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lang w:val="en-US" w:eastAsia="zh-CN"/>
                    </w:rPr>
                    <w:t>现有办公楼、一座，3F，建筑面积为1962.36m</w:t>
                  </w:r>
                  <w:r>
                    <w:rPr>
                      <w:rFonts w:hint="default" w:ascii="Times New Roman" w:hAnsi="Times New Roman" w:cs="Times New Roman"/>
                      <w:color w:val="auto"/>
                      <w:sz w:val="21"/>
                      <w:szCs w:val="21"/>
                      <w:highlight w:val="none"/>
                      <w:vertAlign w:val="superscript"/>
                      <w:lang w:val="en-US" w:eastAsia="zh-CN"/>
                    </w:rPr>
                    <w:t>2</w:t>
                  </w:r>
                  <w:r>
                    <w:rPr>
                      <w:rFonts w:hint="default" w:ascii="Times New Roman" w:hAnsi="Times New Roman" w:cs="Times New Roman"/>
                      <w:color w:val="auto"/>
                      <w:sz w:val="21"/>
                      <w:szCs w:val="21"/>
                      <w:highlight w:val="none"/>
                      <w:vertAlign w:val="baseline"/>
                      <w:lang w:val="en-US" w:eastAsia="zh-CN"/>
                    </w:rPr>
                    <w:t>，用于员工日常办公。</w:t>
                  </w:r>
                </w:p>
              </w:tc>
              <w:tc>
                <w:tcPr>
                  <w:tcW w:w="560" w:type="pct"/>
                  <w:noWrap w:val="0"/>
                  <w:vAlign w:val="center"/>
                </w:tcPr>
                <w:p>
                  <w:pPr>
                    <w:pStyle w:val="48"/>
                    <w:keepNext w:val="0"/>
                    <w:keepLines w:val="0"/>
                    <w:pageBreakBefore w:val="0"/>
                    <w:widowControl w:val="0"/>
                    <w:kinsoku/>
                    <w:wordWrap/>
                    <w:overflowPunct/>
                    <w:topLinePunct w:val="0"/>
                    <w:autoSpaceDE/>
                    <w:autoSpaceDN/>
                    <w:bidi w:val="0"/>
                    <w:spacing w:line="240" w:lineRule="auto"/>
                    <w:ind w:firstLine="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依托现有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8" w:hRule="atLeast"/>
              </w:trPr>
              <w:tc>
                <w:tcPr>
                  <w:tcW w:w="470" w:type="pct"/>
                  <w:noWrap w:val="0"/>
                  <w:vAlign w:val="center"/>
                </w:tcPr>
                <w:p>
                  <w:pPr>
                    <w:pStyle w:val="48"/>
                    <w:keepNext w:val="0"/>
                    <w:keepLines w:val="0"/>
                    <w:pageBreakBefore w:val="0"/>
                    <w:widowControl w:val="0"/>
                    <w:kinsoku/>
                    <w:wordWrap/>
                    <w:overflowPunct/>
                    <w:topLinePunct w:val="0"/>
                    <w:autoSpaceDE/>
                    <w:autoSpaceDN/>
                    <w:bidi w:val="0"/>
                    <w:spacing w:line="240" w:lineRule="auto"/>
                    <w:ind w:firstLine="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储运工程</w:t>
                  </w:r>
                </w:p>
              </w:tc>
              <w:tc>
                <w:tcPr>
                  <w:tcW w:w="573" w:type="pct"/>
                  <w:shd w:val="clear" w:color="auto" w:fill="auto"/>
                  <w:noWrap w:val="0"/>
                  <w:vAlign w:val="center"/>
                </w:tcPr>
                <w:p>
                  <w:pPr>
                    <w:pStyle w:val="48"/>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成品库房</w:t>
                  </w:r>
                </w:p>
              </w:tc>
              <w:tc>
                <w:tcPr>
                  <w:tcW w:w="3395" w:type="pct"/>
                  <w:gridSpan w:val="2"/>
                  <w:shd w:val="clear" w:color="auto" w:fill="auto"/>
                  <w:noWrap w:val="0"/>
                  <w:vAlign w:val="center"/>
                </w:tcPr>
                <w:p>
                  <w:pPr>
                    <w:pStyle w:val="48"/>
                    <w:keepNext w:val="0"/>
                    <w:keepLines w:val="0"/>
                    <w:pageBreakBefore w:val="0"/>
                    <w:widowControl w:val="0"/>
                    <w:kinsoku/>
                    <w:wordWrap/>
                    <w:overflowPunct/>
                    <w:topLinePunct w:val="0"/>
                    <w:autoSpaceDE/>
                    <w:autoSpaceDN/>
                    <w:bidi w:val="0"/>
                    <w:spacing w:line="240" w:lineRule="auto"/>
                    <w:ind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位于生产车间内，不另设成品库房。</w:t>
                  </w:r>
                </w:p>
              </w:tc>
              <w:tc>
                <w:tcPr>
                  <w:tcW w:w="560" w:type="pct"/>
                  <w:noWrap w:val="0"/>
                  <w:vAlign w:val="center"/>
                </w:tcPr>
                <w:p>
                  <w:pPr>
                    <w:pStyle w:val="48"/>
                    <w:keepNext w:val="0"/>
                    <w:keepLines w:val="0"/>
                    <w:pageBreakBefore w:val="0"/>
                    <w:widowControl w:val="0"/>
                    <w:kinsoku/>
                    <w:wordWrap/>
                    <w:overflowPunct/>
                    <w:topLinePunct w:val="0"/>
                    <w:autoSpaceDE/>
                    <w:autoSpaceDN/>
                    <w:bidi w:val="0"/>
                    <w:spacing w:line="240" w:lineRule="auto"/>
                    <w:ind w:firstLine="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8" w:hRule="atLeast"/>
              </w:trPr>
              <w:tc>
                <w:tcPr>
                  <w:tcW w:w="470" w:type="pct"/>
                  <w:vMerge w:val="restart"/>
                  <w:vAlign w:val="center"/>
                </w:tcPr>
                <w:p>
                  <w:pPr>
                    <w:pStyle w:val="48"/>
                    <w:keepNext w:val="0"/>
                    <w:keepLines w:val="0"/>
                    <w:pageBreakBefore w:val="0"/>
                    <w:widowControl w:val="0"/>
                    <w:kinsoku/>
                    <w:wordWrap/>
                    <w:overflowPunct/>
                    <w:topLinePunct w:val="0"/>
                    <w:autoSpaceDE/>
                    <w:autoSpaceDN/>
                    <w:bidi w:val="0"/>
                    <w:spacing w:line="240" w:lineRule="auto"/>
                    <w:ind w:firstLine="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eastAsia="zh-CN"/>
                    </w:rPr>
                    <w:t>公用工程</w:t>
                  </w:r>
                </w:p>
              </w:tc>
              <w:tc>
                <w:tcPr>
                  <w:tcW w:w="573" w:type="pct"/>
                  <w:shd w:val="clear" w:color="auto" w:fill="auto"/>
                  <w:vAlign w:val="center"/>
                </w:tcPr>
                <w:p>
                  <w:pPr>
                    <w:pStyle w:val="48"/>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rPr>
                    <w:t>给水系统</w:t>
                  </w:r>
                </w:p>
              </w:tc>
              <w:tc>
                <w:tcPr>
                  <w:tcW w:w="3395" w:type="pct"/>
                  <w:gridSpan w:val="2"/>
                  <w:shd w:val="clear" w:color="auto" w:fill="auto"/>
                  <w:vAlign w:val="center"/>
                </w:tcPr>
                <w:p>
                  <w:pPr>
                    <w:pStyle w:val="48"/>
                    <w:keepNext w:val="0"/>
                    <w:keepLines w:val="0"/>
                    <w:pageBreakBefore w:val="0"/>
                    <w:widowControl w:val="0"/>
                    <w:kinsoku/>
                    <w:wordWrap/>
                    <w:overflowPunct/>
                    <w:topLinePunct w:val="0"/>
                    <w:autoSpaceDE/>
                    <w:autoSpaceDN/>
                    <w:bidi w:val="0"/>
                    <w:spacing w:line="240" w:lineRule="auto"/>
                    <w:ind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由园区供水管网统一提供</w:t>
                  </w:r>
                  <w:r>
                    <w:rPr>
                      <w:rFonts w:hint="default" w:ascii="Times New Roman" w:hAnsi="Times New Roman" w:cs="Times New Roman"/>
                      <w:color w:val="auto"/>
                      <w:kern w:val="0"/>
                      <w:sz w:val="21"/>
                      <w:szCs w:val="21"/>
                      <w:highlight w:val="none"/>
                      <w:lang w:val="en-US" w:eastAsia="zh-CN" w:bidi="ar-SA"/>
                    </w:rPr>
                    <w:t>。</w:t>
                  </w:r>
                </w:p>
              </w:tc>
              <w:tc>
                <w:tcPr>
                  <w:tcW w:w="560" w:type="pct"/>
                  <w:vAlign w:val="center"/>
                </w:tcPr>
                <w:p>
                  <w:pPr>
                    <w:pStyle w:val="48"/>
                    <w:keepNext w:val="0"/>
                    <w:keepLines w:val="0"/>
                    <w:pageBreakBefore w:val="0"/>
                    <w:widowControl w:val="0"/>
                    <w:kinsoku/>
                    <w:wordWrap/>
                    <w:overflowPunct/>
                    <w:topLinePunct w:val="0"/>
                    <w:autoSpaceDE/>
                    <w:autoSpaceDN/>
                    <w:bidi w:val="0"/>
                    <w:spacing w:line="240" w:lineRule="auto"/>
                    <w:ind w:firstLine="0" w:firstLineChars="0"/>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8" w:hRule="atLeast"/>
              </w:trPr>
              <w:tc>
                <w:tcPr>
                  <w:tcW w:w="470" w:type="pct"/>
                  <w:vMerge w:val="continue"/>
                  <w:vAlign w:val="center"/>
                </w:tcPr>
                <w:p>
                  <w:pPr>
                    <w:pStyle w:val="48"/>
                    <w:keepNext w:val="0"/>
                    <w:keepLines w:val="0"/>
                    <w:pageBreakBefore w:val="0"/>
                    <w:widowControl w:val="0"/>
                    <w:kinsoku/>
                    <w:wordWrap/>
                    <w:overflowPunct/>
                    <w:topLinePunct w:val="0"/>
                    <w:autoSpaceDE/>
                    <w:autoSpaceDN/>
                    <w:bidi w:val="0"/>
                    <w:spacing w:line="240" w:lineRule="auto"/>
                    <w:ind w:firstLine="0"/>
                    <w:jc w:val="center"/>
                    <w:textAlignment w:val="auto"/>
                    <w:rPr>
                      <w:rFonts w:hint="default" w:ascii="Times New Roman" w:hAnsi="Times New Roman" w:cs="Times New Roman"/>
                      <w:color w:val="auto"/>
                      <w:sz w:val="21"/>
                      <w:szCs w:val="21"/>
                      <w:highlight w:val="none"/>
                      <w:lang w:val="en-US" w:eastAsia="zh-CN"/>
                    </w:rPr>
                  </w:pPr>
                </w:p>
              </w:tc>
              <w:tc>
                <w:tcPr>
                  <w:tcW w:w="573" w:type="pct"/>
                  <w:shd w:val="clear" w:color="auto" w:fill="auto"/>
                  <w:vAlign w:val="center"/>
                </w:tcPr>
                <w:p>
                  <w:pPr>
                    <w:pStyle w:val="48"/>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rPr>
                    <w:t>供电系统</w:t>
                  </w:r>
                </w:p>
              </w:tc>
              <w:tc>
                <w:tcPr>
                  <w:tcW w:w="3395" w:type="pct"/>
                  <w:gridSpan w:val="2"/>
                  <w:shd w:val="clear" w:color="auto" w:fill="auto"/>
                  <w:vAlign w:val="center"/>
                </w:tcPr>
                <w:p>
                  <w:pPr>
                    <w:pStyle w:val="48"/>
                    <w:keepNext w:val="0"/>
                    <w:keepLines w:val="0"/>
                    <w:pageBreakBefore w:val="0"/>
                    <w:widowControl w:val="0"/>
                    <w:kinsoku/>
                    <w:wordWrap/>
                    <w:overflowPunct/>
                    <w:topLinePunct w:val="0"/>
                    <w:autoSpaceDE/>
                    <w:autoSpaceDN/>
                    <w:bidi w:val="0"/>
                    <w:spacing w:line="240" w:lineRule="auto"/>
                    <w:ind w:firstLine="0" w:firstLineChars="0"/>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由园区供</w:t>
                  </w:r>
                  <w:r>
                    <w:rPr>
                      <w:rFonts w:hint="default" w:ascii="Times New Roman" w:hAnsi="Times New Roman" w:cs="Times New Roman"/>
                      <w:color w:val="auto"/>
                      <w:kern w:val="0"/>
                      <w:sz w:val="21"/>
                      <w:szCs w:val="21"/>
                      <w:highlight w:val="none"/>
                      <w:lang w:val="en-US" w:eastAsia="zh-CN" w:bidi="ar-SA"/>
                    </w:rPr>
                    <w:t>电</w:t>
                  </w:r>
                  <w:r>
                    <w:rPr>
                      <w:rFonts w:hint="default" w:ascii="Times New Roman" w:hAnsi="Times New Roman" w:eastAsia="宋体" w:cs="Times New Roman"/>
                      <w:color w:val="auto"/>
                      <w:kern w:val="0"/>
                      <w:sz w:val="21"/>
                      <w:szCs w:val="21"/>
                      <w:highlight w:val="none"/>
                      <w:lang w:val="en-US" w:eastAsia="zh-CN" w:bidi="ar-SA"/>
                    </w:rPr>
                    <w:t>管网统一提供</w:t>
                  </w:r>
                  <w:r>
                    <w:rPr>
                      <w:rFonts w:hint="default" w:ascii="Times New Roman" w:hAnsi="Times New Roman" w:cs="Times New Roman"/>
                      <w:color w:val="auto"/>
                      <w:kern w:val="0"/>
                      <w:sz w:val="21"/>
                      <w:szCs w:val="21"/>
                      <w:highlight w:val="none"/>
                      <w:lang w:val="en-US" w:eastAsia="zh-CN" w:bidi="ar-SA"/>
                    </w:rPr>
                    <w:t>。</w:t>
                  </w:r>
                </w:p>
              </w:tc>
              <w:tc>
                <w:tcPr>
                  <w:tcW w:w="560" w:type="pct"/>
                  <w:vAlign w:val="center"/>
                </w:tcPr>
                <w:p>
                  <w:pPr>
                    <w:pStyle w:val="48"/>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8" w:hRule="atLeast"/>
              </w:trPr>
              <w:tc>
                <w:tcPr>
                  <w:tcW w:w="470" w:type="pct"/>
                  <w:vMerge w:val="continue"/>
                  <w:vAlign w:val="center"/>
                </w:tcPr>
                <w:p>
                  <w:pPr>
                    <w:pStyle w:val="48"/>
                    <w:keepNext w:val="0"/>
                    <w:keepLines w:val="0"/>
                    <w:pageBreakBefore w:val="0"/>
                    <w:widowControl w:val="0"/>
                    <w:kinsoku/>
                    <w:wordWrap/>
                    <w:overflowPunct/>
                    <w:topLinePunct w:val="0"/>
                    <w:autoSpaceDE/>
                    <w:autoSpaceDN/>
                    <w:bidi w:val="0"/>
                    <w:spacing w:line="240" w:lineRule="auto"/>
                    <w:ind w:firstLine="0"/>
                    <w:jc w:val="center"/>
                    <w:textAlignment w:val="auto"/>
                    <w:rPr>
                      <w:rFonts w:hint="default" w:ascii="Times New Roman" w:hAnsi="Times New Roman" w:cs="Times New Roman"/>
                      <w:color w:val="auto"/>
                      <w:sz w:val="21"/>
                      <w:szCs w:val="21"/>
                      <w:highlight w:val="none"/>
                      <w:lang w:val="en-US" w:eastAsia="zh-CN"/>
                    </w:rPr>
                  </w:pPr>
                </w:p>
              </w:tc>
              <w:tc>
                <w:tcPr>
                  <w:tcW w:w="573" w:type="pct"/>
                  <w:shd w:val="clear" w:color="auto" w:fill="auto"/>
                  <w:vAlign w:val="center"/>
                </w:tcPr>
                <w:p>
                  <w:pPr>
                    <w:pStyle w:val="48"/>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rPr>
                    <w:t>排水系统</w:t>
                  </w:r>
                </w:p>
              </w:tc>
              <w:tc>
                <w:tcPr>
                  <w:tcW w:w="3395" w:type="pct"/>
                  <w:gridSpan w:val="2"/>
                  <w:shd w:val="clear" w:color="auto" w:fill="auto"/>
                  <w:vAlign w:val="center"/>
                </w:tcPr>
                <w:p>
                  <w:pPr>
                    <w:pStyle w:val="48"/>
                    <w:keepNext w:val="0"/>
                    <w:keepLines w:val="0"/>
                    <w:pageBreakBefore w:val="0"/>
                    <w:widowControl w:val="0"/>
                    <w:kinsoku/>
                    <w:wordWrap/>
                    <w:overflowPunct/>
                    <w:topLinePunct w:val="0"/>
                    <w:autoSpaceDE/>
                    <w:autoSpaceDN/>
                    <w:bidi w:val="0"/>
                    <w:spacing w:line="240" w:lineRule="auto"/>
                    <w:ind w:firstLine="0" w:firstLineChars="0"/>
                    <w:jc w:val="both"/>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项目生活污水经化粪池处理后，原料清洗废水、洗瓶废水、CIP系统清洗废水经厂区污水站处理后与纯水制备浓水、</w:t>
                  </w:r>
                  <w:r>
                    <w:rPr>
                      <w:rFonts w:hint="eastAsia" w:ascii="Times New Roman" w:cs="Times New Roman"/>
                      <w:color w:val="auto"/>
                      <w:sz w:val="21"/>
                      <w:szCs w:val="21"/>
                      <w:highlight w:val="none"/>
                      <w:lang w:val="en-US" w:eastAsia="zh-CN"/>
                    </w:rPr>
                    <w:t>锅炉</w:t>
                  </w:r>
                  <w:r>
                    <w:rPr>
                      <w:rFonts w:hint="default" w:ascii="Times New Roman" w:hAnsi="Times New Roman" w:cs="Times New Roman"/>
                      <w:color w:val="auto"/>
                      <w:sz w:val="21"/>
                      <w:szCs w:val="21"/>
                      <w:highlight w:val="none"/>
                      <w:lang w:val="en-US" w:eastAsia="zh-CN"/>
                    </w:rPr>
                    <w:t>排污水一起排入园区下水管网，</w:t>
                  </w:r>
                  <w:r>
                    <w:rPr>
                      <w:rFonts w:hint="default" w:ascii="Times New Roman" w:hAnsi="Times New Roman" w:eastAsia="宋体" w:cs="Times New Roman"/>
                      <w:b w:val="0"/>
                      <w:bCs w:val="0"/>
                      <w:color w:val="auto"/>
                      <w:sz w:val="21"/>
                      <w:szCs w:val="21"/>
                      <w:highlight w:val="none"/>
                      <w:lang w:val="en-US" w:eastAsia="zh-CN"/>
                    </w:rPr>
                    <w:t>最终</w:t>
                  </w:r>
                  <w:r>
                    <w:rPr>
                      <w:rFonts w:hint="default" w:ascii="Times New Roman" w:hAnsi="Times New Roman" w:eastAsia="宋体" w:cs="Times New Roman"/>
                      <w:b w:val="0"/>
                      <w:bCs w:val="0"/>
                      <w:color w:val="auto"/>
                      <w:sz w:val="21"/>
                      <w:szCs w:val="21"/>
                      <w:highlight w:val="none"/>
                      <w:lang w:eastAsia="zh-CN"/>
                    </w:rPr>
                    <w:t>进入</w:t>
                  </w:r>
                  <w:r>
                    <w:rPr>
                      <w:rFonts w:hint="default" w:ascii="Times New Roman" w:hAnsi="Times New Roman" w:cs="Times New Roman"/>
                      <w:b w:val="0"/>
                      <w:bCs w:val="0"/>
                      <w:color w:val="auto"/>
                      <w:sz w:val="21"/>
                      <w:szCs w:val="21"/>
                      <w:highlight w:val="none"/>
                      <w:lang w:eastAsia="zh-CN"/>
                    </w:rPr>
                    <w:t>库尔勒经济技术开发区工业废水处理回用厂</w:t>
                  </w:r>
                  <w:r>
                    <w:rPr>
                      <w:rFonts w:hint="default" w:ascii="Times New Roman" w:hAnsi="Times New Roman" w:cs="Times New Roman"/>
                      <w:b w:val="0"/>
                      <w:bCs w:val="0"/>
                      <w:color w:val="auto"/>
                      <w:sz w:val="21"/>
                      <w:szCs w:val="21"/>
                      <w:highlight w:val="none"/>
                      <w:lang w:val="en-US" w:eastAsia="zh-CN"/>
                    </w:rPr>
                    <w:t>深度处理</w:t>
                  </w:r>
                  <w:r>
                    <w:rPr>
                      <w:rFonts w:hint="default" w:ascii="Times New Roman" w:hAnsi="Times New Roman" w:cs="Times New Roman" w:eastAsiaTheme="minorEastAsia"/>
                      <w:color w:val="auto"/>
                      <w:sz w:val="21"/>
                      <w:szCs w:val="21"/>
                      <w:highlight w:val="none"/>
                      <w:lang w:val="en-US" w:eastAsia="zh-CN"/>
                    </w:rPr>
                    <w:t>。</w:t>
                  </w:r>
                </w:p>
              </w:tc>
              <w:tc>
                <w:tcPr>
                  <w:tcW w:w="560" w:type="pct"/>
                  <w:vAlign w:val="center"/>
                </w:tcPr>
                <w:p>
                  <w:pPr>
                    <w:pStyle w:val="48"/>
                    <w:keepNext w:val="0"/>
                    <w:keepLines w:val="0"/>
                    <w:pageBreakBefore w:val="0"/>
                    <w:widowControl w:val="0"/>
                    <w:kinsoku/>
                    <w:wordWrap/>
                    <w:overflowPunct/>
                    <w:topLinePunct w:val="0"/>
                    <w:autoSpaceDE/>
                    <w:autoSpaceDN/>
                    <w:bidi w:val="0"/>
                    <w:spacing w:line="240" w:lineRule="auto"/>
                    <w:ind w:firstLine="0" w:firstLineChars="0"/>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trPr>
              <w:tc>
                <w:tcPr>
                  <w:tcW w:w="470" w:type="pct"/>
                  <w:vMerge w:val="continue"/>
                  <w:vAlign w:val="center"/>
                </w:tcPr>
                <w:p>
                  <w:pPr>
                    <w:pStyle w:val="48"/>
                    <w:keepNext w:val="0"/>
                    <w:keepLines w:val="0"/>
                    <w:pageBreakBefore w:val="0"/>
                    <w:widowControl w:val="0"/>
                    <w:kinsoku/>
                    <w:wordWrap/>
                    <w:overflowPunct/>
                    <w:topLinePunct w:val="0"/>
                    <w:autoSpaceDE/>
                    <w:autoSpaceDN/>
                    <w:bidi w:val="0"/>
                    <w:spacing w:line="240" w:lineRule="auto"/>
                    <w:ind w:firstLine="0"/>
                    <w:jc w:val="center"/>
                    <w:textAlignment w:val="auto"/>
                    <w:rPr>
                      <w:rFonts w:hint="default" w:ascii="Times New Roman" w:hAnsi="Times New Roman" w:cs="Times New Roman"/>
                      <w:color w:val="auto"/>
                      <w:sz w:val="21"/>
                      <w:szCs w:val="21"/>
                      <w:highlight w:val="none"/>
                      <w:lang w:val="en-US" w:eastAsia="zh-CN"/>
                    </w:rPr>
                  </w:pPr>
                </w:p>
              </w:tc>
              <w:tc>
                <w:tcPr>
                  <w:tcW w:w="573" w:type="pct"/>
                  <w:shd w:val="clear" w:color="auto" w:fill="auto"/>
                  <w:vAlign w:val="center"/>
                </w:tcPr>
                <w:p>
                  <w:pPr>
                    <w:pStyle w:val="48"/>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rPr>
                    <w:t>供</w:t>
                  </w:r>
                  <w:r>
                    <w:rPr>
                      <w:rFonts w:hint="default" w:ascii="Times New Roman" w:hAnsi="Times New Roman" w:cs="Times New Roman"/>
                      <w:color w:val="auto"/>
                      <w:sz w:val="21"/>
                      <w:szCs w:val="21"/>
                      <w:highlight w:val="none"/>
                      <w:lang w:eastAsia="zh-CN"/>
                    </w:rPr>
                    <w:t>热系统</w:t>
                  </w:r>
                </w:p>
              </w:tc>
              <w:tc>
                <w:tcPr>
                  <w:tcW w:w="3395" w:type="pct"/>
                  <w:gridSpan w:val="2"/>
                  <w:shd w:val="clear" w:color="auto" w:fill="auto"/>
                  <w:vAlign w:val="center"/>
                </w:tcPr>
                <w:p>
                  <w:pPr>
                    <w:pStyle w:val="48"/>
                    <w:keepNext w:val="0"/>
                    <w:keepLines w:val="0"/>
                    <w:pageBreakBefore w:val="0"/>
                    <w:widowControl w:val="0"/>
                    <w:kinsoku/>
                    <w:wordWrap/>
                    <w:overflowPunct/>
                    <w:topLinePunct w:val="0"/>
                    <w:autoSpaceDE/>
                    <w:autoSpaceDN/>
                    <w:bidi w:val="0"/>
                    <w:spacing w:line="240" w:lineRule="auto"/>
                    <w:ind w:firstLine="0" w:firstLineChars="0"/>
                    <w:jc w:val="both"/>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生产供热采用</w:t>
                  </w:r>
                  <w:r>
                    <w:rPr>
                      <w:rFonts w:hint="eastAsia" w:ascii="Times New Roman" w:cs="Times New Roman"/>
                      <w:color w:val="auto"/>
                      <w:kern w:val="0"/>
                      <w:sz w:val="21"/>
                      <w:szCs w:val="21"/>
                      <w:highlight w:val="none"/>
                      <w:lang w:val="en-US" w:eastAsia="zh-CN" w:bidi="ar-SA"/>
                    </w:rPr>
                    <w:t>1</w:t>
                  </w:r>
                  <w:r>
                    <w:rPr>
                      <w:rFonts w:hint="default" w:ascii="Times New Roman" w:hAnsi="Times New Roman" w:cs="Times New Roman"/>
                      <w:color w:val="auto"/>
                      <w:kern w:val="0"/>
                      <w:sz w:val="21"/>
                      <w:szCs w:val="21"/>
                      <w:highlight w:val="none"/>
                      <w:lang w:val="en-US" w:eastAsia="zh-CN" w:bidi="ar-SA"/>
                    </w:rPr>
                    <w:t>台</w:t>
                  </w:r>
                  <w:r>
                    <w:rPr>
                      <w:rFonts w:hint="eastAsia" w:ascii="Times New Roman" w:cs="Times New Roman"/>
                      <w:color w:val="auto"/>
                      <w:kern w:val="0"/>
                      <w:sz w:val="21"/>
                      <w:szCs w:val="21"/>
                      <w:highlight w:val="none"/>
                      <w:lang w:val="en-US" w:eastAsia="zh-CN" w:bidi="ar-SA"/>
                    </w:rPr>
                    <w:t>4</w:t>
                  </w:r>
                  <w:r>
                    <w:rPr>
                      <w:rFonts w:hint="default" w:ascii="Times New Roman" w:hAnsi="Times New Roman" w:cs="Times New Roman"/>
                      <w:color w:val="auto"/>
                      <w:kern w:val="0"/>
                      <w:sz w:val="21"/>
                      <w:szCs w:val="21"/>
                      <w:highlight w:val="none"/>
                      <w:lang w:val="en-US" w:eastAsia="zh-CN" w:bidi="ar-SA"/>
                    </w:rPr>
                    <w:t>t/h天然气</w:t>
                  </w:r>
                  <w:r>
                    <w:rPr>
                      <w:rFonts w:hint="eastAsia" w:ascii="Times New Roman" w:cs="Times New Roman"/>
                      <w:color w:val="auto"/>
                      <w:kern w:val="0"/>
                      <w:sz w:val="21"/>
                      <w:szCs w:val="21"/>
                      <w:highlight w:val="none"/>
                      <w:lang w:val="en-US" w:eastAsia="zh-CN" w:bidi="ar-SA"/>
                    </w:rPr>
                    <w:t>锅炉</w:t>
                  </w:r>
                  <w:r>
                    <w:rPr>
                      <w:rFonts w:hint="default" w:ascii="Times New Roman" w:hAnsi="Times New Roman" w:cs="Times New Roman"/>
                      <w:color w:val="auto"/>
                      <w:kern w:val="0"/>
                      <w:sz w:val="21"/>
                      <w:szCs w:val="21"/>
                      <w:highlight w:val="none"/>
                      <w:lang w:val="en-US" w:eastAsia="zh-CN" w:bidi="ar-SA"/>
                    </w:rPr>
                    <w:t>供热；生活供热采用电采暖。</w:t>
                  </w:r>
                </w:p>
              </w:tc>
              <w:tc>
                <w:tcPr>
                  <w:tcW w:w="560" w:type="pct"/>
                  <w:vAlign w:val="center"/>
                </w:tcPr>
                <w:p>
                  <w:pPr>
                    <w:pStyle w:val="48"/>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8" w:hRule="atLeast"/>
              </w:trPr>
              <w:tc>
                <w:tcPr>
                  <w:tcW w:w="470" w:type="pct"/>
                  <w:vMerge w:val="restart"/>
                  <w:vAlign w:val="center"/>
                </w:tcPr>
                <w:p>
                  <w:pPr>
                    <w:pStyle w:val="48"/>
                    <w:keepNext w:val="0"/>
                    <w:keepLines w:val="0"/>
                    <w:pageBreakBefore w:val="0"/>
                    <w:widowControl w:val="0"/>
                    <w:kinsoku/>
                    <w:wordWrap/>
                    <w:overflowPunct/>
                    <w:topLinePunct w:val="0"/>
                    <w:autoSpaceDE/>
                    <w:autoSpaceDN/>
                    <w:bidi w:val="0"/>
                    <w:spacing w:line="240" w:lineRule="auto"/>
                    <w:ind w:firstLine="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环保工程</w:t>
                  </w:r>
                </w:p>
              </w:tc>
              <w:tc>
                <w:tcPr>
                  <w:tcW w:w="573" w:type="pct"/>
                  <w:vMerge w:val="restart"/>
                  <w:shd w:val="clear" w:color="auto" w:fill="auto"/>
                  <w:vAlign w:val="center"/>
                </w:tcPr>
                <w:p>
                  <w:pPr>
                    <w:pStyle w:val="48"/>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废气治理</w:t>
                  </w:r>
                </w:p>
              </w:tc>
              <w:tc>
                <w:tcPr>
                  <w:tcW w:w="726" w:type="pct"/>
                  <w:shd w:val="clear" w:color="auto" w:fill="auto"/>
                  <w:vAlign w:val="center"/>
                </w:tcPr>
                <w:p>
                  <w:pPr>
                    <w:adjustRightInd w:val="0"/>
                    <w:snapToGrid w:val="0"/>
                    <w:spacing w:line="240" w:lineRule="auto"/>
                    <w:jc w:val="center"/>
                    <w:rPr>
                      <w:rFonts w:hint="default" w:ascii="Times New Roman" w:hAnsi="Times New Roman" w:cs="Times New Roman"/>
                      <w:color w:val="auto"/>
                      <w:kern w:val="0"/>
                      <w:sz w:val="21"/>
                      <w:szCs w:val="21"/>
                      <w:highlight w:val="none"/>
                      <w:lang w:val="en-US" w:eastAsia="zh-CN" w:bidi="ar-SA"/>
                    </w:rPr>
                  </w:pPr>
                  <w:r>
                    <w:rPr>
                      <w:rFonts w:hint="eastAsia" w:cs="Times New Roman"/>
                      <w:color w:val="auto"/>
                      <w:sz w:val="21"/>
                      <w:szCs w:val="21"/>
                      <w:highlight w:val="none"/>
                      <w:lang w:val="en-US" w:eastAsia="zh-CN"/>
                    </w:rPr>
                    <w:t>锅炉</w:t>
                  </w:r>
                  <w:r>
                    <w:rPr>
                      <w:rFonts w:hint="default" w:ascii="Times New Roman" w:hAnsi="Times New Roman" w:cs="Times New Roman"/>
                      <w:color w:val="auto"/>
                      <w:sz w:val="21"/>
                      <w:szCs w:val="21"/>
                      <w:highlight w:val="none"/>
                      <w:lang w:val="en-US" w:eastAsia="zh-CN"/>
                    </w:rPr>
                    <w:t>废气</w:t>
                  </w:r>
                </w:p>
              </w:tc>
              <w:tc>
                <w:tcPr>
                  <w:tcW w:w="2669" w:type="pct"/>
                  <w:shd w:val="clear" w:color="auto" w:fill="auto"/>
                  <w:vAlign w:val="center"/>
                </w:tcPr>
                <w:p>
                  <w:pPr>
                    <w:adjustRightInd w:val="0"/>
                    <w:snapToGrid w:val="0"/>
                    <w:spacing w:line="240" w:lineRule="auto"/>
                    <w:jc w:val="center"/>
                    <w:rPr>
                      <w:rFonts w:hint="default" w:ascii="Times New Roman" w:hAnsi="Times New Roman"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低氮燃烧技术+8m排气筒</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lang w:val="en-US" w:eastAsia="zh-CN"/>
                    </w:rPr>
                    <w:t>DA001）</w:t>
                  </w:r>
                </w:p>
              </w:tc>
              <w:tc>
                <w:tcPr>
                  <w:tcW w:w="560" w:type="pct"/>
                  <w:vAlign w:val="center"/>
                </w:tcPr>
                <w:p>
                  <w:pPr>
                    <w:adjustRightInd w:val="0"/>
                    <w:snapToGrid w:val="0"/>
                    <w:spacing w:line="240" w:lineRule="auto"/>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8" w:hRule="atLeast"/>
              </w:trPr>
              <w:tc>
                <w:tcPr>
                  <w:tcW w:w="470" w:type="pct"/>
                  <w:vMerge w:val="continue"/>
                </w:tcPr>
                <w:p>
                  <w:pPr>
                    <w:pStyle w:val="48"/>
                    <w:keepNext w:val="0"/>
                    <w:keepLines w:val="0"/>
                    <w:pageBreakBefore w:val="0"/>
                    <w:widowControl w:val="0"/>
                    <w:kinsoku/>
                    <w:wordWrap/>
                    <w:overflowPunct/>
                    <w:topLinePunct w:val="0"/>
                    <w:autoSpaceDE/>
                    <w:autoSpaceDN/>
                    <w:bidi w:val="0"/>
                    <w:spacing w:line="240" w:lineRule="auto"/>
                    <w:ind w:firstLine="0"/>
                    <w:textAlignment w:val="auto"/>
                    <w:rPr>
                      <w:rFonts w:hint="default" w:ascii="Times New Roman" w:hAnsi="Times New Roman" w:cs="Times New Roman"/>
                      <w:color w:val="auto"/>
                      <w:sz w:val="21"/>
                      <w:szCs w:val="21"/>
                      <w:highlight w:val="none"/>
                      <w:lang w:val="en-US" w:eastAsia="zh-CN"/>
                    </w:rPr>
                  </w:pPr>
                </w:p>
              </w:tc>
              <w:tc>
                <w:tcPr>
                  <w:tcW w:w="573" w:type="pct"/>
                  <w:vMerge w:val="continue"/>
                  <w:shd w:val="clear" w:color="auto" w:fill="auto"/>
                  <w:vAlign w:val="center"/>
                </w:tcPr>
                <w:p>
                  <w:pPr>
                    <w:pStyle w:val="48"/>
                    <w:keepNext w:val="0"/>
                    <w:keepLines w:val="0"/>
                    <w:pageBreakBefore w:val="0"/>
                    <w:widowControl w:val="0"/>
                    <w:kinsoku/>
                    <w:wordWrap/>
                    <w:overflowPunct/>
                    <w:topLinePunct w:val="0"/>
                    <w:autoSpaceDE/>
                    <w:autoSpaceDN/>
                    <w:bidi w:val="0"/>
                    <w:spacing w:line="240" w:lineRule="auto"/>
                    <w:ind w:firstLine="0" w:firstLineChars="0"/>
                    <w:textAlignment w:val="auto"/>
                    <w:rPr>
                      <w:rFonts w:hint="default" w:ascii="Times New Roman" w:hAnsi="Times New Roman" w:cs="Times New Roman"/>
                      <w:color w:val="auto"/>
                      <w:sz w:val="21"/>
                      <w:szCs w:val="21"/>
                      <w:highlight w:val="none"/>
                      <w:lang w:val="en-US" w:eastAsia="zh-CN"/>
                    </w:rPr>
                  </w:pPr>
                </w:p>
              </w:tc>
              <w:tc>
                <w:tcPr>
                  <w:tcW w:w="726" w:type="pct"/>
                  <w:shd w:val="clear" w:color="auto" w:fill="auto"/>
                  <w:vAlign w:val="center"/>
                </w:tcPr>
                <w:p>
                  <w:pPr>
                    <w:adjustRightInd w:val="0"/>
                    <w:snapToGrid w:val="0"/>
                    <w:spacing w:line="240" w:lineRule="auto"/>
                    <w:jc w:val="center"/>
                    <w:rPr>
                      <w:rFonts w:hint="default" w:ascii="Times New Roman" w:hAnsi="Times New Roman" w:cs="Times New Roman"/>
                      <w:color w:val="auto"/>
                      <w:kern w:val="0"/>
                      <w:sz w:val="21"/>
                      <w:szCs w:val="21"/>
                      <w:highlight w:val="none"/>
                      <w:lang w:val="en-US" w:eastAsia="zh-CN" w:bidi="ar-SA"/>
                    </w:rPr>
                  </w:pPr>
                  <w:r>
                    <w:rPr>
                      <w:rFonts w:hint="eastAsia" w:cs="Times New Roman"/>
                      <w:color w:val="auto"/>
                      <w:sz w:val="21"/>
                      <w:szCs w:val="21"/>
                      <w:highlight w:val="none"/>
                      <w:lang w:val="en-US" w:eastAsia="zh-CN"/>
                    </w:rPr>
                    <w:t>瓶胚预热</w:t>
                  </w:r>
                  <w:r>
                    <w:rPr>
                      <w:rFonts w:hint="default" w:ascii="Times New Roman" w:hAnsi="Times New Roman" w:cs="Times New Roman"/>
                      <w:color w:val="auto"/>
                      <w:sz w:val="21"/>
                      <w:szCs w:val="21"/>
                      <w:highlight w:val="none"/>
                      <w:lang w:val="en-US" w:eastAsia="zh-CN"/>
                    </w:rPr>
                    <w:t>废气</w:t>
                  </w:r>
                </w:p>
              </w:tc>
              <w:tc>
                <w:tcPr>
                  <w:tcW w:w="2669" w:type="pct"/>
                  <w:shd w:val="clear" w:color="auto" w:fill="auto"/>
                  <w:vAlign w:val="center"/>
                </w:tcPr>
                <w:p>
                  <w:pPr>
                    <w:adjustRightInd w:val="0"/>
                    <w:snapToGrid w:val="0"/>
                    <w:spacing w:line="240" w:lineRule="auto"/>
                    <w:jc w:val="center"/>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二级活性炭吸附装置+15m排气筒</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lang w:val="en-US" w:eastAsia="zh-CN"/>
                    </w:rPr>
                    <w:t>DA00</w:t>
                  </w:r>
                  <w:r>
                    <w:rPr>
                      <w:rFonts w:hint="eastAsia" w:cs="Times New Roman"/>
                      <w:color w:val="auto"/>
                      <w:sz w:val="21"/>
                      <w:szCs w:val="21"/>
                      <w:highlight w:val="none"/>
                      <w:lang w:val="en-US" w:eastAsia="zh-CN"/>
                    </w:rPr>
                    <w:t>2</w:t>
                  </w:r>
                  <w:r>
                    <w:rPr>
                      <w:rFonts w:hint="default" w:ascii="Times New Roman" w:hAnsi="Times New Roman" w:cs="Times New Roman"/>
                      <w:color w:val="auto"/>
                      <w:sz w:val="21"/>
                      <w:szCs w:val="21"/>
                      <w:highlight w:val="none"/>
                      <w:lang w:val="en-US" w:eastAsia="zh-CN"/>
                    </w:rPr>
                    <w:t>）</w:t>
                  </w:r>
                </w:p>
              </w:tc>
              <w:tc>
                <w:tcPr>
                  <w:tcW w:w="560" w:type="pct"/>
                  <w:vAlign w:val="center"/>
                </w:tcPr>
                <w:p>
                  <w:pPr>
                    <w:adjustRightInd w:val="0"/>
                    <w:snapToGrid w:val="0"/>
                    <w:spacing w:line="240" w:lineRule="auto"/>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8" w:hRule="atLeast"/>
              </w:trPr>
              <w:tc>
                <w:tcPr>
                  <w:tcW w:w="470" w:type="pct"/>
                  <w:vMerge w:val="continue"/>
                </w:tcPr>
                <w:p>
                  <w:pPr>
                    <w:pStyle w:val="48"/>
                    <w:keepNext w:val="0"/>
                    <w:keepLines w:val="0"/>
                    <w:pageBreakBefore w:val="0"/>
                    <w:widowControl w:val="0"/>
                    <w:kinsoku/>
                    <w:wordWrap/>
                    <w:overflowPunct/>
                    <w:topLinePunct w:val="0"/>
                    <w:autoSpaceDE/>
                    <w:autoSpaceDN/>
                    <w:bidi w:val="0"/>
                    <w:spacing w:line="240" w:lineRule="auto"/>
                    <w:ind w:firstLine="0"/>
                    <w:textAlignment w:val="auto"/>
                    <w:rPr>
                      <w:rFonts w:hint="default" w:ascii="Times New Roman" w:hAnsi="Times New Roman" w:cs="Times New Roman"/>
                      <w:color w:val="auto"/>
                      <w:sz w:val="21"/>
                      <w:szCs w:val="21"/>
                      <w:highlight w:val="none"/>
                      <w:lang w:val="en-US" w:eastAsia="zh-CN"/>
                    </w:rPr>
                  </w:pPr>
                </w:p>
              </w:tc>
              <w:tc>
                <w:tcPr>
                  <w:tcW w:w="573" w:type="pct"/>
                  <w:vMerge w:val="continue"/>
                  <w:shd w:val="clear" w:color="auto" w:fill="auto"/>
                  <w:vAlign w:val="center"/>
                </w:tcPr>
                <w:p>
                  <w:pPr>
                    <w:pStyle w:val="48"/>
                    <w:keepNext w:val="0"/>
                    <w:keepLines w:val="0"/>
                    <w:pageBreakBefore w:val="0"/>
                    <w:widowControl w:val="0"/>
                    <w:kinsoku/>
                    <w:wordWrap/>
                    <w:overflowPunct/>
                    <w:topLinePunct w:val="0"/>
                    <w:autoSpaceDE/>
                    <w:autoSpaceDN/>
                    <w:bidi w:val="0"/>
                    <w:spacing w:line="240" w:lineRule="auto"/>
                    <w:ind w:firstLine="0" w:firstLineChars="0"/>
                    <w:textAlignment w:val="auto"/>
                    <w:rPr>
                      <w:rFonts w:hint="default" w:ascii="Times New Roman" w:hAnsi="Times New Roman" w:cs="Times New Roman"/>
                      <w:color w:val="auto"/>
                      <w:sz w:val="21"/>
                      <w:szCs w:val="21"/>
                      <w:highlight w:val="none"/>
                      <w:lang w:val="en-US" w:eastAsia="zh-CN"/>
                    </w:rPr>
                  </w:pPr>
                </w:p>
              </w:tc>
              <w:tc>
                <w:tcPr>
                  <w:tcW w:w="726" w:type="pct"/>
                  <w:shd w:val="clear" w:color="auto" w:fill="auto"/>
                  <w:vAlign w:val="center"/>
                </w:tcPr>
                <w:p>
                  <w:pPr>
                    <w:adjustRightInd w:val="0"/>
                    <w:snapToGrid w:val="0"/>
                    <w:spacing w:line="240" w:lineRule="auto"/>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包装</w:t>
                  </w:r>
                  <w:r>
                    <w:rPr>
                      <w:rFonts w:hint="eastAsia" w:cs="Times New Roman"/>
                      <w:color w:val="auto"/>
                      <w:sz w:val="21"/>
                      <w:szCs w:val="21"/>
                      <w:highlight w:val="none"/>
                      <w:lang w:val="en-US" w:eastAsia="zh-CN"/>
                    </w:rPr>
                    <w:t>缩膜</w:t>
                  </w:r>
                  <w:r>
                    <w:rPr>
                      <w:rFonts w:hint="default" w:ascii="Times New Roman" w:hAnsi="Times New Roman" w:cs="Times New Roman"/>
                      <w:color w:val="auto"/>
                      <w:sz w:val="21"/>
                      <w:szCs w:val="21"/>
                      <w:highlight w:val="none"/>
                      <w:lang w:val="en-US" w:eastAsia="zh-CN"/>
                    </w:rPr>
                    <w:t>废气</w:t>
                  </w:r>
                </w:p>
              </w:tc>
              <w:tc>
                <w:tcPr>
                  <w:tcW w:w="2669" w:type="pct"/>
                  <w:shd w:val="clear" w:color="auto" w:fill="auto"/>
                  <w:vAlign w:val="center"/>
                </w:tcPr>
                <w:p>
                  <w:pPr>
                    <w:adjustRightInd w:val="0"/>
                    <w:snapToGrid w:val="0"/>
                    <w:spacing w:line="240" w:lineRule="auto"/>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二级活性炭吸附装置+15m排气筒</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lang w:val="en-US" w:eastAsia="zh-CN"/>
                    </w:rPr>
                    <w:t>DA00</w:t>
                  </w:r>
                  <w:r>
                    <w:rPr>
                      <w:rFonts w:hint="eastAsia" w:cs="Times New Roman"/>
                      <w:color w:val="auto"/>
                      <w:sz w:val="21"/>
                      <w:szCs w:val="21"/>
                      <w:highlight w:val="none"/>
                      <w:lang w:val="en-US" w:eastAsia="zh-CN"/>
                    </w:rPr>
                    <w:t>3</w:t>
                  </w:r>
                  <w:r>
                    <w:rPr>
                      <w:rFonts w:hint="default" w:ascii="Times New Roman" w:hAnsi="Times New Roman" w:cs="Times New Roman"/>
                      <w:color w:val="auto"/>
                      <w:sz w:val="21"/>
                      <w:szCs w:val="21"/>
                      <w:highlight w:val="none"/>
                      <w:lang w:val="en-US" w:eastAsia="zh-CN"/>
                    </w:rPr>
                    <w:t>）</w:t>
                  </w:r>
                </w:p>
              </w:tc>
              <w:tc>
                <w:tcPr>
                  <w:tcW w:w="560" w:type="pct"/>
                  <w:vAlign w:val="center"/>
                </w:tcPr>
                <w:p>
                  <w:pPr>
                    <w:adjustRightInd w:val="0"/>
                    <w:snapToGrid w:val="0"/>
                    <w:spacing w:line="240" w:lineRule="auto"/>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8" w:hRule="atLeast"/>
              </w:trPr>
              <w:tc>
                <w:tcPr>
                  <w:tcW w:w="470" w:type="pct"/>
                  <w:vMerge w:val="continue"/>
                </w:tcPr>
                <w:p>
                  <w:pPr>
                    <w:pStyle w:val="48"/>
                    <w:keepNext w:val="0"/>
                    <w:keepLines w:val="0"/>
                    <w:pageBreakBefore w:val="0"/>
                    <w:widowControl w:val="0"/>
                    <w:kinsoku/>
                    <w:wordWrap/>
                    <w:overflowPunct/>
                    <w:topLinePunct w:val="0"/>
                    <w:autoSpaceDE/>
                    <w:autoSpaceDN/>
                    <w:bidi w:val="0"/>
                    <w:spacing w:line="240" w:lineRule="auto"/>
                    <w:ind w:firstLine="0"/>
                    <w:textAlignment w:val="auto"/>
                    <w:rPr>
                      <w:rFonts w:hint="default" w:ascii="Times New Roman" w:hAnsi="Times New Roman" w:cs="Times New Roman"/>
                      <w:color w:val="auto"/>
                      <w:sz w:val="21"/>
                      <w:szCs w:val="21"/>
                      <w:highlight w:val="none"/>
                      <w:lang w:val="en-US" w:eastAsia="zh-CN"/>
                    </w:rPr>
                  </w:pPr>
                </w:p>
              </w:tc>
              <w:tc>
                <w:tcPr>
                  <w:tcW w:w="573" w:type="pct"/>
                  <w:shd w:val="clear" w:color="auto" w:fill="auto"/>
                  <w:vAlign w:val="center"/>
                </w:tcPr>
                <w:p>
                  <w:pPr>
                    <w:pStyle w:val="48"/>
                    <w:keepNext w:val="0"/>
                    <w:keepLines w:val="0"/>
                    <w:pageBreakBefore w:val="0"/>
                    <w:widowControl w:val="0"/>
                    <w:kinsoku/>
                    <w:wordWrap/>
                    <w:overflowPunct/>
                    <w:topLinePunct w:val="0"/>
                    <w:autoSpaceDE/>
                    <w:autoSpaceDN/>
                    <w:bidi w:val="0"/>
                    <w:spacing w:line="240" w:lineRule="auto"/>
                    <w:ind w:firstLine="0" w:firstLineChars="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废水治理</w:t>
                  </w:r>
                </w:p>
              </w:tc>
              <w:tc>
                <w:tcPr>
                  <w:tcW w:w="3395" w:type="pct"/>
                  <w:gridSpan w:val="2"/>
                  <w:shd w:val="clear" w:color="auto" w:fill="auto"/>
                  <w:vAlign w:val="center"/>
                </w:tcPr>
                <w:p>
                  <w:pPr>
                    <w:pStyle w:val="48"/>
                    <w:keepNext w:val="0"/>
                    <w:keepLines w:val="0"/>
                    <w:pageBreakBefore w:val="0"/>
                    <w:widowControl w:val="0"/>
                    <w:kinsoku/>
                    <w:wordWrap/>
                    <w:overflowPunct/>
                    <w:topLinePunct w:val="0"/>
                    <w:autoSpaceDE/>
                    <w:autoSpaceDN/>
                    <w:bidi w:val="0"/>
                    <w:spacing w:line="240" w:lineRule="auto"/>
                    <w:ind w:firstLine="0" w:firstLineChars="0"/>
                    <w:jc w:val="both"/>
                    <w:textAlignment w:val="auto"/>
                    <w:rPr>
                      <w:rFonts w:hint="default" w:ascii="Times New Roman" w:hAnsi="Times New Roman" w:cs="Times New Roman" w:eastAsiaTheme="minorEastAsia"/>
                      <w:color w:val="auto"/>
                      <w:kern w:val="0"/>
                      <w:sz w:val="21"/>
                      <w:szCs w:val="21"/>
                      <w:highlight w:val="none"/>
                      <w:lang w:val="en-US" w:eastAsia="zh-CN" w:bidi="ar-SA"/>
                    </w:rPr>
                  </w:pPr>
                  <w:r>
                    <w:rPr>
                      <w:rFonts w:hint="default" w:ascii="Times New Roman" w:hAnsi="Times New Roman" w:cs="Times New Roman" w:eastAsiaTheme="minorEastAsia"/>
                      <w:color w:val="auto"/>
                      <w:kern w:val="0"/>
                      <w:sz w:val="21"/>
                      <w:szCs w:val="21"/>
                      <w:highlight w:val="none"/>
                      <w:lang w:val="en-US" w:eastAsia="zh-CN" w:bidi="ar-SA"/>
                    </w:rPr>
                    <w:t>本项目建设污水处理站一座，设计处理能力30</w:t>
                  </w:r>
                  <w:r>
                    <w:rPr>
                      <w:rFonts w:hint="default" w:ascii="Times New Roman" w:hAnsi="Times New Roman" w:cs="Times New Roman"/>
                      <w:color w:val="auto"/>
                      <w:sz w:val="21"/>
                      <w:szCs w:val="21"/>
                      <w:highlight w:val="none"/>
                    </w:rPr>
                    <w:t>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rPr>
                    <w:t>/</w:t>
                  </w:r>
                  <w:r>
                    <w:rPr>
                      <w:rFonts w:hint="default" w:ascii="Times New Roman" w:hAnsi="Times New Roman" w:cs="Times New Roman"/>
                      <w:color w:val="auto"/>
                      <w:sz w:val="21"/>
                      <w:szCs w:val="21"/>
                      <w:highlight w:val="none"/>
                      <w:lang w:val="en-US" w:eastAsia="zh-CN"/>
                    </w:rPr>
                    <w:t>d，处理工艺为</w:t>
                  </w:r>
                  <w:r>
                    <w:rPr>
                      <w:rFonts w:hint="default" w:ascii="Times New Roman" w:hAnsi="Times New Roman" w:cs="Times New Roman"/>
                      <w:color w:val="auto"/>
                      <w:highlight w:val="none"/>
                      <w:lang w:val="en-US" w:eastAsia="zh-CN"/>
                    </w:rPr>
                    <w:t>“格栅-调节池-厌氧池-好氧池-二沉池-过滤池-清水池”，</w:t>
                  </w:r>
                  <w:r>
                    <w:rPr>
                      <w:rFonts w:hint="default" w:ascii="Times New Roman" w:hAnsi="Times New Roman" w:cs="Times New Roman"/>
                      <w:color w:val="auto"/>
                      <w:sz w:val="21"/>
                      <w:szCs w:val="21"/>
                      <w:highlight w:val="none"/>
                      <w:lang w:val="en-US" w:eastAsia="zh-CN"/>
                    </w:rPr>
                    <w:t>原料清洗废水、洗瓶废水、CIP系统清洗废水</w:t>
                  </w:r>
                  <w:r>
                    <w:rPr>
                      <w:rFonts w:hint="eastAsia" w:ascii="Times New Roman" w:hAnsi="Times New Roman" w:cs="Times New Roman"/>
                      <w:color w:val="auto"/>
                      <w:sz w:val="21"/>
                      <w:szCs w:val="21"/>
                      <w:highlight w:val="none"/>
                      <w:lang w:val="en-US" w:eastAsia="zh-CN"/>
                    </w:rPr>
                    <w:t>等生产废水经厂内污水站处理后，与</w:t>
                  </w:r>
                  <w:r>
                    <w:rPr>
                      <w:rFonts w:hint="eastAsia" w:cs="宋体"/>
                      <w:color w:val="auto"/>
                      <w:sz w:val="21"/>
                      <w:szCs w:val="21"/>
                      <w:highlight w:val="none"/>
                      <w:lang w:val="en-US" w:eastAsia="zh-CN"/>
                    </w:rPr>
                    <w:t>纯水制备浓水、锅炉排污水及经化粪池预处理的生活污水一同排入园区下水管网，</w:t>
                  </w:r>
                  <w:r>
                    <w:rPr>
                      <w:rFonts w:hint="eastAsia" w:ascii="Times New Roman" w:hAnsi="Times New Roman" w:eastAsia="宋体" w:cs="Times New Roman"/>
                      <w:b w:val="0"/>
                      <w:bCs w:val="0"/>
                      <w:color w:val="auto"/>
                      <w:sz w:val="21"/>
                      <w:szCs w:val="21"/>
                      <w:highlight w:val="none"/>
                      <w:lang w:val="en-US" w:eastAsia="zh-CN"/>
                    </w:rPr>
                    <w:t>最终</w:t>
                  </w:r>
                  <w:r>
                    <w:rPr>
                      <w:rFonts w:hint="eastAsia" w:ascii="Times New Roman" w:hAnsi="Times New Roman" w:eastAsia="宋体" w:cs="Times New Roman"/>
                      <w:b w:val="0"/>
                      <w:bCs w:val="0"/>
                      <w:color w:val="auto"/>
                      <w:sz w:val="21"/>
                      <w:szCs w:val="21"/>
                      <w:highlight w:val="none"/>
                      <w:lang w:eastAsia="zh-CN"/>
                    </w:rPr>
                    <w:t>进入</w:t>
                  </w:r>
                  <w:r>
                    <w:rPr>
                      <w:rFonts w:hint="eastAsia"/>
                      <w:b w:val="0"/>
                      <w:bCs w:val="0"/>
                      <w:color w:val="auto"/>
                      <w:sz w:val="21"/>
                      <w:szCs w:val="21"/>
                      <w:highlight w:val="none"/>
                      <w:lang w:eastAsia="zh-CN"/>
                    </w:rPr>
                    <w:t>库尔勒经济技术开发区工业废水处理回用厂</w:t>
                  </w:r>
                  <w:r>
                    <w:rPr>
                      <w:rFonts w:hint="eastAsia"/>
                      <w:b w:val="0"/>
                      <w:bCs w:val="0"/>
                      <w:color w:val="auto"/>
                      <w:sz w:val="21"/>
                      <w:szCs w:val="21"/>
                      <w:highlight w:val="none"/>
                      <w:lang w:val="en-US" w:eastAsia="zh-CN"/>
                    </w:rPr>
                    <w:t>深度处理</w:t>
                  </w:r>
                  <w:r>
                    <w:rPr>
                      <w:rFonts w:hint="eastAsia" w:ascii="Times New Roman" w:hAnsi="Times New Roman" w:eastAsia="宋体" w:cs="Times New Roman"/>
                      <w:b w:val="0"/>
                      <w:bCs w:val="0"/>
                      <w:color w:val="auto"/>
                      <w:sz w:val="21"/>
                      <w:szCs w:val="21"/>
                      <w:highlight w:val="none"/>
                      <w:lang w:eastAsia="zh-CN"/>
                    </w:rPr>
                    <w:t>。</w:t>
                  </w:r>
                </w:p>
              </w:tc>
              <w:tc>
                <w:tcPr>
                  <w:tcW w:w="560" w:type="pct"/>
                  <w:vAlign w:val="center"/>
                </w:tcPr>
                <w:p>
                  <w:pPr>
                    <w:pStyle w:val="48"/>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38" w:hRule="atLeast"/>
              </w:trPr>
              <w:tc>
                <w:tcPr>
                  <w:tcW w:w="470" w:type="pct"/>
                  <w:vMerge w:val="continue"/>
                </w:tcPr>
                <w:p>
                  <w:pPr>
                    <w:pStyle w:val="48"/>
                    <w:keepNext w:val="0"/>
                    <w:keepLines w:val="0"/>
                    <w:pageBreakBefore w:val="0"/>
                    <w:widowControl w:val="0"/>
                    <w:kinsoku/>
                    <w:wordWrap/>
                    <w:overflowPunct/>
                    <w:topLinePunct w:val="0"/>
                    <w:autoSpaceDE/>
                    <w:autoSpaceDN/>
                    <w:bidi w:val="0"/>
                    <w:spacing w:line="240" w:lineRule="auto"/>
                    <w:ind w:firstLine="0"/>
                    <w:textAlignment w:val="auto"/>
                    <w:rPr>
                      <w:rFonts w:hint="default" w:ascii="Times New Roman" w:hAnsi="Times New Roman" w:cs="Times New Roman"/>
                      <w:color w:val="auto"/>
                      <w:sz w:val="21"/>
                      <w:szCs w:val="21"/>
                      <w:highlight w:val="none"/>
                      <w:lang w:val="en-US" w:eastAsia="zh-CN"/>
                    </w:rPr>
                  </w:pPr>
                </w:p>
              </w:tc>
              <w:tc>
                <w:tcPr>
                  <w:tcW w:w="573" w:type="pct"/>
                  <w:shd w:val="clear" w:color="auto" w:fill="auto"/>
                  <w:vAlign w:val="center"/>
                </w:tcPr>
                <w:p>
                  <w:pPr>
                    <w:pStyle w:val="48"/>
                    <w:keepNext w:val="0"/>
                    <w:keepLines w:val="0"/>
                    <w:pageBreakBefore w:val="0"/>
                    <w:widowControl w:val="0"/>
                    <w:kinsoku/>
                    <w:wordWrap/>
                    <w:overflowPunct/>
                    <w:topLinePunct w:val="0"/>
                    <w:autoSpaceDE/>
                    <w:autoSpaceDN/>
                    <w:bidi w:val="0"/>
                    <w:spacing w:line="240" w:lineRule="auto"/>
                    <w:ind w:firstLine="0" w:firstLineChars="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噪声治理</w:t>
                  </w:r>
                </w:p>
              </w:tc>
              <w:tc>
                <w:tcPr>
                  <w:tcW w:w="3395" w:type="pct"/>
                  <w:gridSpan w:val="2"/>
                  <w:shd w:val="clear" w:color="auto" w:fill="auto"/>
                  <w:vAlign w:val="center"/>
                </w:tcPr>
                <w:p>
                  <w:pPr>
                    <w:pStyle w:val="48"/>
                    <w:keepNext w:val="0"/>
                    <w:keepLines w:val="0"/>
                    <w:pageBreakBefore w:val="0"/>
                    <w:widowControl w:val="0"/>
                    <w:kinsoku/>
                    <w:wordWrap/>
                    <w:overflowPunct/>
                    <w:topLinePunct w:val="0"/>
                    <w:autoSpaceDE/>
                    <w:autoSpaceDN/>
                    <w:bidi w:val="0"/>
                    <w:spacing w:line="240" w:lineRule="auto"/>
                    <w:ind w:firstLine="0" w:firstLineChars="0"/>
                    <w:textAlignment w:val="auto"/>
                    <w:rPr>
                      <w:rFonts w:hint="default" w:ascii="Times New Roman" w:hAnsi="Times New Roman" w:cs="Times New Roman"/>
                      <w:color w:val="auto"/>
                      <w:kern w:val="0"/>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rPr>
                    <w:t>基础减振、厂房隔声、距离衰减</w:t>
                  </w:r>
                </w:p>
              </w:tc>
              <w:tc>
                <w:tcPr>
                  <w:tcW w:w="560" w:type="pct"/>
                  <w:vAlign w:val="center"/>
                </w:tcPr>
                <w:p>
                  <w:pPr>
                    <w:pStyle w:val="48"/>
                    <w:keepNext w:val="0"/>
                    <w:keepLines w:val="0"/>
                    <w:pageBreakBefore w:val="0"/>
                    <w:widowControl w:val="0"/>
                    <w:kinsoku/>
                    <w:wordWrap/>
                    <w:overflowPunct/>
                    <w:topLinePunct w:val="0"/>
                    <w:autoSpaceDE/>
                    <w:autoSpaceDN/>
                    <w:bidi w:val="0"/>
                    <w:spacing w:line="240" w:lineRule="auto"/>
                    <w:ind w:firstLine="0" w:firstLineChars="0"/>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新建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75" w:hRule="atLeast"/>
              </w:trPr>
              <w:tc>
                <w:tcPr>
                  <w:tcW w:w="470" w:type="pct"/>
                  <w:vMerge w:val="continue"/>
                </w:tcPr>
                <w:p>
                  <w:pPr>
                    <w:pStyle w:val="48"/>
                    <w:keepNext w:val="0"/>
                    <w:keepLines w:val="0"/>
                    <w:pageBreakBefore w:val="0"/>
                    <w:widowControl w:val="0"/>
                    <w:kinsoku/>
                    <w:wordWrap/>
                    <w:overflowPunct/>
                    <w:topLinePunct w:val="0"/>
                    <w:autoSpaceDE/>
                    <w:autoSpaceDN/>
                    <w:bidi w:val="0"/>
                    <w:spacing w:line="240" w:lineRule="auto"/>
                    <w:ind w:firstLine="0"/>
                    <w:textAlignment w:val="auto"/>
                    <w:rPr>
                      <w:rFonts w:hint="default" w:ascii="Times New Roman" w:hAnsi="Times New Roman" w:cs="Times New Roman"/>
                      <w:color w:val="auto"/>
                      <w:sz w:val="21"/>
                      <w:szCs w:val="21"/>
                      <w:highlight w:val="none"/>
                      <w:lang w:val="en-US" w:eastAsia="zh-CN"/>
                    </w:rPr>
                  </w:pPr>
                </w:p>
              </w:tc>
              <w:tc>
                <w:tcPr>
                  <w:tcW w:w="573" w:type="pct"/>
                  <w:shd w:val="clear" w:color="auto" w:fill="auto"/>
                  <w:vAlign w:val="center"/>
                </w:tcPr>
                <w:p>
                  <w:pPr>
                    <w:pStyle w:val="48"/>
                    <w:keepNext w:val="0"/>
                    <w:keepLines w:val="0"/>
                    <w:pageBreakBefore w:val="0"/>
                    <w:widowControl w:val="0"/>
                    <w:kinsoku/>
                    <w:wordWrap/>
                    <w:overflowPunct/>
                    <w:topLinePunct w:val="0"/>
                    <w:autoSpaceDE/>
                    <w:autoSpaceDN/>
                    <w:bidi w:val="0"/>
                    <w:spacing w:line="240" w:lineRule="auto"/>
                    <w:ind w:firstLine="0" w:firstLineChars="0"/>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固废治理</w:t>
                  </w:r>
                </w:p>
              </w:tc>
              <w:tc>
                <w:tcPr>
                  <w:tcW w:w="3395" w:type="pct"/>
                  <w:gridSpan w:val="2"/>
                  <w:shd w:val="clear" w:color="auto" w:fill="auto"/>
                  <w:vAlign w:val="center"/>
                </w:tcPr>
                <w:p>
                  <w:pPr>
                    <w:spacing w:line="240" w:lineRule="auto"/>
                    <w:jc w:val="both"/>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生活垃圾定期交由环卫部门处置；废包装材料</w:t>
                  </w:r>
                  <w:r>
                    <w:rPr>
                      <w:rFonts w:hint="eastAsia" w:cs="Times New Roman" w:eastAsiaTheme="minorEastAsia"/>
                      <w:color w:val="auto"/>
                      <w:sz w:val="21"/>
                      <w:szCs w:val="21"/>
                      <w:highlight w:val="none"/>
                      <w:lang w:val="en-US" w:eastAsia="zh-CN"/>
                    </w:rPr>
                    <w:t>、</w:t>
                  </w:r>
                  <w:r>
                    <w:rPr>
                      <w:rFonts w:hint="eastAsia" w:hAnsi="Times New Roman" w:cs="Times New Roman" w:eastAsiaTheme="minorEastAsia"/>
                      <w:color w:val="auto"/>
                      <w:sz w:val="21"/>
                      <w:szCs w:val="21"/>
                      <w:highlight w:val="none"/>
                      <w:lang w:val="en-US" w:eastAsia="zh-CN"/>
                    </w:rPr>
                    <w:t>废塑封边角料、污水站污泥</w:t>
                  </w:r>
                  <w:r>
                    <w:rPr>
                      <w:rFonts w:hint="eastAsia" w:ascii="Times New Roman" w:hAnsi="Times New Roman" w:cs="Times New Roman" w:eastAsiaTheme="minorEastAsia"/>
                      <w:color w:val="auto"/>
                      <w:sz w:val="21"/>
                      <w:szCs w:val="21"/>
                      <w:highlight w:val="none"/>
                      <w:lang w:val="en-US" w:eastAsia="zh-CN"/>
                    </w:rPr>
                    <w:t>收集后定期外售至物资回收公司回收利用；</w:t>
                  </w:r>
                  <w:r>
                    <w:rPr>
                      <w:rFonts w:hint="eastAsia" w:cs="Times New Roman" w:eastAsiaTheme="minorEastAsia"/>
                      <w:color w:val="auto"/>
                      <w:sz w:val="21"/>
                      <w:szCs w:val="21"/>
                      <w:highlight w:val="none"/>
                      <w:lang w:val="en-US" w:eastAsia="zh-CN"/>
                    </w:rPr>
                    <w:t>纯水制备</w:t>
                  </w:r>
                  <w:r>
                    <w:rPr>
                      <w:rFonts w:hint="eastAsia" w:hAnsi="Times New Roman" w:cs="Times New Roman" w:eastAsiaTheme="minorEastAsia"/>
                      <w:color w:val="auto"/>
                      <w:sz w:val="21"/>
                      <w:szCs w:val="21"/>
                      <w:highlight w:val="none"/>
                      <w:lang w:val="en-US" w:eastAsia="zh-CN"/>
                    </w:rPr>
                    <w:t>产生的废过滤材料（含废石英砂、</w:t>
                  </w:r>
                  <w:r>
                    <w:rPr>
                      <w:rFonts w:hint="eastAsia" w:ascii="Times New Roman" w:hAnsi="Times New Roman" w:cs="Times New Roman" w:eastAsiaTheme="minorEastAsia"/>
                      <w:color w:val="auto"/>
                      <w:sz w:val="21"/>
                      <w:szCs w:val="21"/>
                      <w:highlight w:val="none"/>
                      <w:lang w:val="en-US" w:eastAsia="zh-CN"/>
                    </w:rPr>
                    <w:t>废</w:t>
                  </w:r>
                  <w:r>
                    <w:rPr>
                      <w:rFonts w:hint="eastAsia" w:hAnsi="Times New Roman" w:cs="Times New Roman" w:eastAsiaTheme="minorEastAsia"/>
                      <w:color w:val="auto"/>
                      <w:sz w:val="21"/>
                      <w:szCs w:val="21"/>
                      <w:highlight w:val="none"/>
                      <w:lang w:val="en-US" w:eastAsia="zh-CN"/>
                    </w:rPr>
                    <w:t>反</w:t>
                  </w:r>
                  <w:r>
                    <w:rPr>
                      <w:rFonts w:hint="eastAsia" w:ascii="Times New Roman" w:hAnsi="Times New Roman" w:cs="Times New Roman" w:eastAsiaTheme="minorEastAsia"/>
                      <w:color w:val="auto"/>
                      <w:sz w:val="21"/>
                      <w:szCs w:val="21"/>
                      <w:highlight w:val="none"/>
                      <w:lang w:val="en-US" w:eastAsia="zh-CN"/>
                    </w:rPr>
                    <w:t>渗透膜、废活性炭、废滤</w:t>
                  </w:r>
                  <w:r>
                    <w:rPr>
                      <w:rFonts w:hint="eastAsia" w:hAnsi="Times New Roman" w:cs="Times New Roman" w:eastAsiaTheme="minorEastAsia"/>
                      <w:color w:val="auto"/>
                      <w:sz w:val="21"/>
                      <w:szCs w:val="21"/>
                      <w:highlight w:val="none"/>
                      <w:lang w:val="en-US" w:eastAsia="zh-CN"/>
                    </w:rPr>
                    <w:t>袋</w:t>
                  </w:r>
                  <w:r>
                    <w:rPr>
                      <w:rFonts w:hint="eastAsia" w:ascii="Times New Roman" w:hAnsi="Times New Roman" w:cs="Times New Roman" w:eastAsiaTheme="minorEastAsia"/>
                      <w:color w:val="auto"/>
                      <w:sz w:val="21"/>
                      <w:szCs w:val="21"/>
                      <w:highlight w:val="none"/>
                      <w:lang w:val="en-US" w:eastAsia="zh-CN"/>
                    </w:rPr>
                    <w:t>、废硅藻土</w:t>
                  </w:r>
                  <w:r>
                    <w:rPr>
                      <w:rFonts w:hint="eastAsia" w:hAnsi="Times New Roman" w:cs="Times New Roman" w:eastAsiaTheme="minorEastAsia"/>
                      <w:color w:val="auto"/>
                      <w:sz w:val="21"/>
                      <w:szCs w:val="21"/>
                      <w:highlight w:val="none"/>
                      <w:lang w:val="en-US" w:eastAsia="zh-CN"/>
                    </w:rPr>
                    <w:t>等）收集后</w:t>
                  </w:r>
                  <w:r>
                    <w:rPr>
                      <w:rFonts w:hint="eastAsia" w:ascii="Times New Roman" w:hAnsi="Times New Roman" w:cs="Times New Roman" w:eastAsiaTheme="minorEastAsia"/>
                      <w:color w:val="auto"/>
                      <w:sz w:val="21"/>
                      <w:szCs w:val="21"/>
                      <w:highlight w:val="none"/>
                      <w:lang w:val="en-US" w:eastAsia="zh-CN"/>
                    </w:rPr>
                    <w:t>定期交由</w:t>
                  </w:r>
                  <w:r>
                    <w:rPr>
                      <w:rFonts w:hint="eastAsia" w:hAnsi="Times New Roman" w:cs="Times New Roman" w:eastAsiaTheme="minorEastAsia"/>
                      <w:color w:val="auto"/>
                      <w:sz w:val="21"/>
                      <w:szCs w:val="21"/>
                      <w:highlight w:val="none"/>
                      <w:lang w:val="en-US" w:eastAsia="zh-CN"/>
                    </w:rPr>
                    <w:t>设备厂家回收处置；</w:t>
                  </w:r>
                  <w:r>
                    <w:rPr>
                      <w:rFonts w:hint="eastAsia" w:cs="Times New Roman" w:eastAsiaTheme="minorEastAsia"/>
                      <w:color w:val="auto"/>
                      <w:sz w:val="21"/>
                      <w:szCs w:val="21"/>
                      <w:highlight w:val="none"/>
                      <w:lang w:val="en-US" w:eastAsia="zh-CN"/>
                    </w:rPr>
                    <w:t>坏果及果渣收集后贮存于专用贮存点密闭收集桶内，日产日清，</w:t>
                  </w:r>
                  <w:r>
                    <w:rPr>
                      <w:rFonts w:hint="default" w:ascii="Times New Roman" w:hAnsi="Times New Roman" w:eastAsia="宋体" w:cs="Times New Roman"/>
                      <w:color w:val="auto"/>
                      <w:sz w:val="21"/>
                      <w:szCs w:val="21"/>
                      <w:highlight w:val="none"/>
                      <w:lang w:val="en-US" w:eastAsia="zh-CN"/>
                    </w:rPr>
                    <w:t>交由物资回收公司回收利用</w:t>
                  </w:r>
                  <w:r>
                    <w:rPr>
                      <w:rFonts w:hint="eastAsia" w:ascii="Times New Roman" w:hAnsi="Times New Roman" w:eastAsia="宋体" w:cs="Times New Roman"/>
                      <w:color w:val="auto"/>
                      <w:sz w:val="21"/>
                      <w:szCs w:val="21"/>
                      <w:highlight w:val="none"/>
                      <w:lang w:val="en-US" w:eastAsia="zh-CN"/>
                    </w:rPr>
                    <w:t>；</w:t>
                  </w:r>
                  <w:r>
                    <w:rPr>
                      <w:rFonts w:hint="eastAsia" w:ascii="Times New Roman" w:hAnsi="Times New Roman" w:cs="Times New Roman" w:eastAsiaTheme="minorEastAsia"/>
                      <w:color w:val="auto"/>
                      <w:sz w:val="21"/>
                      <w:szCs w:val="21"/>
                      <w:highlight w:val="none"/>
                      <w:lang w:val="en-US" w:eastAsia="zh-CN"/>
                    </w:rPr>
                    <w:t>废机油、废油桶以及废气处理产生的废活性炭暂存在厂内危废贮存点内，定期交由有资质单位进行</w:t>
                  </w:r>
                  <w:r>
                    <w:rPr>
                      <w:rFonts w:hint="eastAsia" w:hAnsi="Times New Roman" w:cs="Times New Roman" w:eastAsiaTheme="minorEastAsia"/>
                      <w:color w:val="auto"/>
                      <w:sz w:val="21"/>
                      <w:szCs w:val="21"/>
                      <w:highlight w:val="none"/>
                      <w:lang w:val="en-US" w:eastAsia="zh-CN"/>
                    </w:rPr>
                    <w:t>处</w:t>
                  </w:r>
                  <w:r>
                    <w:rPr>
                      <w:rFonts w:hint="eastAsia" w:ascii="Times New Roman" w:hAnsi="Times New Roman" w:cs="Times New Roman" w:eastAsiaTheme="minorEastAsia"/>
                      <w:color w:val="auto"/>
                      <w:sz w:val="21"/>
                      <w:szCs w:val="21"/>
                      <w:highlight w:val="none"/>
                      <w:lang w:val="en-US" w:eastAsia="zh-CN"/>
                    </w:rPr>
                    <w:t>置</w:t>
                  </w:r>
                  <w:r>
                    <w:rPr>
                      <w:rFonts w:hint="eastAsia" w:hAnsi="Times New Roman" w:cs="Times New Roman" w:eastAsiaTheme="minorEastAsia"/>
                      <w:color w:val="auto"/>
                      <w:sz w:val="21"/>
                      <w:szCs w:val="21"/>
                      <w:highlight w:val="none"/>
                      <w:lang w:val="en-US" w:eastAsia="zh-CN"/>
                    </w:rPr>
                    <w:t>。</w:t>
                  </w:r>
                </w:p>
              </w:tc>
              <w:tc>
                <w:tcPr>
                  <w:tcW w:w="560" w:type="pct"/>
                  <w:vAlign w:val="center"/>
                </w:tcPr>
                <w:p>
                  <w:pPr>
                    <w:pStyle w:val="48"/>
                    <w:keepNext w:val="0"/>
                    <w:keepLines w:val="0"/>
                    <w:pageBreakBefore w:val="0"/>
                    <w:widowControl w:val="0"/>
                    <w:kinsoku/>
                    <w:wordWrap/>
                    <w:overflowPunct/>
                    <w:topLinePunct w:val="0"/>
                    <w:autoSpaceDE/>
                    <w:autoSpaceDN/>
                    <w:bidi w:val="0"/>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新建</w:t>
                  </w:r>
                </w:p>
              </w:tc>
            </w:tr>
          </w:tbl>
          <w:p>
            <w:pPr>
              <w:keepNext w:val="0"/>
              <w:keepLines w:val="0"/>
              <w:pageBreakBefore w:val="0"/>
              <w:widowControl w:val="0"/>
              <w:kinsoku/>
              <w:wordWrap/>
              <w:overflowPunct/>
              <w:topLinePunct w:val="0"/>
              <w:autoSpaceDE/>
              <w:autoSpaceDN/>
              <w:bidi w:val="0"/>
              <w:adjustRightInd w:val="0"/>
              <w:snapToGrid w:val="0"/>
              <w:spacing w:line="360" w:lineRule="auto"/>
              <w:ind w:left="0" w:firstLine="0" w:firstLineChars="0"/>
              <w:jc w:val="left"/>
              <w:textAlignment w:val="auto"/>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cs="Times New Roman"/>
                <w:b/>
                <w:bCs/>
                <w:color w:val="auto"/>
                <w:kern w:val="2"/>
                <w:sz w:val="21"/>
                <w:szCs w:val="21"/>
                <w:highlight w:val="none"/>
                <w:lang w:val="en-US" w:eastAsia="zh-CN" w:bidi="ar-SA"/>
              </w:rPr>
              <w:t>四、</w:t>
            </w:r>
            <w:r>
              <w:rPr>
                <w:rFonts w:hint="default" w:ascii="Times New Roman" w:hAnsi="Times New Roman" w:eastAsia="宋体" w:cs="Times New Roman"/>
                <w:b/>
                <w:bCs/>
                <w:color w:val="auto"/>
                <w:kern w:val="2"/>
                <w:sz w:val="21"/>
                <w:szCs w:val="21"/>
                <w:highlight w:val="none"/>
                <w:lang w:val="en-US" w:eastAsia="zh-CN" w:bidi="ar-SA"/>
              </w:rPr>
              <w:t>产品方案</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eastAsia="zh-CN"/>
              </w:rPr>
              <w:t>项目</w:t>
            </w:r>
            <w:r>
              <w:rPr>
                <w:rFonts w:hint="default" w:ascii="Times New Roman" w:hAnsi="Times New Roman" w:cs="Times New Roman"/>
                <w:color w:val="auto"/>
                <w:sz w:val="21"/>
                <w:szCs w:val="21"/>
                <w:highlight w:val="none"/>
                <w:lang w:val="en-US" w:eastAsia="zh-CN"/>
              </w:rPr>
              <w:t>建成后主要</w:t>
            </w:r>
            <w:r>
              <w:rPr>
                <w:rFonts w:hint="default" w:ascii="Times New Roman" w:hAnsi="Times New Roman" w:cs="Times New Roman"/>
                <w:color w:val="auto"/>
                <w:sz w:val="21"/>
                <w:szCs w:val="21"/>
                <w:highlight w:val="none"/>
                <w:lang w:eastAsia="zh-CN"/>
              </w:rPr>
              <w:t>产品方案见表</w:t>
            </w:r>
            <w:r>
              <w:rPr>
                <w:rFonts w:hint="default" w:ascii="Times New Roman" w:hAnsi="Times New Roman" w:cs="Times New Roman"/>
                <w:color w:val="auto"/>
                <w:sz w:val="21"/>
                <w:szCs w:val="21"/>
                <w:highlight w:val="none"/>
                <w:lang w:val="en-US" w:eastAsia="zh-CN"/>
              </w:rPr>
              <w:t>2-2</w:t>
            </w:r>
            <w:r>
              <w:rPr>
                <w:rFonts w:hint="eastAsia" w:cs="Times New Roman"/>
                <w:color w:val="auto"/>
                <w:sz w:val="21"/>
                <w:szCs w:val="21"/>
                <w:highlight w:val="none"/>
                <w:lang w:val="en-US" w:eastAsia="zh-CN"/>
              </w:rPr>
              <w:t>（1）</w:t>
            </w:r>
            <w:r>
              <w:rPr>
                <w:rFonts w:hint="default" w:ascii="Times New Roman" w:hAnsi="Times New Roman" w:cs="Times New Roman"/>
                <w:color w:val="auto"/>
                <w:sz w:val="21"/>
                <w:szCs w:val="21"/>
                <w:highlight w:val="none"/>
                <w:lang w:eastAsia="zh-CN"/>
              </w:rPr>
              <w:t>。</w:t>
            </w:r>
          </w:p>
          <w:p>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表</w:t>
            </w:r>
            <w:r>
              <w:rPr>
                <w:rFonts w:hint="default" w:ascii="Times New Roman" w:hAnsi="Times New Roman" w:cs="Times New Roman"/>
                <w:b/>
                <w:bCs/>
                <w:color w:val="auto"/>
                <w:sz w:val="21"/>
                <w:szCs w:val="21"/>
                <w:highlight w:val="none"/>
                <w:lang w:val="en-US" w:eastAsia="zh-CN"/>
              </w:rPr>
              <w:t>2-2</w:t>
            </w:r>
            <w:r>
              <w:rPr>
                <w:rFonts w:hint="eastAsia" w:cs="Times New Roman"/>
                <w:b/>
                <w:bCs/>
                <w:color w:val="auto"/>
                <w:sz w:val="21"/>
                <w:szCs w:val="21"/>
                <w:highlight w:val="none"/>
                <w:lang w:val="en-US" w:eastAsia="zh-CN"/>
              </w:rPr>
              <w:t>（1）</w:t>
            </w:r>
            <w:r>
              <w:rPr>
                <w:rFonts w:hint="default" w:ascii="Times New Roman" w:hAnsi="Times New Roman" w:cs="Times New Roman"/>
                <w:b/>
                <w:bCs/>
                <w:color w:val="auto"/>
                <w:sz w:val="21"/>
                <w:szCs w:val="21"/>
                <w:highlight w:val="none"/>
              </w:rPr>
              <w:t xml:space="preserve"> </w:t>
            </w:r>
            <w:r>
              <w:rPr>
                <w:rFonts w:hint="default" w:ascii="Times New Roman" w:hAnsi="Times New Roman" w:cs="Times New Roman"/>
                <w:b/>
                <w:bCs/>
                <w:color w:val="auto"/>
                <w:sz w:val="21"/>
                <w:szCs w:val="21"/>
                <w:highlight w:val="none"/>
                <w:lang w:val="en-US" w:eastAsia="zh-CN"/>
              </w:rPr>
              <w:t>主要产品方案</w:t>
            </w:r>
            <w:r>
              <w:rPr>
                <w:rFonts w:hint="default" w:ascii="Times New Roman" w:hAnsi="Times New Roman" w:cs="Times New Roman"/>
                <w:b/>
                <w:bCs/>
                <w:color w:val="auto"/>
                <w:sz w:val="21"/>
                <w:szCs w:val="21"/>
                <w:highlight w:val="none"/>
              </w:rPr>
              <w:t>一览表</w:t>
            </w:r>
          </w:p>
          <w:tbl>
            <w:tblPr>
              <w:tblStyle w:val="21"/>
              <w:tblW w:w="4998" w:type="pct"/>
              <w:tblInd w:w="0" w:type="dxa"/>
              <w:tblBorders>
                <w:top w:val="single" w:color="auto" w:sz="4" w:space="0"/>
                <w:left w:val="single" w:color="auto" w:sz="4" w:space="0"/>
                <w:bottom w:val="single" w:color="auto" w:sz="4" w:space="0"/>
                <w:right w:val="single" w:color="auto" w:sz="4" w:space="0"/>
                <w:insideH w:val="none" w:color="auto" w:sz="4" w:space="0"/>
                <w:insideV w:val="none" w:color="auto" w:sz="4" w:space="0"/>
              </w:tblBorders>
              <w:tblLayout w:type="fixed"/>
              <w:tblCellMar>
                <w:top w:w="0" w:type="dxa"/>
                <w:left w:w="0" w:type="dxa"/>
                <w:bottom w:w="0" w:type="dxa"/>
                <w:right w:w="0" w:type="dxa"/>
              </w:tblCellMar>
            </w:tblPr>
            <w:tblGrid>
              <w:gridCol w:w="639"/>
              <w:gridCol w:w="1961"/>
              <w:gridCol w:w="1942"/>
              <w:gridCol w:w="1663"/>
              <w:gridCol w:w="1897"/>
            </w:tblGrid>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PrEx>
              <w:trPr>
                <w:trHeight w:val="234" w:hRule="atLeast"/>
              </w:trPr>
              <w:tc>
                <w:tcPr>
                  <w:tcW w:w="394" w:type="pct"/>
                  <w:vMerge w:val="restart"/>
                  <w:tcBorders>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序号</w:t>
                  </w:r>
                </w:p>
              </w:tc>
              <w:tc>
                <w:tcPr>
                  <w:tcW w:w="1210" w:type="pct"/>
                  <w:vMerge w:val="restart"/>
                  <w:tcBorders>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产品名称</w:t>
                  </w:r>
                </w:p>
              </w:tc>
              <w:tc>
                <w:tcPr>
                  <w:tcW w:w="2224" w:type="pct"/>
                  <w:gridSpan w:val="2"/>
                  <w:tcBorders>
                    <w:left w:val="single" w:color="000000" w:sz="4" w:space="0"/>
                    <w:bottom w:val="single" w:color="auto"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生产能力</w:t>
                  </w:r>
                </w:p>
              </w:tc>
              <w:tc>
                <w:tcPr>
                  <w:tcW w:w="1170" w:type="pct"/>
                  <w:vMerge w:val="restart"/>
                  <w:tcBorders>
                    <w:lef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备注</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PrEx>
              <w:trPr>
                <w:trHeight w:val="234" w:hRule="atLeast"/>
              </w:trPr>
              <w:tc>
                <w:tcPr>
                  <w:tcW w:w="394" w:type="pct"/>
                  <w:vMerge w:val="continue"/>
                  <w:tcBorders>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auto"/>
                      <w:sz w:val="21"/>
                      <w:szCs w:val="21"/>
                    </w:rPr>
                  </w:pPr>
                </w:p>
              </w:tc>
              <w:tc>
                <w:tcPr>
                  <w:tcW w:w="1210" w:type="pct"/>
                  <w:vMerge w:val="continue"/>
                  <w:tcBorders>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auto"/>
                      <w:sz w:val="21"/>
                      <w:szCs w:val="21"/>
                    </w:rPr>
                  </w:pPr>
                </w:p>
              </w:tc>
              <w:tc>
                <w:tcPr>
                  <w:tcW w:w="1198" w:type="pct"/>
                  <w:tcBorders>
                    <w:left w:val="single" w:color="000000" w:sz="4" w:space="0"/>
                    <w:bottom w:val="single" w:color="auto"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重量（万吨/年）</w:t>
                  </w:r>
                </w:p>
              </w:tc>
              <w:tc>
                <w:tcPr>
                  <w:tcW w:w="1026" w:type="pct"/>
                  <w:tcBorders>
                    <w:left w:val="single" w:color="000000" w:sz="4" w:space="0"/>
                    <w:bottom w:val="single" w:color="auto"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b/>
                      <w:bCs/>
                      <w:color w:val="auto"/>
                      <w:sz w:val="21"/>
                      <w:szCs w:val="21"/>
                      <w:highlight w:val="none"/>
                      <w:lang w:val="en-US" w:eastAsia="zh-CN"/>
                    </w:rPr>
                  </w:pPr>
                  <w:r>
                    <w:rPr>
                      <w:rFonts w:hint="eastAsia" w:cs="Times New Roman"/>
                      <w:b/>
                      <w:bCs/>
                      <w:color w:val="auto"/>
                      <w:sz w:val="21"/>
                      <w:szCs w:val="21"/>
                      <w:highlight w:val="none"/>
                      <w:lang w:val="en-US" w:eastAsia="zh-CN"/>
                    </w:rPr>
                    <w:t>件数（万件/年）</w:t>
                  </w:r>
                </w:p>
              </w:tc>
              <w:tc>
                <w:tcPr>
                  <w:tcW w:w="1170" w:type="pct"/>
                  <w:vMerge w:val="continue"/>
                  <w:tcBorders>
                    <w:left w:val="single" w:color="000000" w:sz="4" w:space="0"/>
                    <w:bottom w:val="single" w:color="auto" w:sz="4" w:space="0"/>
                  </w:tcBorders>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jc w:val="both"/>
                    <w:textAlignment w:val="center"/>
                    <w:rPr>
                      <w:rFonts w:hint="default" w:ascii="Times New Roman" w:hAnsi="Times New Roman" w:cs="Times New Roman"/>
                      <w:b/>
                      <w:bCs/>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CellMar>
                  <w:top w:w="0" w:type="dxa"/>
                  <w:left w:w="0" w:type="dxa"/>
                  <w:bottom w:w="0" w:type="dxa"/>
                  <w:right w:w="0" w:type="dxa"/>
                </w:tblCellMar>
              </w:tblPrEx>
              <w:trPr>
                <w:trHeight w:val="454" w:hRule="atLeast"/>
              </w:trPr>
              <w:tc>
                <w:tcPr>
                  <w:tcW w:w="394" w:type="pct"/>
                  <w:tcBorders>
                    <w:top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w:t>
                  </w:r>
                </w:p>
              </w:tc>
              <w:tc>
                <w:tcPr>
                  <w:tcW w:w="1210" w:type="pct"/>
                  <w:tcBorders>
                    <w:top w:val="single" w:color="000000" w:sz="4" w:space="0"/>
                    <w:bottom w:val="single" w:color="000000" w:sz="4" w:space="0"/>
                    <w:right w:val="single" w:color="auto" w:sz="4" w:space="0"/>
                  </w:tcBorders>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b w:val="0"/>
                      <w:bCs/>
                      <w:color w:val="auto"/>
                      <w:sz w:val="21"/>
                      <w:szCs w:val="21"/>
                      <w:highlight w:val="none"/>
                      <w:lang w:val="en-US" w:eastAsia="zh-CN"/>
                    </w:rPr>
                  </w:pPr>
                  <w:r>
                    <w:rPr>
                      <w:rFonts w:hint="default" w:ascii="Times New Roman" w:hAnsi="Times New Roman" w:cs="Times New Roman"/>
                      <w:b w:val="0"/>
                      <w:bCs/>
                      <w:color w:val="auto"/>
                      <w:sz w:val="21"/>
                      <w:szCs w:val="21"/>
                      <w:highlight w:val="none"/>
                      <w:lang w:val="en-US" w:eastAsia="zh-CN"/>
                    </w:rPr>
                    <w:t>普通</w:t>
                  </w:r>
                  <w:r>
                    <w:rPr>
                      <w:rFonts w:hint="default" w:ascii="Times New Roman" w:hAnsi="Times New Roman" w:eastAsia="宋体" w:cs="Times New Roman"/>
                      <w:b w:val="0"/>
                      <w:bCs/>
                      <w:color w:val="auto"/>
                      <w:sz w:val="21"/>
                      <w:szCs w:val="21"/>
                      <w:highlight w:val="none"/>
                      <w:lang w:val="en-US" w:eastAsia="zh-CN"/>
                    </w:rPr>
                    <w:t>果汁饮料</w:t>
                  </w:r>
                </w:p>
              </w:tc>
              <w:tc>
                <w:tcPr>
                  <w:tcW w:w="1198"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0.9</w:t>
                  </w:r>
                </w:p>
              </w:tc>
              <w:tc>
                <w:tcPr>
                  <w:tcW w:w="1026"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125</w:t>
                  </w:r>
                </w:p>
              </w:tc>
              <w:tc>
                <w:tcPr>
                  <w:tcW w:w="1170" w:type="pct"/>
                  <w:tcBorders>
                    <w:top w:val="single" w:color="auto" w:sz="4" w:space="0"/>
                    <w:left w:val="single" w:color="auto" w:sz="4" w:space="0"/>
                    <w:bottom w:val="single" w:color="auto"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果汁饮料</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PrEx>
              <w:trPr>
                <w:trHeight w:val="454" w:hRule="atLeast"/>
              </w:trPr>
              <w:tc>
                <w:tcPr>
                  <w:tcW w:w="394" w:type="pct"/>
                  <w:tcBorders>
                    <w:top w:val="single" w:color="000000" w:sz="4" w:space="0"/>
                    <w:bottom w:val="single" w:color="000000" w:sz="4" w:space="0"/>
                    <w:right w:val="single" w:color="000000" w:sz="4" w:space="0"/>
                  </w:tcBorders>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cs="Times New Roman"/>
                      <w:b w:val="0"/>
                      <w:bCs/>
                      <w:color w:val="auto"/>
                      <w:sz w:val="21"/>
                      <w:szCs w:val="21"/>
                      <w:highlight w:val="none"/>
                      <w:lang w:val="en-US" w:eastAsia="zh-CN"/>
                    </w:rPr>
                    <w:t>2</w:t>
                  </w:r>
                </w:p>
              </w:tc>
              <w:tc>
                <w:tcPr>
                  <w:tcW w:w="1210" w:type="pct"/>
                  <w:tcBorders>
                    <w:top w:val="single" w:color="000000" w:sz="4" w:space="0"/>
                    <w:bottom w:val="single" w:color="000000" w:sz="4" w:space="0"/>
                    <w:right w:val="single" w:color="auto" w:sz="4" w:space="0"/>
                  </w:tcBorders>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碳酸饮料</w:t>
                  </w:r>
                </w:p>
              </w:tc>
              <w:tc>
                <w:tcPr>
                  <w:tcW w:w="1198"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cs="Times New Roman"/>
                      <w:b w:val="0"/>
                      <w:bCs/>
                      <w:color w:val="auto"/>
                      <w:sz w:val="21"/>
                      <w:szCs w:val="21"/>
                      <w:highlight w:val="none"/>
                      <w:lang w:val="en-US" w:eastAsia="zh-CN"/>
                    </w:rPr>
                    <w:t>0.65</w:t>
                  </w:r>
                </w:p>
              </w:tc>
              <w:tc>
                <w:tcPr>
                  <w:tcW w:w="1026" w:type="pct"/>
                  <w:tcBorders>
                    <w:top w:val="single" w:color="auto" w:sz="4" w:space="0"/>
                    <w:left w:val="single" w:color="auto" w:sz="4" w:space="0"/>
                    <w:bottom w:val="single" w:color="auto" w:sz="4" w:space="0"/>
                    <w:right w:val="single" w:color="auto" w:sz="4" w:space="0"/>
                  </w:tcBorders>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102</w:t>
                  </w:r>
                </w:p>
              </w:tc>
              <w:tc>
                <w:tcPr>
                  <w:tcW w:w="1170" w:type="pct"/>
                  <w:tcBorders>
                    <w:top w:val="single" w:color="auto" w:sz="4" w:space="0"/>
                    <w:left w:val="single" w:color="auto" w:sz="4" w:space="0"/>
                    <w:bottom w:val="single" w:color="auto"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果味型碳酸饮料</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PrEx>
              <w:trPr>
                <w:trHeight w:val="454" w:hRule="atLeast"/>
              </w:trPr>
              <w:tc>
                <w:tcPr>
                  <w:tcW w:w="394" w:type="pct"/>
                  <w:tcBorders>
                    <w:top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cs="Times New Roman"/>
                      <w:b w:val="0"/>
                      <w:bCs/>
                      <w:color w:val="auto"/>
                      <w:kern w:val="2"/>
                      <w:sz w:val="21"/>
                      <w:szCs w:val="21"/>
                      <w:highlight w:val="none"/>
                      <w:lang w:val="en-US" w:eastAsia="zh-CN" w:bidi="ar-SA"/>
                    </w:rPr>
                    <w:t>3</w:t>
                  </w:r>
                </w:p>
              </w:tc>
              <w:tc>
                <w:tcPr>
                  <w:tcW w:w="1210" w:type="pct"/>
                  <w:tcBorders>
                    <w:top w:val="single" w:color="000000" w:sz="4" w:space="0"/>
                    <w:bottom w:val="single" w:color="000000"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b w:val="0"/>
                      <w:bCs/>
                      <w:color w:val="auto"/>
                      <w:kern w:val="2"/>
                      <w:sz w:val="21"/>
                      <w:szCs w:val="21"/>
                      <w:highlight w:val="none"/>
                      <w:lang w:val="en-US" w:eastAsia="zh-CN" w:bidi="ar-SA"/>
                    </w:rPr>
                    <w:t>高端鲜榨果汁饮料</w:t>
                  </w:r>
                </w:p>
              </w:tc>
              <w:tc>
                <w:tcPr>
                  <w:tcW w:w="1198"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b w:val="0"/>
                      <w:bCs/>
                      <w:color w:val="auto"/>
                      <w:sz w:val="21"/>
                      <w:szCs w:val="21"/>
                      <w:highlight w:val="none"/>
                      <w:lang w:val="en-US" w:eastAsia="zh-CN"/>
                    </w:rPr>
                  </w:pPr>
                  <w:r>
                    <w:rPr>
                      <w:rFonts w:hint="default" w:ascii="Times New Roman" w:hAnsi="Times New Roman" w:cs="Times New Roman"/>
                      <w:b w:val="0"/>
                      <w:bCs/>
                      <w:color w:val="auto"/>
                      <w:kern w:val="2"/>
                      <w:sz w:val="21"/>
                      <w:szCs w:val="21"/>
                      <w:highlight w:val="none"/>
                      <w:lang w:val="en-US" w:eastAsia="zh-CN" w:bidi="ar-SA"/>
                    </w:rPr>
                    <w:t>0.93</w:t>
                  </w:r>
                </w:p>
              </w:tc>
              <w:tc>
                <w:tcPr>
                  <w:tcW w:w="1026" w:type="pct"/>
                  <w:tcBorders>
                    <w:top w:val="single" w:color="auto" w:sz="4" w:space="0"/>
                    <w:left w:val="single" w:color="auto" w:sz="4" w:space="0"/>
                    <w:bottom w:val="single" w:color="auto" w:sz="4" w:space="0"/>
                    <w:right w:val="single" w:color="auto"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b w:val="0"/>
                      <w:bCs/>
                      <w:color w:val="auto"/>
                      <w:kern w:val="2"/>
                      <w:sz w:val="21"/>
                      <w:szCs w:val="21"/>
                      <w:highlight w:val="none"/>
                      <w:lang w:val="en-US" w:eastAsia="zh-CN" w:bidi="ar-SA"/>
                    </w:rPr>
                  </w:pPr>
                  <w:r>
                    <w:rPr>
                      <w:rFonts w:hint="eastAsia" w:cs="Times New Roman"/>
                      <w:b w:val="0"/>
                      <w:bCs/>
                      <w:color w:val="auto"/>
                      <w:kern w:val="2"/>
                      <w:sz w:val="21"/>
                      <w:szCs w:val="21"/>
                      <w:highlight w:val="none"/>
                      <w:lang w:val="en-US" w:eastAsia="zh-CN" w:bidi="ar-SA"/>
                    </w:rPr>
                    <w:t>155</w:t>
                  </w:r>
                </w:p>
              </w:tc>
              <w:tc>
                <w:tcPr>
                  <w:tcW w:w="1170" w:type="pct"/>
                  <w:tcBorders>
                    <w:top w:val="single" w:color="auto" w:sz="4" w:space="0"/>
                    <w:left w:val="single" w:color="auto" w:sz="4" w:space="0"/>
                    <w:bottom w:val="single" w:color="auto" w:sz="4" w:space="0"/>
                  </w:tcBorders>
                  <w:noWrap/>
                  <w:tcMar>
                    <w:top w:w="15" w:type="dxa"/>
                    <w:left w:w="15" w:type="dxa"/>
                    <w:right w:w="15" w:type="dxa"/>
                  </w:tcMar>
                  <w:vAlign w:val="center"/>
                </w:tcPr>
                <w:p>
                  <w:pPr>
                    <w:keepNext w:val="0"/>
                    <w:keepLines w:val="0"/>
                    <w:pageBreakBefore w:val="0"/>
                    <w:kinsoku/>
                    <w:wordWrap/>
                    <w:overflowPunct/>
                    <w:topLinePunct w:val="0"/>
                    <w:autoSpaceDE/>
                    <w:autoSpaceDN/>
                    <w:bidi w:val="0"/>
                    <w:adjustRightInd/>
                    <w:snapToGrid/>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鲜榨果汁</w:t>
                  </w:r>
                </w:p>
              </w:tc>
            </w:tr>
            <w:tr>
              <w:tblPrEx>
                <w:tblBorders>
                  <w:top w:val="single" w:color="auto" w:sz="4" w:space="0"/>
                  <w:left w:val="single" w:color="auto" w:sz="4" w:space="0"/>
                  <w:bottom w:val="single" w:color="auto" w:sz="4" w:space="0"/>
                  <w:right w:val="single" w:color="auto" w:sz="4" w:space="0"/>
                  <w:insideH w:val="none" w:color="auto" w:sz="4" w:space="0"/>
                  <w:insideV w:val="none" w:color="auto" w:sz="4" w:space="0"/>
                </w:tblBorders>
              </w:tblPrEx>
              <w:trPr>
                <w:trHeight w:val="454" w:hRule="atLeast"/>
              </w:trPr>
              <w:tc>
                <w:tcPr>
                  <w:tcW w:w="394" w:type="pct"/>
                  <w:tcBorders>
                    <w:top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cs="Times New Roman"/>
                      <w:b w:val="0"/>
                      <w:bCs/>
                      <w:color w:val="auto"/>
                      <w:sz w:val="21"/>
                      <w:szCs w:val="21"/>
                      <w:highlight w:val="none"/>
                      <w:lang w:val="en-US" w:eastAsia="zh-CN"/>
                    </w:rPr>
                    <w:t>4</w:t>
                  </w:r>
                </w:p>
              </w:tc>
              <w:tc>
                <w:tcPr>
                  <w:tcW w:w="1210" w:type="pct"/>
                  <w:tcBorders>
                    <w:top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包装饮用水</w:t>
                  </w:r>
                </w:p>
              </w:tc>
              <w:tc>
                <w:tcPr>
                  <w:tcW w:w="1198" w:type="pct"/>
                  <w:tcBorders>
                    <w:top w:val="single" w:color="auto"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cs="Times New Roman"/>
                      <w:b w:val="0"/>
                      <w:bCs/>
                      <w:color w:val="auto"/>
                      <w:sz w:val="21"/>
                      <w:szCs w:val="21"/>
                      <w:highlight w:val="none"/>
                      <w:lang w:val="en-US" w:eastAsia="zh-CN"/>
                    </w:rPr>
                    <w:t>1.8</w:t>
                  </w:r>
                </w:p>
              </w:tc>
              <w:tc>
                <w:tcPr>
                  <w:tcW w:w="1026" w:type="pct"/>
                  <w:tcBorders>
                    <w:top w:val="single" w:color="auto" w:sz="4" w:space="0"/>
                    <w:left w:val="single" w:color="000000" w:sz="4" w:space="0"/>
                    <w:bottom w:val="single" w:color="000000" w:sz="4" w:space="0"/>
                    <w:right w:val="single" w:color="000000" w:sz="4" w:space="0"/>
                  </w:tcBorders>
                  <w:shd w:val="clear" w:color="auto" w:fill="auto"/>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277</w:t>
                  </w:r>
                </w:p>
              </w:tc>
              <w:tc>
                <w:tcPr>
                  <w:tcW w:w="1170" w:type="pct"/>
                  <w:tcBorders>
                    <w:top w:val="single" w:color="auto" w:sz="4" w:space="0"/>
                    <w:left w:val="single" w:color="auto" w:sz="4" w:space="0"/>
                    <w:bottom w:val="single" w:color="auto" w:sz="4" w:space="0"/>
                  </w:tcBorders>
                  <w:noWrap/>
                  <w:tcMar>
                    <w:top w:w="15" w:type="dxa"/>
                    <w:left w:w="15" w:type="dxa"/>
                    <w:right w:w="15" w:type="dxa"/>
                  </w:tcMar>
                  <w:vAlign w:val="center"/>
                </w:tcPr>
                <w:p>
                  <w:pPr>
                    <w:keepNext w:val="0"/>
                    <w:keepLines w:val="0"/>
                    <w:pageBreakBefore w:val="0"/>
                    <w:widowControl/>
                    <w:kinsoku/>
                    <w:wordWrap/>
                    <w:overflowPunct/>
                    <w:topLinePunct w:val="0"/>
                    <w:autoSpaceDE/>
                    <w:autoSpaceDN/>
                    <w:bidi w:val="0"/>
                    <w:adjustRightInd/>
                    <w:snapToGrid/>
                    <w:jc w:val="center"/>
                    <w:textAlignment w:val="center"/>
                    <w:rPr>
                      <w:rFonts w:hint="default" w:ascii="Times New Roman" w:hAnsi="Times New Roman" w:eastAsia="宋体" w:cs="Times New Roman"/>
                      <w:b w:val="0"/>
                      <w:bCs/>
                      <w:color w:val="auto"/>
                      <w:sz w:val="21"/>
                      <w:szCs w:val="21"/>
                      <w:highlight w:val="none"/>
                      <w:lang w:val="en-US" w:eastAsia="zh-CN"/>
                    </w:rPr>
                  </w:pPr>
                  <w:r>
                    <w:rPr>
                      <w:rFonts w:hint="eastAsia" w:eastAsia="宋体" w:cs="Times New Roman"/>
                      <w:b w:val="0"/>
                      <w:bCs/>
                      <w:color w:val="auto"/>
                      <w:sz w:val="21"/>
                      <w:szCs w:val="21"/>
                      <w:highlight w:val="none"/>
                      <w:lang w:val="en-US" w:eastAsia="zh-CN"/>
                    </w:rPr>
                    <w:t>饮用纯净水</w:t>
                  </w:r>
                </w:p>
              </w:tc>
            </w:tr>
          </w:tbl>
          <w:p>
            <w:pPr>
              <w:keepNext w:val="0"/>
              <w:keepLines w:val="0"/>
              <w:pageBreakBefore w:val="0"/>
              <w:widowControl w:val="0"/>
              <w:kinsoku/>
              <w:wordWrap/>
              <w:overflowPunct/>
              <w:topLinePunct w:val="0"/>
              <w:autoSpaceDE/>
              <w:autoSpaceDN/>
              <w:bidi w:val="0"/>
              <w:adjustRightInd/>
              <w:snapToGrid/>
              <w:spacing w:line="360" w:lineRule="auto"/>
              <w:ind w:left="0" w:firstLine="420" w:firstLineChars="200"/>
              <w:jc w:val="both"/>
              <w:textAlignment w:val="auto"/>
              <w:rPr>
                <w:rFonts w:hint="eastAsia" w:eastAsia="宋体" w:cs="Times New Roman"/>
                <w:b w:val="0"/>
                <w:bCs/>
                <w:color w:val="auto"/>
                <w:kern w:val="2"/>
                <w:sz w:val="21"/>
                <w:szCs w:val="21"/>
                <w:highlight w:val="none"/>
                <w:lang w:val="en-US" w:eastAsia="zh-CN" w:bidi="ar-SA"/>
              </w:rPr>
            </w:pPr>
            <w:r>
              <w:rPr>
                <w:rFonts w:hint="eastAsia" w:cs="Times New Roman"/>
                <w:b w:val="0"/>
                <w:bCs w:val="0"/>
                <w:color w:val="auto"/>
                <w:kern w:val="2"/>
                <w:sz w:val="21"/>
                <w:szCs w:val="21"/>
                <w:highlight w:val="none"/>
                <w:lang w:val="en-US" w:eastAsia="zh-CN" w:bidi="ar-SA"/>
              </w:rPr>
              <w:t>本项目</w:t>
            </w:r>
            <w:r>
              <w:rPr>
                <w:rFonts w:hint="default" w:ascii="Times New Roman" w:hAnsi="Times New Roman" w:eastAsia="宋体" w:cs="Times New Roman"/>
                <w:b w:val="0"/>
                <w:bCs/>
                <w:color w:val="auto"/>
                <w:kern w:val="2"/>
                <w:sz w:val="21"/>
                <w:szCs w:val="21"/>
                <w:highlight w:val="none"/>
                <w:lang w:val="en-US" w:eastAsia="zh-CN" w:bidi="ar-SA"/>
              </w:rPr>
              <w:t>高端鲜榨果汁</w:t>
            </w:r>
            <w:r>
              <w:rPr>
                <w:rFonts w:hint="eastAsia" w:eastAsia="宋体" w:cs="Times New Roman"/>
                <w:b w:val="0"/>
                <w:bCs/>
                <w:color w:val="auto"/>
                <w:kern w:val="2"/>
                <w:sz w:val="21"/>
                <w:szCs w:val="21"/>
                <w:highlight w:val="none"/>
                <w:lang w:val="en-US" w:eastAsia="zh-CN" w:bidi="ar-SA"/>
              </w:rPr>
              <w:t>及普通果汁饮料执行标准为《果蔬汁类及其饮料》（GB/T31121-2014）；碳酸饮料执行标准为《碳酸饮料（汽水）》（GB/T10792-2008）；包装饮用水执行标准为《食品安全国家标准 包装饮用水》（GB 19298-2014），具体如下：</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eastAsia" w:eastAsia="宋体" w:cs="Times New Roman"/>
                <w:b/>
                <w:bCs w:val="0"/>
                <w:color w:val="auto"/>
                <w:kern w:val="2"/>
                <w:sz w:val="21"/>
                <w:szCs w:val="21"/>
                <w:highlight w:val="none"/>
                <w:lang w:val="en-US" w:eastAsia="zh-CN" w:bidi="ar-SA"/>
              </w:rPr>
            </w:pPr>
            <w:r>
              <w:rPr>
                <w:rFonts w:hint="eastAsia" w:eastAsia="宋体" w:cs="Times New Roman"/>
                <w:b/>
                <w:bCs w:val="0"/>
                <w:color w:val="auto"/>
                <w:kern w:val="2"/>
                <w:sz w:val="21"/>
                <w:szCs w:val="21"/>
                <w:highlight w:val="none"/>
                <w:lang w:val="en-US" w:eastAsia="zh-CN" w:bidi="ar-SA"/>
              </w:rPr>
              <w:t>表2-2（2） 《果蔬汁类及其饮料》（GB/T 31121-2014）</w:t>
            </w:r>
          </w:p>
          <w:tbl>
            <w:tblPr>
              <w:tblStyle w:val="22"/>
              <w:tblW w:w="841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97"/>
              <w:gridCol w:w="3816"/>
              <w:gridCol w:w="843"/>
              <w:gridCol w:w="994"/>
              <w:gridCol w:w="13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417" w:type="dxa"/>
                  <w:gridSpan w:val="5"/>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auto"/>
                      <w:kern w:val="2"/>
                      <w:sz w:val="21"/>
                      <w:szCs w:val="21"/>
                      <w:highlight w:val="none"/>
                      <w:vertAlign w:val="baseline"/>
                      <w:lang w:val="en-US" w:eastAsia="zh-CN" w:bidi="ar-SA"/>
                    </w:rPr>
                  </w:pPr>
                  <w:r>
                    <w:rPr>
                      <w:rFonts w:hint="default" w:ascii="Times New Roman" w:hAnsi="Times New Roman" w:eastAsia="宋体" w:cs="Times New Roman"/>
                      <w:b/>
                      <w:bCs w:val="0"/>
                      <w:color w:val="auto"/>
                      <w:kern w:val="2"/>
                      <w:sz w:val="21"/>
                      <w:szCs w:val="21"/>
                      <w:highlight w:val="none"/>
                      <w:vertAlign w:val="baseline"/>
                      <w:lang w:val="en-US" w:eastAsia="zh-CN" w:bidi="ar-SA"/>
                    </w:rPr>
                    <w:t>感官要求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9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auto"/>
                      <w:kern w:val="2"/>
                      <w:sz w:val="21"/>
                      <w:szCs w:val="21"/>
                      <w:highlight w:val="none"/>
                      <w:vertAlign w:val="baseline"/>
                      <w:lang w:val="en-US" w:eastAsia="zh-CN" w:bidi="ar-SA"/>
                    </w:rPr>
                  </w:pPr>
                  <w:r>
                    <w:rPr>
                      <w:rFonts w:hint="default" w:ascii="Times New Roman" w:hAnsi="Times New Roman" w:eastAsia="宋体" w:cs="Times New Roman"/>
                      <w:b w:val="0"/>
                      <w:bCs/>
                      <w:color w:val="auto"/>
                      <w:kern w:val="2"/>
                      <w:sz w:val="21"/>
                      <w:szCs w:val="21"/>
                      <w:highlight w:val="none"/>
                      <w:vertAlign w:val="baseline"/>
                      <w:lang w:val="en-US" w:eastAsia="zh-CN" w:bidi="ar-SA"/>
                    </w:rPr>
                    <w:t>项目</w:t>
                  </w:r>
                </w:p>
              </w:tc>
              <w:tc>
                <w:tcPr>
                  <w:tcW w:w="7020" w:type="dxa"/>
                  <w:gridSpan w:val="4"/>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auto"/>
                      <w:kern w:val="2"/>
                      <w:sz w:val="21"/>
                      <w:szCs w:val="21"/>
                      <w:highlight w:val="none"/>
                      <w:vertAlign w:val="baseline"/>
                      <w:lang w:val="en-US" w:eastAsia="zh-CN" w:bidi="ar-SA"/>
                    </w:rPr>
                  </w:pPr>
                  <w:r>
                    <w:rPr>
                      <w:rFonts w:hint="default" w:ascii="Times New Roman" w:hAnsi="Times New Roman" w:eastAsia="宋体" w:cs="Times New Roman"/>
                      <w:b w:val="0"/>
                      <w:bCs/>
                      <w:color w:val="auto"/>
                      <w:kern w:val="2"/>
                      <w:sz w:val="21"/>
                      <w:szCs w:val="21"/>
                      <w:highlight w:val="none"/>
                      <w:vertAlign w:val="baseline"/>
                      <w:lang w:val="en-US" w:eastAsia="zh-CN" w:bidi="ar-SA"/>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9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auto"/>
                      <w:kern w:val="2"/>
                      <w:sz w:val="21"/>
                      <w:szCs w:val="21"/>
                      <w:highlight w:val="none"/>
                      <w:vertAlign w:val="baseline"/>
                      <w:lang w:val="en-US" w:eastAsia="zh-CN" w:bidi="ar-SA"/>
                    </w:rPr>
                  </w:pPr>
                  <w:r>
                    <w:rPr>
                      <w:rFonts w:hint="default" w:ascii="Times New Roman" w:hAnsi="Times New Roman" w:eastAsia="宋体" w:cs="Times New Roman"/>
                      <w:b w:val="0"/>
                      <w:bCs/>
                      <w:color w:val="auto"/>
                      <w:kern w:val="2"/>
                      <w:sz w:val="21"/>
                      <w:szCs w:val="21"/>
                      <w:highlight w:val="none"/>
                      <w:vertAlign w:val="baseline"/>
                      <w:lang w:val="en-US" w:eastAsia="zh-CN" w:bidi="ar-SA"/>
                    </w:rPr>
                    <w:t>色泽</w:t>
                  </w:r>
                </w:p>
              </w:tc>
              <w:tc>
                <w:tcPr>
                  <w:tcW w:w="7020" w:type="dxa"/>
                  <w:gridSpan w:val="4"/>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auto"/>
                      <w:kern w:val="2"/>
                      <w:sz w:val="21"/>
                      <w:szCs w:val="21"/>
                      <w:highlight w:val="none"/>
                      <w:vertAlign w:val="baseline"/>
                      <w:lang w:val="en-US" w:eastAsia="zh-CN" w:bidi="ar-SA"/>
                    </w:rPr>
                  </w:pPr>
                  <w:r>
                    <w:rPr>
                      <w:rFonts w:hint="default" w:ascii="Times New Roman" w:hAnsi="Times New Roman" w:eastAsia="宋体" w:cs="Times New Roman"/>
                      <w:b w:val="0"/>
                      <w:bCs/>
                      <w:color w:val="auto"/>
                      <w:kern w:val="2"/>
                      <w:sz w:val="21"/>
                      <w:szCs w:val="21"/>
                      <w:highlight w:val="none"/>
                      <w:vertAlign w:val="baseline"/>
                      <w:lang w:val="en-US" w:eastAsia="zh-CN" w:bidi="ar-SA"/>
                    </w:rPr>
                    <w:t>具有所标示的该种（或几种）水果、蔬菜制成的汁液（浆）相符的色泽，或具有与添加成分相符的色泽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9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auto"/>
                      <w:kern w:val="2"/>
                      <w:sz w:val="21"/>
                      <w:szCs w:val="21"/>
                      <w:highlight w:val="none"/>
                      <w:vertAlign w:val="baseline"/>
                      <w:lang w:val="en-US" w:eastAsia="zh-CN" w:bidi="ar-SA"/>
                    </w:rPr>
                  </w:pPr>
                  <w:r>
                    <w:rPr>
                      <w:rFonts w:hint="default" w:ascii="Times New Roman" w:hAnsi="Times New Roman" w:eastAsia="宋体" w:cs="Times New Roman"/>
                      <w:b w:val="0"/>
                      <w:bCs/>
                      <w:color w:val="auto"/>
                      <w:kern w:val="2"/>
                      <w:sz w:val="21"/>
                      <w:szCs w:val="21"/>
                      <w:highlight w:val="none"/>
                      <w:vertAlign w:val="baseline"/>
                      <w:lang w:val="en-US" w:eastAsia="zh-CN" w:bidi="ar-SA"/>
                    </w:rPr>
                    <w:t>滋味和气味</w:t>
                  </w:r>
                </w:p>
              </w:tc>
              <w:tc>
                <w:tcPr>
                  <w:tcW w:w="7020" w:type="dxa"/>
                  <w:gridSpan w:val="4"/>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auto"/>
                      <w:kern w:val="2"/>
                      <w:sz w:val="21"/>
                      <w:szCs w:val="21"/>
                      <w:highlight w:val="none"/>
                      <w:vertAlign w:val="baseline"/>
                      <w:lang w:val="en-US" w:eastAsia="zh-CN" w:bidi="ar-SA"/>
                    </w:rPr>
                  </w:pPr>
                  <w:r>
                    <w:rPr>
                      <w:rFonts w:hint="default" w:ascii="Times New Roman" w:hAnsi="Times New Roman" w:eastAsia="宋体" w:cs="Times New Roman"/>
                      <w:b w:val="0"/>
                      <w:bCs/>
                      <w:color w:val="auto"/>
                      <w:kern w:val="2"/>
                      <w:sz w:val="21"/>
                      <w:szCs w:val="21"/>
                      <w:highlight w:val="none"/>
                      <w:vertAlign w:val="baseline"/>
                      <w:lang w:val="en-US" w:eastAsia="zh-CN" w:bidi="ar-SA"/>
                    </w:rPr>
                    <w:t>具有所标示的该种（或几种）水果、蔬菜制成的汁液（浆）应有的滋味和气味，或具有与添加成分相符的滋味和气味；无异味</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9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auto"/>
                      <w:kern w:val="2"/>
                      <w:sz w:val="21"/>
                      <w:szCs w:val="21"/>
                      <w:highlight w:val="none"/>
                      <w:vertAlign w:val="baseline"/>
                      <w:lang w:val="en-US" w:eastAsia="zh-CN" w:bidi="ar-SA"/>
                    </w:rPr>
                  </w:pPr>
                  <w:r>
                    <w:rPr>
                      <w:rFonts w:hint="default" w:ascii="Times New Roman" w:hAnsi="Times New Roman" w:eastAsia="宋体" w:cs="Times New Roman"/>
                      <w:b w:val="0"/>
                      <w:bCs/>
                      <w:color w:val="auto"/>
                      <w:kern w:val="2"/>
                      <w:sz w:val="21"/>
                      <w:szCs w:val="21"/>
                      <w:highlight w:val="none"/>
                      <w:vertAlign w:val="baseline"/>
                      <w:lang w:val="en-US" w:eastAsia="zh-CN" w:bidi="ar-SA"/>
                    </w:rPr>
                    <w:t>组织状态</w:t>
                  </w:r>
                </w:p>
              </w:tc>
              <w:tc>
                <w:tcPr>
                  <w:tcW w:w="7020" w:type="dxa"/>
                  <w:gridSpan w:val="4"/>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auto"/>
                      <w:kern w:val="2"/>
                      <w:sz w:val="21"/>
                      <w:szCs w:val="21"/>
                      <w:highlight w:val="none"/>
                      <w:vertAlign w:val="baseline"/>
                      <w:lang w:val="en-US" w:eastAsia="zh-CN" w:bidi="ar-SA"/>
                    </w:rPr>
                  </w:pPr>
                  <w:r>
                    <w:rPr>
                      <w:rFonts w:hint="default" w:ascii="Times New Roman" w:hAnsi="Times New Roman" w:eastAsia="宋体" w:cs="Times New Roman"/>
                      <w:b w:val="0"/>
                      <w:bCs/>
                      <w:color w:val="auto"/>
                      <w:kern w:val="2"/>
                      <w:sz w:val="21"/>
                      <w:szCs w:val="21"/>
                      <w:highlight w:val="none"/>
                      <w:vertAlign w:val="baseline"/>
                      <w:lang w:val="en-US" w:eastAsia="zh-CN" w:bidi="ar-SA"/>
                    </w:rPr>
                    <w:t>无外来杂质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417" w:type="dxa"/>
                  <w:gridSpan w:val="5"/>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auto"/>
                      <w:kern w:val="2"/>
                      <w:sz w:val="21"/>
                      <w:szCs w:val="21"/>
                      <w:highlight w:val="none"/>
                      <w:vertAlign w:val="baseline"/>
                      <w:lang w:val="en-US" w:eastAsia="zh-CN" w:bidi="ar-SA"/>
                    </w:rPr>
                  </w:pPr>
                  <w:r>
                    <w:rPr>
                      <w:rFonts w:hint="default" w:ascii="Times New Roman" w:hAnsi="Times New Roman" w:eastAsia="宋体" w:cs="Times New Roman"/>
                      <w:b/>
                      <w:bCs w:val="0"/>
                      <w:color w:val="auto"/>
                      <w:kern w:val="2"/>
                      <w:sz w:val="21"/>
                      <w:szCs w:val="21"/>
                      <w:highlight w:val="none"/>
                      <w:vertAlign w:val="baseline"/>
                      <w:lang w:val="en-US" w:eastAsia="zh-CN" w:bidi="ar-SA"/>
                    </w:rPr>
                    <w:t>理化要求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9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auto"/>
                      <w:kern w:val="2"/>
                      <w:sz w:val="21"/>
                      <w:szCs w:val="21"/>
                      <w:highlight w:val="none"/>
                      <w:vertAlign w:val="baseline"/>
                      <w:lang w:val="en-US" w:eastAsia="zh-CN" w:bidi="ar-SA"/>
                    </w:rPr>
                  </w:pPr>
                  <w:r>
                    <w:rPr>
                      <w:rFonts w:hint="default" w:ascii="Times New Roman" w:hAnsi="Times New Roman" w:eastAsia="宋体" w:cs="Times New Roman"/>
                      <w:b w:val="0"/>
                      <w:bCs/>
                      <w:color w:val="auto"/>
                      <w:kern w:val="2"/>
                      <w:sz w:val="21"/>
                      <w:szCs w:val="21"/>
                      <w:highlight w:val="none"/>
                      <w:vertAlign w:val="baseline"/>
                      <w:lang w:val="en-US" w:eastAsia="zh-CN" w:bidi="ar-SA"/>
                    </w:rPr>
                    <w:t>产品类别</w:t>
                  </w:r>
                </w:p>
              </w:tc>
              <w:tc>
                <w:tcPr>
                  <w:tcW w:w="3816"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auto"/>
                      <w:kern w:val="2"/>
                      <w:sz w:val="21"/>
                      <w:szCs w:val="21"/>
                      <w:highlight w:val="none"/>
                      <w:vertAlign w:val="baseline"/>
                      <w:lang w:val="en-US" w:eastAsia="zh-CN" w:bidi="ar-SA"/>
                    </w:rPr>
                  </w:pPr>
                  <w:r>
                    <w:rPr>
                      <w:rFonts w:hint="default" w:ascii="Times New Roman" w:hAnsi="Times New Roman" w:eastAsia="宋体" w:cs="Times New Roman"/>
                      <w:b w:val="0"/>
                      <w:bCs/>
                      <w:color w:val="auto"/>
                      <w:kern w:val="2"/>
                      <w:sz w:val="21"/>
                      <w:szCs w:val="21"/>
                      <w:highlight w:val="none"/>
                      <w:vertAlign w:val="baseline"/>
                      <w:lang w:val="en-US" w:eastAsia="zh-CN" w:bidi="ar-SA"/>
                    </w:rPr>
                    <w:t>项目</w:t>
                  </w:r>
                </w:p>
              </w:tc>
              <w:tc>
                <w:tcPr>
                  <w:tcW w:w="1837"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auto"/>
                      <w:kern w:val="2"/>
                      <w:sz w:val="21"/>
                      <w:szCs w:val="21"/>
                      <w:highlight w:val="none"/>
                      <w:vertAlign w:val="baseline"/>
                      <w:lang w:val="en-US" w:eastAsia="zh-CN" w:bidi="ar-SA"/>
                    </w:rPr>
                  </w:pPr>
                  <w:r>
                    <w:rPr>
                      <w:rFonts w:hint="default" w:ascii="Times New Roman" w:hAnsi="Times New Roman" w:eastAsia="宋体" w:cs="Times New Roman"/>
                      <w:b w:val="0"/>
                      <w:bCs/>
                      <w:color w:val="auto"/>
                      <w:kern w:val="2"/>
                      <w:sz w:val="21"/>
                      <w:szCs w:val="21"/>
                      <w:highlight w:val="none"/>
                      <w:vertAlign w:val="baseline"/>
                      <w:lang w:val="en-US" w:eastAsia="zh-CN" w:bidi="ar-SA"/>
                    </w:rPr>
                    <w:t>指标或要求</w:t>
                  </w:r>
                </w:p>
              </w:tc>
              <w:tc>
                <w:tcPr>
                  <w:tcW w:w="136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auto"/>
                      <w:kern w:val="2"/>
                      <w:sz w:val="21"/>
                      <w:szCs w:val="21"/>
                      <w:highlight w:val="none"/>
                      <w:vertAlign w:val="baseline"/>
                      <w:lang w:val="en-US" w:eastAsia="zh-CN" w:bidi="ar-SA"/>
                    </w:rPr>
                  </w:pPr>
                  <w:r>
                    <w:rPr>
                      <w:rFonts w:hint="default" w:ascii="Times New Roman" w:hAnsi="Times New Roman" w:eastAsia="宋体" w:cs="Times New Roman"/>
                      <w:b w:val="0"/>
                      <w:bCs/>
                      <w:color w:val="auto"/>
                      <w:kern w:val="2"/>
                      <w:sz w:val="21"/>
                      <w:szCs w:val="21"/>
                      <w:highlight w:val="none"/>
                      <w:vertAlign w:val="baseline"/>
                      <w:lang w:val="en-US" w:eastAsia="zh-CN" w:bidi="ar-SA"/>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97" w:type="dxa"/>
                  <w:vMerge w:val="restar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auto"/>
                      <w:kern w:val="2"/>
                      <w:sz w:val="21"/>
                      <w:szCs w:val="21"/>
                      <w:highlight w:val="none"/>
                      <w:vertAlign w:val="baseline"/>
                      <w:lang w:val="en-US" w:eastAsia="zh-CN" w:bidi="ar-SA"/>
                    </w:rPr>
                  </w:pPr>
                  <w:r>
                    <w:rPr>
                      <w:rFonts w:hint="default" w:ascii="Times New Roman" w:hAnsi="Times New Roman" w:eastAsia="宋体" w:cs="Times New Roman"/>
                      <w:b w:val="0"/>
                      <w:bCs/>
                      <w:color w:val="auto"/>
                      <w:kern w:val="2"/>
                      <w:sz w:val="21"/>
                      <w:szCs w:val="21"/>
                      <w:highlight w:val="none"/>
                      <w:vertAlign w:val="baseline"/>
                      <w:lang w:val="en-US" w:eastAsia="zh-CN" w:bidi="ar-SA"/>
                    </w:rPr>
                    <w:t>果蔬汁（浆）</w:t>
                  </w:r>
                </w:p>
              </w:tc>
              <w:tc>
                <w:tcPr>
                  <w:tcW w:w="3816"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auto"/>
                      <w:kern w:val="2"/>
                      <w:sz w:val="21"/>
                      <w:szCs w:val="21"/>
                      <w:highlight w:val="none"/>
                      <w:vertAlign w:val="baseline"/>
                      <w:lang w:val="en-US" w:eastAsia="zh-CN" w:bidi="ar-SA"/>
                    </w:rPr>
                  </w:pPr>
                  <w:r>
                    <w:rPr>
                      <w:rFonts w:hint="default" w:ascii="Times New Roman" w:hAnsi="Times New Roman" w:eastAsia="宋体" w:cs="Times New Roman"/>
                      <w:b w:val="0"/>
                      <w:bCs/>
                      <w:color w:val="auto"/>
                      <w:kern w:val="2"/>
                      <w:sz w:val="21"/>
                      <w:szCs w:val="21"/>
                      <w:highlight w:val="none"/>
                      <w:vertAlign w:val="baseline"/>
                      <w:lang w:val="en-US" w:eastAsia="zh-CN" w:bidi="ar-SA"/>
                    </w:rPr>
                    <w:t>果汁（浆）或蔬菜汁（浆）含量（质量分数）/%</w:t>
                  </w:r>
                </w:p>
              </w:tc>
              <w:tc>
                <w:tcPr>
                  <w:tcW w:w="1837"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auto"/>
                      <w:kern w:val="2"/>
                      <w:sz w:val="21"/>
                      <w:szCs w:val="21"/>
                      <w:highlight w:val="none"/>
                      <w:vertAlign w:val="baseline"/>
                      <w:lang w:val="en-US" w:eastAsia="zh-CN" w:bidi="ar-SA"/>
                    </w:rPr>
                  </w:pPr>
                  <w:r>
                    <w:rPr>
                      <w:rFonts w:hint="default" w:ascii="Times New Roman" w:hAnsi="Times New Roman" w:eastAsia="宋体" w:cs="Times New Roman"/>
                      <w:b w:val="0"/>
                      <w:bCs/>
                      <w:color w:val="auto"/>
                      <w:kern w:val="2"/>
                      <w:sz w:val="21"/>
                      <w:szCs w:val="21"/>
                      <w:highlight w:val="none"/>
                      <w:vertAlign w:val="baseline"/>
                      <w:lang w:val="en-US" w:eastAsia="zh-CN" w:bidi="ar-SA"/>
                    </w:rPr>
                    <w:t>100</w:t>
                  </w:r>
                </w:p>
              </w:tc>
              <w:tc>
                <w:tcPr>
                  <w:tcW w:w="1367" w:type="dxa"/>
                  <w:vMerge w:val="restar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auto"/>
                      <w:kern w:val="2"/>
                      <w:sz w:val="21"/>
                      <w:szCs w:val="21"/>
                      <w:highlight w:val="none"/>
                      <w:vertAlign w:val="baseline"/>
                      <w:lang w:val="en-US" w:eastAsia="zh-CN" w:bidi="ar-SA"/>
                    </w:rPr>
                  </w:pPr>
                  <w:r>
                    <w:rPr>
                      <w:rFonts w:hint="default" w:ascii="Times New Roman" w:hAnsi="Times New Roman" w:eastAsia="宋体" w:cs="Times New Roman"/>
                      <w:b w:val="0"/>
                      <w:bCs/>
                      <w:color w:val="auto"/>
                      <w:kern w:val="2"/>
                      <w:sz w:val="21"/>
                      <w:szCs w:val="21"/>
                      <w:highlight w:val="none"/>
                      <w:vertAlign w:val="baseline"/>
                      <w:lang w:val="en-US" w:eastAsia="zh-CN" w:bidi="ar-SA"/>
                    </w:rPr>
                    <w:t>至少符合一项要求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97"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auto"/>
                      <w:kern w:val="2"/>
                      <w:sz w:val="21"/>
                      <w:szCs w:val="21"/>
                      <w:highlight w:val="none"/>
                      <w:vertAlign w:val="baseline"/>
                      <w:lang w:val="en-US" w:eastAsia="zh-CN" w:bidi="ar-SA"/>
                    </w:rPr>
                  </w:pPr>
                </w:p>
              </w:tc>
              <w:tc>
                <w:tcPr>
                  <w:tcW w:w="3816"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auto"/>
                      <w:kern w:val="2"/>
                      <w:sz w:val="21"/>
                      <w:szCs w:val="21"/>
                      <w:highlight w:val="none"/>
                      <w:vertAlign w:val="baseline"/>
                      <w:lang w:val="en-US" w:eastAsia="zh-CN" w:bidi="ar-SA"/>
                    </w:rPr>
                  </w:pPr>
                  <w:r>
                    <w:rPr>
                      <w:rFonts w:hint="default" w:ascii="Times New Roman" w:hAnsi="Times New Roman" w:eastAsia="宋体" w:cs="Times New Roman"/>
                      <w:b w:val="0"/>
                      <w:bCs/>
                      <w:color w:val="auto"/>
                      <w:kern w:val="2"/>
                      <w:sz w:val="21"/>
                      <w:szCs w:val="21"/>
                      <w:highlight w:val="none"/>
                      <w:vertAlign w:val="baseline"/>
                      <w:lang w:val="en-US" w:eastAsia="zh-CN" w:bidi="ar-SA"/>
                    </w:rPr>
                    <w:t>可溶性固形物含量/%</w:t>
                  </w:r>
                </w:p>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auto"/>
                      <w:kern w:val="2"/>
                      <w:sz w:val="21"/>
                      <w:szCs w:val="21"/>
                      <w:highlight w:val="none"/>
                      <w:vertAlign w:val="baseline"/>
                      <w:lang w:val="en-US" w:eastAsia="zh-CN" w:bidi="ar-SA"/>
                    </w:rPr>
                  </w:pPr>
                  <w:r>
                    <w:rPr>
                      <w:rFonts w:hint="default" w:ascii="Times New Roman" w:hAnsi="Times New Roman" w:eastAsia="宋体" w:cs="Times New Roman"/>
                      <w:b w:val="0"/>
                      <w:bCs/>
                      <w:color w:val="auto"/>
                      <w:kern w:val="2"/>
                      <w:sz w:val="21"/>
                      <w:szCs w:val="21"/>
                      <w:highlight w:val="none"/>
                      <w:vertAlign w:val="baseline"/>
                      <w:lang w:val="en-US" w:eastAsia="zh-CN" w:bidi="ar-SA"/>
                    </w:rPr>
                    <w:t>（20℃下复原果汁和复原果浆的最小可溶性固形物要求）</w:t>
                  </w:r>
                </w:p>
              </w:tc>
              <w:tc>
                <w:tcPr>
                  <w:tcW w:w="843"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auto"/>
                      <w:kern w:val="2"/>
                      <w:sz w:val="21"/>
                      <w:szCs w:val="21"/>
                      <w:highlight w:val="none"/>
                      <w:vertAlign w:val="baseline"/>
                      <w:lang w:val="en-US" w:eastAsia="zh-CN" w:bidi="ar-SA"/>
                    </w:rPr>
                  </w:pPr>
                  <w:r>
                    <w:rPr>
                      <w:rFonts w:hint="default" w:ascii="Times New Roman" w:hAnsi="Times New Roman" w:eastAsia="宋体" w:cs="Times New Roman"/>
                      <w:b w:val="0"/>
                      <w:bCs/>
                      <w:color w:val="auto"/>
                      <w:kern w:val="2"/>
                      <w:sz w:val="21"/>
                      <w:szCs w:val="21"/>
                      <w:highlight w:val="none"/>
                      <w:vertAlign w:val="baseline"/>
                      <w:lang w:val="en-US" w:eastAsia="zh-CN" w:bidi="ar-SA"/>
                    </w:rPr>
                    <w:t>梨</w:t>
                  </w:r>
                </w:p>
              </w:tc>
              <w:tc>
                <w:tcPr>
                  <w:tcW w:w="994"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auto"/>
                      <w:kern w:val="2"/>
                      <w:sz w:val="21"/>
                      <w:szCs w:val="21"/>
                      <w:highlight w:val="none"/>
                      <w:vertAlign w:val="baseline"/>
                      <w:lang w:val="en-US" w:eastAsia="zh-CN" w:bidi="ar-SA"/>
                    </w:rPr>
                  </w:pPr>
                  <w:r>
                    <w:rPr>
                      <w:rFonts w:hint="default" w:ascii="Times New Roman" w:hAnsi="Times New Roman" w:eastAsia="宋体" w:cs="Times New Roman"/>
                      <w:b w:val="0"/>
                      <w:bCs/>
                      <w:color w:val="auto"/>
                      <w:kern w:val="2"/>
                      <w:sz w:val="21"/>
                      <w:szCs w:val="21"/>
                      <w:highlight w:val="none"/>
                      <w:vertAlign w:val="baseline"/>
                      <w:lang w:val="en-US" w:eastAsia="zh-CN" w:bidi="ar-SA"/>
                    </w:rPr>
                    <w:t>10.0</w:t>
                  </w:r>
                </w:p>
              </w:tc>
              <w:tc>
                <w:tcPr>
                  <w:tcW w:w="1367"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auto"/>
                      <w:kern w:val="2"/>
                      <w:sz w:val="21"/>
                      <w:szCs w:val="21"/>
                      <w:highlight w:val="none"/>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39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auto"/>
                      <w:kern w:val="2"/>
                      <w:sz w:val="21"/>
                      <w:szCs w:val="21"/>
                      <w:highlight w:val="none"/>
                      <w:vertAlign w:val="baseline"/>
                      <w:lang w:val="en-US" w:eastAsia="zh-CN" w:bidi="ar-SA"/>
                    </w:rPr>
                  </w:pPr>
                  <w:r>
                    <w:rPr>
                      <w:rFonts w:hint="default" w:ascii="Times New Roman" w:hAnsi="Times New Roman" w:eastAsia="宋体" w:cs="Times New Roman"/>
                      <w:b w:val="0"/>
                      <w:bCs/>
                      <w:color w:val="auto"/>
                      <w:kern w:val="2"/>
                      <w:sz w:val="21"/>
                      <w:szCs w:val="21"/>
                      <w:highlight w:val="none"/>
                      <w:vertAlign w:val="baseline"/>
                      <w:lang w:val="en-US" w:eastAsia="zh-CN" w:bidi="ar-SA"/>
                    </w:rPr>
                    <w:t>果汁饮料</w:t>
                  </w:r>
                </w:p>
              </w:tc>
              <w:tc>
                <w:tcPr>
                  <w:tcW w:w="3816"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auto"/>
                      <w:kern w:val="2"/>
                      <w:sz w:val="21"/>
                      <w:szCs w:val="21"/>
                      <w:highlight w:val="none"/>
                      <w:vertAlign w:val="baseline"/>
                      <w:lang w:val="en-US" w:eastAsia="zh-CN" w:bidi="ar-SA"/>
                    </w:rPr>
                  </w:pPr>
                  <w:r>
                    <w:rPr>
                      <w:rFonts w:hint="default" w:ascii="Times New Roman" w:hAnsi="Times New Roman" w:eastAsia="宋体" w:cs="Times New Roman"/>
                      <w:b w:val="0"/>
                      <w:bCs/>
                      <w:color w:val="auto"/>
                      <w:kern w:val="2"/>
                      <w:sz w:val="21"/>
                      <w:szCs w:val="21"/>
                      <w:highlight w:val="none"/>
                      <w:vertAlign w:val="baseline"/>
                      <w:lang w:val="en-US" w:eastAsia="zh-CN" w:bidi="ar-SA"/>
                    </w:rPr>
                    <w:t>果汁（浆）含量（质量分数）/%</w:t>
                  </w:r>
                </w:p>
              </w:tc>
              <w:tc>
                <w:tcPr>
                  <w:tcW w:w="1837"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auto"/>
                      <w:kern w:val="2"/>
                      <w:sz w:val="21"/>
                      <w:szCs w:val="21"/>
                      <w:highlight w:val="none"/>
                      <w:vertAlign w:val="baseline"/>
                      <w:lang w:val="en-US" w:eastAsia="zh-CN" w:bidi="ar-SA"/>
                    </w:rPr>
                  </w:pPr>
                  <w:r>
                    <w:rPr>
                      <w:rFonts w:hint="default" w:ascii="Times New Roman" w:hAnsi="Times New Roman" w:eastAsia="宋体" w:cs="Times New Roman"/>
                      <w:b w:val="0"/>
                      <w:bCs/>
                      <w:color w:val="auto"/>
                      <w:kern w:val="2"/>
                      <w:sz w:val="21"/>
                      <w:szCs w:val="21"/>
                      <w:highlight w:val="none"/>
                      <w:vertAlign w:val="baseline"/>
                      <w:lang w:val="en-US" w:eastAsia="zh-CN" w:bidi="ar-SA"/>
                    </w:rPr>
                    <w:t>≥10</w:t>
                  </w:r>
                </w:p>
              </w:tc>
              <w:tc>
                <w:tcPr>
                  <w:tcW w:w="136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auto"/>
                      <w:kern w:val="2"/>
                      <w:sz w:val="21"/>
                      <w:szCs w:val="21"/>
                      <w:highlight w:val="none"/>
                      <w:vertAlign w:val="baseline"/>
                      <w:lang w:val="en-US" w:eastAsia="zh-CN" w:bidi="ar-SA"/>
                    </w:rPr>
                  </w:pPr>
                  <w:r>
                    <w:rPr>
                      <w:rFonts w:hint="default" w:ascii="Times New Roman" w:hAnsi="Times New Roman" w:eastAsia="宋体" w:cs="Times New Roman"/>
                      <w:b w:val="0"/>
                      <w:bCs/>
                      <w:color w:val="auto"/>
                      <w:kern w:val="2"/>
                      <w:sz w:val="21"/>
                      <w:szCs w:val="21"/>
                      <w:highlight w:val="none"/>
                      <w:vertAlign w:val="baseline"/>
                      <w:lang w:val="en-US" w:eastAsia="zh-CN" w:bidi="ar-SA"/>
                    </w:rPr>
                    <w:t>—</w:t>
                  </w:r>
                </w:p>
              </w:tc>
            </w:tr>
          </w:tbl>
          <w:p>
            <w:pPr>
              <w:keepNext w:val="0"/>
              <w:keepLines w:val="0"/>
              <w:pageBreakBefore w:val="0"/>
              <w:widowControl w:val="0"/>
              <w:kinsoku/>
              <w:wordWrap/>
              <w:overflowPunct/>
              <w:topLinePunct w:val="0"/>
              <w:autoSpaceDE/>
              <w:autoSpaceDN/>
              <w:bidi w:val="0"/>
              <w:adjustRightInd/>
              <w:snapToGrid/>
              <w:spacing w:before="157" w:beforeLines="50" w:line="240" w:lineRule="auto"/>
              <w:jc w:val="center"/>
              <w:textAlignment w:val="auto"/>
              <w:rPr>
                <w:rFonts w:hint="eastAsia" w:eastAsia="宋体" w:cs="Times New Roman"/>
                <w:b/>
                <w:bCs w:val="0"/>
                <w:color w:val="auto"/>
                <w:kern w:val="2"/>
                <w:sz w:val="21"/>
                <w:szCs w:val="21"/>
                <w:highlight w:val="none"/>
                <w:lang w:val="en-US" w:eastAsia="zh-CN" w:bidi="ar-SA"/>
              </w:rPr>
            </w:pPr>
            <w:r>
              <w:rPr>
                <w:rFonts w:hint="eastAsia" w:eastAsia="宋体" w:cs="Times New Roman"/>
                <w:b/>
                <w:bCs w:val="0"/>
                <w:color w:val="auto"/>
                <w:kern w:val="2"/>
                <w:sz w:val="21"/>
                <w:szCs w:val="21"/>
                <w:highlight w:val="none"/>
                <w:lang w:val="en-US" w:eastAsia="zh-CN" w:bidi="ar-SA"/>
              </w:rPr>
              <w:t>表2-2（3）《碳酸饮料（汽水）》（GB/T10792-2008）</w:t>
            </w:r>
          </w:p>
          <w:tbl>
            <w:tblPr>
              <w:tblStyle w:val="22"/>
              <w:tblW w:w="81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65"/>
              <w:gridCol w:w="465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115"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auto"/>
                      <w:kern w:val="2"/>
                      <w:sz w:val="21"/>
                      <w:szCs w:val="21"/>
                      <w:highlight w:val="none"/>
                      <w:vertAlign w:val="baseline"/>
                      <w:lang w:val="en-US" w:eastAsia="zh-CN" w:bidi="ar-SA"/>
                    </w:rPr>
                  </w:pPr>
                  <w:r>
                    <w:rPr>
                      <w:rFonts w:hint="default" w:ascii="Times New Roman" w:hAnsi="Times New Roman" w:eastAsia="宋体" w:cs="Times New Roman"/>
                      <w:b/>
                      <w:bCs w:val="0"/>
                      <w:color w:val="auto"/>
                      <w:kern w:val="2"/>
                      <w:sz w:val="21"/>
                      <w:szCs w:val="21"/>
                      <w:highlight w:val="none"/>
                      <w:vertAlign w:val="baseline"/>
                      <w:lang w:val="en-US" w:eastAsia="zh-CN" w:bidi="ar-SA"/>
                    </w:rPr>
                    <w:t>感官要求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115"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auto"/>
                      <w:kern w:val="2"/>
                      <w:sz w:val="21"/>
                      <w:szCs w:val="21"/>
                      <w:highlight w:val="none"/>
                      <w:vertAlign w:val="baseline"/>
                      <w:lang w:val="en-US" w:eastAsia="zh-CN" w:bidi="ar-SA"/>
                    </w:rPr>
                  </w:pPr>
                  <w:r>
                    <w:rPr>
                      <w:rFonts w:hint="default" w:ascii="Times New Roman" w:hAnsi="Times New Roman" w:eastAsia="宋体" w:cs="Times New Roman"/>
                      <w:b w:val="0"/>
                      <w:bCs/>
                      <w:color w:val="auto"/>
                      <w:kern w:val="2"/>
                      <w:sz w:val="21"/>
                      <w:szCs w:val="21"/>
                      <w:highlight w:val="none"/>
                      <w:vertAlign w:val="baseline"/>
                      <w:lang w:val="en-US" w:eastAsia="zh-CN" w:bidi="ar-SA"/>
                    </w:rPr>
                    <w:t>应具有反映该类产品特点的外观、滋味，不得有异味、异臭和外来杂物。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115" w:type="dxa"/>
                  <w:gridSpan w:val="2"/>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auto"/>
                      <w:kern w:val="2"/>
                      <w:sz w:val="21"/>
                      <w:szCs w:val="21"/>
                      <w:highlight w:val="none"/>
                      <w:vertAlign w:val="baseline"/>
                      <w:lang w:val="en-US" w:eastAsia="zh-CN" w:bidi="ar-SA"/>
                    </w:rPr>
                  </w:pPr>
                  <w:r>
                    <w:rPr>
                      <w:rFonts w:hint="default" w:ascii="Times New Roman" w:hAnsi="Times New Roman" w:eastAsia="宋体" w:cs="Times New Roman"/>
                      <w:b/>
                      <w:bCs w:val="0"/>
                      <w:color w:val="auto"/>
                      <w:kern w:val="2"/>
                      <w:sz w:val="21"/>
                      <w:szCs w:val="21"/>
                      <w:highlight w:val="none"/>
                      <w:vertAlign w:val="baseline"/>
                      <w:lang w:val="en-US" w:eastAsia="zh-CN" w:bidi="ar-SA"/>
                    </w:rPr>
                    <w:t>理化指标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46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auto"/>
                      <w:kern w:val="2"/>
                      <w:sz w:val="21"/>
                      <w:szCs w:val="21"/>
                      <w:highlight w:val="none"/>
                      <w:vertAlign w:val="baseline"/>
                      <w:lang w:val="en-US" w:eastAsia="zh-CN" w:bidi="ar-SA"/>
                    </w:rPr>
                  </w:pPr>
                  <w:r>
                    <w:rPr>
                      <w:rFonts w:hint="default" w:ascii="Times New Roman" w:hAnsi="Times New Roman" w:eastAsia="宋体" w:cs="Times New Roman"/>
                      <w:b w:val="0"/>
                      <w:bCs/>
                      <w:color w:val="auto"/>
                      <w:kern w:val="2"/>
                      <w:sz w:val="21"/>
                      <w:szCs w:val="21"/>
                      <w:highlight w:val="none"/>
                      <w:vertAlign w:val="baseline"/>
                      <w:lang w:val="en-US" w:eastAsia="zh-CN" w:bidi="ar-SA"/>
                    </w:rPr>
                    <w:t>项目</w:t>
                  </w:r>
                </w:p>
              </w:tc>
              <w:tc>
                <w:tcPr>
                  <w:tcW w:w="465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auto"/>
                      <w:kern w:val="2"/>
                      <w:sz w:val="21"/>
                      <w:szCs w:val="21"/>
                      <w:highlight w:val="none"/>
                      <w:vertAlign w:val="baseline"/>
                      <w:lang w:val="en-US" w:eastAsia="zh-CN" w:bidi="ar-SA"/>
                    </w:rPr>
                  </w:pPr>
                  <w:r>
                    <w:rPr>
                      <w:rFonts w:hint="default" w:ascii="Times New Roman" w:hAnsi="Times New Roman" w:eastAsia="宋体" w:cs="Times New Roman"/>
                      <w:b/>
                      <w:bCs w:val="0"/>
                      <w:color w:val="auto"/>
                      <w:kern w:val="2"/>
                      <w:sz w:val="21"/>
                      <w:szCs w:val="21"/>
                      <w:highlight w:val="none"/>
                      <w:vertAlign w:val="baseline"/>
                      <w:lang w:val="en-US" w:eastAsia="zh-CN" w:bidi="ar-SA"/>
                    </w:rPr>
                    <w:t>果味型</w:t>
                  </w:r>
                  <w:r>
                    <w:rPr>
                      <w:rFonts w:hint="default" w:ascii="Times New Roman" w:hAnsi="Times New Roman" w:eastAsia="宋体" w:cs="Times New Roman"/>
                      <w:b w:val="0"/>
                      <w:bCs/>
                      <w:color w:val="auto"/>
                      <w:kern w:val="2"/>
                      <w:sz w:val="21"/>
                      <w:szCs w:val="21"/>
                      <w:highlight w:val="none"/>
                      <w:vertAlign w:val="baseline"/>
                      <w:lang w:val="en-US" w:eastAsia="zh-CN" w:bidi="ar-SA"/>
                    </w:rPr>
                    <w:t>、可乐型及其他型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46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auto"/>
                      <w:kern w:val="2"/>
                      <w:sz w:val="21"/>
                      <w:szCs w:val="21"/>
                      <w:highlight w:val="none"/>
                      <w:vertAlign w:val="baseline"/>
                      <w:lang w:val="en-US" w:eastAsia="zh-CN" w:bidi="ar-SA"/>
                    </w:rPr>
                  </w:pPr>
                  <w:r>
                    <w:rPr>
                      <w:rFonts w:hint="default" w:ascii="Times New Roman" w:hAnsi="Times New Roman" w:eastAsia="宋体" w:cs="Times New Roman"/>
                      <w:b w:val="0"/>
                      <w:bCs/>
                      <w:color w:val="auto"/>
                      <w:kern w:val="2"/>
                      <w:sz w:val="21"/>
                      <w:szCs w:val="21"/>
                      <w:highlight w:val="none"/>
                      <w:vertAlign w:val="baseline"/>
                      <w:lang w:val="en-US" w:eastAsia="zh-CN" w:bidi="ar-SA"/>
                    </w:rPr>
                    <w:t>二氧化碳气容量（20℃）≥</w:t>
                  </w:r>
                </w:p>
              </w:tc>
              <w:tc>
                <w:tcPr>
                  <w:tcW w:w="465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auto"/>
                      <w:kern w:val="2"/>
                      <w:sz w:val="21"/>
                      <w:szCs w:val="21"/>
                      <w:highlight w:val="none"/>
                      <w:vertAlign w:val="baseline"/>
                      <w:lang w:val="en-US" w:eastAsia="zh-CN" w:bidi="ar-SA"/>
                    </w:rPr>
                  </w:pPr>
                  <w:r>
                    <w:rPr>
                      <w:rFonts w:hint="default" w:ascii="Times New Roman" w:hAnsi="Times New Roman" w:eastAsia="宋体" w:cs="Times New Roman"/>
                      <w:b w:val="0"/>
                      <w:bCs/>
                      <w:color w:val="auto"/>
                      <w:kern w:val="2"/>
                      <w:sz w:val="21"/>
                      <w:szCs w:val="21"/>
                      <w:highlight w:val="none"/>
                      <w:vertAlign w:val="baseline"/>
                      <w:lang w:val="en-US" w:eastAsia="zh-CN" w:bidi="ar-SA"/>
                    </w:rPr>
                    <w:t>1.5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9" w:hRule="atLeast"/>
              </w:trPr>
              <w:tc>
                <w:tcPr>
                  <w:tcW w:w="3465"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auto"/>
                      <w:kern w:val="2"/>
                      <w:sz w:val="21"/>
                      <w:szCs w:val="21"/>
                      <w:highlight w:val="none"/>
                      <w:vertAlign w:val="baseline"/>
                      <w:lang w:val="en-US" w:eastAsia="zh-CN" w:bidi="ar-SA"/>
                    </w:rPr>
                  </w:pPr>
                  <w:r>
                    <w:rPr>
                      <w:rFonts w:hint="default" w:ascii="Times New Roman" w:hAnsi="Times New Roman" w:eastAsia="宋体" w:cs="Times New Roman"/>
                      <w:b w:val="0"/>
                      <w:bCs/>
                      <w:color w:val="auto"/>
                      <w:kern w:val="2"/>
                      <w:sz w:val="21"/>
                      <w:szCs w:val="21"/>
                      <w:highlight w:val="none"/>
                      <w:vertAlign w:val="baseline"/>
                      <w:lang w:val="en-US" w:eastAsia="zh-CN" w:bidi="ar-SA"/>
                    </w:rPr>
                    <w:t>果汁含量（质量分数）/%</w:t>
                  </w:r>
                </w:p>
              </w:tc>
              <w:tc>
                <w:tcPr>
                  <w:tcW w:w="465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val="0"/>
                      <w:bCs/>
                      <w:color w:val="auto"/>
                      <w:kern w:val="2"/>
                      <w:sz w:val="21"/>
                      <w:szCs w:val="21"/>
                      <w:highlight w:val="none"/>
                      <w:vertAlign w:val="baseline"/>
                      <w:lang w:val="en-US" w:eastAsia="zh-CN" w:bidi="ar-SA"/>
                    </w:rPr>
                  </w:pPr>
                  <w:r>
                    <w:rPr>
                      <w:rFonts w:hint="default" w:ascii="Times New Roman" w:hAnsi="Times New Roman" w:eastAsia="宋体" w:cs="Times New Roman"/>
                      <w:b/>
                      <w:bCs w:val="0"/>
                      <w:color w:val="auto"/>
                      <w:kern w:val="2"/>
                      <w:sz w:val="21"/>
                      <w:szCs w:val="21"/>
                      <w:highlight w:val="none"/>
                      <w:vertAlign w:val="baseline"/>
                      <w:lang w:val="en-US" w:eastAsia="zh-CN" w:bidi="ar-SA"/>
                    </w:rPr>
                    <w:t>—</w:t>
                  </w:r>
                </w:p>
              </w:tc>
            </w:tr>
          </w:tbl>
          <w:p>
            <w:pPr>
              <w:keepNext w:val="0"/>
              <w:keepLines w:val="0"/>
              <w:pageBreakBefore w:val="0"/>
              <w:widowControl w:val="0"/>
              <w:kinsoku/>
              <w:wordWrap/>
              <w:overflowPunct/>
              <w:topLinePunct w:val="0"/>
              <w:autoSpaceDE/>
              <w:autoSpaceDN/>
              <w:bidi w:val="0"/>
              <w:adjustRightInd/>
              <w:snapToGrid/>
              <w:spacing w:before="157" w:beforeLines="50" w:line="240" w:lineRule="auto"/>
              <w:jc w:val="center"/>
              <w:textAlignment w:val="auto"/>
              <w:rPr>
                <w:rFonts w:hint="default" w:eastAsia="宋体" w:cs="Times New Roman"/>
                <w:b/>
                <w:bCs w:val="0"/>
                <w:color w:val="auto"/>
                <w:kern w:val="2"/>
                <w:sz w:val="21"/>
                <w:szCs w:val="21"/>
                <w:highlight w:val="none"/>
                <w:lang w:val="en-US" w:eastAsia="zh-CN" w:bidi="ar-SA"/>
              </w:rPr>
            </w:pPr>
            <w:r>
              <w:rPr>
                <w:rFonts w:hint="eastAsia" w:eastAsia="宋体" w:cs="Times New Roman"/>
                <w:b/>
                <w:bCs w:val="0"/>
                <w:color w:val="auto"/>
                <w:kern w:val="2"/>
                <w:sz w:val="21"/>
                <w:szCs w:val="21"/>
                <w:highlight w:val="none"/>
                <w:lang w:val="en-US" w:eastAsia="zh-CN" w:bidi="ar-SA"/>
              </w:rPr>
              <w:t>表2-2（4）《食品安全国家标准 包装饮用水》（GB 19298-2014）</w:t>
            </w:r>
          </w:p>
          <w:tbl>
            <w:tblPr>
              <w:tblStyle w:val="22"/>
              <w:tblW w:w="8115"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3440"/>
              <w:gridCol w:w="3037"/>
              <w:gridCol w:w="16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115" w:type="dxa"/>
                  <w:gridSpan w:val="3"/>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color w:val="auto"/>
                      <w:kern w:val="2"/>
                      <w:sz w:val="21"/>
                      <w:szCs w:val="21"/>
                      <w:highlight w:val="none"/>
                      <w:vertAlign w:val="baseline"/>
                      <w:lang w:val="en-US" w:eastAsia="zh-CN" w:bidi="ar-SA"/>
                    </w:rPr>
                  </w:pPr>
                  <w:r>
                    <w:rPr>
                      <w:rFonts w:hint="default" w:ascii="Times New Roman" w:hAnsi="Times New Roman" w:cs="Times New Roman"/>
                      <w:b/>
                      <w:bCs/>
                      <w:color w:val="auto"/>
                      <w:kern w:val="2"/>
                      <w:sz w:val="21"/>
                      <w:szCs w:val="21"/>
                      <w:highlight w:val="none"/>
                      <w:vertAlign w:val="baseline"/>
                      <w:lang w:val="en-US" w:eastAsia="zh-CN" w:bidi="ar-SA"/>
                    </w:rPr>
                    <w:t>感官要求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1" w:hRule="atLeast"/>
              </w:trPr>
              <w:tc>
                <w:tcPr>
                  <w:tcW w:w="3440" w:type="dxa"/>
                  <w:vMerge w:val="restar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color w:val="auto"/>
                      <w:kern w:val="2"/>
                      <w:sz w:val="21"/>
                      <w:szCs w:val="21"/>
                      <w:highlight w:val="none"/>
                      <w:vertAlign w:val="baseline"/>
                      <w:lang w:val="en-US" w:eastAsia="zh-CN" w:bidi="ar-SA"/>
                    </w:rPr>
                  </w:pPr>
                  <w:r>
                    <w:rPr>
                      <w:rFonts w:hint="default" w:ascii="Times New Roman" w:hAnsi="Times New Roman" w:cs="Times New Roman"/>
                      <w:b w:val="0"/>
                      <w:bCs w:val="0"/>
                      <w:color w:val="auto"/>
                      <w:kern w:val="2"/>
                      <w:sz w:val="21"/>
                      <w:szCs w:val="21"/>
                      <w:highlight w:val="none"/>
                      <w:vertAlign w:val="baseline"/>
                      <w:lang w:val="en-US" w:eastAsia="zh-CN" w:bidi="ar-SA"/>
                    </w:rPr>
                    <w:t>项目</w:t>
                  </w:r>
                </w:p>
              </w:tc>
              <w:tc>
                <w:tcPr>
                  <w:tcW w:w="303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color w:val="auto"/>
                      <w:kern w:val="2"/>
                      <w:sz w:val="21"/>
                      <w:szCs w:val="21"/>
                      <w:highlight w:val="none"/>
                      <w:vertAlign w:val="baseline"/>
                      <w:lang w:val="en-US" w:eastAsia="zh-CN" w:bidi="ar-SA"/>
                    </w:rPr>
                  </w:pPr>
                  <w:r>
                    <w:rPr>
                      <w:rFonts w:hint="default" w:ascii="Times New Roman" w:hAnsi="Times New Roman" w:cs="Times New Roman"/>
                      <w:b w:val="0"/>
                      <w:bCs w:val="0"/>
                      <w:color w:val="auto"/>
                      <w:kern w:val="2"/>
                      <w:sz w:val="21"/>
                      <w:szCs w:val="21"/>
                      <w:highlight w:val="none"/>
                      <w:vertAlign w:val="baseline"/>
                      <w:lang w:val="en-US" w:eastAsia="zh-CN" w:bidi="ar-SA"/>
                    </w:rPr>
                    <w:t>要求</w:t>
                  </w:r>
                </w:p>
              </w:tc>
              <w:tc>
                <w:tcPr>
                  <w:tcW w:w="1638" w:type="dxa"/>
                  <w:vMerge w:val="restar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color w:val="auto"/>
                      <w:kern w:val="2"/>
                      <w:sz w:val="21"/>
                      <w:szCs w:val="21"/>
                      <w:highlight w:val="none"/>
                      <w:vertAlign w:val="baseline"/>
                      <w:lang w:val="en-US" w:eastAsia="zh-CN" w:bidi="ar-SA"/>
                    </w:rPr>
                  </w:pPr>
                  <w:r>
                    <w:rPr>
                      <w:rFonts w:hint="default" w:ascii="Times New Roman" w:hAnsi="Times New Roman" w:cs="Times New Roman"/>
                      <w:b w:val="0"/>
                      <w:bCs w:val="0"/>
                      <w:color w:val="auto"/>
                      <w:kern w:val="2"/>
                      <w:sz w:val="21"/>
                      <w:szCs w:val="21"/>
                      <w:highlight w:val="none"/>
                      <w:vertAlign w:val="baseline"/>
                      <w:lang w:val="en-US" w:eastAsia="zh-CN" w:bidi="ar-SA"/>
                    </w:rPr>
                    <w:t>检验方法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9" w:hRule="atLeast"/>
              </w:trPr>
              <w:tc>
                <w:tcPr>
                  <w:tcW w:w="3440"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color w:val="auto"/>
                      <w:sz w:val="21"/>
                      <w:szCs w:val="21"/>
                    </w:rPr>
                  </w:pPr>
                </w:p>
              </w:tc>
              <w:tc>
                <w:tcPr>
                  <w:tcW w:w="303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color w:val="auto"/>
                      <w:kern w:val="2"/>
                      <w:sz w:val="21"/>
                      <w:szCs w:val="21"/>
                      <w:highlight w:val="none"/>
                      <w:vertAlign w:val="baseline"/>
                      <w:lang w:val="en-US" w:eastAsia="zh-CN" w:bidi="ar-SA"/>
                    </w:rPr>
                  </w:pPr>
                  <w:r>
                    <w:rPr>
                      <w:rFonts w:hint="default" w:ascii="Times New Roman" w:hAnsi="Times New Roman" w:cs="Times New Roman"/>
                      <w:b w:val="0"/>
                      <w:bCs w:val="0"/>
                      <w:color w:val="auto"/>
                      <w:kern w:val="2"/>
                      <w:sz w:val="21"/>
                      <w:szCs w:val="21"/>
                      <w:highlight w:val="none"/>
                      <w:vertAlign w:val="baseline"/>
                      <w:lang w:val="en-US" w:eastAsia="zh-CN" w:bidi="ar-SA"/>
                    </w:rPr>
                    <w:t>饮用纯净水</w:t>
                  </w:r>
                </w:p>
              </w:tc>
              <w:tc>
                <w:tcPr>
                  <w:tcW w:w="1638"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color w:val="auto"/>
                      <w:kern w:val="2"/>
                      <w:sz w:val="21"/>
                      <w:szCs w:val="21"/>
                      <w:highlight w:val="none"/>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44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color w:val="auto"/>
                      <w:kern w:val="2"/>
                      <w:sz w:val="21"/>
                      <w:szCs w:val="21"/>
                      <w:highlight w:val="none"/>
                      <w:vertAlign w:val="baseline"/>
                      <w:lang w:val="en-US" w:eastAsia="zh-CN" w:bidi="ar-SA"/>
                    </w:rPr>
                  </w:pPr>
                  <w:r>
                    <w:rPr>
                      <w:rFonts w:hint="default" w:ascii="Times New Roman" w:hAnsi="Times New Roman" w:cs="Times New Roman"/>
                      <w:b w:val="0"/>
                      <w:bCs w:val="0"/>
                      <w:color w:val="auto"/>
                      <w:kern w:val="2"/>
                      <w:sz w:val="21"/>
                      <w:szCs w:val="21"/>
                      <w:highlight w:val="none"/>
                      <w:vertAlign w:val="baseline"/>
                      <w:lang w:val="en-US" w:eastAsia="zh-CN" w:bidi="ar-SA"/>
                    </w:rPr>
                    <w:t>色度/度</w:t>
                  </w:r>
                  <w:r>
                    <w:rPr>
                      <w:rFonts w:hint="eastAsia" w:ascii="Times New Roman" w:hAnsi="Times New Roman" w:cs="Times New Roman"/>
                      <w:b w:val="0"/>
                      <w:bCs w:val="0"/>
                      <w:color w:val="auto"/>
                      <w:kern w:val="2"/>
                      <w:sz w:val="21"/>
                      <w:szCs w:val="21"/>
                      <w:highlight w:val="none"/>
                      <w:vertAlign w:val="baseline"/>
                      <w:lang w:val="en-US" w:eastAsia="zh-CN" w:bidi="ar-SA"/>
                    </w:rPr>
                    <w:t xml:space="preserve">                      </w:t>
                  </w:r>
                  <w:r>
                    <w:rPr>
                      <w:rFonts w:hint="default" w:ascii="Times New Roman" w:hAnsi="Times New Roman" w:cs="Times New Roman"/>
                      <w:b w:val="0"/>
                      <w:bCs w:val="0"/>
                      <w:color w:val="auto"/>
                      <w:kern w:val="2"/>
                      <w:sz w:val="21"/>
                      <w:szCs w:val="21"/>
                      <w:highlight w:val="none"/>
                      <w:vertAlign w:val="baseline"/>
                      <w:lang w:val="en-US" w:eastAsia="zh-CN" w:bidi="ar-SA"/>
                    </w:rPr>
                    <w:t>≤</w:t>
                  </w:r>
                </w:p>
              </w:tc>
              <w:tc>
                <w:tcPr>
                  <w:tcW w:w="303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color w:val="auto"/>
                      <w:kern w:val="2"/>
                      <w:sz w:val="21"/>
                      <w:szCs w:val="21"/>
                      <w:highlight w:val="none"/>
                      <w:vertAlign w:val="baseline"/>
                      <w:lang w:val="en-US" w:eastAsia="zh-CN" w:bidi="ar-SA"/>
                    </w:rPr>
                  </w:pPr>
                  <w:r>
                    <w:rPr>
                      <w:rFonts w:hint="default" w:ascii="Times New Roman" w:hAnsi="Times New Roman" w:cs="Times New Roman"/>
                      <w:b w:val="0"/>
                      <w:bCs w:val="0"/>
                      <w:color w:val="auto"/>
                      <w:kern w:val="2"/>
                      <w:sz w:val="21"/>
                      <w:szCs w:val="21"/>
                      <w:highlight w:val="none"/>
                      <w:vertAlign w:val="baseline"/>
                      <w:lang w:val="en-US" w:eastAsia="zh-CN" w:bidi="ar-SA"/>
                    </w:rPr>
                    <w:t>5</w:t>
                  </w:r>
                </w:p>
              </w:tc>
              <w:tc>
                <w:tcPr>
                  <w:tcW w:w="1638" w:type="dxa"/>
                  <w:vMerge w:val="restar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color w:val="auto"/>
                      <w:kern w:val="2"/>
                      <w:sz w:val="21"/>
                      <w:szCs w:val="21"/>
                      <w:highlight w:val="none"/>
                      <w:vertAlign w:val="baseline"/>
                      <w:lang w:val="en-US" w:eastAsia="zh-CN" w:bidi="ar-SA"/>
                    </w:rPr>
                  </w:pPr>
                  <w:r>
                    <w:rPr>
                      <w:rFonts w:hint="default" w:ascii="Times New Roman" w:hAnsi="Times New Roman" w:cs="Times New Roman"/>
                      <w:b w:val="0"/>
                      <w:bCs w:val="0"/>
                      <w:color w:val="auto"/>
                      <w:kern w:val="2"/>
                      <w:sz w:val="21"/>
                      <w:szCs w:val="21"/>
                      <w:highlight w:val="none"/>
                      <w:vertAlign w:val="baseline"/>
                      <w:lang w:val="en-US" w:eastAsia="zh-CN" w:bidi="ar-SA"/>
                    </w:rPr>
                    <w:t>GB/T 5750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44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color w:val="auto"/>
                      <w:kern w:val="2"/>
                      <w:sz w:val="21"/>
                      <w:szCs w:val="21"/>
                      <w:highlight w:val="none"/>
                      <w:vertAlign w:val="baseline"/>
                      <w:lang w:val="en-US" w:eastAsia="zh-CN" w:bidi="ar-SA"/>
                    </w:rPr>
                  </w:pPr>
                  <w:r>
                    <w:rPr>
                      <w:rFonts w:hint="default" w:ascii="Times New Roman" w:hAnsi="Times New Roman" w:cs="Times New Roman"/>
                      <w:b w:val="0"/>
                      <w:bCs w:val="0"/>
                      <w:color w:val="auto"/>
                      <w:kern w:val="2"/>
                      <w:sz w:val="21"/>
                      <w:szCs w:val="21"/>
                      <w:highlight w:val="none"/>
                      <w:vertAlign w:val="baseline"/>
                      <w:lang w:val="en-US" w:eastAsia="zh-CN" w:bidi="ar-SA"/>
                    </w:rPr>
                    <w:t>浑浊度/NTU</w:t>
                  </w:r>
                  <w:r>
                    <w:rPr>
                      <w:rFonts w:hint="eastAsia" w:ascii="Times New Roman" w:hAnsi="Times New Roman" w:cs="Times New Roman"/>
                      <w:b w:val="0"/>
                      <w:bCs w:val="0"/>
                      <w:color w:val="auto"/>
                      <w:kern w:val="2"/>
                      <w:sz w:val="21"/>
                      <w:szCs w:val="21"/>
                      <w:highlight w:val="none"/>
                      <w:vertAlign w:val="baseline"/>
                      <w:lang w:val="en-US" w:eastAsia="zh-CN" w:bidi="ar-SA"/>
                    </w:rPr>
                    <w:t xml:space="preserve">                  </w:t>
                  </w:r>
                  <w:r>
                    <w:rPr>
                      <w:rFonts w:hint="default" w:ascii="Times New Roman" w:hAnsi="Times New Roman" w:cs="Times New Roman"/>
                      <w:b w:val="0"/>
                      <w:bCs w:val="0"/>
                      <w:color w:val="auto"/>
                      <w:kern w:val="2"/>
                      <w:sz w:val="21"/>
                      <w:szCs w:val="21"/>
                      <w:highlight w:val="none"/>
                      <w:vertAlign w:val="baseline"/>
                      <w:lang w:val="en-US" w:eastAsia="zh-CN" w:bidi="ar-SA"/>
                    </w:rPr>
                    <w:t>≤</w:t>
                  </w:r>
                </w:p>
              </w:tc>
              <w:tc>
                <w:tcPr>
                  <w:tcW w:w="303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color w:val="auto"/>
                      <w:kern w:val="2"/>
                      <w:sz w:val="21"/>
                      <w:szCs w:val="21"/>
                      <w:highlight w:val="none"/>
                      <w:vertAlign w:val="baseline"/>
                      <w:lang w:val="en-US" w:eastAsia="zh-CN" w:bidi="ar-SA"/>
                    </w:rPr>
                  </w:pPr>
                  <w:r>
                    <w:rPr>
                      <w:rFonts w:hint="default" w:ascii="Times New Roman" w:hAnsi="Times New Roman" w:cs="Times New Roman"/>
                      <w:b w:val="0"/>
                      <w:bCs w:val="0"/>
                      <w:color w:val="auto"/>
                      <w:kern w:val="2"/>
                      <w:sz w:val="21"/>
                      <w:szCs w:val="21"/>
                      <w:highlight w:val="none"/>
                      <w:vertAlign w:val="baseline"/>
                      <w:lang w:val="en-US" w:eastAsia="zh-CN" w:bidi="ar-SA"/>
                    </w:rPr>
                    <w:t>1</w:t>
                  </w:r>
                </w:p>
              </w:tc>
              <w:tc>
                <w:tcPr>
                  <w:tcW w:w="1638"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color w:val="auto"/>
                      <w:kern w:val="2"/>
                      <w:sz w:val="21"/>
                      <w:szCs w:val="21"/>
                      <w:highlight w:val="none"/>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44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color w:val="auto"/>
                      <w:kern w:val="2"/>
                      <w:sz w:val="21"/>
                      <w:szCs w:val="21"/>
                      <w:highlight w:val="none"/>
                      <w:vertAlign w:val="baseline"/>
                      <w:lang w:val="en-US" w:eastAsia="zh-CN" w:bidi="ar-SA"/>
                    </w:rPr>
                  </w:pPr>
                  <w:r>
                    <w:rPr>
                      <w:rFonts w:hint="default" w:ascii="Times New Roman" w:hAnsi="Times New Roman" w:cs="Times New Roman"/>
                      <w:b w:val="0"/>
                      <w:bCs w:val="0"/>
                      <w:color w:val="auto"/>
                      <w:kern w:val="2"/>
                      <w:sz w:val="21"/>
                      <w:szCs w:val="21"/>
                      <w:highlight w:val="none"/>
                      <w:vertAlign w:val="baseline"/>
                      <w:lang w:val="en-US" w:eastAsia="zh-CN" w:bidi="ar-SA"/>
                    </w:rPr>
                    <w:t>状态</w:t>
                  </w:r>
                </w:p>
              </w:tc>
              <w:tc>
                <w:tcPr>
                  <w:tcW w:w="303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color w:val="auto"/>
                      <w:kern w:val="2"/>
                      <w:sz w:val="21"/>
                      <w:szCs w:val="21"/>
                      <w:highlight w:val="none"/>
                      <w:vertAlign w:val="baseline"/>
                      <w:lang w:val="en-US" w:eastAsia="zh-CN" w:bidi="ar-SA"/>
                    </w:rPr>
                  </w:pPr>
                  <w:r>
                    <w:rPr>
                      <w:rFonts w:hint="default" w:ascii="Times New Roman" w:hAnsi="Times New Roman" w:cs="Times New Roman"/>
                      <w:b w:val="0"/>
                      <w:bCs w:val="0"/>
                      <w:color w:val="auto"/>
                      <w:kern w:val="2"/>
                      <w:sz w:val="21"/>
                      <w:szCs w:val="21"/>
                      <w:highlight w:val="none"/>
                      <w:vertAlign w:val="baseline"/>
                      <w:lang w:val="en-US" w:eastAsia="zh-CN" w:bidi="ar-SA"/>
                    </w:rPr>
                    <w:t>无正常视力可见外来异物</w:t>
                  </w:r>
                </w:p>
              </w:tc>
              <w:tc>
                <w:tcPr>
                  <w:tcW w:w="1638"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color w:val="auto"/>
                      <w:kern w:val="2"/>
                      <w:sz w:val="21"/>
                      <w:szCs w:val="21"/>
                      <w:highlight w:val="none"/>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44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color w:val="auto"/>
                      <w:kern w:val="2"/>
                      <w:sz w:val="21"/>
                      <w:szCs w:val="21"/>
                      <w:highlight w:val="none"/>
                      <w:vertAlign w:val="baseline"/>
                      <w:lang w:val="en-US" w:eastAsia="zh-CN" w:bidi="ar-SA"/>
                    </w:rPr>
                  </w:pPr>
                  <w:r>
                    <w:rPr>
                      <w:rFonts w:hint="default" w:ascii="Times New Roman" w:hAnsi="Times New Roman" w:cs="Times New Roman"/>
                      <w:b w:val="0"/>
                      <w:bCs w:val="0"/>
                      <w:color w:val="auto"/>
                      <w:kern w:val="2"/>
                      <w:sz w:val="21"/>
                      <w:szCs w:val="21"/>
                      <w:highlight w:val="none"/>
                      <w:vertAlign w:val="baseline"/>
                      <w:lang w:val="en-US" w:eastAsia="zh-CN" w:bidi="ar-SA"/>
                    </w:rPr>
                    <w:t>滋味、气味</w:t>
                  </w:r>
                </w:p>
              </w:tc>
              <w:tc>
                <w:tcPr>
                  <w:tcW w:w="303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color w:val="auto"/>
                      <w:kern w:val="2"/>
                      <w:sz w:val="21"/>
                      <w:szCs w:val="21"/>
                      <w:highlight w:val="none"/>
                      <w:vertAlign w:val="baseline"/>
                      <w:lang w:val="en-US" w:eastAsia="zh-CN" w:bidi="ar-SA"/>
                    </w:rPr>
                  </w:pPr>
                  <w:r>
                    <w:rPr>
                      <w:rFonts w:hint="default" w:ascii="Times New Roman" w:hAnsi="Times New Roman" w:cs="Times New Roman"/>
                      <w:b w:val="0"/>
                      <w:bCs w:val="0"/>
                      <w:color w:val="auto"/>
                      <w:kern w:val="2"/>
                      <w:sz w:val="21"/>
                      <w:szCs w:val="21"/>
                      <w:highlight w:val="none"/>
                      <w:vertAlign w:val="baseline"/>
                      <w:lang w:val="en-US" w:eastAsia="zh-CN" w:bidi="ar-SA"/>
                    </w:rPr>
                    <w:t>无异味、无异嗅</w:t>
                  </w:r>
                </w:p>
              </w:tc>
              <w:tc>
                <w:tcPr>
                  <w:tcW w:w="1638"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color w:val="auto"/>
                      <w:kern w:val="2"/>
                      <w:sz w:val="21"/>
                      <w:szCs w:val="21"/>
                      <w:highlight w:val="none"/>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115" w:type="dxa"/>
                  <w:gridSpan w:val="3"/>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color w:val="auto"/>
                      <w:kern w:val="2"/>
                      <w:sz w:val="21"/>
                      <w:szCs w:val="21"/>
                      <w:highlight w:val="none"/>
                      <w:vertAlign w:val="baseline"/>
                      <w:lang w:val="en-US" w:eastAsia="zh-CN" w:bidi="ar-SA"/>
                    </w:rPr>
                  </w:pPr>
                  <w:r>
                    <w:rPr>
                      <w:rFonts w:hint="default" w:ascii="Times New Roman" w:hAnsi="Times New Roman" w:cs="Times New Roman"/>
                      <w:b/>
                      <w:bCs/>
                      <w:color w:val="auto"/>
                      <w:kern w:val="2"/>
                      <w:sz w:val="21"/>
                      <w:szCs w:val="21"/>
                      <w:highlight w:val="none"/>
                      <w:vertAlign w:val="baseline"/>
                      <w:lang w:val="en-US" w:eastAsia="zh-CN" w:bidi="ar-SA"/>
                    </w:rPr>
                    <w:t>理化指标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44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color w:val="auto"/>
                      <w:kern w:val="2"/>
                      <w:sz w:val="21"/>
                      <w:szCs w:val="21"/>
                      <w:highlight w:val="none"/>
                      <w:vertAlign w:val="baseline"/>
                      <w:lang w:val="en-US" w:eastAsia="zh-CN" w:bidi="ar-SA"/>
                    </w:rPr>
                  </w:pPr>
                  <w:r>
                    <w:rPr>
                      <w:rFonts w:hint="default" w:ascii="Times New Roman" w:hAnsi="Times New Roman" w:cs="Times New Roman"/>
                      <w:b w:val="0"/>
                      <w:bCs w:val="0"/>
                      <w:color w:val="auto"/>
                      <w:kern w:val="2"/>
                      <w:sz w:val="21"/>
                      <w:szCs w:val="21"/>
                      <w:highlight w:val="none"/>
                      <w:vertAlign w:val="baseline"/>
                      <w:lang w:val="en-US" w:eastAsia="zh-CN" w:bidi="ar-SA"/>
                    </w:rPr>
                    <w:t>项目</w:t>
                  </w:r>
                </w:p>
              </w:tc>
              <w:tc>
                <w:tcPr>
                  <w:tcW w:w="303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color w:val="auto"/>
                      <w:kern w:val="2"/>
                      <w:sz w:val="21"/>
                      <w:szCs w:val="21"/>
                      <w:highlight w:val="none"/>
                      <w:vertAlign w:val="baseline"/>
                      <w:lang w:val="en-US" w:eastAsia="zh-CN" w:bidi="ar-SA"/>
                    </w:rPr>
                  </w:pPr>
                  <w:r>
                    <w:rPr>
                      <w:rFonts w:hint="default" w:ascii="Times New Roman" w:hAnsi="Times New Roman" w:cs="Times New Roman"/>
                      <w:b w:val="0"/>
                      <w:bCs w:val="0"/>
                      <w:color w:val="auto"/>
                      <w:kern w:val="2"/>
                      <w:sz w:val="21"/>
                      <w:szCs w:val="21"/>
                      <w:highlight w:val="none"/>
                      <w:vertAlign w:val="baseline"/>
                      <w:lang w:val="en-US" w:eastAsia="zh-CN" w:bidi="ar-SA"/>
                    </w:rPr>
                    <w:t>指标</w:t>
                  </w:r>
                </w:p>
              </w:tc>
              <w:tc>
                <w:tcPr>
                  <w:tcW w:w="1638" w:type="dxa"/>
                  <w:vMerge w:val="restart"/>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bCs/>
                      <w:color w:val="auto"/>
                      <w:kern w:val="2"/>
                      <w:sz w:val="21"/>
                      <w:szCs w:val="21"/>
                      <w:highlight w:val="none"/>
                      <w:vertAlign w:val="baseline"/>
                      <w:lang w:val="en-US" w:eastAsia="zh-CN" w:bidi="ar-SA"/>
                    </w:rPr>
                  </w:pPr>
                  <w:r>
                    <w:rPr>
                      <w:rFonts w:hint="default" w:ascii="Times New Roman" w:hAnsi="Times New Roman" w:cs="Times New Roman"/>
                      <w:b w:val="0"/>
                      <w:bCs w:val="0"/>
                      <w:color w:val="auto"/>
                      <w:kern w:val="2"/>
                      <w:sz w:val="21"/>
                      <w:szCs w:val="21"/>
                      <w:highlight w:val="none"/>
                      <w:vertAlign w:val="baseline"/>
                      <w:lang w:val="en-US" w:eastAsia="zh-CN" w:bidi="ar-SA"/>
                    </w:rPr>
                    <w:t>GB/T 5750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44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color w:val="auto"/>
                      <w:kern w:val="2"/>
                      <w:sz w:val="21"/>
                      <w:szCs w:val="21"/>
                      <w:highlight w:val="none"/>
                      <w:vertAlign w:val="baseline"/>
                      <w:lang w:val="en-US" w:eastAsia="zh-CN" w:bidi="ar-SA"/>
                    </w:rPr>
                  </w:pPr>
                  <w:r>
                    <w:rPr>
                      <w:rFonts w:hint="default" w:ascii="Times New Roman" w:hAnsi="Times New Roman" w:cs="Times New Roman"/>
                      <w:b w:val="0"/>
                      <w:bCs w:val="0"/>
                      <w:color w:val="auto"/>
                      <w:kern w:val="2"/>
                      <w:sz w:val="21"/>
                      <w:szCs w:val="21"/>
                      <w:highlight w:val="none"/>
                      <w:vertAlign w:val="baseline"/>
                      <w:lang w:val="en-US" w:eastAsia="zh-CN" w:bidi="ar-SA"/>
                    </w:rPr>
                    <w:t>余氯（游离氯）/（mg/L）     ≤</w:t>
                  </w:r>
                </w:p>
              </w:tc>
              <w:tc>
                <w:tcPr>
                  <w:tcW w:w="303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color w:val="auto"/>
                      <w:kern w:val="2"/>
                      <w:sz w:val="21"/>
                      <w:szCs w:val="21"/>
                      <w:highlight w:val="none"/>
                      <w:vertAlign w:val="baseline"/>
                      <w:lang w:val="en-US" w:eastAsia="zh-CN" w:bidi="ar-SA"/>
                    </w:rPr>
                  </w:pPr>
                  <w:r>
                    <w:rPr>
                      <w:rFonts w:hint="default" w:ascii="Times New Roman" w:hAnsi="Times New Roman" w:cs="Times New Roman"/>
                      <w:b w:val="0"/>
                      <w:bCs w:val="0"/>
                      <w:color w:val="auto"/>
                      <w:kern w:val="2"/>
                      <w:sz w:val="21"/>
                      <w:szCs w:val="21"/>
                      <w:highlight w:val="none"/>
                      <w:vertAlign w:val="baseline"/>
                      <w:lang w:val="en-US" w:eastAsia="zh-CN" w:bidi="ar-SA"/>
                    </w:rPr>
                    <w:t>0.05</w:t>
                  </w:r>
                </w:p>
              </w:tc>
              <w:tc>
                <w:tcPr>
                  <w:tcW w:w="1638"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color w:val="auto"/>
                      <w:kern w:val="2"/>
                      <w:sz w:val="21"/>
                      <w:szCs w:val="21"/>
                      <w:highlight w:val="none"/>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44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color w:val="auto"/>
                      <w:kern w:val="2"/>
                      <w:sz w:val="21"/>
                      <w:szCs w:val="21"/>
                      <w:highlight w:val="none"/>
                      <w:vertAlign w:val="baseline"/>
                      <w:lang w:val="en-US" w:eastAsia="zh-CN" w:bidi="ar-SA"/>
                    </w:rPr>
                  </w:pPr>
                  <w:r>
                    <w:rPr>
                      <w:rFonts w:hint="default" w:ascii="Times New Roman" w:hAnsi="Times New Roman" w:cs="Times New Roman"/>
                      <w:b w:val="0"/>
                      <w:bCs w:val="0"/>
                      <w:color w:val="auto"/>
                      <w:kern w:val="2"/>
                      <w:sz w:val="21"/>
                      <w:szCs w:val="21"/>
                      <w:highlight w:val="none"/>
                      <w:vertAlign w:val="baseline"/>
                      <w:lang w:val="en-US" w:eastAsia="zh-CN" w:bidi="ar-SA"/>
                    </w:rPr>
                    <w:t>四氯化碳/（mg/L）           ≤</w:t>
                  </w:r>
                </w:p>
              </w:tc>
              <w:tc>
                <w:tcPr>
                  <w:tcW w:w="303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color w:val="auto"/>
                      <w:kern w:val="2"/>
                      <w:sz w:val="21"/>
                      <w:szCs w:val="21"/>
                      <w:highlight w:val="none"/>
                      <w:vertAlign w:val="baseline"/>
                      <w:lang w:val="en-US" w:eastAsia="zh-CN" w:bidi="ar-SA"/>
                    </w:rPr>
                  </w:pPr>
                  <w:r>
                    <w:rPr>
                      <w:rFonts w:hint="default" w:ascii="Times New Roman" w:hAnsi="Times New Roman" w:cs="Times New Roman"/>
                      <w:b w:val="0"/>
                      <w:bCs w:val="0"/>
                      <w:color w:val="auto"/>
                      <w:kern w:val="2"/>
                      <w:sz w:val="21"/>
                      <w:szCs w:val="21"/>
                      <w:highlight w:val="none"/>
                      <w:vertAlign w:val="baseline"/>
                      <w:lang w:val="en-US" w:eastAsia="zh-CN" w:bidi="ar-SA"/>
                    </w:rPr>
                    <w:t>0.002</w:t>
                  </w:r>
                </w:p>
              </w:tc>
              <w:tc>
                <w:tcPr>
                  <w:tcW w:w="1638"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color w:val="auto"/>
                      <w:kern w:val="2"/>
                      <w:sz w:val="21"/>
                      <w:szCs w:val="21"/>
                      <w:highlight w:val="none"/>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44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color w:val="auto"/>
                      <w:kern w:val="2"/>
                      <w:sz w:val="21"/>
                      <w:szCs w:val="21"/>
                      <w:highlight w:val="none"/>
                      <w:vertAlign w:val="baseline"/>
                      <w:lang w:val="en-US" w:eastAsia="zh-CN" w:bidi="ar-SA"/>
                    </w:rPr>
                  </w:pPr>
                  <w:r>
                    <w:rPr>
                      <w:rFonts w:hint="default" w:ascii="Times New Roman" w:hAnsi="Times New Roman" w:cs="Times New Roman"/>
                      <w:b w:val="0"/>
                      <w:bCs w:val="0"/>
                      <w:color w:val="auto"/>
                      <w:kern w:val="2"/>
                      <w:sz w:val="21"/>
                      <w:szCs w:val="21"/>
                      <w:highlight w:val="none"/>
                      <w:vertAlign w:val="baseline"/>
                      <w:lang w:val="en-US" w:eastAsia="zh-CN" w:bidi="ar-SA"/>
                    </w:rPr>
                    <w:t>三氯甲烷/（mg/L）           ≤</w:t>
                  </w:r>
                </w:p>
              </w:tc>
              <w:tc>
                <w:tcPr>
                  <w:tcW w:w="303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color w:val="auto"/>
                      <w:kern w:val="2"/>
                      <w:sz w:val="21"/>
                      <w:szCs w:val="21"/>
                      <w:highlight w:val="none"/>
                      <w:vertAlign w:val="baseline"/>
                      <w:lang w:val="en-US" w:eastAsia="zh-CN" w:bidi="ar-SA"/>
                    </w:rPr>
                  </w:pPr>
                  <w:r>
                    <w:rPr>
                      <w:rFonts w:hint="default" w:ascii="Times New Roman" w:hAnsi="Times New Roman" w:cs="Times New Roman"/>
                      <w:b w:val="0"/>
                      <w:bCs w:val="0"/>
                      <w:color w:val="auto"/>
                      <w:kern w:val="2"/>
                      <w:sz w:val="21"/>
                      <w:szCs w:val="21"/>
                      <w:highlight w:val="none"/>
                      <w:vertAlign w:val="baseline"/>
                      <w:lang w:val="en-US" w:eastAsia="zh-CN" w:bidi="ar-SA"/>
                    </w:rPr>
                    <w:t>0.02</w:t>
                  </w:r>
                </w:p>
              </w:tc>
              <w:tc>
                <w:tcPr>
                  <w:tcW w:w="1638"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color w:val="auto"/>
                      <w:kern w:val="2"/>
                      <w:sz w:val="21"/>
                      <w:szCs w:val="21"/>
                      <w:highlight w:val="none"/>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44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color w:val="auto"/>
                      <w:kern w:val="2"/>
                      <w:sz w:val="21"/>
                      <w:szCs w:val="21"/>
                      <w:highlight w:val="none"/>
                      <w:vertAlign w:val="baseline"/>
                      <w:lang w:val="en-US" w:eastAsia="zh-CN" w:bidi="ar-SA"/>
                    </w:rPr>
                  </w:pPr>
                  <w:r>
                    <w:rPr>
                      <w:rFonts w:hint="default" w:ascii="Times New Roman" w:hAnsi="Times New Roman" w:cs="Times New Roman"/>
                      <w:b w:val="0"/>
                      <w:bCs w:val="0"/>
                      <w:color w:val="auto"/>
                      <w:kern w:val="2"/>
                      <w:sz w:val="21"/>
                      <w:szCs w:val="21"/>
                      <w:highlight w:val="none"/>
                      <w:vertAlign w:val="baseline"/>
                      <w:lang w:val="en-US" w:eastAsia="zh-CN" w:bidi="ar-SA"/>
                    </w:rPr>
                    <w:t>耗氧量（以O</w:t>
                  </w:r>
                  <w:r>
                    <w:rPr>
                      <w:rFonts w:hint="default" w:ascii="Times New Roman" w:hAnsi="Times New Roman" w:cs="Times New Roman"/>
                      <w:b w:val="0"/>
                      <w:bCs w:val="0"/>
                      <w:color w:val="auto"/>
                      <w:kern w:val="2"/>
                      <w:sz w:val="21"/>
                      <w:szCs w:val="21"/>
                      <w:highlight w:val="none"/>
                      <w:vertAlign w:val="subscript"/>
                      <w:lang w:val="en-US" w:eastAsia="zh-CN" w:bidi="ar-SA"/>
                    </w:rPr>
                    <w:t>2</w:t>
                  </w:r>
                  <w:r>
                    <w:rPr>
                      <w:rFonts w:hint="default" w:ascii="Times New Roman" w:hAnsi="Times New Roman" w:cs="Times New Roman"/>
                      <w:b w:val="0"/>
                      <w:bCs w:val="0"/>
                      <w:color w:val="auto"/>
                      <w:kern w:val="2"/>
                      <w:sz w:val="21"/>
                      <w:szCs w:val="21"/>
                      <w:highlight w:val="none"/>
                      <w:vertAlign w:val="baseline"/>
                      <w:lang w:val="en-US" w:eastAsia="zh-CN" w:bidi="ar-SA"/>
                    </w:rPr>
                    <w:t>）计/（mg/L）   ≤</w:t>
                  </w:r>
                </w:p>
              </w:tc>
              <w:tc>
                <w:tcPr>
                  <w:tcW w:w="303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color w:val="auto"/>
                      <w:kern w:val="2"/>
                      <w:sz w:val="21"/>
                      <w:szCs w:val="21"/>
                      <w:highlight w:val="none"/>
                      <w:vertAlign w:val="baseline"/>
                      <w:lang w:val="en-US" w:eastAsia="zh-CN" w:bidi="ar-SA"/>
                    </w:rPr>
                  </w:pPr>
                  <w:r>
                    <w:rPr>
                      <w:rFonts w:hint="default" w:ascii="Times New Roman" w:hAnsi="Times New Roman" w:cs="Times New Roman"/>
                      <w:b w:val="0"/>
                      <w:bCs w:val="0"/>
                      <w:color w:val="auto"/>
                      <w:kern w:val="2"/>
                      <w:sz w:val="21"/>
                      <w:szCs w:val="21"/>
                      <w:highlight w:val="none"/>
                      <w:vertAlign w:val="baseline"/>
                      <w:lang w:val="en-US" w:eastAsia="zh-CN" w:bidi="ar-SA"/>
                    </w:rPr>
                    <w:t>2.0</w:t>
                  </w:r>
                </w:p>
              </w:tc>
              <w:tc>
                <w:tcPr>
                  <w:tcW w:w="1638"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color w:val="auto"/>
                      <w:kern w:val="2"/>
                      <w:sz w:val="21"/>
                      <w:szCs w:val="21"/>
                      <w:highlight w:val="none"/>
                      <w:vertAlign w:val="baseline"/>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3440" w:type="dxa"/>
                  <w:vAlign w:val="center"/>
                </w:tcPr>
                <w:p>
                  <w:pPr>
                    <w:keepNext w:val="0"/>
                    <w:keepLines w:val="0"/>
                    <w:pageBreakBefore w:val="0"/>
                    <w:widowControl w:val="0"/>
                    <w:kinsoku/>
                    <w:wordWrap/>
                    <w:overflowPunct/>
                    <w:topLinePunct w:val="0"/>
                    <w:autoSpaceDE/>
                    <w:autoSpaceDN/>
                    <w:bidi w:val="0"/>
                    <w:adjustRightInd/>
                    <w:snapToGrid/>
                    <w:spacing w:line="240" w:lineRule="auto"/>
                    <w:jc w:val="both"/>
                    <w:textAlignment w:val="auto"/>
                    <w:rPr>
                      <w:rFonts w:hint="default" w:ascii="Times New Roman" w:hAnsi="Times New Roman" w:cs="Times New Roman"/>
                      <w:b w:val="0"/>
                      <w:bCs w:val="0"/>
                      <w:color w:val="auto"/>
                      <w:kern w:val="2"/>
                      <w:sz w:val="21"/>
                      <w:szCs w:val="21"/>
                      <w:highlight w:val="none"/>
                      <w:vertAlign w:val="baseline"/>
                      <w:lang w:val="en-US" w:eastAsia="zh-CN" w:bidi="ar-SA"/>
                    </w:rPr>
                  </w:pPr>
                  <w:r>
                    <w:rPr>
                      <w:rFonts w:hint="default" w:ascii="Times New Roman" w:hAnsi="Times New Roman" w:cs="Times New Roman"/>
                      <w:b w:val="0"/>
                      <w:bCs w:val="0"/>
                      <w:color w:val="auto"/>
                      <w:kern w:val="2"/>
                      <w:sz w:val="21"/>
                      <w:szCs w:val="21"/>
                      <w:highlight w:val="none"/>
                      <w:vertAlign w:val="baseline"/>
                      <w:lang w:val="en-US" w:eastAsia="zh-CN" w:bidi="ar-SA"/>
                    </w:rPr>
                    <w:t>溴酸盐/（mg/L）             ≤</w:t>
                  </w:r>
                </w:p>
              </w:tc>
              <w:tc>
                <w:tcPr>
                  <w:tcW w:w="3037" w:type="dxa"/>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color w:val="auto"/>
                      <w:kern w:val="2"/>
                      <w:sz w:val="21"/>
                      <w:szCs w:val="21"/>
                      <w:highlight w:val="none"/>
                      <w:vertAlign w:val="baseline"/>
                      <w:lang w:val="en-US" w:eastAsia="zh-CN" w:bidi="ar-SA"/>
                    </w:rPr>
                  </w:pPr>
                  <w:r>
                    <w:rPr>
                      <w:rFonts w:hint="default" w:ascii="Times New Roman" w:hAnsi="Times New Roman" w:cs="Times New Roman"/>
                      <w:b w:val="0"/>
                      <w:bCs w:val="0"/>
                      <w:color w:val="auto"/>
                      <w:kern w:val="2"/>
                      <w:sz w:val="21"/>
                      <w:szCs w:val="21"/>
                      <w:highlight w:val="none"/>
                      <w:vertAlign w:val="baseline"/>
                      <w:lang w:val="en-US" w:eastAsia="zh-CN" w:bidi="ar-SA"/>
                    </w:rPr>
                    <w:t>0.01</w:t>
                  </w:r>
                </w:p>
              </w:tc>
              <w:tc>
                <w:tcPr>
                  <w:tcW w:w="1638" w:type="dxa"/>
                  <w:vMerge w:val="continue"/>
                  <w:vAlign w:val="center"/>
                </w:tcPr>
                <w:p>
                  <w:pPr>
                    <w:keepNext w:val="0"/>
                    <w:keepLines w:val="0"/>
                    <w:pageBreakBefore w:val="0"/>
                    <w:widowControl w:val="0"/>
                    <w:kinsoku/>
                    <w:wordWrap/>
                    <w:overflowPunct/>
                    <w:topLinePunct w:val="0"/>
                    <w:autoSpaceDE/>
                    <w:autoSpaceDN/>
                    <w:bidi w:val="0"/>
                    <w:adjustRightInd/>
                    <w:snapToGrid/>
                    <w:spacing w:line="240" w:lineRule="auto"/>
                    <w:jc w:val="center"/>
                    <w:textAlignment w:val="auto"/>
                    <w:rPr>
                      <w:rFonts w:hint="default" w:ascii="Times New Roman" w:hAnsi="Times New Roman" w:cs="Times New Roman"/>
                      <w:b w:val="0"/>
                      <w:bCs w:val="0"/>
                      <w:color w:val="auto"/>
                      <w:kern w:val="2"/>
                      <w:sz w:val="21"/>
                      <w:szCs w:val="21"/>
                      <w:highlight w:val="none"/>
                      <w:vertAlign w:val="baseline"/>
                      <w:lang w:val="en-US" w:eastAsia="zh-CN" w:bidi="ar-SA"/>
                    </w:rPr>
                  </w:pPr>
                </w:p>
              </w:tc>
            </w:tr>
          </w:tbl>
          <w:p>
            <w:pPr>
              <w:keepNext w:val="0"/>
              <w:keepLines w:val="0"/>
              <w:pageBreakBefore w:val="0"/>
              <w:widowControl w:val="0"/>
              <w:kinsoku/>
              <w:wordWrap/>
              <w:overflowPunct/>
              <w:topLinePunct w:val="0"/>
              <w:autoSpaceDE/>
              <w:autoSpaceDN/>
              <w:bidi w:val="0"/>
              <w:adjustRightInd/>
              <w:snapToGrid/>
              <w:spacing w:line="360" w:lineRule="auto"/>
              <w:ind w:left="0" w:firstLine="0" w:firstLineChars="0"/>
              <w:jc w:val="left"/>
              <w:textAlignment w:val="auto"/>
              <w:rPr>
                <w:rFonts w:hint="default" w:ascii="Times New Roman" w:hAnsi="Times New Roman" w:eastAsia="宋体" w:cs="Times New Roman"/>
                <w:b/>
                <w:bCs/>
                <w:color w:val="auto"/>
                <w:kern w:val="2"/>
                <w:sz w:val="21"/>
                <w:szCs w:val="21"/>
                <w:highlight w:val="none"/>
                <w:lang w:val="en-US" w:eastAsia="zh-CN" w:bidi="ar-SA"/>
              </w:rPr>
            </w:pPr>
            <w:r>
              <w:rPr>
                <w:rFonts w:hint="default" w:ascii="Times New Roman" w:hAnsi="Times New Roman" w:cs="Times New Roman"/>
                <w:b/>
                <w:bCs/>
                <w:color w:val="auto"/>
                <w:kern w:val="2"/>
                <w:sz w:val="21"/>
                <w:szCs w:val="21"/>
                <w:highlight w:val="none"/>
                <w:lang w:val="en-US" w:eastAsia="zh-CN" w:bidi="ar-SA"/>
              </w:rPr>
              <w:t>五、</w:t>
            </w:r>
            <w:r>
              <w:rPr>
                <w:rFonts w:hint="default" w:ascii="Times New Roman" w:hAnsi="Times New Roman" w:eastAsia="宋体" w:cs="Times New Roman"/>
                <w:b/>
                <w:bCs/>
                <w:color w:val="auto"/>
                <w:kern w:val="2"/>
                <w:sz w:val="21"/>
                <w:szCs w:val="21"/>
                <w:highlight w:val="none"/>
                <w:lang w:val="en-US" w:eastAsia="zh-CN" w:bidi="ar-SA"/>
              </w:rPr>
              <w:t>主要生产设施</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本项目主要设备见表</w:t>
            </w:r>
            <w:r>
              <w:rPr>
                <w:rFonts w:hint="default" w:ascii="Times New Roman" w:hAnsi="Times New Roman" w:cs="Times New Roman"/>
                <w:color w:val="auto"/>
                <w:sz w:val="21"/>
                <w:szCs w:val="21"/>
                <w:highlight w:val="none"/>
                <w:lang w:val="en-US" w:eastAsia="zh-CN"/>
              </w:rPr>
              <w:t>2-3</w:t>
            </w:r>
            <w:r>
              <w:rPr>
                <w:rFonts w:hint="default" w:ascii="Times New Roman" w:hAnsi="Times New Roman" w:cs="Times New Roman"/>
                <w:color w:val="auto"/>
                <w:sz w:val="21"/>
                <w:szCs w:val="21"/>
                <w:highlight w:val="none"/>
              </w:rPr>
              <w:t>。</w:t>
            </w:r>
          </w:p>
          <w:p>
            <w:pPr>
              <w:keepNext w:val="0"/>
              <w:keepLines w:val="0"/>
              <w:pageBreakBefore w:val="0"/>
              <w:widowControl w:val="0"/>
              <w:kinsoku/>
              <w:wordWrap/>
              <w:overflowPunct/>
              <w:topLinePunct w:val="0"/>
              <w:autoSpaceDE/>
              <w:autoSpaceDN/>
              <w:bidi w:val="0"/>
              <w:spacing w:line="240" w:lineRule="auto"/>
              <w:ind w:left="0" w:leftChars="0" w:firstLine="0" w:firstLineChars="0"/>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表</w:t>
            </w:r>
            <w:r>
              <w:rPr>
                <w:rFonts w:hint="default" w:ascii="Times New Roman" w:hAnsi="Times New Roman" w:cs="Times New Roman"/>
                <w:b/>
                <w:bCs/>
                <w:color w:val="auto"/>
                <w:sz w:val="21"/>
                <w:szCs w:val="21"/>
                <w:highlight w:val="none"/>
                <w:lang w:val="en-US" w:eastAsia="zh-CN"/>
              </w:rPr>
              <w:t>2-3（1）</w:t>
            </w:r>
            <w:r>
              <w:rPr>
                <w:rFonts w:hint="default" w:ascii="Times New Roman" w:hAnsi="Times New Roman" w:cs="Times New Roman"/>
                <w:b/>
                <w:bCs/>
                <w:color w:val="auto"/>
                <w:sz w:val="21"/>
                <w:szCs w:val="21"/>
                <w:highlight w:val="none"/>
              </w:rPr>
              <w:t xml:space="preserve"> </w:t>
            </w:r>
            <w:r>
              <w:rPr>
                <w:rFonts w:hint="default" w:ascii="Times New Roman" w:hAnsi="Times New Roman" w:cs="Times New Roman"/>
                <w:b/>
                <w:bCs/>
                <w:color w:val="auto"/>
                <w:sz w:val="21"/>
                <w:szCs w:val="21"/>
                <w:highlight w:val="none"/>
                <w:lang w:val="en-US" w:eastAsia="zh-CN"/>
              </w:rPr>
              <w:t>主要</w:t>
            </w:r>
            <w:r>
              <w:rPr>
                <w:rFonts w:hint="default" w:ascii="Times New Roman" w:hAnsi="Times New Roman" w:cs="Times New Roman"/>
                <w:b/>
                <w:bCs/>
                <w:color w:val="auto"/>
                <w:sz w:val="21"/>
                <w:szCs w:val="21"/>
                <w:highlight w:val="none"/>
              </w:rPr>
              <w:t>生产设施一览表</w:t>
            </w:r>
          </w:p>
          <w:tbl>
            <w:tblPr>
              <w:tblStyle w:val="21"/>
              <w:tblW w:w="4913"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
              <w:gridCol w:w="2309"/>
              <w:gridCol w:w="1857"/>
              <w:gridCol w:w="736"/>
              <w:gridCol w:w="744"/>
              <w:gridCol w:w="133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619" w:type="pct"/>
                  <w:tcBorders>
                    <w:top w:val="single" w:color="auto" w:sz="4" w:space="0"/>
                    <w:left w:val="single" w:color="auto" w:sz="4" w:space="0"/>
                    <w:bottom w:val="single" w:color="auto" w:sz="4" w:space="0"/>
                    <w:right w:val="single" w:color="auto" w:sz="4" w:space="0"/>
                  </w:tcBorders>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生产单元</w:t>
                  </w:r>
                </w:p>
              </w:tc>
              <w:tc>
                <w:tcPr>
                  <w:tcW w:w="1449" w:type="pct"/>
                  <w:tcBorders>
                    <w:top w:val="single" w:color="auto" w:sz="4" w:space="0"/>
                    <w:left w:val="single" w:color="auto" w:sz="4" w:space="0"/>
                    <w:bottom w:val="single" w:color="auto" w:sz="4" w:space="0"/>
                    <w:right w:val="single" w:color="auto" w:sz="4" w:space="0"/>
                  </w:tcBorders>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设备名称</w:t>
                  </w:r>
                </w:p>
              </w:tc>
              <w:tc>
                <w:tcPr>
                  <w:tcW w:w="1165" w:type="pct"/>
                  <w:tcBorders>
                    <w:top w:val="single" w:color="auto" w:sz="4" w:space="0"/>
                    <w:left w:val="single" w:color="auto" w:sz="4" w:space="0"/>
                    <w:bottom w:val="single" w:color="auto" w:sz="4" w:space="0"/>
                    <w:right w:val="single" w:color="auto" w:sz="4" w:space="0"/>
                  </w:tcBorders>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技术规格</w:t>
                  </w:r>
                </w:p>
              </w:tc>
              <w:tc>
                <w:tcPr>
                  <w:tcW w:w="462" w:type="pct"/>
                  <w:tcBorders>
                    <w:top w:val="single" w:color="auto" w:sz="4" w:space="0"/>
                    <w:left w:val="single" w:color="auto" w:sz="4" w:space="0"/>
                    <w:bottom w:val="single" w:color="auto" w:sz="4" w:space="0"/>
                    <w:right w:val="single" w:color="auto" w:sz="4" w:space="0"/>
                  </w:tcBorders>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数量</w:t>
                  </w:r>
                </w:p>
              </w:tc>
              <w:tc>
                <w:tcPr>
                  <w:tcW w:w="467" w:type="pct"/>
                  <w:tcBorders>
                    <w:top w:val="single" w:color="auto" w:sz="4" w:space="0"/>
                    <w:left w:val="single" w:color="auto" w:sz="4" w:space="0"/>
                    <w:bottom w:val="single" w:color="auto" w:sz="4" w:space="0"/>
                    <w:right w:val="single" w:color="auto" w:sz="4" w:space="0"/>
                  </w:tcBorders>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单位</w:t>
                  </w:r>
                </w:p>
              </w:tc>
              <w:tc>
                <w:tcPr>
                  <w:tcW w:w="835" w:type="pct"/>
                  <w:tcBorders>
                    <w:top w:val="single" w:color="auto" w:sz="4" w:space="0"/>
                    <w:left w:val="single" w:color="auto" w:sz="4" w:space="0"/>
                    <w:bottom w:val="single" w:color="auto" w:sz="4" w:space="0"/>
                    <w:right w:val="single" w:color="auto" w:sz="4" w:space="0"/>
                  </w:tcBorders>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15" w:hRule="atLeast"/>
                <w:jc w:val="center"/>
              </w:trPr>
              <w:tc>
                <w:tcPr>
                  <w:tcW w:w="619" w:type="pct"/>
                  <w:vMerge w:val="restart"/>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NFC鲜榨果汁</w:t>
                  </w:r>
                </w:p>
              </w:tc>
              <w:tc>
                <w:tcPr>
                  <w:tcW w:w="1449" w:type="pct"/>
                  <w:shd w:val="clear" w:color="auto" w:fill="auto"/>
                  <w:vAlign w:val="center"/>
                </w:tcPr>
                <w:p>
                  <w:pPr>
                    <w:pStyle w:val="63"/>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pacing w:val="5"/>
                      <w:sz w:val="21"/>
                      <w:szCs w:val="21"/>
                    </w:rPr>
                    <w:t>挑选带电机</w:t>
                  </w:r>
                </w:p>
              </w:tc>
              <w:tc>
                <w:tcPr>
                  <w:tcW w:w="1165" w:type="pct"/>
                  <w:shd w:val="clear" w:color="auto" w:fill="auto"/>
                  <w:vAlign w:val="center"/>
                </w:tcPr>
                <w:p>
                  <w:pPr>
                    <w:pStyle w:val="63"/>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w:t>
                  </w:r>
                </w:p>
              </w:tc>
              <w:tc>
                <w:tcPr>
                  <w:tcW w:w="462" w:type="pct"/>
                  <w:shd w:val="clear" w:color="auto" w:fill="auto"/>
                  <w:vAlign w:val="center"/>
                </w:tcPr>
                <w:p>
                  <w:pPr>
                    <w:pStyle w:val="63"/>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pacing w:val="5"/>
                      <w:sz w:val="21"/>
                      <w:szCs w:val="21"/>
                    </w:rPr>
                    <w:t>1</w:t>
                  </w:r>
                </w:p>
              </w:tc>
              <w:tc>
                <w:tcPr>
                  <w:tcW w:w="467"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台</w:t>
                  </w:r>
                </w:p>
              </w:tc>
              <w:tc>
                <w:tcPr>
                  <w:tcW w:w="835" w:type="pct"/>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619" w:type="pct"/>
                  <w:vMerge w:val="continue"/>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lang w:val="en-US" w:eastAsia="zh-CN"/>
                    </w:rPr>
                  </w:pPr>
                </w:p>
              </w:tc>
              <w:tc>
                <w:tcPr>
                  <w:tcW w:w="1449" w:type="pct"/>
                  <w:shd w:val="clear" w:color="auto" w:fill="auto"/>
                  <w:vAlign w:val="center"/>
                </w:tcPr>
                <w:p>
                  <w:pPr>
                    <w:pStyle w:val="63"/>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pacing w:val="5"/>
                      <w:sz w:val="21"/>
                      <w:szCs w:val="21"/>
                    </w:rPr>
                    <w:t>一道提升电机</w:t>
                  </w:r>
                </w:p>
              </w:tc>
              <w:tc>
                <w:tcPr>
                  <w:tcW w:w="116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w:t>
                  </w:r>
                </w:p>
              </w:tc>
              <w:tc>
                <w:tcPr>
                  <w:tcW w:w="462" w:type="pct"/>
                  <w:shd w:val="clear" w:color="auto" w:fill="auto"/>
                  <w:vAlign w:val="center"/>
                </w:tcPr>
                <w:p>
                  <w:pPr>
                    <w:pStyle w:val="63"/>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pacing w:val="5"/>
                      <w:sz w:val="21"/>
                      <w:szCs w:val="21"/>
                    </w:rPr>
                    <w:t>1</w:t>
                  </w:r>
                </w:p>
              </w:tc>
              <w:tc>
                <w:tcPr>
                  <w:tcW w:w="467"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台</w:t>
                  </w:r>
                </w:p>
              </w:tc>
              <w:tc>
                <w:tcPr>
                  <w:tcW w:w="835"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619" w:type="pct"/>
                  <w:vMerge w:val="continue"/>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lang w:val="en-US" w:eastAsia="zh-CN"/>
                    </w:rPr>
                  </w:pPr>
                </w:p>
              </w:tc>
              <w:tc>
                <w:tcPr>
                  <w:tcW w:w="1449" w:type="pct"/>
                  <w:shd w:val="clear" w:color="auto" w:fill="auto"/>
                  <w:vAlign w:val="center"/>
                </w:tcPr>
                <w:p>
                  <w:pPr>
                    <w:pStyle w:val="63"/>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pacing w:val="5"/>
                      <w:sz w:val="21"/>
                      <w:szCs w:val="21"/>
                    </w:rPr>
                    <w:t>洗泥电机</w:t>
                  </w:r>
                </w:p>
              </w:tc>
              <w:tc>
                <w:tcPr>
                  <w:tcW w:w="116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w:t>
                  </w:r>
                </w:p>
              </w:tc>
              <w:tc>
                <w:tcPr>
                  <w:tcW w:w="462" w:type="pct"/>
                  <w:shd w:val="clear" w:color="auto" w:fill="auto"/>
                  <w:vAlign w:val="center"/>
                </w:tcPr>
                <w:p>
                  <w:pPr>
                    <w:pStyle w:val="63"/>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pacing w:val="5"/>
                      <w:sz w:val="21"/>
                      <w:szCs w:val="21"/>
                    </w:rPr>
                    <w:t>1</w:t>
                  </w:r>
                </w:p>
              </w:tc>
              <w:tc>
                <w:tcPr>
                  <w:tcW w:w="467"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台</w:t>
                  </w:r>
                </w:p>
              </w:tc>
              <w:tc>
                <w:tcPr>
                  <w:tcW w:w="835"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619" w:type="pct"/>
                  <w:vMerge w:val="continue"/>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lang w:val="en-US" w:eastAsia="zh-CN"/>
                    </w:rPr>
                  </w:pPr>
                </w:p>
              </w:tc>
              <w:tc>
                <w:tcPr>
                  <w:tcW w:w="1449" w:type="pct"/>
                  <w:shd w:val="clear" w:color="auto" w:fill="auto"/>
                  <w:vAlign w:val="center"/>
                </w:tcPr>
                <w:p>
                  <w:pPr>
                    <w:pStyle w:val="63"/>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pacing w:val="5"/>
                      <w:sz w:val="21"/>
                      <w:szCs w:val="21"/>
                    </w:rPr>
                    <w:t>传送带电机</w:t>
                  </w:r>
                </w:p>
              </w:tc>
              <w:tc>
                <w:tcPr>
                  <w:tcW w:w="116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w:t>
                  </w:r>
                </w:p>
              </w:tc>
              <w:tc>
                <w:tcPr>
                  <w:tcW w:w="462" w:type="pct"/>
                  <w:shd w:val="clear" w:color="auto" w:fill="auto"/>
                  <w:vAlign w:val="center"/>
                </w:tcPr>
                <w:p>
                  <w:pPr>
                    <w:pStyle w:val="63"/>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pacing w:val="5"/>
                      <w:sz w:val="21"/>
                      <w:szCs w:val="21"/>
                    </w:rPr>
                    <w:t>1</w:t>
                  </w:r>
                </w:p>
              </w:tc>
              <w:tc>
                <w:tcPr>
                  <w:tcW w:w="467"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台</w:t>
                  </w:r>
                </w:p>
              </w:tc>
              <w:tc>
                <w:tcPr>
                  <w:tcW w:w="835"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619" w:type="pct"/>
                  <w:vMerge w:val="continue"/>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lang w:val="en-US" w:eastAsia="zh-CN"/>
                    </w:rPr>
                  </w:pPr>
                </w:p>
              </w:tc>
              <w:tc>
                <w:tcPr>
                  <w:tcW w:w="1449" w:type="pct"/>
                  <w:shd w:val="clear" w:color="auto" w:fill="auto"/>
                  <w:vAlign w:val="center"/>
                </w:tcPr>
                <w:p>
                  <w:pPr>
                    <w:pStyle w:val="63"/>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pacing w:val="5"/>
                      <w:sz w:val="21"/>
                      <w:szCs w:val="21"/>
                    </w:rPr>
                    <w:t>二道提升电机</w:t>
                  </w:r>
                </w:p>
              </w:tc>
              <w:tc>
                <w:tcPr>
                  <w:tcW w:w="116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w:t>
                  </w:r>
                </w:p>
              </w:tc>
              <w:tc>
                <w:tcPr>
                  <w:tcW w:w="462" w:type="pct"/>
                  <w:shd w:val="clear" w:color="auto" w:fill="auto"/>
                  <w:vAlign w:val="center"/>
                </w:tcPr>
                <w:p>
                  <w:pPr>
                    <w:pStyle w:val="63"/>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pacing w:val="5"/>
                      <w:sz w:val="21"/>
                      <w:szCs w:val="21"/>
                    </w:rPr>
                    <w:t>1</w:t>
                  </w:r>
                </w:p>
              </w:tc>
              <w:tc>
                <w:tcPr>
                  <w:tcW w:w="467"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台</w:t>
                  </w:r>
                </w:p>
              </w:tc>
              <w:tc>
                <w:tcPr>
                  <w:tcW w:w="835"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619" w:type="pct"/>
                  <w:vMerge w:val="continue"/>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lang w:val="en-US" w:eastAsia="zh-CN"/>
                    </w:rPr>
                  </w:pPr>
                </w:p>
              </w:tc>
              <w:tc>
                <w:tcPr>
                  <w:tcW w:w="1449" w:type="pct"/>
                  <w:shd w:val="clear" w:color="auto" w:fill="auto"/>
                  <w:vAlign w:val="center"/>
                </w:tcPr>
                <w:p>
                  <w:pPr>
                    <w:pStyle w:val="63"/>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pacing w:val="5"/>
                      <w:sz w:val="21"/>
                      <w:szCs w:val="21"/>
                    </w:rPr>
                    <w:t>净洗滚刷电机</w:t>
                  </w:r>
                </w:p>
              </w:tc>
              <w:tc>
                <w:tcPr>
                  <w:tcW w:w="116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w:t>
                  </w:r>
                </w:p>
              </w:tc>
              <w:tc>
                <w:tcPr>
                  <w:tcW w:w="462" w:type="pct"/>
                  <w:shd w:val="clear" w:color="auto" w:fill="auto"/>
                  <w:vAlign w:val="center"/>
                </w:tcPr>
                <w:p>
                  <w:pPr>
                    <w:pStyle w:val="63"/>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pacing w:val="5"/>
                      <w:sz w:val="21"/>
                      <w:szCs w:val="21"/>
                    </w:rPr>
                    <w:t>1</w:t>
                  </w:r>
                </w:p>
              </w:tc>
              <w:tc>
                <w:tcPr>
                  <w:tcW w:w="467"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台</w:t>
                  </w:r>
                </w:p>
              </w:tc>
              <w:tc>
                <w:tcPr>
                  <w:tcW w:w="835"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619" w:type="pct"/>
                  <w:vMerge w:val="continue"/>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lang w:val="en-US" w:eastAsia="zh-CN"/>
                    </w:rPr>
                  </w:pPr>
                </w:p>
              </w:tc>
              <w:tc>
                <w:tcPr>
                  <w:tcW w:w="1449" w:type="pct"/>
                  <w:shd w:val="clear" w:color="auto" w:fill="auto"/>
                  <w:vAlign w:val="center"/>
                </w:tcPr>
                <w:p>
                  <w:pPr>
                    <w:pStyle w:val="63"/>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pacing w:val="5"/>
                      <w:sz w:val="21"/>
                      <w:szCs w:val="21"/>
                    </w:rPr>
                    <w:t>鼓风电机</w:t>
                  </w:r>
                </w:p>
              </w:tc>
              <w:tc>
                <w:tcPr>
                  <w:tcW w:w="116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w:t>
                  </w:r>
                </w:p>
              </w:tc>
              <w:tc>
                <w:tcPr>
                  <w:tcW w:w="462" w:type="pct"/>
                  <w:shd w:val="clear" w:color="auto" w:fill="auto"/>
                  <w:vAlign w:val="center"/>
                </w:tcPr>
                <w:p>
                  <w:pPr>
                    <w:pStyle w:val="63"/>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pacing w:val="5"/>
                      <w:sz w:val="21"/>
                      <w:szCs w:val="21"/>
                    </w:rPr>
                    <w:t>1</w:t>
                  </w:r>
                </w:p>
              </w:tc>
              <w:tc>
                <w:tcPr>
                  <w:tcW w:w="467"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台</w:t>
                  </w:r>
                </w:p>
              </w:tc>
              <w:tc>
                <w:tcPr>
                  <w:tcW w:w="835"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619" w:type="pct"/>
                  <w:vMerge w:val="continue"/>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lang w:val="en-US" w:eastAsia="zh-CN"/>
                    </w:rPr>
                  </w:pPr>
                </w:p>
              </w:tc>
              <w:tc>
                <w:tcPr>
                  <w:tcW w:w="1449" w:type="pct"/>
                  <w:shd w:val="clear" w:color="auto" w:fill="auto"/>
                  <w:vAlign w:val="center"/>
                </w:tcPr>
                <w:p>
                  <w:pPr>
                    <w:pStyle w:val="63"/>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pacing w:val="5"/>
                      <w:sz w:val="21"/>
                      <w:szCs w:val="21"/>
                    </w:rPr>
                    <w:t>毛刷清洗机</w:t>
                  </w:r>
                </w:p>
              </w:tc>
              <w:tc>
                <w:tcPr>
                  <w:tcW w:w="116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w:t>
                  </w:r>
                </w:p>
              </w:tc>
              <w:tc>
                <w:tcPr>
                  <w:tcW w:w="462" w:type="pct"/>
                  <w:shd w:val="clear" w:color="auto" w:fill="auto"/>
                  <w:vAlign w:val="center"/>
                </w:tcPr>
                <w:p>
                  <w:pPr>
                    <w:pStyle w:val="63"/>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pacing w:val="5"/>
                      <w:sz w:val="21"/>
                      <w:szCs w:val="21"/>
                    </w:rPr>
                    <w:t>1</w:t>
                  </w:r>
                </w:p>
              </w:tc>
              <w:tc>
                <w:tcPr>
                  <w:tcW w:w="467"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台</w:t>
                  </w:r>
                </w:p>
              </w:tc>
              <w:tc>
                <w:tcPr>
                  <w:tcW w:w="835"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619" w:type="pct"/>
                  <w:vMerge w:val="continue"/>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lang w:val="en-US" w:eastAsia="zh-CN"/>
                    </w:rPr>
                  </w:pPr>
                </w:p>
              </w:tc>
              <w:tc>
                <w:tcPr>
                  <w:tcW w:w="1449" w:type="pct"/>
                  <w:shd w:val="clear" w:color="auto" w:fill="auto"/>
                  <w:vAlign w:val="center"/>
                </w:tcPr>
                <w:p>
                  <w:pPr>
                    <w:pStyle w:val="63"/>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pacing w:val="5"/>
                      <w:sz w:val="21"/>
                      <w:szCs w:val="21"/>
                    </w:rPr>
                    <w:t>破碎机</w:t>
                  </w:r>
                </w:p>
              </w:tc>
              <w:tc>
                <w:tcPr>
                  <w:tcW w:w="116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w:t>
                  </w:r>
                </w:p>
              </w:tc>
              <w:tc>
                <w:tcPr>
                  <w:tcW w:w="462" w:type="pct"/>
                  <w:shd w:val="clear" w:color="auto" w:fill="auto"/>
                  <w:vAlign w:val="center"/>
                </w:tcPr>
                <w:p>
                  <w:pPr>
                    <w:pStyle w:val="63"/>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pacing w:val="5"/>
                      <w:sz w:val="21"/>
                      <w:szCs w:val="21"/>
                    </w:rPr>
                    <w:t>2</w:t>
                  </w:r>
                </w:p>
              </w:tc>
              <w:tc>
                <w:tcPr>
                  <w:tcW w:w="467"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台</w:t>
                  </w:r>
                </w:p>
              </w:tc>
              <w:tc>
                <w:tcPr>
                  <w:tcW w:w="835"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619" w:type="pct"/>
                  <w:vMerge w:val="continue"/>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lang w:val="en-US" w:eastAsia="zh-CN"/>
                    </w:rPr>
                  </w:pPr>
                </w:p>
              </w:tc>
              <w:tc>
                <w:tcPr>
                  <w:tcW w:w="1449" w:type="pct"/>
                  <w:shd w:val="clear" w:color="auto" w:fill="auto"/>
                  <w:vAlign w:val="center"/>
                </w:tcPr>
                <w:p>
                  <w:pPr>
                    <w:pStyle w:val="63"/>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pacing w:val="5"/>
                      <w:sz w:val="21"/>
                      <w:szCs w:val="21"/>
                    </w:rPr>
                    <w:t>二次冲浪循环电机</w:t>
                  </w:r>
                </w:p>
              </w:tc>
              <w:tc>
                <w:tcPr>
                  <w:tcW w:w="116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w:t>
                  </w:r>
                </w:p>
              </w:tc>
              <w:tc>
                <w:tcPr>
                  <w:tcW w:w="462" w:type="pct"/>
                  <w:shd w:val="clear" w:color="auto" w:fill="auto"/>
                  <w:vAlign w:val="center"/>
                </w:tcPr>
                <w:p>
                  <w:pPr>
                    <w:pStyle w:val="63"/>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pacing w:val="5"/>
                      <w:sz w:val="21"/>
                      <w:szCs w:val="21"/>
                    </w:rPr>
                    <w:t>1</w:t>
                  </w:r>
                </w:p>
              </w:tc>
              <w:tc>
                <w:tcPr>
                  <w:tcW w:w="467"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台</w:t>
                  </w:r>
                </w:p>
              </w:tc>
              <w:tc>
                <w:tcPr>
                  <w:tcW w:w="835"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619" w:type="pct"/>
                  <w:vMerge w:val="continue"/>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lang w:val="en-US" w:eastAsia="zh-CN"/>
                    </w:rPr>
                  </w:pPr>
                </w:p>
              </w:tc>
              <w:tc>
                <w:tcPr>
                  <w:tcW w:w="1449" w:type="pct"/>
                  <w:shd w:val="clear" w:color="auto" w:fill="auto"/>
                  <w:vAlign w:val="center"/>
                </w:tcPr>
                <w:p>
                  <w:pPr>
                    <w:pStyle w:val="63"/>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pacing w:val="5"/>
                      <w:sz w:val="21"/>
                      <w:szCs w:val="21"/>
                    </w:rPr>
                    <w:t>一道打浆机（主电机）</w:t>
                  </w:r>
                </w:p>
              </w:tc>
              <w:tc>
                <w:tcPr>
                  <w:tcW w:w="116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w:t>
                  </w:r>
                </w:p>
              </w:tc>
              <w:tc>
                <w:tcPr>
                  <w:tcW w:w="462" w:type="pct"/>
                  <w:shd w:val="clear" w:color="auto" w:fill="auto"/>
                  <w:vAlign w:val="center"/>
                </w:tcPr>
                <w:p>
                  <w:pPr>
                    <w:pStyle w:val="63"/>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pacing w:val="5"/>
                      <w:sz w:val="21"/>
                      <w:szCs w:val="21"/>
                    </w:rPr>
                    <w:t>1</w:t>
                  </w:r>
                </w:p>
              </w:tc>
              <w:tc>
                <w:tcPr>
                  <w:tcW w:w="467"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台</w:t>
                  </w:r>
                </w:p>
              </w:tc>
              <w:tc>
                <w:tcPr>
                  <w:tcW w:w="835"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619" w:type="pct"/>
                  <w:vMerge w:val="continue"/>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lang w:val="en-US" w:eastAsia="zh-CN"/>
                    </w:rPr>
                  </w:pPr>
                </w:p>
              </w:tc>
              <w:tc>
                <w:tcPr>
                  <w:tcW w:w="1449" w:type="pct"/>
                  <w:shd w:val="clear" w:color="auto" w:fill="auto"/>
                  <w:vAlign w:val="center"/>
                </w:tcPr>
                <w:p>
                  <w:pPr>
                    <w:pStyle w:val="63"/>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pacing w:val="5"/>
                      <w:sz w:val="21"/>
                      <w:szCs w:val="21"/>
                    </w:rPr>
                    <w:t>一道打浆机（辅机）</w:t>
                  </w:r>
                </w:p>
              </w:tc>
              <w:tc>
                <w:tcPr>
                  <w:tcW w:w="116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w:t>
                  </w:r>
                </w:p>
              </w:tc>
              <w:tc>
                <w:tcPr>
                  <w:tcW w:w="462" w:type="pct"/>
                  <w:shd w:val="clear" w:color="auto" w:fill="auto"/>
                  <w:vAlign w:val="center"/>
                </w:tcPr>
                <w:p>
                  <w:pPr>
                    <w:pStyle w:val="63"/>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pacing w:val="5"/>
                      <w:sz w:val="21"/>
                      <w:szCs w:val="21"/>
                    </w:rPr>
                    <w:t>1</w:t>
                  </w:r>
                </w:p>
              </w:tc>
              <w:tc>
                <w:tcPr>
                  <w:tcW w:w="467"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台</w:t>
                  </w:r>
                </w:p>
              </w:tc>
              <w:tc>
                <w:tcPr>
                  <w:tcW w:w="835"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619" w:type="pct"/>
                  <w:vMerge w:val="continue"/>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lang w:val="en-US" w:eastAsia="zh-CN"/>
                    </w:rPr>
                  </w:pPr>
                </w:p>
              </w:tc>
              <w:tc>
                <w:tcPr>
                  <w:tcW w:w="1449" w:type="pct"/>
                  <w:shd w:val="clear" w:color="auto" w:fill="auto"/>
                  <w:vAlign w:val="center"/>
                </w:tcPr>
                <w:p>
                  <w:pPr>
                    <w:pStyle w:val="63"/>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pacing w:val="5"/>
                      <w:sz w:val="21"/>
                      <w:szCs w:val="21"/>
                    </w:rPr>
                    <w:t>果糊缸电机</w:t>
                  </w:r>
                </w:p>
              </w:tc>
              <w:tc>
                <w:tcPr>
                  <w:tcW w:w="116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w:t>
                  </w:r>
                </w:p>
              </w:tc>
              <w:tc>
                <w:tcPr>
                  <w:tcW w:w="462" w:type="pct"/>
                  <w:shd w:val="clear" w:color="auto" w:fill="auto"/>
                  <w:vAlign w:val="center"/>
                </w:tcPr>
                <w:p>
                  <w:pPr>
                    <w:pStyle w:val="63"/>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pacing w:val="5"/>
                      <w:sz w:val="21"/>
                      <w:szCs w:val="21"/>
                    </w:rPr>
                    <w:t>1</w:t>
                  </w:r>
                </w:p>
              </w:tc>
              <w:tc>
                <w:tcPr>
                  <w:tcW w:w="467"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台</w:t>
                  </w:r>
                </w:p>
              </w:tc>
              <w:tc>
                <w:tcPr>
                  <w:tcW w:w="835"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619" w:type="pct"/>
                  <w:vMerge w:val="continue"/>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lang w:val="en-US" w:eastAsia="zh-CN"/>
                    </w:rPr>
                  </w:pPr>
                </w:p>
              </w:tc>
              <w:tc>
                <w:tcPr>
                  <w:tcW w:w="1449" w:type="pct"/>
                  <w:shd w:val="clear" w:color="auto" w:fill="auto"/>
                  <w:vAlign w:val="center"/>
                </w:tcPr>
                <w:p>
                  <w:pPr>
                    <w:pStyle w:val="63"/>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pacing w:val="5"/>
                      <w:sz w:val="21"/>
                      <w:szCs w:val="21"/>
                    </w:rPr>
                    <w:t>缓冲缸电机</w:t>
                  </w:r>
                </w:p>
              </w:tc>
              <w:tc>
                <w:tcPr>
                  <w:tcW w:w="116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w:t>
                  </w:r>
                </w:p>
              </w:tc>
              <w:tc>
                <w:tcPr>
                  <w:tcW w:w="462" w:type="pct"/>
                  <w:shd w:val="clear" w:color="auto" w:fill="auto"/>
                  <w:vAlign w:val="center"/>
                </w:tcPr>
                <w:p>
                  <w:pPr>
                    <w:pStyle w:val="63"/>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pacing w:val="5"/>
                      <w:sz w:val="21"/>
                      <w:szCs w:val="21"/>
                    </w:rPr>
                    <w:t>2</w:t>
                  </w:r>
                </w:p>
              </w:tc>
              <w:tc>
                <w:tcPr>
                  <w:tcW w:w="467"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台</w:t>
                  </w:r>
                </w:p>
              </w:tc>
              <w:tc>
                <w:tcPr>
                  <w:tcW w:w="835"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619" w:type="pct"/>
                  <w:vMerge w:val="continue"/>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lang w:val="en-US" w:eastAsia="zh-CN"/>
                    </w:rPr>
                  </w:pPr>
                </w:p>
              </w:tc>
              <w:tc>
                <w:tcPr>
                  <w:tcW w:w="1449" w:type="pct"/>
                  <w:shd w:val="clear" w:color="auto" w:fill="auto"/>
                  <w:vAlign w:val="center"/>
                </w:tcPr>
                <w:p>
                  <w:pPr>
                    <w:pStyle w:val="63"/>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pacing w:val="5"/>
                      <w:sz w:val="21"/>
                      <w:szCs w:val="21"/>
                    </w:rPr>
                    <w:t>打浆出渣电机</w:t>
                  </w:r>
                </w:p>
              </w:tc>
              <w:tc>
                <w:tcPr>
                  <w:tcW w:w="116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w:t>
                  </w:r>
                </w:p>
              </w:tc>
              <w:tc>
                <w:tcPr>
                  <w:tcW w:w="462" w:type="pct"/>
                  <w:shd w:val="clear" w:color="auto" w:fill="auto"/>
                  <w:vAlign w:val="center"/>
                </w:tcPr>
                <w:p>
                  <w:pPr>
                    <w:pStyle w:val="63"/>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pacing w:val="5"/>
                      <w:sz w:val="21"/>
                      <w:szCs w:val="21"/>
                    </w:rPr>
                    <w:t>2</w:t>
                  </w:r>
                </w:p>
              </w:tc>
              <w:tc>
                <w:tcPr>
                  <w:tcW w:w="467"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台</w:t>
                  </w:r>
                </w:p>
              </w:tc>
              <w:tc>
                <w:tcPr>
                  <w:tcW w:w="835"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619" w:type="pct"/>
                  <w:vMerge w:val="continue"/>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lang w:val="en-US" w:eastAsia="zh-CN"/>
                    </w:rPr>
                  </w:pPr>
                </w:p>
              </w:tc>
              <w:tc>
                <w:tcPr>
                  <w:tcW w:w="1449" w:type="pct"/>
                  <w:shd w:val="clear" w:color="auto" w:fill="auto"/>
                  <w:vAlign w:val="center"/>
                </w:tcPr>
                <w:p>
                  <w:pPr>
                    <w:pStyle w:val="63"/>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pacing w:val="5"/>
                      <w:sz w:val="21"/>
                      <w:szCs w:val="21"/>
                    </w:rPr>
                    <w:t>二道打浆机（上）</w:t>
                  </w:r>
                </w:p>
              </w:tc>
              <w:tc>
                <w:tcPr>
                  <w:tcW w:w="116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w:t>
                  </w:r>
                </w:p>
              </w:tc>
              <w:tc>
                <w:tcPr>
                  <w:tcW w:w="462" w:type="pct"/>
                  <w:shd w:val="clear" w:color="auto" w:fill="auto"/>
                  <w:vAlign w:val="center"/>
                </w:tcPr>
                <w:p>
                  <w:pPr>
                    <w:pStyle w:val="63"/>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pacing w:val="5"/>
                      <w:sz w:val="21"/>
                      <w:szCs w:val="21"/>
                    </w:rPr>
                    <w:t>1</w:t>
                  </w:r>
                </w:p>
              </w:tc>
              <w:tc>
                <w:tcPr>
                  <w:tcW w:w="467"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台</w:t>
                  </w:r>
                </w:p>
              </w:tc>
              <w:tc>
                <w:tcPr>
                  <w:tcW w:w="835"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619" w:type="pct"/>
                  <w:vMerge w:val="continue"/>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lang w:val="en-US" w:eastAsia="zh-CN"/>
                    </w:rPr>
                  </w:pPr>
                </w:p>
              </w:tc>
              <w:tc>
                <w:tcPr>
                  <w:tcW w:w="1449" w:type="pct"/>
                  <w:shd w:val="clear" w:color="auto" w:fill="auto"/>
                  <w:vAlign w:val="center"/>
                </w:tcPr>
                <w:p>
                  <w:pPr>
                    <w:pStyle w:val="63"/>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pacing w:val="5"/>
                      <w:sz w:val="21"/>
                      <w:szCs w:val="21"/>
                    </w:rPr>
                    <w:t>二道打浆机（下）</w:t>
                  </w:r>
                </w:p>
              </w:tc>
              <w:tc>
                <w:tcPr>
                  <w:tcW w:w="116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w:t>
                  </w:r>
                </w:p>
              </w:tc>
              <w:tc>
                <w:tcPr>
                  <w:tcW w:w="462" w:type="pct"/>
                  <w:shd w:val="clear" w:color="auto" w:fill="auto"/>
                  <w:vAlign w:val="center"/>
                </w:tcPr>
                <w:p>
                  <w:pPr>
                    <w:pStyle w:val="63"/>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pacing w:val="5"/>
                      <w:sz w:val="21"/>
                      <w:szCs w:val="21"/>
                    </w:rPr>
                    <w:t>1</w:t>
                  </w:r>
                </w:p>
              </w:tc>
              <w:tc>
                <w:tcPr>
                  <w:tcW w:w="467"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台</w:t>
                  </w:r>
                </w:p>
              </w:tc>
              <w:tc>
                <w:tcPr>
                  <w:tcW w:w="835"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619" w:type="pct"/>
                  <w:vMerge w:val="continue"/>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lang w:val="en-US" w:eastAsia="zh-CN"/>
                    </w:rPr>
                  </w:pPr>
                </w:p>
              </w:tc>
              <w:tc>
                <w:tcPr>
                  <w:tcW w:w="1449" w:type="pct"/>
                  <w:shd w:val="clear" w:color="auto" w:fill="auto"/>
                  <w:vAlign w:val="center"/>
                </w:tcPr>
                <w:p>
                  <w:pPr>
                    <w:pStyle w:val="63"/>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pacing w:val="5"/>
                      <w:sz w:val="21"/>
                      <w:szCs w:val="21"/>
                    </w:rPr>
                    <w:t>离心机（西）</w:t>
                  </w:r>
                </w:p>
              </w:tc>
              <w:tc>
                <w:tcPr>
                  <w:tcW w:w="116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w:t>
                  </w:r>
                </w:p>
              </w:tc>
              <w:tc>
                <w:tcPr>
                  <w:tcW w:w="462" w:type="pct"/>
                  <w:shd w:val="clear" w:color="auto" w:fill="auto"/>
                  <w:vAlign w:val="center"/>
                </w:tcPr>
                <w:p>
                  <w:pPr>
                    <w:pStyle w:val="63"/>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pacing w:val="5"/>
                      <w:sz w:val="21"/>
                      <w:szCs w:val="21"/>
                    </w:rPr>
                    <w:t>1</w:t>
                  </w:r>
                </w:p>
              </w:tc>
              <w:tc>
                <w:tcPr>
                  <w:tcW w:w="467"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台</w:t>
                  </w:r>
                </w:p>
              </w:tc>
              <w:tc>
                <w:tcPr>
                  <w:tcW w:w="835"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619" w:type="pct"/>
                  <w:vMerge w:val="continue"/>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lang w:val="en-US" w:eastAsia="zh-CN"/>
                    </w:rPr>
                  </w:pPr>
                </w:p>
              </w:tc>
              <w:tc>
                <w:tcPr>
                  <w:tcW w:w="1449" w:type="pct"/>
                  <w:shd w:val="clear" w:color="auto" w:fill="auto"/>
                  <w:vAlign w:val="center"/>
                </w:tcPr>
                <w:p>
                  <w:pPr>
                    <w:pStyle w:val="63"/>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pacing w:val="5"/>
                      <w:sz w:val="21"/>
                      <w:szCs w:val="21"/>
                    </w:rPr>
                    <w:t>离心机出料泵</w:t>
                  </w:r>
                </w:p>
              </w:tc>
              <w:tc>
                <w:tcPr>
                  <w:tcW w:w="116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w:t>
                  </w:r>
                </w:p>
              </w:tc>
              <w:tc>
                <w:tcPr>
                  <w:tcW w:w="462" w:type="pct"/>
                  <w:shd w:val="clear" w:color="auto" w:fill="auto"/>
                  <w:vAlign w:val="center"/>
                </w:tcPr>
                <w:p>
                  <w:pPr>
                    <w:pStyle w:val="63"/>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pacing w:val="5"/>
                      <w:sz w:val="21"/>
                      <w:szCs w:val="21"/>
                    </w:rPr>
                    <w:t>1</w:t>
                  </w:r>
                </w:p>
              </w:tc>
              <w:tc>
                <w:tcPr>
                  <w:tcW w:w="467"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台</w:t>
                  </w:r>
                </w:p>
              </w:tc>
              <w:tc>
                <w:tcPr>
                  <w:tcW w:w="835"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619" w:type="pct"/>
                  <w:vMerge w:val="continue"/>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lang w:val="en-US" w:eastAsia="zh-CN"/>
                    </w:rPr>
                  </w:pPr>
                </w:p>
              </w:tc>
              <w:tc>
                <w:tcPr>
                  <w:tcW w:w="1449" w:type="pct"/>
                  <w:shd w:val="clear" w:color="auto" w:fill="auto"/>
                  <w:vAlign w:val="center"/>
                </w:tcPr>
                <w:p>
                  <w:pPr>
                    <w:pStyle w:val="63"/>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cs="Times New Roman"/>
                      <w:color w:val="auto"/>
                      <w:spacing w:val="5"/>
                      <w:sz w:val="21"/>
                      <w:szCs w:val="21"/>
                    </w:rPr>
                    <w:t>CIP</w:t>
                  </w:r>
                  <w:r>
                    <w:rPr>
                      <w:rFonts w:hint="default" w:ascii="Times New Roman" w:hAnsi="Times New Roman" w:cs="Times New Roman"/>
                      <w:color w:val="auto"/>
                      <w:spacing w:val="5"/>
                      <w:sz w:val="21"/>
                      <w:szCs w:val="21"/>
                      <w:lang w:val="en-US" w:eastAsia="zh-CN"/>
                    </w:rPr>
                    <w:t>系统</w:t>
                  </w:r>
                </w:p>
              </w:tc>
              <w:tc>
                <w:tcPr>
                  <w:tcW w:w="116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w:t>
                  </w:r>
                </w:p>
              </w:tc>
              <w:tc>
                <w:tcPr>
                  <w:tcW w:w="462" w:type="pct"/>
                  <w:shd w:val="clear" w:color="auto" w:fill="auto"/>
                  <w:vAlign w:val="center"/>
                </w:tcPr>
                <w:p>
                  <w:pPr>
                    <w:pStyle w:val="63"/>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pacing w:val="5"/>
                      <w:sz w:val="21"/>
                      <w:szCs w:val="21"/>
                    </w:rPr>
                    <w:t>1</w:t>
                  </w:r>
                </w:p>
              </w:tc>
              <w:tc>
                <w:tcPr>
                  <w:tcW w:w="467"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套</w:t>
                  </w:r>
                </w:p>
              </w:tc>
              <w:tc>
                <w:tcPr>
                  <w:tcW w:w="835"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619" w:type="pct"/>
                  <w:vMerge w:val="continue"/>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lang w:val="en-US" w:eastAsia="zh-CN"/>
                    </w:rPr>
                  </w:pPr>
                </w:p>
              </w:tc>
              <w:tc>
                <w:tcPr>
                  <w:tcW w:w="1449" w:type="pct"/>
                  <w:shd w:val="clear" w:color="auto" w:fill="auto"/>
                  <w:vAlign w:val="center"/>
                </w:tcPr>
                <w:p>
                  <w:pPr>
                    <w:pStyle w:val="63"/>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pacing w:val="5"/>
                      <w:sz w:val="21"/>
                      <w:szCs w:val="21"/>
                      <w:lang w:val="en-US" w:eastAsia="zh-CN"/>
                    </w:rPr>
                    <w:t>超高温瞬时灭菌机</w:t>
                  </w:r>
                </w:p>
              </w:tc>
              <w:tc>
                <w:tcPr>
                  <w:tcW w:w="116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w:t>
                  </w:r>
                </w:p>
              </w:tc>
              <w:tc>
                <w:tcPr>
                  <w:tcW w:w="462" w:type="pct"/>
                  <w:shd w:val="clear" w:color="auto" w:fill="auto"/>
                  <w:vAlign w:val="center"/>
                </w:tcPr>
                <w:p>
                  <w:pPr>
                    <w:pStyle w:val="63"/>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pacing w:val="5"/>
                      <w:sz w:val="21"/>
                      <w:szCs w:val="21"/>
                      <w:lang w:val="en-US" w:eastAsia="zh-CN"/>
                    </w:rPr>
                    <w:t>1</w:t>
                  </w:r>
                </w:p>
              </w:tc>
              <w:tc>
                <w:tcPr>
                  <w:tcW w:w="467"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台</w:t>
                  </w:r>
                </w:p>
              </w:tc>
              <w:tc>
                <w:tcPr>
                  <w:tcW w:w="835"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619" w:type="pct"/>
                  <w:vMerge w:val="continue"/>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lang w:val="en-US" w:eastAsia="zh-CN"/>
                    </w:rPr>
                  </w:pPr>
                </w:p>
              </w:tc>
              <w:tc>
                <w:tcPr>
                  <w:tcW w:w="1449" w:type="pct"/>
                  <w:shd w:val="clear" w:color="auto" w:fill="auto"/>
                  <w:vAlign w:val="center"/>
                </w:tcPr>
                <w:p>
                  <w:pPr>
                    <w:pStyle w:val="63"/>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pacing w:val="5"/>
                      <w:sz w:val="21"/>
                      <w:szCs w:val="21"/>
                    </w:rPr>
                    <w:t>灭</w:t>
                  </w:r>
                  <w:r>
                    <w:rPr>
                      <w:rFonts w:hint="default" w:ascii="Times New Roman" w:hAnsi="Times New Roman" w:cs="Times New Roman"/>
                      <w:color w:val="auto"/>
                      <w:spacing w:val="5"/>
                      <w:sz w:val="21"/>
                      <w:szCs w:val="21"/>
                      <w:lang w:val="en-US" w:eastAsia="zh-CN"/>
                    </w:rPr>
                    <w:t>菌</w:t>
                  </w:r>
                  <w:r>
                    <w:rPr>
                      <w:rFonts w:hint="default" w:ascii="Times New Roman" w:hAnsi="Times New Roman" w:cs="Times New Roman"/>
                      <w:color w:val="auto"/>
                      <w:spacing w:val="5"/>
                      <w:sz w:val="21"/>
                      <w:szCs w:val="21"/>
                    </w:rPr>
                    <w:t>机热水泵</w:t>
                  </w:r>
                </w:p>
              </w:tc>
              <w:tc>
                <w:tcPr>
                  <w:tcW w:w="116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w:t>
                  </w:r>
                </w:p>
              </w:tc>
              <w:tc>
                <w:tcPr>
                  <w:tcW w:w="462" w:type="pct"/>
                  <w:shd w:val="clear" w:color="auto" w:fill="auto"/>
                  <w:vAlign w:val="center"/>
                </w:tcPr>
                <w:p>
                  <w:pPr>
                    <w:pStyle w:val="63"/>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pacing w:val="5"/>
                      <w:sz w:val="21"/>
                      <w:szCs w:val="21"/>
                    </w:rPr>
                    <w:t>1</w:t>
                  </w:r>
                </w:p>
              </w:tc>
              <w:tc>
                <w:tcPr>
                  <w:tcW w:w="467"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台</w:t>
                  </w:r>
                </w:p>
              </w:tc>
              <w:tc>
                <w:tcPr>
                  <w:tcW w:w="835"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619" w:type="pct"/>
                  <w:vMerge w:val="continue"/>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lang w:val="en-US" w:eastAsia="zh-CN"/>
                    </w:rPr>
                  </w:pPr>
                </w:p>
              </w:tc>
              <w:tc>
                <w:tcPr>
                  <w:tcW w:w="1449" w:type="pct"/>
                  <w:shd w:val="clear" w:color="auto" w:fill="auto"/>
                  <w:vAlign w:val="center"/>
                </w:tcPr>
                <w:p>
                  <w:pPr>
                    <w:pStyle w:val="63"/>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pacing w:val="5"/>
                      <w:sz w:val="21"/>
                      <w:szCs w:val="21"/>
                    </w:rPr>
                    <w:t>清洗泵</w:t>
                  </w:r>
                </w:p>
              </w:tc>
              <w:tc>
                <w:tcPr>
                  <w:tcW w:w="116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w:t>
                  </w:r>
                </w:p>
              </w:tc>
              <w:tc>
                <w:tcPr>
                  <w:tcW w:w="462" w:type="pct"/>
                  <w:shd w:val="clear" w:color="auto" w:fill="auto"/>
                  <w:vAlign w:val="center"/>
                </w:tcPr>
                <w:p>
                  <w:pPr>
                    <w:pStyle w:val="63"/>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pacing w:val="5"/>
                      <w:sz w:val="21"/>
                      <w:szCs w:val="21"/>
                    </w:rPr>
                    <w:t>1</w:t>
                  </w:r>
                </w:p>
              </w:tc>
              <w:tc>
                <w:tcPr>
                  <w:tcW w:w="467"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台</w:t>
                  </w:r>
                </w:p>
              </w:tc>
              <w:tc>
                <w:tcPr>
                  <w:tcW w:w="835"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619" w:type="pct"/>
                  <w:vMerge w:val="continue"/>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lang w:val="en-US" w:eastAsia="zh-CN"/>
                    </w:rPr>
                  </w:pPr>
                </w:p>
              </w:tc>
              <w:tc>
                <w:tcPr>
                  <w:tcW w:w="1449" w:type="pct"/>
                  <w:shd w:val="clear" w:color="auto" w:fill="auto"/>
                  <w:vAlign w:val="center"/>
                </w:tcPr>
                <w:p>
                  <w:pPr>
                    <w:pStyle w:val="63"/>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pacing w:val="5"/>
                      <w:sz w:val="21"/>
                      <w:szCs w:val="21"/>
                    </w:rPr>
                    <w:t>出料螺杆泵</w:t>
                  </w:r>
                </w:p>
              </w:tc>
              <w:tc>
                <w:tcPr>
                  <w:tcW w:w="116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w:t>
                  </w:r>
                </w:p>
              </w:tc>
              <w:tc>
                <w:tcPr>
                  <w:tcW w:w="462" w:type="pct"/>
                  <w:shd w:val="clear" w:color="auto" w:fill="auto"/>
                  <w:vAlign w:val="center"/>
                </w:tcPr>
                <w:p>
                  <w:pPr>
                    <w:pStyle w:val="63"/>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pacing w:val="5"/>
                      <w:sz w:val="21"/>
                      <w:szCs w:val="21"/>
                    </w:rPr>
                    <w:t>1</w:t>
                  </w:r>
                </w:p>
              </w:tc>
              <w:tc>
                <w:tcPr>
                  <w:tcW w:w="467"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台</w:t>
                  </w:r>
                </w:p>
              </w:tc>
              <w:tc>
                <w:tcPr>
                  <w:tcW w:w="835"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619" w:type="pct"/>
                  <w:vMerge w:val="continue"/>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lang w:val="en-US" w:eastAsia="zh-CN"/>
                    </w:rPr>
                  </w:pPr>
                </w:p>
              </w:tc>
              <w:tc>
                <w:tcPr>
                  <w:tcW w:w="1449" w:type="pct"/>
                  <w:shd w:val="clear" w:color="auto" w:fill="auto"/>
                  <w:vAlign w:val="center"/>
                </w:tcPr>
                <w:p>
                  <w:pPr>
                    <w:pStyle w:val="63"/>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pacing w:val="5"/>
                      <w:sz w:val="21"/>
                      <w:szCs w:val="21"/>
                    </w:rPr>
                    <w:t>成品1搅拌</w:t>
                  </w:r>
                </w:p>
              </w:tc>
              <w:tc>
                <w:tcPr>
                  <w:tcW w:w="116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w:t>
                  </w:r>
                </w:p>
              </w:tc>
              <w:tc>
                <w:tcPr>
                  <w:tcW w:w="462" w:type="pct"/>
                  <w:shd w:val="clear" w:color="auto" w:fill="auto"/>
                  <w:vAlign w:val="center"/>
                </w:tcPr>
                <w:p>
                  <w:pPr>
                    <w:pStyle w:val="63"/>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pacing w:val="5"/>
                      <w:sz w:val="21"/>
                      <w:szCs w:val="21"/>
                    </w:rPr>
                    <w:t>1</w:t>
                  </w:r>
                </w:p>
              </w:tc>
              <w:tc>
                <w:tcPr>
                  <w:tcW w:w="467"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台</w:t>
                  </w:r>
                </w:p>
              </w:tc>
              <w:tc>
                <w:tcPr>
                  <w:tcW w:w="835"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619" w:type="pct"/>
                  <w:vMerge w:val="continue"/>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lang w:val="en-US" w:eastAsia="zh-CN"/>
                    </w:rPr>
                  </w:pPr>
                </w:p>
              </w:tc>
              <w:tc>
                <w:tcPr>
                  <w:tcW w:w="1449" w:type="pct"/>
                  <w:shd w:val="clear" w:color="auto" w:fill="auto"/>
                  <w:vAlign w:val="center"/>
                </w:tcPr>
                <w:p>
                  <w:pPr>
                    <w:pStyle w:val="63"/>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pacing w:val="5"/>
                      <w:sz w:val="21"/>
                      <w:szCs w:val="21"/>
                    </w:rPr>
                    <w:t>成品2搅拌</w:t>
                  </w:r>
                </w:p>
              </w:tc>
              <w:tc>
                <w:tcPr>
                  <w:tcW w:w="116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w:t>
                  </w:r>
                </w:p>
              </w:tc>
              <w:tc>
                <w:tcPr>
                  <w:tcW w:w="462" w:type="pct"/>
                  <w:shd w:val="clear" w:color="auto" w:fill="auto"/>
                  <w:vAlign w:val="center"/>
                </w:tcPr>
                <w:p>
                  <w:pPr>
                    <w:pStyle w:val="63"/>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pacing w:val="5"/>
                      <w:sz w:val="21"/>
                      <w:szCs w:val="21"/>
                    </w:rPr>
                    <w:t>1</w:t>
                  </w:r>
                </w:p>
              </w:tc>
              <w:tc>
                <w:tcPr>
                  <w:tcW w:w="467"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台</w:t>
                  </w:r>
                </w:p>
              </w:tc>
              <w:tc>
                <w:tcPr>
                  <w:tcW w:w="835"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619" w:type="pct"/>
                  <w:vMerge w:val="continue"/>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lang w:val="en-US" w:eastAsia="zh-CN"/>
                    </w:rPr>
                  </w:pPr>
                </w:p>
              </w:tc>
              <w:tc>
                <w:tcPr>
                  <w:tcW w:w="1449" w:type="pct"/>
                  <w:shd w:val="clear" w:color="auto" w:fill="auto"/>
                  <w:vAlign w:val="center"/>
                </w:tcPr>
                <w:p>
                  <w:pPr>
                    <w:pStyle w:val="63"/>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pacing w:val="5"/>
                      <w:sz w:val="21"/>
                      <w:szCs w:val="21"/>
                      <w:lang w:val="en-US" w:eastAsia="zh-CN"/>
                    </w:rPr>
                    <w:t>发酵罐</w:t>
                  </w:r>
                </w:p>
              </w:tc>
              <w:tc>
                <w:tcPr>
                  <w:tcW w:w="116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w:t>
                  </w:r>
                </w:p>
              </w:tc>
              <w:tc>
                <w:tcPr>
                  <w:tcW w:w="462" w:type="pct"/>
                  <w:shd w:val="clear" w:color="auto" w:fill="auto"/>
                  <w:vAlign w:val="center"/>
                </w:tcPr>
                <w:p>
                  <w:pPr>
                    <w:pStyle w:val="63"/>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pacing w:val="5"/>
                      <w:sz w:val="21"/>
                      <w:szCs w:val="21"/>
                      <w:lang w:val="en-US" w:eastAsia="zh-CN"/>
                    </w:rPr>
                    <w:t>4</w:t>
                  </w:r>
                </w:p>
              </w:tc>
              <w:tc>
                <w:tcPr>
                  <w:tcW w:w="467"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台</w:t>
                  </w:r>
                </w:p>
              </w:tc>
              <w:tc>
                <w:tcPr>
                  <w:tcW w:w="835"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619" w:type="pct"/>
                  <w:vMerge w:val="continue"/>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lang w:val="en-US" w:eastAsia="zh-CN"/>
                    </w:rPr>
                  </w:pPr>
                </w:p>
              </w:tc>
              <w:tc>
                <w:tcPr>
                  <w:tcW w:w="1449" w:type="pct"/>
                  <w:shd w:val="clear" w:color="auto" w:fill="auto"/>
                  <w:vAlign w:val="center"/>
                </w:tcPr>
                <w:p>
                  <w:pPr>
                    <w:pStyle w:val="63"/>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pacing w:val="5"/>
                      <w:sz w:val="21"/>
                      <w:szCs w:val="21"/>
                    </w:rPr>
                    <w:t>干燥机</w:t>
                  </w:r>
                </w:p>
              </w:tc>
              <w:tc>
                <w:tcPr>
                  <w:tcW w:w="116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w:t>
                  </w:r>
                </w:p>
              </w:tc>
              <w:tc>
                <w:tcPr>
                  <w:tcW w:w="462" w:type="pct"/>
                  <w:shd w:val="clear" w:color="auto" w:fill="auto"/>
                  <w:vAlign w:val="center"/>
                </w:tcPr>
                <w:p>
                  <w:pPr>
                    <w:pStyle w:val="63"/>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pacing w:val="5"/>
                      <w:sz w:val="21"/>
                      <w:szCs w:val="21"/>
                    </w:rPr>
                    <w:t>1</w:t>
                  </w:r>
                </w:p>
              </w:tc>
              <w:tc>
                <w:tcPr>
                  <w:tcW w:w="467"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台</w:t>
                  </w:r>
                </w:p>
              </w:tc>
              <w:tc>
                <w:tcPr>
                  <w:tcW w:w="835"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619" w:type="pct"/>
                  <w:vMerge w:val="continue"/>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lang w:val="en-US" w:eastAsia="zh-CN"/>
                    </w:rPr>
                  </w:pPr>
                </w:p>
              </w:tc>
              <w:tc>
                <w:tcPr>
                  <w:tcW w:w="1449" w:type="pct"/>
                  <w:shd w:val="clear" w:color="auto" w:fill="auto"/>
                  <w:vAlign w:val="center"/>
                </w:tcPr>
                <w:p>
                  <w:pPr>
                    <w:pStyle w:val="63"/>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pacing w:val="5"/>
                      <w:sz w:val="21"/>
                      <w:szCs w:val="21"/>
                    </w:rPr>
                    <w:t>空压机</w:t>
                  </w:r>
                </w:p>
              </w:tc>
              <w:tc>
                <w:tcPr>
                  <w:tcW w:w="116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w:t>
                  </w:r>
                </w:p>
              </w:tc>
              <w:tc>
                <w:tcPr>
                  <w:tcW w:w="462" w:type="pct"/>
                  <w:shd w:val="clear" w:color="auto" w:fill="auto"/>
                  <w:vAlign w:val="center"/>
                </w:tcPr>
                <w:p>
                  <w:pPr>
                    <w:pStyle w:val="63"/>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pacing w:val="5"/>
                      <w:sz w:val="21"/>
                      <w:szCs w:val="21"/>
                    </w:rPr>
                    <w:t>1</w:t>
                  </w:r>
                </w:p>
              </w:tc>
              <w:tc>
                <w:tcPr>
                  <w:tcW w:w="467"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台</w:t>
                  </w:r>
                </w:p>
              </w:tc>
              <w:tc>
                <w:tcPr>
                  <w:tcW w:w="835"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619" w:type="pct"/>
                  <w:vMerge w:val="continue"/>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lang w:val="en-US" w:eastAsia="zh-CN"/>
                    </w:rPr>
                  </w:pPr>
                </w:p>
              </w:tc>
              <w:tc>
                <w:tcPr>
                  <w:tcW w:w="1449"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kern w:val="2"/>
                      <w:sz w:val="21"/>
                      <w:szCs w:val="21"/>
                      <w:highlight w:val="none"/>
                      <w:vertAlign w:val="baseline"/>
                      <w:lang w:val="en-US" w:eastAsia="zh-CN" w:bidi="ar-SA"/>
                    </w:rPr>
                    <w:t>五合一吹灌旋机组</w:t>
                  </w:r>
                </w:p>
              </w:tc>
              <w:tc>
                <w:tcPr>
                  <w:tcW w:w="116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bCs/>
                      <w:color w:val="auto"/>
                      <w:sz w:val="21"/>
                      <w:szCs w:val="21"/>
                      <w:highlight w:val="none"/>
                      <w:lang w:val="en-US" w:eastAsia="zh-CN"/>
                    </w:rPr>
                    <w:t>1300908A</w:t>
                  </w:r>
                </w:p>
              </w:tc>
              <w:tc>
                <w:tcPr>
                  <w:tcW w:w="462"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kern w:val="2"/>
                      <w:sz w:val="21"/>
                      <w:szCs w:val="21"/>
                      <w:highlight w:val="none"/>
                      <w:vertAlign w:val="baseline"/>
                      <w:lang w:val="en-US" w:eastAsia="zh-CN" w:bidi="ar-SA"/>
                    </w:rPr>
                    <w:t>1</w:t>
                  </w:r>
                </w:p>
              </w:tc>
              <w:tc>
                <w:tcPr>
                  <w:tcW w:w="467"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kern w:val="2"/>
                      <w:sz w:val="21"/>
                      <w:szCs w:val="21"/>
                      <w:highlight w:val="none"/>
                      <w:vertAlign w:val="baseline"/>
                      <w:lang w:val="en-US" w:eastAsia="zh-CN" w:bidi="ar-SA"/>
                    </w:rPr>
                    <w:t>台</w:t>
                  </w:r>
                </w:p>
              </w:tc>
              <w:tc>
                <w:tcPr>
                  <w:tcW w:w="835"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619" w:type="pct"/>
                  <w:vMerge w:val="continue"/>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lang w:val="en-US" w:eastAsia="zh-CN"/>
                    </w:rPr>
                  </w:pPr>
                </w:p>
              </w:tc>
              <w:tc>
                <w:tcPr>
                  <w:tcW w:w="1449"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供盖及盖消毒设备</w:t>
                  </w:r>
                </w:p>
              </w:tc>
              <w:tc>
                <w:tcPr>
                  <w:tcW w:w="116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kern w:val="2"/>
                      <w:sz w:val="21"/>
                      <w:szCs w:val="21"/>
                      <w:highlight w:val="none"/>
                      <w:vertAlign w:val="baseline"/>
                      <w:lang w:val="en-US" w:eastAsia="zh-CN" w:bidi="ar-SA"/>
                    </w:rPr>
                    <w:t>/</w:t>
                  </w:r>
                </w:p>
              </w:tc>
              <w:tc>
                <w:tcPr>
                  <w:tcW w:w="462"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1</w:t>
                  </w:r>
                </w:p>
              </w:tc>
              <w:tc>
                <w:tcPr>
                  <w:tcW w:w="467"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台</w:t>
                  </w:r>
                </w:p>
              </w:tc>
              <w:tc>
                <w:tcPr>
                  <w:tcW w:w="835"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619" w:type="pct"/>
                  <w:vMerge w:val="continue"/>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lang w:val="en-US" w:eastAsia="zh-CN"/>
                    </w:rPr>
                  </w:pPr>
                </w:p>
              </w:tc>
              <w:tc>
                <w:tcPr>
                  <w:tcW w:w="1449"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输送减速机</w:t>
                  </w:r>
                </w:p>
              </w:tc>
              <w:tc>
                <w:tcPr>
                  <w:tcW w:w="116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kern w:val="2"/>
                      <w:sz w:val="21"/>
                      <w:szCs w:val="21"/>
                      <w:highlight w:val="none"/>
                      <w:vertAlign w:val="baseline"/>
                      <w:lang w:val="en-US" w:eastAsia="zh-CN" w:bidi="ar-SA"/>
                    </w:rPr>
                    <w:t>/</w:t>
                  </w:r>
                </w:p>
              </w:tc>
              <w:tc>
                <w:tcPr>
                  <w:tcW w:w="462"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22</w:t>
                  </w:r>
                </w:p>
              </w:tc>
              <w:tc>
                <w:tcPr>
                  <w:tcW w:w="467"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台</w:t>
                  </w:r>
                </w:p>
              </w:tc>
              <w:tc>
                <w:tcPr>
                  <w:tcW w:w="835" w:type="pct"/>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619" w:type="pct"/>
                  <w:vMerge w:val="continue"/>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lang w:val="en-US" w:eastAsia="zh-CN"/>
                    </w:rPr>
                  </w:pPr>
                </w:p>
              </w:tc>
              <w:tc>
                <w:tcPr>
                  <w:tcW w:w="1449"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喷淋冷却机</w:t>
                  </w:r>
                </w:p>
              </w:tc>
              <w:tc>
                <w:tcPr>
                  <w:tcW w:w="116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kern w:val="2"/>
                      <w:sz w:val="21"/>
                      <w:szCs w:val="21"/>
                      <w:highlight w:val="none"/>
                      <w:vertAlign w:val="baseline"/>
                      <w:lang w:val="en-US" w:eastAsia="zh-CN" w:bidi="ar-SA"/>
                    </w:rPr>
                    <w:t>/</w:t>
                  </w:r>
                </w:p>
              </w:tc>
              <w:tc>
                <w:tcPr>
                  <w:tcW w:w="462"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1</w:t>
                  </w:r>
                </w:p>
              </w:tc>
              <w:tc>
                <w:tcPr>
                  <w:tcW w:w="467"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kern w:val="2"/>
                      <w:sz w:val="21"/>
                      <w:szCs w:val="21"/>
                      <w:highlight w:val="none"/>
                      <w:vertAlign w:val="baseline"/>
                      <w:lang w:val="en-US" w:eastAsia="zh-CN" w:bidi="ar-SA"/>
                    </w:rPr>
                    <w:t>台</w:t>
                  </w:r>
                </w:p>
              </w:tc>
              <w:tc>
                <w:tcPr>
                  <w:tcW w:w="835" w:type="pct"/>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619" w:type="pct"/>
                  <w:vMerge w:val="continue"/>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lang w:val="en-US" w:eastAsia="zh-CN"/>
                    </w:rPr>
                  </w:pPr>
                </w:p>
              </w:tc>
              <w:tc>
                <w:tcPr>
                  <w:tcW w:w="1449"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热风机</w:t>
                  </w:r>
                </w:p>
              </w:tc>
              <w:tc>
                <w:tcPr>
                  <w:tcW w:w="116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eastAsiaTheme="minorEastAsia"/>
                      <w:color w:val="auto"/>
                      <w:kern w:val="2"/>
                      <w:sz w:val="21"/>
                      <w:szCs w:val="21"/>
                      <w:highlight w:val="none"/>
                      <w:vertAlign w:val="baseline"/>
                      <w:lang w:val="en-US" w:eastAsia="zh-CN" w:bidi="ar-SA"/>
                    </w:rPr>
                    <w:t>/</w:t>
                  </w:r>
                </w:p>
              </w:tc>
              <w:tc>
                <w:tcPr>
                  <w:tcW w:w="462"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2</w:t>
                  </w:r>
                </w:p>
              </w:tc>
              <w:tc>
                <w:tcPr>
                  <w:tcW w:w="467"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台</w:t>
                  </w:r>
                </w:p>
              </w:tc>
              <w:tc>
                <w:tcPr>
                  <w:tcW w:w="835" w:type="pct"/>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58" w:hRule="atLeast"/>
                <w:jc w:val="center"/>
              </w:trPr>
              <w:tc>
                <w:tcPr>
                  <w:tcW w:w="619" w:type="pct"/>
                  <w:vMerge w:val="continue"/>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lang w:val="en-US" w:eastAsia="zh-CN"/>
                    </w:rPr>
                  </w:pPr>
                </w:p>
              </w:tc>
              <w:tc>
                <w:tcPr>
                  <w:tcW w:w="1449" w:type="pct"/>
                  <w:shd w:val="clear" w:color="auto" w:fill="auto"/>
                  <w:vAlign w:val="center"/>
                </w:tcPr>
                <w:p>
                  <w:pPr>
                    <w:pStyle w:val="63"/>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pacing w:val="5"/>
                      <w:sz w:val="21"/>
                      <w:szCs w:val="21"/>
                    </w:rPr>
                    <w:t>激光打码机</w:t>
                  </w:r>
                </w:p>
              </w:tc>
              <w:tc>
                <w:tcPr>
                  <w:tcW w:w="116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w:t>
                  </w:r>
                </w:p>
              </w:tc>
              <w:tc>
                <w:tcPr>
                  <w:tcW w:w="462" w:type="pct"/>
                  <w:shd w:val="clear" w:color="auto" w:fill="auto"/>
                  <w:vAlign w:val="center"/>
                </w:tcPr>
                <w:p>
                  <w:pPr>
                    <w:pStyle w:val="63"/>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pacing w:val="5"/>
                      <w:sz w:val="21"/>
                      <w:szCs w:val="21"/>
                    </w:rPr>
                    <w:t>1</w:t>
                  </w:r>
                </w:p>
              </w:tc>
              <w:tc>
                <w:tcPr>
                  <w:tcW w:w="467"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台</w:t>
                  </w:r>
                </w:p>
              </w:tc>
              <w:tc>
                <w:tcPr>
                  <w:tcW w:w="835"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619" w:type="pct"/>
                  <w:vMerge w:val="continue"/>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lang w:val="en-US" w:eastAsia="zh-CN"/>
                    </w:rPr>
                  </w:pPr>
                </w:p>
              </w:tc>
              <w:tc>
                <w:tcPr>
                  <w:tcW w:w="1449" w:type="pct"/>
                  <w:shd w:val="clear" w:color="auto" w:fill="auto"/>
                  <w:vAlign w:val="center"/>
                </w:tcPr>
                <w:p>
                  <w:pPr>
                    <w:pStyle w:val="63"/>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pacing w:val="5"/>
                      <w:sz w:val="21"/>
                      <w:szCs w:val="21"/>
                    </w:rPr>
                    <w:t>视觉检测机</w:t>
                  </w:r>
                </w:p>
              </w:tc>
              <w:tc>
                <w:tcPr>
                  <w:tcW w:w="116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w:t>
                  </w:r>
                </w:p>
              </w:tc>
              <w:tc>
                <w:tcPr>
                  <w:tcW w:w="462" w:type="pct"/>
                  <w:shd w:val="clear" w:color="auto" w:fill="auto"/>
                  <w:vAlign w:val="center"/>
                </w:tcPr>
                <w:p>
                  <w:pPr>
                    <w:pStyle w:val="63"/>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pacing w:val="5"/>
                      <w:sz w:val="21"/>
                      <w:szCs w:val="21"/>
                    </w:rPr>
                    <w:t>1</w:t>
                  </w:r>
                </w:p>
              </w:tc>
              <w:tc>
                <w:tcPr>
                  <w:tcW w:w="467"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台</w:t>
                  </w:r>
                </w:p>
              </w:tc>
              <w:tc>
                <w:tcPr>
                  <w:tcW w:w="835"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619" w:type="pct"/>
                  <w:vMerge w:val="continue"/>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lang w:val="en-US" w:eastAsia="zh-CN"/>
                    </w:rPr>
                  </w:pPr>
                </w:p>
              </w:tc>
              <w:tc>
                <w:tcPr>
                  <w:tcW w:w="1449" w:type="pct"/>
                  <w:shd w:val="clear" w:color="auto" w:fill="auto"/>
                  <w:vAlign w:val="center"/>
                </w:tcPr>
                <w:p>
                  <w:pPr>
                    <w:pStyle w:val="63"/>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auto"/>
                      <w:spacing w:val="5"/>
                      <w:sz w:val="21"/>
                      <w:szCs w:val="21"/>
                    </w:rPr>
                  </w:pPr>
                  <w:r>
                    <w:rPr>
                      <w:rFonts w:hint="default" w:ascii="Times New Roman" w:hAnsi="Times New Roman" w:cs="Times New Roman"/>
                      <w:color w:val="auto"/>
                      <w:spacing w:val="5"/>
                      <w:sz w:val="21"/>
                      <w:szCs w:val="21"/>
                    </w:rPr>
                    <w:t>贴标机</w:t>
                  </w:r>
                </w:p>
              </w:tc>
              <w:tc>
                <w:tcPr>
                  <w:tcW w:w="116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w:t>
                  </w:r>
                </w:p>
              </w:tc>
              <w:tc>
                <w:tcPr>
                  <w:tcW w:w="462" w:type="pct"/>
                  <w:shd w:val="clear" w:color="auto" w:fill="auto"/>
                  <w:vAlign w:val="center"/>
                </w:tcPr>
                <w:p>
                  <w:pPr>
                    <w:pStyle w:val="63"/>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auto"/>
                      <w:spacing w:val="5"/>
                      <w:sz w:val="21"/>
                      <w:szCs w:val="21"/>
                    </w:rPr>
                  </w:pPr>
                  <w:r>
                    <w:rPr>
                      <w:rFonts w:hint="default" w:ascii="Times New Roman" w:hAnsi="Times New Roman" w:cs="Times New Roman"/>
                      <w:color w:val="auto"/>
                      <w:spacing w:val="5"/>
                      <w:sz w:val="21"/>
                      <w:szCs w:val="21"/>
                    </w:rPr>
                    <w:t>1</w:t>
                  </w:r>
                </w:p>
              </w:tc>
              <w:tc>
                <w:tcPr>
                  <w:tcW w:w="467"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台</w:t>
                  </w:r>
                </w:p>
              </w:tc>
              <w:tc>
                <w:tcPr>
                  <w:tcW w:w="835"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619" w:type="pct"/>
                  <w:vMerge w:val="continue"/>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lang w:val="en-US" w:eastAsia="zh-CN"/>
                    </w:rPr>
                  </w:pPr>
                </w:p>
              </w:tc>
              <w:tc>
                <w:tcPr>
                  <w:tcW w:w="1449" w:type="pct"/>
                  <w:shd w:val="clear" w:color="auto" w:fill="auto"/>
                  <w:vAlign w:val="center"/>
                </w:tcPr>
                <w:p>
                  <w:pPr>
                    <w:pStyle w:val="63"/>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auto"/>
                      <w:spacing w:val="5"/>
                      <w:sz w:val="21"/>
                      <w:szCs w:val="21"/>
                    </w:rPr>
                  </w:pPr>
                  <w:r>
                    <w:rPr>
                      <w:rFonts w:hint="default" w:ascii="Times New Roman" w:hAnsi="Times New Roman" w:cs="Times New Roman"/>
                      <w:color w:val="auto"/>
                      <w:spacing w:val="5"/>
                      <w:sz w:val="21"/>
                      <w:szCs w:val="21"/>
                    </w:rPr>
                    <w:t>套标缩标机</w:t>
                  </w:r>
                </w:p>
              </w:tc>
              <w:tc>
                <w:tcPr>
                  <w:tcW w:w="116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w:t>
                  </w:r>
                </w:p>
              </w:tc>
              <w:tc>
                <w:tcPr>
                  <w:tcW w:w="462" w:type="pct"/>
                  <w:shd w:val="clear" w:color="auto" w:fill="auto"/>
                  <w:vAlign w:val="center"/>
                </w:tcPr>
                <w:p>
                  <w:pPr>
                    <w:pStyle w:val="63"/>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auto"/>
                      <w:spacing w:val="5"/>
                      <w:sz w:val="21"/>
                      <w:szCs w:val="21"/>
                    </w:rPr>
                  </w:pPr>
                  <w:r>
                    <w:rPr>
                      <w:rFonts w:hint="default" w:ascii="Times New Roman" w:hAnsi="Times New Roman" w:cs="Times New Roman"/>
                      <w:color w:val="auto"/>
                      <w:spacing w:val="5"/>
                      <w:sz w:val="21"/>
                      <w:szCs w:val="21"/>
                    </w:rPr>
                    <w:t>1</w:t>
                  </w:r>
                </w:p>
              </w:tc>
              <w:tc>
                <w:tcPr>
                  <w:tcW w:w="467"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台</w:t>
                  </w:r>
                </w:p>
              </w:tc>
              <w:tc>
                <w:tcPr>
                  <w:tcW w:w="835"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619" w:type="pct"/>
                  <w:vMerge w:val="continue"/>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lang w:val="en-US" w:eastAsia="zh-CN"/>
                    </w:rPr>
                  </w:pPr>
                </w:p>
              </w:tc>
              <w:tc>
                <w:tcPr>
                  <w:tcW w:w="1449" w:type="pct"/>
                  <w:shd w:val="clear" w:color="auto" w:fill="auto"/>
                  <w:vAlign w:val="center"/>
                </w:tcPr>
                <w:p>
                  <w:pPr>
                    <w:pStyle w:val="63"/>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auto"/>
                      <w:spacing w:val="5"/>
                      <w:sz w:val="21"/>
                      <w:szCs w:val="21"/>
                    </w:rPr>
                  </w:pPr>
                  <w:r>
                    <w:rPr>
                      <w:rFonts w:hint="default" w:ascii="Times New Roman" w:hAnsi="Times New Roman" w:cs="Times New Roman"/>
                      <w:color w:val="auto"/>
                      <w:spacing w:val="5"/>
                      <w:sz w:val="21"/>
                      <w:szCs w:val="21"/>
                    </w:rPr>
                    <w:t>热力收缩膜包机</w:t>
                  </w:r>
                </w:p>
              </w:tc>
              <w:tc>
                <w:tcPr>
                  <w:tcW w:w="116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w:t>
                  </w:r>
                </w:p>
              </w:tc>
              <w:tc>
                <w:tcPr>
                  <w:tcW w:w="462" w:type="pct"/>
                  <w:shd w:val="clear" w:color="auto" w:fill="auto"/>
                  <w:vAlign w:val="center"/>
                </w:tcPr>
                <w:p>
                  <w:pPr>
                    <w:pStyle w:val="63"/>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auto"/>
                      <w:spacing w:val="5"/>
                      <w:sz w:val="21"/>
                      <w:szCs w:val="21"/>
                    </w:rPr>
                  </w:pPr>
                  <w:r>
                    <w:rPr>
                      <w:rFonts w:hint="default" w:ascii="Times New Roman" w:hAnsi="Times New Roman" w:cs="Times New Roman"/>
                      <w:color w:val="auto"/>
                      <w:spacing w:val="5"/>
                      <w:sz w:val="21"/>
                      <w:szCs w:val="21"/>
                    </w:rPr>
                    <w:t>1</w:t>
                  </w:r>
                </w:p>
              </w:tc>
              <w:tc>
                <w:tcPr>
                  <w:tcW w:w="467"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台</w:t>
                  </w:r>
                </w:p>
              </w:tc>
              <w:tc>
                <w:tcPr>
                  <w:tcW w:w="835"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619" w:type="pct"/>
                  <w:vMerge w:val="continue"/>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lang w:val="en-US" w:eastAsia="zh-CN"/>
                    </w:rPr>
                  </w:pPr>
                </w:p>
              </w:tc>
              <w:tc>
                <w:tcPr>
                  <w:tcW w:w="1449" w:type="pct"/>
                  <w:shd w:val="clear" w:color="auto" w:fill="auto"/>
                  <w:vAlign w:val="center"/>
                </w:tcPr>
                <w:p>
                  <w:pPr>
                    <w:pStyle w:val="63"/>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auto"/>
                      <w:spacing w:val="5"/>
                      <w:sz w:val="21"/>
                      <w:szCs w:val="21"/>
                    </w:rPr>
                  </w:pPr>
                  <w:r>
                    <w:rPr>
                      <w:rFonts w:hint="default" w:ascii="Times New Roman" w:hAnsi="Times New Roman" w:cs="Times New Roman"/>
                      <w:color w:val="auto"/>
                      <w:spacing w:val="5"/>
                      <w:sz w:val="21"/>
                      <w:szCs w:val="21"/>
                    </w:rPr>
                    <w:t>自动装箱机</w:t>
                  </w:r>
                </w:p>
              </w:tc>
              <w:tc>
                <w:tcPr>
                  <w:tcW w:w="116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w:t>
                  </w:r>
                </w:p>
              </w:tc>
              <w:tc>
                <w:tcPr>
                  <w:tcW w:w="462" w:type="pct"/>
                  <w:shd w:val="clear" w:color="auto" w:fill="auto"/>
                  <w:vAlign w:val="center"/>
                </w:tcPr>
                <w:p>
                  <w:pPr>
                    <w:pStyle w:val="63"/>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cs="Times New Roman"/>
                      <w:color w:val="auto"/>
                      <w:spacing w:val="5"/>
                      <w:sz w:val="21"/>
                      <w:szCs w:val="21"/>
                    </w:rPr>
                  </w:pPr>
                  <w:r>
                    <w:rPr>
                      <w:rFonts w:hint="default" w:ascii="Times New Roman" w:hAnsi="Times New Roman" w:cs="Times New Roman"/>
                      <w:color w:val="auto"/>
                      <w:spacing w:val="5"/>
                      <w:sz w:val="21"/>
                      <w:szCs w:val="21"/>
                    </w:rPr>
                    <w:t>1</w:t>
                  </w:r>
                </w:p>
              </w:tc>
              <w:tc>
                <w:tcPr>
                  <w:tcW w:w="467"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台</w:t>
                  </w:r>
                </w:p>
              </w:tc>
              <w:tc>
                <w:tcPr>
                  <w:tcW w:w="835"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619" w:type="pct"/>
                  <w:vMerge w:val="continue"/>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cs="Times New Roman"/>
                      <w:color w:val="auto"/>
                      <w:sz w:val="21"/>
                      <w:szCs w:val="21"/>
                      <w:highlight w:val="none"/>
                      <w:lang w:val="en-US" w:eastAsia="zh-CN"/>
                    </w:rPr>
                  </w:pPr>
                </w:p>
              </w:tc>
              <w:tc>
                <w:tcPr>
                  <w:tcW w:w="1449"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龙门码垛机</w:t>
                  </w:r>
                </w:p>
              </w:tc>
              <w:tc>
                <w:tcPr>
                  <w:tcW w:w="116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kern w:val="2"/>
                      <w:sz w:val="21"/>
                      <w:szCs w:val="21"/>
                      <w:highlight w:val="none"/>
                      <w:vertAlign w:val="baseline"/>
                      <w:lang w:val="en-US" w:eastAsia="zh-CN" w:bidi="ar-SA"/>
                    </w:rPr>
                    <w:t>/</w:t>
                  </w:r>
                </w:p>
              </w:tc>
              <w:tc>
                <w:tcPr>
                  <w:tcW w:w="462"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1</w:t>
                  </w:r>
                </w:p>
              </w:tc>
              <w:tc>
                <w:tcPr>
                  <w:tcW w:w="467"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kern w:val="2"/>
                      <w:sz w:val="21"/>
                      <w:szCs w:val="21"/>
                      <w:highlight w:val="none"/>
                      <w:vertAlign w:val="baseline"/>
                      <w:lang w:val="en-US" w:eastAsia="zh-CN" w:bidi="ar-SA"/>
                    </w:rPr>
                    <w:t>台</w:t>
                  </w:r>
                </w:p>
              </w:tc>
              <w:tc>
                <w:tcPr>
                  <w:tcW w:w="835" w:type="pct"/>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619" w:type="pct"/>
                  <w:vMerge w:val="restart"/>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lang w:val="en-US" w:eastAsia="zh-CN"/>
                    </w:rPr>
                    <w:t>果汁饮料</w:t>
                  </w:r>
                </w:p>
              </w:tc>
              <w:tc>
                <w:tcPr>
                  <w:tcW w:w="1449"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水处理设备</w:t>
                  </w:r>
                </w:p>
              </w:tc>
              <w:tc>
                <w:tcPr>
                  <w:tcW w:w="116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20T/H</w:t>
                  </w:r>
                </w:p>
              </w:tc>
              <w:tc>
                <w:tcPr>
                  <w:tcW w:w="462"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1</w:t>
                  </w:r>
                </w:p>
              </w:tc>
              <w:tc>
                <w:tcPr>
                  <w:tcW w:w="467"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vertAlign w:val="baseline"/>
                      <w:lang w:val="en-US" w:eastAsia="zh-CN"/>
                    </w:rPr>
                    <w:t>套</w:t>
                  </w:r>
                </w:p>
              </w:tc>
              <w:tc>
                <w:tcPr>
                  <w:tcW w:w="835" w:type="pct"/>
                  <w:vMerge w:val="restart"/>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碳酸饮料生产线共用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619" w:type="pct"/>
                  <w:vMerge w:val="continue"/>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eastAsia="zh-CN"/>
                    </w:rPr>
                  </w:pPr>
                </w:p>
              </w:tc>
              <w:tc>
                <w:tcPr>
                  <w:tcW w:w="1449"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纯水罐</w:t>
                  </w:r>
                </w:p>
              </w:tc>
              <w:tc>
                <w:tcPr>
                  <w:tcW w:w="116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5T</w:t>
                  </w:r>
                </w:p>
              </w:tc>
              <w:tc>
                <w:tcPr>
                  <w:tcW w:w="462"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1</w:t>
                  </w:r>
                </w:p>
              </w:tc>
              <w:tc>
                <w:tcPr>
                  <w:tcW w:w="467"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kern w:val="2"/>
                      <w:sz w:val="21"/>
                      <w:szCs w:val="21"/>
                      <w:highlight w:val="none"/>
                      <w:vertAlign w:val="baseline"/>
                      <w:lang w:val="en-US" w:eastAsia="zh-CN" w:bidi="ar-SA"/>
                    </w:rPr>
                    <w:t>台</w:t>
                  </w:r>
                </w:p>
              </w:tc>
              <w:tc>
                <w:tcPr>
                  <w:tcW w:w="835" w:type="pct"/>
                  <w:vMerge w:val="continue"/>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619" w:type="pct"/>
                  <w:vMerge w:val="continue"/>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eastAsia="zh-CN"/>
                    </w:rPr>
                  </w:pPr>
                </w:p>
              </w:tc>
              <w:tc>
                <w:tcPr>
                  <w:tcW w:w="1449"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热水罐</w:t>
                  </w:r>
                </w:p>
              </w:tc>
              <w:tc>
                <w:tcPr>
                  <w:tcW w:w="116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5T</w:t>
                  </w:r>
                </w:p>
              </w:tc>
              <w:tc>
                <w:tcPr>
                  <w:tcW w:w="462"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1</w:t>
                  </w:r>
                </w:p>
              </w:tc>
              <w:tc>
                <w:tcPr>
                  <w:tcW w:w="467"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kern w:val="2"/>
                      <w:sz w:val="21"/>
                      <w:szCs w:val="21"/>
                      <w:highlight w:val="none"/>
                      <w:vertAlign w:val="baseline"/>
                      <w:lang w:val="en-US" w:eastAsia="zh-CN" w:bidi="ar-SA"/>
                    </w:rPr>
                    <w:t>台</w:t>
                  </w:r>
                </w:p>
              </w:tc>
              <w:tc>
                <w:tcPr>
                  <w:tcW w:w="835" w:type="pct"/>
                  <w:vMerge w:val="continue"/>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619" w:type="pct"/>
                  <w:vMerge w:val="continue"/>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eastAsia="zh-CN"/>
                    </w:rPr>
                  </w:pPr>
                </w:p>
              </w:tc>
              <w:tc>
                <w:tcPr>
                  <w:tcW w:w="1449"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化糖罐</w:t>
                  </w:r>
                </w:p>
              </w:tc>
              <w:tc>
                <w:tcPr>
                  <w:tcW w:w="116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2T</w:t>
                  </w:r>
                </w:p>
              </w:tc>
              <w:tc>
                <w:tcPr>
                  <w:tcW w:w="462"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2</w:t>
                  </w:r>
                </w:p>
              </w:tc>
              <w:tc>
                <w:tcPr>
                  <w:tcW w:w="467"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kern w:val="2"/>
                      <w:sz w:val="21"/>
                      <w:szCs w:val="21"/>
                      <w:highlight w:val="none"/>
                      <w:vertAlign w:val="baseline"/>
                      <w:lang w:val="en-US" w:eastAsia="zh-CN" w:bidi="ar-SA"/>
                    </w:rPr>
                    <w:t>台</w:t>
                  </w:r>
                </w:p>
              </w:tc>
              <w:tc>
                <w:tcPr>
                  <w:tcW w:w="835" w:type="pct"/>
                  <w:vMerge w:val="continue"/>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619" w:type="pct"/>
                  <w:vMerge w:val="continue"/>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eastAsia="zh-CN"/>
                    </w:rPr>
                  </w:pPr>
                </w:p>
              </w:tc>
              <w:tc>
                <w:tcPr>
                  <w:tcW w:w="1449"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果汁离心泵</w:t>
                  </w:r>
                </w:p>
              </w:tc>
              <w:tc>
                <w:tcPr>
                  <w:tcW w:w="116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10T</w:t>
                  </w:r>
                </w:p>
              </w:tc>
              <w:tc>
                <w:tcPr>
                  <w:tcW w:w="462"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6</w:t>
                  </w:r>
                </w:p>
              </w:tc>
              <w:tc>
                <w:tcPr>
                  <w:tcW w:w="467"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kern w:val="2"/>
                      <w:sz w:val="21"/>
                      <w:szCs w:val="21"/>
                      <w:highlight w:val="none"/>
                      <w:vertAlign w:val="baseline"/>
                      <w:lang w:val="en-US" w:eastAsia="zh-CN" w:bidi="ar-SA"/>
                    </w:rPr>
                    <w:t>台</w:t>
                  </w:r>
                </w:p>
              </w:tc>
              <w:tc>
                <w:tcPr>
                  <w:tcW w:w="835" w:type="pct"/>
                  <w:vMerge w:val="continue"/>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619" w:type="pct"/>
                  <w:vMerge w:val="continue"/>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eastAsia="zh-CN"/>
                    </w:rPr>
                  </w:pPr>
                </w:p>
              </w:tc>
              <w:tc>
                <w:tcPr>
                  <w:tcW w:w="1449"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配料罐</w:t>
                  </w:r>
                </w:p>
              </w:tc>
              <w:tc>
                <w:tcPr>
                  <w:tcW w:w="116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6T</w:t>
                  </w:r>
                </w:p>
              </w:tc>
              <w:tc>
                <w:tcPr>
                  <w:tcW w:w="462"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4</w:t>
                  </w:r>
                </w:p>
              </w:tc>
              <w:tc>
                <w:tcPr>
                  <w:tcW w:w="467"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kern w:val="2"/>
                      <w:sz w:val="21"/>
                      <w:szCs w:val="21"/>
                      <w:highlight w:val="none"/>
                      <w:vertAlign w:val="baseline"/>
                      <w:lang w:val="en-US" w:eastAsia="zh-CN" w:bidi="ar-SA"/>
                    </w:rPr>
                    <w:t>台</w:t>
                  </w:r>
                </w:p>
              </w:tc>
              <w:tc>
                <w:tcPr>
                  <w:tcW w:w="835" w:type="pct"/>
                  <w:vMerge w:val="continue"/>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619" w:type="pct"/>
                  <w:vMerge w:val="continue"/>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eastAsia="zh-CN"/>
                    </w:rPr>
                  </w:pPr>
                </w:p>
              </w:tc>
              <w:tc>
                <w:tcPr>
                  <w:tcW w:w="1449"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双联过滤器</w:t>
                  </w:r>
                </w:p>
              </w:tc>
              <w:tc>
                <w:tcPr>
                  <w:tcW w:w="116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w:t>
                  </w:r>
                </w:p>
              </w:tc>
              <w:tc>
                <w:tcPr>
                  <w:tcW w:w="462"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4</w:t>
                  </w:r>
                </w:p>
              </w:tc>
              <w:tc>
                <w:tcPr>
                  <w:tcW w:w="467"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kern w:val="2"/>
                      <w:sz w:val="21"/>
                      <w:szCs w:val="21"/>
                      <w:highlight w:val="none"/>
                      <w:vertAlign w:val="baseline"/>
                      <w:lang w:val="en-US" w:eastAsia="zh-CN" w:bidi="ar-SA"/>
                    </w:rPr>
                    <w:t>台</w:t>
                  </w:r>
                </w:p>
              </w:tc>
              <w:tc>
                <w:tcPr>
                  <w:tcW w:w="835" w:type="pct"/>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619" w:type="pct"/>
                  <w:vMerge w:val="continue"/>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eastAsia="zh-CN"/>
                    </w:rPr>
                  </w:pPr>
                </w:p>
              </w:tc>
              <w:tc>
                <w:tcPr>
                  <w:tcW w:w="1449"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板式换热器</w:t>
                  </w:r>
                </w:p>
              </w:tc>
              <w:tc>
                <w:tcPr>
                  <w:tcW w:w="116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20T/H</w:t>
                  </w:r>
                </w:p>
              </w:tc>
              <w:tc>
                <w:tcPr>
                  <w:tcW w:w="462"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1</w:t>
                  </w:r>
                </w:p>
              </w:tc>
              <w:tc>
                <w:tcPr>
                  <w:tcW w:w="467"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kern w:val="2"/>
                      <w:sz w:val="21"/>
                      <w:szCs w:val="21"/>
                      <w:highlight w:val="none"/>
                      <w:vertAlign w:val="baseline"/>
                      <w:lang w:val="en-US" w:eastAsia="zh-CN" w:bidi="ar-SA"/>
                    </w:rPr>
                    <w:t>台</w:t>
                  </w:r>
                </w:p>
              </w:tc>
              <w:tc>
                <w:tcPr>
                  <w:tcW w:w="835" w:type="pct"/>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619" w:type="pct"/>
                  <w:vMerge w:val="continue"/>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eastAsia="zh-CN"/>
                    </w:rPr>
                  </w:pPr>
                </w:p>
              </w:tc>
              <w:tc>
                <w:tcPr>
                  <w:tcW w:w="1449"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硅藻土过滤器</w:t>
                  </w:r>
                </w:p>
              </w:tc>
              <w:tc>
                <w:tcPr>
                  <w:tcW w:w="116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5Th</w:t>
                  </w:r>
                </w:p>
              </w:tc>
              <w:tc>
                <w:tcPr>
                  <w:tcW w:w="462"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1</w:t>
                  </w:r>
                </w:p>
              </w:tc>
              <w:tc>
                <w:tcPr>
                  <w:tcW w:w="467"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kern w:val="2"/>
                      <w:sz w:val="21"/>
                      <w:szCs w:val="21"/>
                      <w:highlight w:val="none"/>
                      <w:vertAlign w:val="baseline"/>
                      <w:lang w:val="en-US" w:eastAsia="zh-CN" w:bidi="ar-SA"/>
                    </w:rPr>
                    <w:t>台</w:t>
                  </w:r>
                </w:p>
              </w:tc>
              <w:tc>
                <w:tcPr>
                  <w:tcW w:w="835" w:type="pct"/>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619" w:type="pct"/>
                  <w:vMerge w:val="continue"/>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eastAsia="zh-CN"/>
                    </w:rPr>
                  </w:pPr>
                </w:p>
              </w:tc>
              <w:tc>
                <w:tcPr>
                  <w:tcW w:w="1449"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浸提设备</w:t>
                  </w:r>
                </w:p>
              </w:tc>
              <w:tc>
                <w:tcPr>
                  <w:tcW w:w="116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3T</w:t>
                  </w:r>
                </w:p>
              </w:tc>
              <w:tc>
                <w:tcPr>
                  <w:tcW w:w="462"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2</w:t>
                  </w:r>
                </w:p>
              </w:tc>
              <w:tc>
                <w:tcPr>
                  <w:tcW w:w="467"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kern w:val="2"/>
                      <w:sz w:val="21"/>
                      <w:szCs w:val="21"/>
                      <w:highlight w:val="none"/>
                      <w:vertAlign w:val="baseline"/>
                      <w:lang w:val="en-US" w:eastAsia="zh-CN" w:bidi="ar-SA"/>
                    </w:rPr>
                    <w:t>台</w:t>
                  </w:r>
                </w:p>
              </w:tc>
              <w:tc>
                <w:tcPr>
                  <w:tcW w:w="835" w:type="pct"/>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619" w:type="pct"/>
                  <w:vMerge w:val="continue"/>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eastAsia="zh-CN"/>
                    </w:rPr>
                  </w:pPr>
                </w:p>
              </w:tc>
              <w:tc>
                <w:tcPr>
                  <w:tcW w:w="1449"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储料罐</w:t>
                  </w:r>
                </w:p>
              </w:tc>
              <w:tc>
                <w:tcPr>
                  <w:tcW w:w="116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10T</w:t>
                  </w:r>
                </w:p>
              </w:tc>
              <w:tc>
                <w:tcPr>
                  <w:tcW w:w="462"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1</w:t>
                  </w:r>
                </w:p>
              </w:tc>
              <w:tc>
                <w:tcPr>
                  <w:tcW w:w="467"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kern w:val="2"/>
                      <w:sz w:val="21"/>
                      <w:szCs w:val="21"/>
                      <w:highlight w:val="none"/>
                      <w:vertAlign w:val="baseline"/>
                      <w:lang w:val="en-US" w:eastAsia="zh-CN" w:bidi="ar-SA"/>
                    </w:rPr>
                    <w:t>台</w:t>
                  </w:r>
                </w:p>
              </w:tc>
              <w:tc>
                <w:tcPr>
                  <w:tcW w:w="835" w:type="pct"/>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619" w:type="pct"/>
                  <w:vMerge w:val="continue"/>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eastAsia="zh-CN"/>
                    </w:rPr>
                  </w:pPr>
                </w:p>
              </w:tc>
              <w:tc>
                <w:tcPr>
                  <w:tcW w:w="1449"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超高温灭菌机</w:t>
                  </w:r>
                </w:p>
              </w:tc>
              <w:tc>
                <w:tcPr>
                  <w:tcW w:w="116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6000/H</w:t>
                  </w:r>
                </w:p>
              </w:tc>
              <w:tc>
                <w:tcPr>
                  <w:tcW w:w="462"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1</w:t>
                  </w:r>
                </w:p>
              </w:tc>
              <w:tc>
                <w:tcPr>
                  <w:tcW w:w="467"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kern w:val="2"/>
                      <w:sz w:val="21"/>
                      <w:szCs w:val="21"/>
                      <w:highlight w:val="none"/>
                      <w:vertAlign w:val="baseline"/>
                      <w:lang w:val="en-US" w:eastAsia="zh-CN" w:bidi="ar-SA"/>
                    </w:rPr>
                    <w:t>台</w:t>
                  </w:r>
                </w:p>
              </w:tc>
              <w:tc>
                <w:tcPr>
                  <w:tcW w:w="835" w:type="pct"/>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619" w:type="pct"/>
                  <w:vMerge w:val="continue"/>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eastAsia="zh-CN"/>
                    </w:rPr>
                  </w:pPr>
                </w:p>
              </w:tc>
              <w:tc>
                <w:tcPr>
                  <w:tcW w:w="1449"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CIP系统</w:t>
                  </w:r>
                </w:p>
              </w:tc>
              <w:tc>
                <w:tcPr>
                  <w:tcW w:w="116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210" w:firstLineChars="100"/>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eastAsia" w:cs="Times New Roman"/>
                      <w:color w:val="auto"/>
                      <w:kern w:val="2"/>
                      <w:sz w:val="21"/>
                      <w:szCs w:val="21"/>
                      <w:highlight w:val="none"/>
                      <w:vertAlign w:val="baseline"/>
                      <w:lang w:val="en-US" w:eastAsia="zh-CN" w:bidi="ar-SA"/>
                    </w:rPr>
                    <w:t>/</w:t>
                  </w:r>
                </w:p>
              </w:tc>
              <w:tc>
                <w:tcPr>
                  <w:tcW w:w="462"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eastAsia" w:cs="Times New Roman"/>
                      <w:color w:val="auto"/>
                      <w:kern w:val="2"/>
                      <w:sz w:val="21"/>
                      <w:szCs w:val="21"/>
                      <w:highlight w:val="none"/>
                      <w:vertAlign w:val="baseline"/>
                      <w:lang w:val="en-US" w:eastAsia="zh-CN" w:bidi="ar-SA"/>
                    </w:rPr>
                    <w:t>1</w:t>
                  </w:r>
                </w:p>
              </w:tc>
              <w:tc>
                <w:tcPr>
                  <w:tcW w:w="467"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kern w:val="2"/>
                      <w:sz w:val="21"/>
                      <w:szCs w:val="21"/>
                      <w:highlight w:val="none"/>
                      <w:vertAlign w:val="baseline"/>
                      <w:lang w:val="en-US" w:eastAsia="zh-CN" w:bidi="ar-SA"/>
                    </w:rPr>
                    <w:t>套</w:t>
                  </w:r>
                </w:p>
              </w:tc>
              <w:tc>
                <w:tcPr>
                  <w:tcW w:w="835" w:type="pct"/>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619" w:type="pct"/>
                  <w:vMerge w:val="continue"/>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eastAsia="zh-CN"/>
                    </w:rPr>
                  </w:pPr>
                </w:p>
              </w:tc>
              <w:tc>
                <w:tcPr>
                  <w:tcW w:w="1449"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五合一吹灌旋机组</w:t>
                  </w:r>
                </w:p>
              </w:tc>
              <w:tc>
                <w:tcPr>
                  <w:tcW w:w="116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eastAsia="宋体" w:cs="Times New Roman"/>
                      <w:bCs/>
                      <w:color w:val="auto"/>
                      <w:sz w:val="21"/>
                      <w:szCs w:val="21"/>
                      <w:highlight w:val="none"/>
                      <w:lang w:val="en-US" w:eastAsia="zh-CN"/>
                    </w:rPr>
                    <w:t>1300908A</w:t>
                  </w:r>
                </w:p>
              </w:tc>
              <w:tc>
                <w:tcPr>
                  <w:tcW w:w="462"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1</w:t>
                  </w:r>
                </w:p>
              </w:tc>
              <w:tc>
                <w:tcPr>
                  <w:tcW w:w="467"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kern w:val="2"/>
                      <w:sz w:val="21"/>
                      <w:szCs w:val="21"/>
                      <w:highlight w:val="none"/>
                      <w:vertAlign w:val="baseline"/>
                      <w:lang w:val="en-US" w:eastAsia="zh-CN" w:bidi="ar-SA"/>
                    </w:rPr>
                    <w:t>台</w:t>
                  </w:r>
                </w:p>
              </w:tc>
              <w:tc>
                <w:tcPr>
                  <w:tcW w:w="835" w:type="pct"/>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619" w:type="pct"/>
                  <w:vMerge w:val="continue"/>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eastAsia="zh-CN"/>
                    </w:rPr>
                  </w:pPr>
                </w:p>
              </w:tc>
              <w:tc>
                <w:tcPr>
                  <w:tcW w:w="1449"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供盖及盖消毒设备</w:t>
                  </w:r>
                </w:p>
              </w:tc>
              <w:tc>
                <w:tcPr>
                  <w:tcW w:w="116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w:t>
                  </w:r>
                </w:p>
              </w:tc>
              <w:tc>
                <w:tcPr>
                  <w:tcW w:w="462"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1</w:t>
                  </w:r>
                </w:p>
              </w:tc>
              <w:tc>
                <w:tcPr>
                  <w:tcW w:w="467"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台</w:t>
                  </w:r>
                </w:p>
              </w:tc>
              <w:tc>
                <w:tcPr>
                  <w:tcW w:w="835" w:type="pct"/>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619" w:type="pct"/>
                  <w:vMerge w:val="continue"/>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eastAsia="zh-CN"/>
                    </w:rPr>
                  </w:pPr>
                </w:p>
              </w:tc>
              <w:tc>
                <w:tcPr>
                  <w:tcW w:w="1449"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输送减速机</w:t>
                  </w:r>
                </w:p>
              </w:tc>
              <w:tc>
                <w:tcPr>
                  <w:tcW w:w="116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w:t>
                  </w:r>
                </w:p>
              </w:tc>
              <w:tc>
                <w:tcPr>
                  <w:tcW w:w="462"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22</w:t>
                  </w:r>
                </w:p>
              </w:tc>
              <w:tc>
                <w:tcPr>
                  <w:tcW w:w="467"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台</w:t>
                  </w:r>
                </w:p>
              </w:tc>
              <w:tc>
                <w:tcPr>
                  <w:tcW w:w="835" w:type="pct"/>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619" w:type="pct"/>
                  <w:vMerge w:val="continue"/>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eastAsia="zh-CN"/>
                    </w:rPr>
                  </w:pPr>
                </w:p>
              </w:tc>
              <w:tc>
                <w:tcPr>
                  <w:tcW w:w="1449"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喷淋冷却机</w:t>
                  </w:r>
                </w:p>
              </w:tc>
              <w:tc>
                <w:tcPr>
                  <w:tcW w:w="116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w:t>
                  </w:r>
                </w:p>
              </w:tc>
              <w:tc>
                <w:tcPr>
                  <w:tcW w:w="462"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1</w:t>
                  </w:r>
                </w:p>
              </w:tc>
              <w:tc>
                <w:tcPr>
                  <w:tcW w:w="467" w:type="pct"/>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台</w:t>
                  </w:r>
                </w:p>
              </w:tc>
              <w:tc>
                <w:tcPr>
                  <w:tcW w:w="835" w:type="pct"/>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619" w:type="pct"/>
                  <w:vMerge w:val="continue"/>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eastAsia="zh-CN"/>
                    </w:rPr>
                  </w:pPr>
                </w:p>
              </w:tc>
              <w:tc>
                <w:tcPr>
                  <w:tcW w:w="1449"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热风机</w:t>
                  </w:r>
                </w:p>
              </w:tc>
              <w:tc>
                <w:tcPr>
                  <w:tcW w:w="116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eastAsiaTheme="minorEastAsia"/>
                      <w:color w:val="auto"/>
                      <w:kern w:val="2"/>
                      <w:sz w:val="21"/>
                      <w:szCs w:val="21"/>
                      <w:highlight w:val="none"/>
                      <w:vertAlign w:val="baseline"/>
                      <w:lang w:val="en-US" w:eastAsia="zh-CN" w:bidi="ar-SA"/>
                    </w:rPr>
                    <w:t>/</w:t>
                  </w:r>
                </w:p>
              </w:tc>
              <w:tc>
                <w:tcPr>
                  <w:tcW w:w="462"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2</w:t>
                  </w:r>
                </w:p>
              </w:tc>
              <w:tc>
                <w:tcPr>
                  <w:tcW w:w="467"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台</w:t>
                  </w:r>
                </w:p>
              </w:tc>
              <w:tc>
                <w:tcPr>
                  <w:tcW w:w="835" w:type="pct"/>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619" w:type="pct"/>
                  <w:vMerge w:val="continue"/>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eastAsia="zh-CN"/>
                    </w:rPr>
                  </w:pPr>
                </w:p>
              </w:tc>
              <w:tc>
                <w:tcPr>
                  <w:tcW w:w="1449"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激光打码机</w:t>
                  </w:r>
                </w:p>
              </w:tc>
              <w:tc>
                <w:tcPr>
                  <w:tcW w:w="116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eastAsiaTheme="minorEastAsia"/>
                      <w:color w:val="auto"/>
                      <w:kern w:val="2"/>
                      <w:sz w:val="21"/>
                      <w:szCs w:val="21"/>
                      <w:highlight w:val="none"/>
                      <w:vertAlign w:val="baseline"/>
                      <w:lang w:val="en-US" w:eastAsia="zh-CN" w:bidi="ar-SA"/>
                    </w:rPr>
                    <w:t>/</w:t>
                  </w:r>
                </w:p>
              </w:tc>
              <w:tc>
                <w:tcPr>
                  <w:tcW w:w="462"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1</w:t>
                  </w:r>
                </w:p>
              </w:tc>
              <w:tc>
                <w:tcPr>
                  <w:tcW w:w="467" w:type="pct"/>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台</w:t>
                  </w:r>
                </w:p>
              </w:tc>
              <w:tc>
                <w:tcPr>
                  <w:tcW w:w="835" w:type="pct"/>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619" w:type="pct"/>
                  <w:vMerge w:val="continue"/>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eastAsia="zh-CN"/>
                    </w:rPr>
                  </w:pPr>
                </w:p>
              </w:tc>
              <w:tc>
                <w:tcPr>
                  <w:tcW w:w="1449"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视觉检测机</w:t>
                  </w:r>
                </w:p>
              </w:tc>
              <w:tc>
                <w:tcPr>
                  <w:tcW w:w="116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eastAsiaTheme="minorEastAsia"/>
                      <w:color w:val="auto"/>
                      <w:kern w:val="2"/>
                      <w:sz w:val="21"/>
                      <w:szCs w:val="21"/>
                      <w:highlight w:val="none"/>
                      <w:vertAlign w:val="baseline"/>
                      <w:lang w:val="en-US" w:eastAsia="zh-CN" w:bidi="ar-SA"/>
                    </w:rPr>
                    <w:t>/</w:t>
                  </w:r>
                </w:p>
              </w:tc>
              <w:tc>
                <w:tcPr>
                  <w:tcW w:w="462"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1</w:t>
                  </w:r>
                </w:p>
              </w:tc>
              <w:tc>
                <w:tcPr>
                  <w:tcW w:w="467"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台</w:t>
                  </w:r>
                </w:p>
              </w:tc>
              <w:tc>
                <w:tcPr>
                  <w:tcW w:w="835" w:type="pct"/>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619" w:type="pct"/>
                  <w:vMerge w:val="continue"/>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eastAsia="zh-CN"/>
                    </w:rPr>
                  </w:pPr>
                </w:p>
              </w:tc>
              <w:tc>
                <w:tcPr>
                  <w:tcW w:w="1449"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贴标机</w:t>
                  </w:r>
                </w:p>
              </w:tc>
              <w:tc>
                <w:tcPr>
                  <w:tcW w:w="116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eastAsiaTheme="minorEastAsia"/>
                      <w:color w:val="auto"/>
                      <w:kern w:val="2"/>
                      <w:sz w:val="21"/>
                      <w:szCs w:val="21"/>
                      <w:highlight w:val="none"/>
                      <w:vertAlign w:val="baseline"/>
                      <w:lang w:val="en-US" w:eastAsia="zh-CN" w:bidi="ar-SA"/>
                    </w:rPr>
                    <w:t>/</w:t>
                  </w:r>
                </w:p>
              </w:tc>
              <w:tc>
                <w:tcPr>
                  <w:tcW w:w="462"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1</w:t>
                  </w:r>
                </w:p>
              </w:tc>
              <w:tc>
                <w:tcPr>
                  <w:tcW w:w="467" w:type="pct"/>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台</w:t>
                  </w:r>
                </w:p>
              </w:tc>
              <w:tc>
                <w:tcPr>
                  <w:tcW w:w="835" w:type="pct"/>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619" w:type="pct"/>
                  <w:vMerge w:val="continue"/>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eastAsia="zh-CN"/>
                    </w:rPr>
                  </w:pPr>
                </w:p>
              </w:tc>
              <w:tc>
                <w:tcPr>
                  <w:tcW w:w="1449"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套标缩标机</w:t>
                  </w:r>
                </w:p>
              </w:tc>
              <w:tc>
                <w:tcPr>
                  <w:tcW w:w="116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eastAsiaTheme="minorEastAsia"/>
                      <w:color w:val="auto"/>
                      <w:kern w:val="2"/>
                      <w:sz w:val="21"/>
                      <w:szCs w:val="21"/>
                      <w:highlight w:val="none"/>
                      <w:vertAlign w:val="baseline"/>
                      <w:lang w:val="en-US" w:eastAsia="zh-CN" w:bidi="ar-SA"/>
                    </w:rPr>
                    <w:t>/</w:t>
                  </w:r>
                </w:p>
              </w:tc>
              <w:tc>
                <w:tcPr>
                  <w:tcW w:w="462"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1</w:t>
                  </w:r>
                </w:p>
              </w:tc>
              <w:tc>
                <w:tcPr>
                  <w:tcW w:w="467"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台</w:t>
                  </w:r>
                </w:p>
              </w:tc>
              <w:tc>
                <w:tcPr>
                  <w:tcW w:w="835" w:type="pct"/>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619" w:type="pct"/>
                  <w:vMerge w:val="continue"/>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eastAsia="zh-CN"/>
                    </w:rPr>
                  </w:pPr>
                </w:p>
              </w:tc>
              <w:tc>
                <w:tcPr>
                  <w:tcW w:w="1449"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热力收缩膜包机</w:t>
                  </w:r>
                </w:p>
              </w:tc>
              <w:tc>
                <w:tcPr>
                  <w:tcW w:w="116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eastAsiaTheme="minorEastAsia"/>
                      <w:color w:val="auto"/>
                      <w:kern w:val="2"/>
                      <w:sz w:val="21"/>
                      <w:szCs w:val="21"/>
                      <w:highlight w:val="none"/>
                      <w:vertAlign w:val="baseline"/>
                      <w:lang w:val="en-US" w:eastAsia="zh-CN" w:bidi="ar-SA"/>
                    </w:rPr>
                    <w:t>/</w:t>
                  </w:r>
                </w:p>
              </w:tc>
              <w:tc>
                <w:tcPr>
                  <w:tcW w:w="462"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1</w:t>
                  </w:r>
                </w:p>
              </w:tc>
              <w:tc>
                <w:tcPr>
                  <w:tcW w:w="467" w:type="pct"/>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台</w:t>
                  </w:r>
                </w:p>
              </w:tc>
              <w:tc>
                <w:tcPr>
                  <w:tcW w:w="835" w:type="pct"/>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619" w:type="pct"/>
                  <w:vMerge w:val="continue"/>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eastAsia="zh-CN"/>
                    </w:rPr>
                  </w:pPr>
                </w:p>
              </w:tc>
              <w:tc>
                <w:tcPr>
                  <w:tcW w:w="1449"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自动装箱机</w:t>
                  </w:r>
                </w:p>
              </w:tc>
              <w:tc>
                <w:tcPr>
                  <w:tcW w:w="116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eastAsiaTheme="minorEastAsia"/>
                      <w:color w:val="auto"/>
                      <w:kern w:val="2"/>
                      <w:sz w:val="21"/>
                      <w:szCs w:val="21"/>
                      <w:highlight w:val="none"/>
                      <w:vertAlign w:val="baseline"/>
                      <w:lang w:val="en-US" w:eastAsia="zh-CN" w:bidi="ar-SA"/>
                    </w:rPr>
                    <w:t>/</w:t>
                  </w:r>
                </w:p>
              </w:tc>
              <w:tc>
                <w:tcPr>
                  <w:tcW w:w="462"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1</w:t>
                  </w:r>
                </w:p>
              </w:tc>
              <w:tc>
                <w:tcPr>
                  <w:tcW w:w="467"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台</w:t>
                  </w:r>
                </w:p>
              </w:tc>
              <w:tc>
                <w:tcPr>
                  <w:tcW w:w="835" w:type="pct"/>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619" w:type="pct"/>
                  <w:vMerge w:val="continue"/>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eastAsia="zh-CN"/>
                    </w:rPr>
                  </w:pPr>
                </w:p>
              </w:tc>
              <w:tc>
                <w:tcPr>
                  <w:tcW w:w="1449"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龙门码垛机</w:t>
                  </w:r>
                </w:p>
              </w:tc>
              <w:tc>
                <w:tcPr>
                  <w:tcW w:w="116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w:t>
                  </w:r>
                </w:p>
              </w:tc>
              <w:tc>
                <w:tcPr>
                  <w:tcW w:w="462"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1</w:t>
                  </w:r>
                </w:p>
              </w:tc>
              <w:tc>
                <w:tcPr>
                  <w:tcW w:w="467" w:type="pct"/>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台</w:t>
                  </w:r>
                </w:p>
              </w:tc>
              <w:tc>
                <w:tcPr>
                  <w:tcW w:w="835" w:type="pct"/>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619" w:type="pct"/>
                  <w:vMerge w:val="restart"/>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lang w:val="en-US" w:eastAsia="zh-CN"/>
                    </w:rPr>
                    <w:t>碳酸饮料</w:t>
                  </w:r>
                </w:p>
              </w:tc>
              <w:tc>
                <w:tcPr>
                  <w:tcW w:w="1449"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混合机组</w:t>
                  </w:r>
                </w:p>
              </w:tc>
              <w:tc>
                <w:tcPr>
                  <w:tcW w:w="116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eastAsiaTheme="minorEastAsia"/>
                      <w:color w:val="auto"/>
                      <w:kern w:val="2"/>
                      <w:sz w:val="21"/>
                      <w:szCs w:val="21"/>
                      <w:highlight w:val="none"/>
                      <w:vertAlign w:val="baseline"/>
                      <w:lang w:val="en-US" w:eastAsia="zh-CN" w:bidi="ar-SA"/>
                    </w:rPr>
                    <w:t>/</w:t>
                  </w:r>
                </w:p>
              </w:tc>
              <w:tc>
                <w:tcPr>
                  <w:tcW w:w="462"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1</w:t>
                  </w:r>
                </w:p>
              </w:tc>
              <w:tc>
                <w:tcPr>
                  <w:tcW w:w="467"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台</w:t>
                  </w:r>
                </w:p>
              </w:tc>
              <w:tc>
                <w:tcPr>
                  <w:tcW w:w="835" w:type="pct"/>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619" w:type="pct"/>
                  <w:vMerge w:val="continue"/>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eastAsia="zh-CN"/>
                    </w:rPr>
                  </w:pPr>
                </w:p>
              </w:tc>
              <w:tc>
                <w:tcPr>
                  <w:tcW w:w="2309"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CIP系统</w:t>
                  </w:r>
                </w:p>
              </w:tc>
              <w:tc>
                <w:tcPr>
                  <w:tcW w:w="1857"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210" w:firstLineChars="10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cs="Times New Roman"/>
                      <w:color w:val="auto"/>
                      <w:kern w:val="2"/>
                      <w:sz w:val="21"/>
                      <w:szCs w:val="21"/>
                      <w:highlight w:val="none"/>
                      <w:vertAlign w:val="baseline"/>
                      <w:lang w:val="en-US" w:eastAsia="zh-CN" w:bidi="ar-SA"/>
                    </w:rPr>
                    <w:t>/</w:t>
                  </w:r>
                </w:p>
              </w:tc>
              <w:tc>
                <w:tcPr>
                  <w:tcW w:w="736"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cs="Times New Roman"/>
                      <w:color w:val="auto"/>
                      <w:kern w:val="2"/>
                      <w:sz w:val="21"/>
                      <w:szCs w:val="21"/>
                      <w:highlight w:val="none"/>
                      <w:vertAlign w:val="baseline"/>
                      <w:lang w:val="en-US" w:eastAsia="zh-CN" w:bidi="ar-SA"/>
                    </w:rPr>
                    <w:t>1</w:t>
                  </w:r>
                </w:p>
              </w:tc>
              <w:tc>
                <w:tcPr>
                  <w:tcW w:w="744" w:type="dxa"/>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cs="Times New Roman"/>
                      <w:color w:val="auto"/>
                      <w:kern w:val="2"/>
                      <w:sz w:val="21"/>
                      <w:szCs w:val="21"/>
                      <w:highlight w:val="none"/>
                      <w:vertAlign w:val="baseline"/>
                      <w:lang w:val="en-US" w:eastAsia="zh-CN" w:bidi="ar-SA"/>
                    </w:rPr>
                    <w:t>套</w:t>
                  </w:r>
                </w:p>
              </w:tc>
              <w:tc>
                <w:tcPr>
                  <w:tcW w:w="1331" w:type="dxa"/>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619" w:type="pct"/>
                  <w:vMerge w:val="continue"/>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eastAsia="zh-CN"/>
                    </w:rPr>
                  </w:pPr>
                </w:p>
              </w:tc>
              <w:tc>
                <w:tcPr>
                  <w:tcW w:w="1449"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冷冻机组</w:t>
                  </w:r>
                </w:p>
              </w:tc>
              <w:tc>
                <w:tcPr>
                  <w:tcW w:w="116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w:t>
                  </w:r>
                </w:p>
              </w:tc>
              <w:tc>
                <w:tcPr>
                  <w:tcW w:w="462"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1</w:t>
                  </w:r>
                </w:p>
              </w:tc>
              <w:tc>
                <w:tcPr>
                  <w:tcW w:w="467"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eastAsia" w:cs="Times New Roman"/>
                      <w:color w:val="auto"/>
                      <w:kern w:val="2"/>
                      <w:sz w:val="21"/>
                      <w:szCs w:val="21"/>
                      <w:highlight w:val="none"/>
                      <w:vertAlign w:val="baseline"/>
                      <w:lang w:val="en-US" w:eastAsia="zh-CN" w:bidi="ar-SA"/>
                    </w:rPr>
                    <w:t>套</w:t>
                  </w:r>
                </w:p>
              </w:tc>
              <w:tc>
                <w:tcPr>
                  <w:tcW w:w="835" w:type="pct"/>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619" w:type="pct"/>
                  <w:vMerge w:val="continue"/>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eastAsia="zh-CN"/>
                    </w:rPr>
                  </w:pPr>
                </w:p>
              </w:tc>
              <w:tc>
                <w:tcPr>
                  <w:tcW w:w="1449"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等压灌装组</w:t>
                  </w:r>
                </w:p>
              </w:tc>
              <w:tc>
                <w:tcPr>
                  <w:tcW w:w="116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15000PBH</w:t>
                  </w:r>
                </w:p>
              </w:tc>
              <w:tc>
                <w:tcPr>
                  <w:tcW w:w="462"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1</w:t>
                  </w:r>
                </w:p>
              </w:tc>
              <w:tc>
                <w:tcPr>
                  <w:tcW w:w="467"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台</w:t>
                  </w:r>
                </w:p>
              </w:tc>
              <w:tc>
                <w:tcPr>
                  <w:tcW w:w="835" w:type="pct"/>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619" w:type="pct"/>
                  <w:vMerge w:val="continue"/>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eastAsia="zh-CN"/>
                    </w:rPr>
                  </w:pPr>
                </w:p>
              </w:tc>
              <w:tc>
                <w:tcPr>
                  <w:tcW w:w="1449"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供盖及盖消毒设备</w:t>
                  </w:r>
                </w:p>
              </w:tc>
              <w:tc>
                <w:tcPr>
                  <w:tcW w:w="116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kern w:val="2"/>
                      <w:sz w:val="21"/>
                      <w:szCs w:val="21"/>
                      <w:highlight w:val="none"/>
                      <w:vertAlign w:val="baseline"/>
                      <w:lang w:val="en-US" w:eastAsia="zh-CN" w:bidi="ar-SA"/>
                    </w:rPr>
                  </w:pPr>
                  <w:r>
                    <w:rPr>
                      <w:rFonts w:hint="default" w:ascii="Times New Roman" w:hAnsi="Times New Roman" w:cs="Times New Roman" w:eastAsiaTheme="minorEastAsia"/>
                      <w:color w:val="auto"/>
                      <w:kern w:val="2"/>
                      <w:sz w:val="21"/>
                      <w:szCs w:val="21"/>
                      <w:highlight w:val="none"/>
                      <w:vertAlign w:val="baseline"/>
                      <w:lang w:val="en-US" w:eastAsia="zh-CN" w:bidi="ar-SA"/>
                    </w:rPr>
                    <w:t>/</w:t>
                  </w:r>
                </w:p>
              </w:tc>
              <w:tc>
                <w:tcPr>
                  <w:tcW w:w="462"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1</w:t>
                  </w:r>
                </w:p>
              </w:tc>
              <w:tc>
                <w:tcPr>
                  <w:tcW w:w="467"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kern w:val="2"/>
                      <w:sz w:val="21"/>
                      <w:szCs w:val="21"/>
                      <w:highlight w:val="none"/>
                      <w:vertAlign w:val="baseline"/>
                      <w:lang w:val="en-US" w:eastAsia="zh-CN" w:bidi="ar-SA"/>
                    </w:rPr>
                    <w:t>台</w:t>
                  </w:r>
                </w:p>
              </w:tc>
              <w:tc>
                <w:tcPr>
                  <w:tcW w:w="835" w:type="pct"/>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619" w:type="pct"/>
                  <w:vMerge w:val="continue"/>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eastAsia="zh-CN"/>
                    </w:rPr>
                  </w:pPr>
                </w:p>
              </w:tc>
              <w:tc>
                <w:tcPr>
                  <w:tcW w:w="1449"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输送线减速机</w:t>
                  </w:r>
                </w:p>
              </w:tc>
              <w:tc>
                <w:tcPr>
                  <w:tcW w:w="116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w:t>
                  </w:r>
                </w:p>
              </w:tc>
              <w:tc>
                <w:tcPr>
                  <w:tcW w:w="462"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18</w:t>
                  </w:r>
                </w:p>
              </w:tc>
              <w:tc>
                <w:tcPr>
                  <w:tcW w:w="467"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台</w:t>
                  </w:r>
                </w:p>
              </w:tc>
              <w:tc>
                <w:tcPr>
                  <w:tcW w:w="835" w:type="pct"/>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619" w:type="pct"/>
                  <w:vMerge w:val="restart"/>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lang w:val="en-US" w:eastAsia="zh-CN"/>
                    </w:rPr>
                    <w:t>包装饮用水</w:t>
                  </w:r>
                </w:p>
              </w:tc>
              <w:tc>
                <w:tcPr>
                  <w:tcW w:w="1449"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水处理设备</w:t>
                  </w:r>
                </w:p>
              </w:tc>
              <w:tc>
                <w:tcPr>
                  <w:tcW w:w="116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20T/H</w:t>
                  </w:r>
                </w:p>
              </w:tc>
              <w:tc>
                <w:tcPr>
                  <w:tcW w:w="462"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1</w:t>
                  </w:r>
                </w:p>
              </w:tc>
              <w:tc>
                <w:tcPr>
                  <w:tcW w:w="467"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套</w:t>
                  </w:r>
                </w:p>
              </w:tc>
              <w:tc>
                <w:tcPr>
                  <w:tcW w:w="835" w:type="pct"/>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619" w:type="pct"/>
                  <w:vMerge w:val="continue"/>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eastAsia="zh-CN"/>
                    </w:rPr>
                  </w:pPr>
                </w:p>
              </w:tc>
              <w:tc>
                <w:tcPr>
                  <w:tcW w:w="1449"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原水罐（带水泵）</w:t>
                  </w:r>
                </w:p>
              </w:tc>
              <w:tc>
                <w:tcPr>
                  <w:tcW w:w="116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5T</w:t>
                  </w:r>
                </w:p>
              </w:tc>
              <w:tc>
                <w:tcPr>
                  <w:tcW w:w="462"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1</w:t>
                  </w:r>
                </w:p>
              </w:tc>
              <w:tc>
                <w:tcPr>
                  <w:tcW w:w="467"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台</w:t>
                  </w:r>
                </w:p>
              </w:tc>
              <w:tc>
                <w:tcPr>
                  <w:tcW w:w="835" w:type="pct"/>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619" w:type="pct"/>
                  <w:vMerge w:val="continue"/>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eastAsia="zh-CN"/>
                    </w:rPr>
                  </w:pPr>
                </w:p>
              </w:tc>
              <w:tc>
                <w:tcPr>
                  <w:tcW w:w="1449"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石英砂过滤罐</w:t>
                  </w:r>
                </w:p>
              </w:tc>
              <w:tc>
                <w:tcPr>
                  <w:tcW w:w="116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5T</w:t>
                  </w:r>
                </w:p>
              </w:tc>
              <w:tc>
                <w:tcPr>
                  <w:tcW w:w="462"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1</w:t>
                  </w:r>
                </w:p>
              </w:tc>
              <w:tc>
                <w:tcPr>
                  <w:tcW w:w="467"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台</w:t>
                  </w:r>
                </w:p>
              </w:tc>
              <w:tc>
                <w:tcPr>
                  <w:tcW w:w="835" w:type="pct"/>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619" w:type="pct"/>
                  <w:vMerge w:val="continue"/>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eastAsia="zh-CN"/>
                    </w:rPr>
                  </w:pPr>
                </w:p>
              </w:tc>
              <w:tc>
                <w:tcPr>
                  <w:tcW w:w="1449"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活性炭过滤罐</w:t>
                  </w:r>
                </w:p>
              </w:tc>
              <w:tc>
                <w:tcPr>
                  <w:tcW w:w="116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5T</w:t>
                  </w:r>
                </w:p>
              </w:tc>
              <w:tc>
                <w:tcPr>
                  <w:tcW w:w="462"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1</w:t>
                  </w:r>
                </w:p>
              </w:tc>
              <w:tc>
                <w:tcPr>
                  <w:tcW w:w="467"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台</w:t>
                  </w:r>
                </w:p>
              </w:tc>
              <w:tc>
                <w:tcPr>
                  <w:tcW w:w="835" w:type="pct"/>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619" w:type="pct"/>
                  <w:vMerge w:val="continue"/>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eastAsia="zh-CN"/>
                    </w:rPr>
                  </w:pPr>
                </w:p>
              </w:tc>
              <w:tc>
                <w:tcPr>
                  <w:tcW w:w="1449"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精密过滤器</w:t>
                  </w:r>
                </w:p>
              </w:tc>
              <w:tc>
                <w:tcPr>
                  <w:tcW w:w="116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eastAsiaTheme="minorEastAsia"/>
                      <w:color w:val="auto"/>
                      <w:kern w:val="2"/>
                      <w:sz w:val="21"/>
                      <w:szCs w:val="21"/>
                      <w:highlight w:val="none"/>
                      <w:vertAlign w:val="baseline"/>
                      <w:lang w:val="en-US" w:eastAsia="zh-CN" w:bidi="ar-SA"/>
                    </w:rPr>
                    <w:t>/</w:t>
                  </w:r>
                </w:p>
              </w:tc>
              <w:tc>
                <w:tcPr>
                  <w:tcW w:w="462"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2</w:t>
                  </w:r>
                </w:p>
              </w:tc>
              <w:tc>
                <w:tcPr>
                  <w:tcW w:w="467"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台</w:t>
                  </w:r>
                </w:p>
              </w:tc>
              <w:tc>
                <w:tcPr>
                  <w:tcW w:w="835" w:type="pct"/>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619" w:type="pct"/>
                  <w:vMerge w:val="continue"/>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eastAsia="zh-CN"/>
                    </w:rPr>
                  </w:pPr>
                </w:p>
              </w:tc>
              <w:tc>
                <w:tcPr>
                  <w:tcW w:w="1449"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清洗水箱（带水泵）</w:t>
                  </w:r>
                </w:p>
              </w:tc>
              <w:tc>
                <w:tcPr>
                  <w:tcW w:w="116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w:t>
                  </w:r>
                </w:p>
              </w:tc>
              <w:tc>
                <w:tcPr>
                  <w:tcW w:w="462"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1</w:t>
                  </w:r>
                </w:p>
              </w:tc>
              <w:tc>
                <w:tcPr>
                  <w:tcW w:w="467"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台</w:t>
                  </w:r>
                </w:p>
              </w:tc>
              <w:tc>
                <w:tcPr>
                  <w:tcW w:w="835" w:type="pct"/>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619" w:type="pct"/>
                  <w:vMerge w:val="continue"/>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eastAsia="zh-CN"/>
                    </w:rPr>
                  </w:pPr>
                </w:p>
              </w:tc>
              <w:tc>
                <w:tcPr>
                  <w:tcW w:w="1449"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RO一级反渗透</w:t>
                  </w:r>
                </w:p>
              </w:tc>
              <w:tc>
                <w:tcPr>
                  <w:tcW w:w="116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eastAsiaTheme="minorEastAsia"/>
                      <w:color w:val="auto"/>
                      <w:kern w:val="2"/>
                      <w:sz w:val="21"/>
                      <w:szCs w:val="21"/>
                      <w:highlight w:val="none"/>
                      <w:vertAlign w:val="baseline"/>
                      <w:lang w:val="en-US" w:eastAsia="zh-CN" w:bidi="ar-SA"/>
                    </w:rPr>
                    <w:t>/</w:t>
                  </w:r>
                </w:p>
              </w:tc>
              <w:tc>
                <w:tcPr>
                  <w:tcW w:w="462"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1</w:t>
                  </w:r>
                </w:p>
              </w:tc>
              <w:tc>
                <w:tcPr>
                  <w:tcW w:w="467"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台</w:t>
                  </w:r>
                </w:p>
              </w:tc>
              <w:tc>
                <w:tcPr>
                  <w:tcW w:w="835" w:type="pct"/>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619" w:type="pct"/>
                  <w:vMerge w:val="continue"/>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eastAsia="zh-CN"/>
                    </w:rPr>
                  </w:pPr>
                </w:p>
              </w:tc>
              <w:tc>
                <w:tcPr>
                  <w:tcW w:w="1449"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RO二级反渗透</w:t>
                  </w:r>
                </w:p>
              </w:tc>
              <w:tc>
                <w:tcPr>
                  <w:tcW w:w="116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w:t>
                  </w:r>
                </w:p>
              </w:tc>
              <w:tc>
                <w:tcPr>
                  <w:tcW w:w="462"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1</w:t>
                  </w:r>
                </w:p>
              </w:tc>
              <w:tc>
                <w:tcPr>
                  <w:tcW w:w="467"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台</w:t>
                  </w:r>
                </w:p>
              </w:tc>
              <w:tc>
                <w:tcPr>
                  <w:tcW w:w="835" w:type="pct"/>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619" w:type="pct"/>
                  <w:vMerge w:val="continue"/>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eastAsia="zh-CN"/>
                    </w:rPr>
                  </w:pPr>
                </w:p>
              </w:tc>
              <w:tc>
                <w:tcPr>
                  <w:tcW w:w="1449"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一级纯水罐</w:t>
                  </w:r>
                </w:p>
              </w:tc>
              <w:tc>
                <w:tcPr>
                  <w:tcW w:w="116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210" w:firstLineChars="10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5T</w:t>
                  </w:r>
                </w:p>
              </w:tc>
              <w:tc>
                <w:tcPr>
                  <w:tcW w:w="462"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1</w:t>
                  </w:r>
                </w:p>
              </w:tc>
              <w:tc>
                <w:tcPr>
                  <w:tcW w:w="467"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台</w:t>
                  </w:r>
                </w:p>
              </w:tc>
              <w:tc>
                <w:tcPr>
                  <w:tcW w:w="835" w:type="pct"/>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619" w:type="pct"/>
                  <w:vMerge w:val="continue"/>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eastAsia="zh-CN"/>
                    </w:rPr>
                  </w:pPr>
                </w:p>
              </w:tc>
              <w:tc>
                <w:tcPr>
                  <w:tcW w:w="1449"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二级纯水罐</w:t>
                  </w:r>
                </w:p>
              </w:tc>
              <w:tc>
                <w:tcPr>
                  <w:tcW w:w="116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210" w:firstLineChars="10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5T</w:t>
                  </w:r>
                </w:p>
              </w:tc>
              <w:tc>
                <w:tcPr>
                  <w:tcW w:w="462"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1</w:t>
                  </w:r>
                </w:p>
              </w:tc>
              <w:tc>
                <w:tcPr>
                  <w:tcW w:w="467"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台</w:t>
                  </w:r>
                </w:p>
              </w:tc>
              <w:tc>
                <w:tcPr>
                  <w:tcW w:w="835" w:type="pct"/>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619" w:type="pct"/>
                  <w:vMerge w:val="continue"/>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eastAsia="zh-CN"/>
                    </w:rPr>
                  </w:pPr>
                </w:p>
              </w:tc>
              <w:tc>
                <w:tcPr>
                  <w:tcW w:w="1449"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离心水泵</w:t>
                  </w:r>
                </w:p>
              </w:tc>
              <w:tc>
                <w:tcPr>
                  <w:tcW w:w="116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10T/H</w:t>
                  </w:r>
                </w:p>
              </w:tc>
              <w:tc>
                <w:tcPr>
                  <w:tcW w:w="462"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2</w:t>
                  </w:r>
                </w:p>
              </w:tc>
              <w:tc>
                <w:tcPr>
                  <w:tcW w:w="467"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台</w:t>
                  </w:r>
                </w:p>
              </w:tc>
              <w:tc>
                <w:tcPr>
                  <w:tcW w:w="835" w:type="pct"/>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619" w:type="pct"/>
                  <w:vMerge w:val="continue"/>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eastAsia="zh-CN"/>
                    </w:rPr>
                  </w:pPr>
                </w:p>
              </w:tc>
              <w:tc>
                <w:tcPr>
                  <w:tcW w:w="1449"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三合一灌装机组</w:t>
                  </w:r>
                </w:p>
              </w:tc>
              <w:tc>
                <w:tcPr>
                  <w:tcW w:w="116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15000</w:t>
                  </w:r>
                </w:p>
              </w:tc>
              <w:tc>
                <w:tcPr>
                  <w:tcW w:w="462"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1</w:t>
                  </w:r>
                </w:p>
              </w:tc>
              <w:tc>
                <w:tcPr>
                  <w:tcW w:w="467"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台</w:t>
                  </w:r>
                </w:p>
              </w:tc>
              <w:tc>
                <w:tcPr>
                  <w:tcW w:w="835" w:type="pct"/>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619" w:type="pct"/>
                  <w:vMerge w:val="continue"/>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eastAsia="zh-CN"/>
                    </w:rPr>
                  </w:pPr>
                </w:p>
              </w:tc>
              <w:tc>
                <w:tcPr>
                  <w:tcW w:w="1449"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供盖及盖消毒设备</w:t>
                  </w:r>
                </w:p>
              </w:tc>
              <w:tc>
                <w:tcPr>
                  <w:tcW w:w="116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eastAsiaTheme="minorEastAsia"/>
                      <w:color w:val="auto"/>
                      <w:kern w:val="2"/>
                      <w:sz w:val="21"/>
                      <w:szCs w:val="21"/>
                      <w:highlight w:val="none"/>
                      <w:vertAlign w:val="baseline"/>
                      <w:lang w:val="en-US" w:eastAsia="zh-CN" w:bidi="ar-SA"/>
                    </w:rPr>
                    <w:t>/</w:t>
                  </w:r>
                </w:p>
              </w:tc>
              <w:tc>
                <w:tcPr>
                  <w:tcW w:w="462"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1</w:t>
                  </w:r>
                </w:p>
              </w:tc>
              <w:tc>
                <w:tcPr>
                  <w:tcW w:w="467" w:type="pct"/>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台</w:t>
                  </w:r>
                </w:p>
              </w:tc>
              <w:tc>
                <w:tcPr>
                  <w:tcW w:w="835" w:type="pct"/>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619" w:type="pct"/>
                  <w:vMerge w:val="continue"/>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eastAsia="zh-CN"/>
                    </w:rPr>
                  </w:pPr>
                </w:p>
              </w:tc>
              <w:tc>
                <w:tcPr>
                  <w:tcW w:w="1449"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输送线减速机</w:t>
                  </w:r>
                </w:p>
              </w:tc>
              <w:tc>
                <w:tcPr>
                  <w:tcW w:w="116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w:t>
                  </w:r>
                </w:p>
              </w:tc>
              <w:tc>
                <w:tcPr>
                  <w:tcW w:w="462"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16</w:t>
                  </w:r>
                </w:p>
              </w:tc>
              <w:tc>
                <w:tcPr>
                  <w:tcW w:w="467"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台</w:t>
                  </w:r>
                </w:p>
              </w:tc>
              <w:tc>
                <w:tcPr>
                  <w:tcW w:w="835" w:type="pct"/>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619" w:type="pct"/>
                  <w:vMerge w:val="continue"/>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eastAsia="zh-CN"/>
                    </w:rPr>
                  </w:pPr>
                </w:p>
              </w:tc>
              <w:tc>
                <w:tcPr>
                  <w:tcW w:w="2309"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kern w:val="2"/>
                      <w:sz w:val="21"/>
                      <w:szCs w:val="21"/>
                      <w:highlight w:val="none"/>
                      <w:vertAlign w:val="baseline"/>
                      <w:lang w:val="en-US" w:eastAsia="zh-CN" w:bidi="ar-SA"/>
                    </w:rPr>
                    <w:t>CIP系统</w:t>
                  </w:r>
                </w:p>
              </w:tc>
              <w:tc>
                <w:tcPr>
                  <w:tcW w:w="1857"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210" w:firstLineChars="10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cs="Times New Roman"/>
                      <w:color w:val="auto"/>
                      <w:kern w:val="2"/>
                      <w:sz w:val="21"/>
                      <w:szCs w:val="21"/>
                      <w:highlight w:val="none"/>
                      <w:vertAlign w:val="baseline"/>
                      <w:lang w:val="en-US" w:eastAsia="zh-CN" w:bidi="ar-SA"/>
                    </w:rPr>
                    <w:t>/</w:t>
                  </w:r>
                </w:p>
              </w:tc>
              <w:tc>
                <w:tcPr>
                  <w:tcW w:w="736" w:type="dxa"/>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cs="Times New Roman"/>
                      <w:color w:val="auto"/>
                      <w:kern w:val="2"/>
                      <w:sz w:val="21"/>
                      <w:szCs w:val="21"/>
                      <w:highlight w:val="none"/>
                      <w:vertAlign w:val="baseline"/>
                      <w:lang w:val="en-US" w:eastAsia="zh-CN" w:bidi="ar-SA"/>
                    </w:rPr>
                    <w:t>1</w:t>
                  </w:r>
                </w:p>
              </w:tc>
              <w:tc>
                <w:tcPr>
                  <w:tcW w:w="744" w:type="dxa"/>
                  <w:shd w:val="clear" w:color="auto" w:fill="auto"/>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cs="Times New Roman"/>
                      <w:color w:val="auto"/>
                      <w:kern w:val="2"/>
                      <w:sz w:val="21"/>
                      <w:szCs w:val="21"/>
                      <w:highlight w:val="none"/>
                      <w:vertAlign w:val="baseline"/>
                      <w:lang w:val="en-US" w:eastAsia="zh-CN" w:bidi="ar-SA"/>
                    </w:rPr>
                    <w:t>套</w:t>
                  </w:r>
                </w:p>
              </w:tc>
              <w:tc>
                <w:tcPr>
                  <w:tcW w:w="1331" w:type="dxa"/>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619" w:type="pct"/>
                  <w:vMerge w:val="continue"/>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eastAsia="zh-CN"/>
                    </w:rPr>
                  </w:pPr>
                </w:p>
              </w:tc>
              <w:tc>
                <w:tcPr>
                  <w:tcW w:w="1449"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热风机</w:t>
                  </w:r>
                </w:p>
              </w:tc>
              <w:tc>
                <w:tcPr>
                  <w:tcW w:w="116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eastAsiaTheme="minorEastAsia"/>
                      <w:color w:val="auto"/>
                      <w:kern w:val="2"/>
                      <w:sz w:val="21"/>
                      <w:szCs w:val="21"/>
                      <w:highlight w:val="none"/>
                      <w:vertAlign w:val="baseline"/>
                      <w:lang w:val="en-US" w:eastAsia="zh-CN" w:bidi="ar-SA"/>
                    </w:rPr>
                    <w:t>/</w:t>
                  </w:r>
                </w:p>
              </w:tc>
              <w:tc>
                <w:tcPr>
                  <w:tcW w:w="462"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1</w:t>
                  </w:r>
                </w:p>
              </w:tc>
              <w:tc>
                <w:tcPr>
                  <w:tcW w:w="467"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台</w:t>
                  </w:r>
                </w:p>
              </w:tc>
              <w:tc>
                <w:tcPr>
                  <w:tcW w:w="835" w:type="pct"/>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619" w:type="pct"/>
                  <w:vMerge w:val="continue"/>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eastAsia="zh-CN"/>
                    </w:rPr>
                  </w:pPr>
                </w:p>
              </w:tc>
              <w:tc>
                <w:tcPr>
                  <w:tcW w:w="1449"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激光打码机</w:t>
                  </w:r>
                </w:p>
              </w:tc>
              <w:tc>
                <w:tcPr>
                  <w:tcW w:w="116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w:t>
                  </w:r>
                </w:p>
              </w:tc>
              <w:tc>
                <w:tcPr>
                  <w:tcW w:w="462"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1</w:t>
                  </w:r>
                </w:p>
              </w:tc>
              <w:tc>
                <w:tcPr>
                  <w:tcW w:w="467"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台</w:t>
                  </w:r>
                </w:p>
              </w:tc>
              <w:tc>
                <w:tcPr>
                  <w:tcW w:w="835" w:type="pct"/>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619" w:type="pct"/>
                  <w:vMerge w:val="continue"/>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eastAsia="zh-CN"/>
                    </w:rPr>
                  </w:pPr>
                </w:p>
              </w:tc>
              <w:tc>
                <w:tcPr>
                  <w:tcW w:w="1449"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视觉检测机</w:t>
                  </w:r>
                </w:p>
              </w:tc>
              <w:tc>
                <w:tcPr>
                  <w:tcW w:w="116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eastAsiaTheme="minorEastAsia"/>
                      <w:color w:val="auto"/>
                      <w:kern w:val="2"/>
                      <w:sz w:val="21"/>
                      <w:szCs w:val="21"/>
                      <w:highlight w:val="none"/>
                      <w:vertAlign w:val="baseline"/>
                      <w:lang w:val="en-US" w:eastAsia="zh-CN" w:bidi="ar-SA"/>
                    </w:rPr>
                    <w:t>/</w:t>
                  </w:r>
                </w:p>
              </w:tc>
              <w:tc>
                <w:tcPr>
                  <w:tcW w:w="462"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1</w:t>
                  </w:r>
                </w:p>
              </w:tc>
              <w:tc>
                <w:tcPr>
                  <w:tcW w:w="467"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台</w:t>
                  </w:r>
                </w:p>
              </w:tc>
              <w:tc>
                <w:tcPr>
                  <w:tcW w:w="835" w:type="pct"/>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619" w:type="pct"/>
                  <w:vMerge w:val="continue"/>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eastAsia="zh-CN"/>
                    </w:rPr>
                  </w:pPr>
                </w:p>
              </w:tc>
              <w:tc>
                <w:tcPr>
                  <w:tcW w:w="1449"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贴标机</w:t>
                  </w:r>
                </w:p>
              </w:tc>
              <w:tc>
                <w:tcPr>
                  <w:tcW w:w="116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w:t>
                  </w:r>
                </w:p>
              </w:tc>
              <w:tc>
                <w:tcPr>
                  <w:tcW w:w="462"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1</w:t>
                  </w:r>
                </w:p>
              </w:tc>
              <w:tc>
                <w:tcPr>
                  <w:tcW w:w="467"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台</w:t>
                  </w:r>
                </w:p>
              </w:tc>
              <w:tc>
                <w:tcPr>
                  <w:tcW w:w="835" w:type="pct"/>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619" w:type="pct"/>
                  <w:vMerge w:val="continue"/>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eastAsia="zh-CN"/>
                    </w:rPr>
                  </w:pPr>
                </w:p>
              </w:tc>
              <w:tc>
                <w:tcPr>
                  <w:tcW w:w="1449"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套标缩标机</w:t>
                  </w:r>
                </w:p>
              </w:tc>
              <w:tc>
                <w:tcPr>
                  <w:tcW w:w="116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eastAsiaTheme="minorEastAsia"/>
                      <w:color w:val="auto"/>
                      <w:kern w:val="2"/>
                      <w:sz w:val="21"/>
                      <w:szCs w:val="21"/>
                      <w:highlight w:val="none"/>
                      <w:vertAlign w:val="baseline"/>
                      <w:lang w:val="en-US" w:eastAsia="zh-CN" w:bidi="ar-SA"/>
                    </w:rPr>
                    <w:t>/</w:t>
                  </w:r>
                </w:p>
              </w:tc>
              <w:tc>
                <w:tcPr>
                  <w:tcW w:w="462"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1</w:t>
                  </w:r>
                </w:p>
              </w:tc>
              <w:tc>
                <w:tcPr>
                  <w:tcW w:w="467"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台</w:t>
                  </w:r>
                </w:p>
              </w:tc>
              <w:tc>
                <w:tcPr>
                  <w:tcW w:w="835" w:type="pct"/>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619" w:type="pct"/>
                  <w:vMerge w:val="continue"/>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eastAsia="zh-CN"/>
                    </w:rPr>
                  </w:pPr>
                </w:p>
              </w:tc>
              <w:tc>
                <w:tcPr>
                  <w:tcW w:w="1449"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热力收缩膜包机</w:t>
                  </w:r>
                </w:p>
              </w:tc>
              <w:tc>
                <w:tcPr>
                  <w:tcW w:w="116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w:t>
                  </w:r>
                </w:p>
              </w:tc>
              <w:tc>
                <w:tcPr>
                  <w:tcW w:w="462"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1</w:t>
                  </w:r>
                </w:p>
              </w:tc>
              <w:tc>
                <w:tcPr>
                  <w:tcW w:w="467"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台</w:t>
                  </w:r>
                </w:p>
              </w:tc>
              <w:tc>
                <w:tcPr>
                  <w:tcW w:w="835" w:type="pct"/>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619" w:type="pct"/>
                  <w:vMerge w:val="continue"/>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eastAsia="zh-CN"/>
                    </w:rPr>
                  </w:pPr>
                </w:p>
              </w:tc>
              <w:tc>
                <w:tcPr>
                  <w:tcW w:w="1449"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龙门码垛机</w:t>
                  </w:r>
                </w:p>
              </w:tc>
              <w:tc>
                <w:tcPr>
                  <w:tcW w:w="116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eastAsiaTheme="minorEastAsia"/>
                      <w:color w:val="auto"/>
                      <w:kern w:val="2"/>
                      <w:sz w:val="21"/>
                      <w:szCs w:val="21"/>
                      <w:highlight w:val="none"/>
                      <w:vertAlign w:val="baseline"/>
                      <w:lang w:val="en-US" w:eastAsia="zh-CN" w:bidi="ar-SA"/>
                    </w:rPr>
                    <w:t>/</w:t>
                  </w:r>
                </w:p>
              </w:tc>
              <w:tc>
                <w:tcPr>
                  <w:tcW w:w="462"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1</w:t>
                  </w:r>
                </w:p>
              </w:tc>
              <w:tc>
                <w:tcPr>
                  <w:tcW w:w="467"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台</w:t>
                  </w:r>
                </w:p>
              </w:tc>
              <w:tc>
                <w:tcPr>
                  <w:tcW w:w="835" w:type="pct"/>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619" w:type="pct"/>
                  <w:vMerge w:val="restart"/>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lang w:val="en-US" w:eastAsia="zh-CN"/>
                    </w:rPr>
                    <w:t>PET瓶吹塑设备</w:t>
                  </w:r>
                </w:p>
              </w:tc>
              <w:tc>
                <w:tcPr>
                  <w:tcW w:w="1449"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螺杆活塞串联压缩机组</w:t>
                  </w:r>
                </w:p>
              </w:tc>
              <w:tc>
                <w:tcPr>
                  <w:tcW w:w="116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LGV-14/40PM</w:t>
                  </w:r>
                </w:p>
              </w:tc>
              <w:tc>
                <w:tcPr>
                  <w:tcW w:w="462"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1</w:t>
                  </w:r>
                </w:p>
              </w:tc>
              <w:tc>
                <w:tcPr>
                  <w:tcW w:w="467"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台</w:t>
                  </w:r>
                </w:p>
              </w:tc>
              <w:tc>
                <w:tcPr>
                  <w:tcW w:w="835" w:type="pct"/>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619" w:type="pct"/>
                  <w:vMerge w:val="continue"/>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eastAsia="zh-CN"/>
                    </w:rPr>
                  </w:pPr>
                </w:p>
              </w:tc>
              <w:tc>
                <w:tcPr>
                  <w:tcW w:w="1449"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冷却塔（带循环水泵）</w:t>
                  </w:r>
                </w:p>
              </w:tc>
              <w:tc>
                <w:tcPr>
                  <w:tcW w:w="116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50T</w:t>
                  </w:r>
                </w:p>
              </w:tc>
              <w:tc>
                <w:tcPr>
                  <w:tcW w:w="462"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1</w:t>
                  </w:r>
                </w:p>
              </w:tc>
              <w:tc>
                <w:tcPr>
                  <w:tcW w:w="467"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台</w:t>
                  </w:r>
                </w:p>
              </w:tc>
              <w:tc>
                <w:tcPr>
                  <w:tcW w:w="835" w:type="pct"/>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619" w:type="pct"/>
                  <w:vMerge w:val="continue"/>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eastAsia="zh-CN"/>
                    </w:rPr>
                  </w:pPr>
                </w:p>
              </w:tc>
              <w:tc>
                <w:tcPr>
                  <w:tcW w:w="1449"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冷冻式压缩空气干燥机</w:t>
                  </w:r>
                </w:p>
              </w:tc>
              <w:tc>
                <w:tcPr>
                  <w:tcW w:w="116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eastAsiaTheme="minorEastAsia"/>
                      <w:color w:val="auto"/>
                      <w:kern w:val="2"/>
                      <w:sz w:val="21"/>
                      <w:szCs w:val="21"/>
                      <w:highlight w:val="none"/>
                      <w:vertAlign w:val="baseline"/>
                      <w:lang w:val="en-US" w:eastAsia="zh-CN" w:bidi="ar-SA"/>
                    </w:rPr>
                    <w:t>LY-D100AC/2.8kW</w:t>
                  </w:r>
                </w:p>
              </w:tc>
              <w:tc>
                <w:tcPr>
                  <w:tcW w:w="462"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2</w:t>
                  </w:r>
                </w:p>
              </w:tc>
              <w:tc>
                <w:tcPr>
                  <w:tcW w:w="467"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台</w:t>
                  </w:r>
                </w:p>
              </w:tc>
              <w:tc>
                <w:tcPr>
                  <w:tcW w:w="835" w:type="pct"/>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619" w:type="pct"/>
                  <w:vMerge w:val="continue"/>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eastAsia="zh-CN"/>
                    </w:rPr>
                  </w:pPr>
                </w:p>
              </w:tc>
              <w:tc>
                <w:tcPr>
                  <w:tcW w:w="1449"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博莱特螺杆式空压机</w:t>
                  </w:r>
                </w:p>
              </w:tc>
              <w:tc>
                <w:tcPr>
                  <w:tcW w:w="116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eastAsiaTheme="minorEastAsia"/>
                      <w:color w:val="auto"/>
                      <w:kern w:val="2"/>
                      <w:sz w:val="21"/>
                      <w:szCs w:val="21"/>
                      <w:highlight w:val="none"/>
                      <w:vertAlign w:val="baseline"/>
                      <w:lang w:val="en-US" w:eastAsia="zh-CN" w:bidi="ar-SA"/>
                    </w:rPr>
                    <w:t>BLT-100A/10.5OPM+</w:t>
                  </w:r>
                </w:p>
              </w:tc>
              <w:tc>
                <w:tcPr>
                  <w:tcW w:w="462"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2</w:t>
                  </w:r>
                </w:p>
              </w:tc>
              <w:tc>
                <w:tcPr>
                  <w:tcW w:w="467"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台</w:t>
                  </w:r>
                </w:p>
              </w:tc>
              <w:tc>
                <w:tcPr>
                  <w:tcW w:w="835" w:type="pct"/>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619" w:type="pct"/>
                  <w:vMerge w:val="continue"/>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eastAsia="zh-CN"/>
                    </w:rPr>
                  </w:pPr>
                </w:p>
              </w:tc>
              <w:tc>
                <w:tcPr>
                  <w:tcW w:w="1449"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压缩空气储罐</w:t>
                  </w:r>
                </w:p>
              </w:tc>
              <w:tc>
                <w:tcPr>
                  <w:tcW w:w="116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eastAsiaTheme="minorEastAsia"/>
                      <w:color w:val="auto"/>
                      <w:kern w:val="2"/>
                      <w:sz w:val="21"/>
                      <w:szCs w:val="21"/>
                      <w:highlight w:val="none"/>
                      <w:vertAlign w:val="baseline"/>
                      <w:lang w:val="en-US" w:eastAsia="zh-CN" w:bidi="ar-SA"/>
                    </w:rPr>
                    <w:t>2.0M3/3.15MPa</w:t>
                  </w:r>
                </w:p>
              </w:tc>
              <w:tc>
                <w:tcPr>
                  <w:tcW w:w="462"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2</w:t>
                  </w:r>
                </w:p>
              </w:tc>
              <w:tc>
                <w:tcPr>
                  <w:tcW w:w="467"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台</w:t>
                  </w:r>
                </w:p>
              </w:tc>
              <w:tc>
                <w:tcPr>
                  <w:tcW w:w="835" w:type="pct"/>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619" w:type="pct"/>
                  <w:vMerge w:val="continue"/>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eastAsia="zh-CN"/>
                    </w:rPr>
                  </w:pPr>
                </w:p>
              </w:tc>
              <w:tc>
                <w:tcPr>
                  <w:tcW w:w="1449"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压缩空气储罐</w:t>
                  </w:r>
                </w:p>
              </w:tc>
              <w:tc>
                <w:tcPr>
                  <w:tcW w:w="116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eastAsiaTheme="minorEastAsia"/>
                      <w:color w:val="auto"/>
                      <w:kern w:val="2"/>
                      <w:sz w:val="21"/>
                      <w:szCs w:val="21"/>
                      <w:highlight w:val="none"/>
                      <w:vertAlign w:val="baseline"/>
                      <w:lang w:val="en-US" w:eastAsia="zh-CN" w:bidi="ar-SA"/>
                    </w:rPr>
                    <w:t>2.0M3/1.05MPa</w:t>
                  </w:r>
                </w:p>
              </w:tc>
              <w:tc>
                <w:tcPr>
                  <w:tcW w:w="462"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2</w:t>
                  </w:r>
                </w:p>
              </w:tc>
              <w:tc>
                <w:tcPr>
                  <w:tcW w:w="467"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台</w:t>
                  </w:r>
                </w:p>
              </w:tc>
              <w:tc>
                <w:tcPr>
                  <w:tcW w:w="835" w:type="pct"/>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619" w:type="pct"/>
                  <w:vMerge w:val="continue"/>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eastAsia="zh-CN"/>
                    </w:rPr>
                  </w:pPr>
                </w:p>
              </w:tc>
              <w:tc>
                <w:tcPr>
                  <w:tcW w:w="1449"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工业冷水机</w:t>
                  </w:r>
                </w:p>
              </w:tc>
              <w:tc>
                <w:tcPr>
                  <w:tcW w:w="116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eastAsiaTheme="minorEastAsia"/>
                      <w:color w:val="auto"/>
                      <w:kern w:val="2"/>
                      <w:sz w:val="21"/>
                      <w:szCs w:val="21"/>
                      <w:highlight w:val="none"/>
                      <w:vertAlign w:val="baseline"/>
                      <w:lang w:val="en-US" w:eastAsia="zh-CN" w:bidi="ar-SA"/>
                    </w:rPr>
                    <w:t>AC-5/5.13kW</w:t>
                  </w:r>
                </w:p>
              </w:tc>
              <w:tc>
                <w:tcPr>
                  <w:tcW w:w="462"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6</w:t>
                  </w:r>
                </w:p>
              </w:tc>
              <w:tc>
                <w:tcPr>
                  <w:tcW w:w="467"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台</w:t>
                  </w:r>
                </w:p>
              </w:tc>
              <w:tc>
                <w:tcPr>
                  <w:tcW w:w="835" w:type="pct"/>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619" w:type="pct"/>
                  <w:vMerge w:val="continue"/>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eastAsia="zh-CN"/>
                    </w:rPr>
                  </w:pPr>
                </w:p>
              </w:tc>
              <w:tc>
                <w:tcPr>
                  <w:tcW w:w="1449"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容积式工业冷水机组</w:t>
                  </w:r>
                </w:p>
              </w:tc>
              <w:tc>
                <w:tcPr>
                  <w:tcW w:w="116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210" w:firstLineChars="100"/>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OY-G10WSX</w:t>
                  </w:r>
                </w:p>
              </w:tc>
              <w:tc>
                <w:tcPr>
                  <w:tcW w:w="462"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1</w:t>
                  </w:r>
                </w:p>
              </w:tc>
              <w:tc>
                <w:tcPr>
                  <w:tcW w:w="467"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台</w:t>
                  </w:r>
                </w:p>
              </w:tc>
              <w:tc>
                <w:tcPr>
                  <w:tcW w:w="835" w:type="pct"/>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619" w:type="pct"/>
                  <w:vMerge w:val="continue"/>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eastAsia="zh-CN"/>
                    </w:rPr>
                  </w:pPr>
                </w:p>
              </w:tc>
              <w:tc>
                <w:tcPr>
                  <w:tcW w:w="1449"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全自动吹瓶机一出六</w:t>
                  </w:r>
                </w:p>
              </w:tc>
              <w:tc>
                <w:tcPr>
                  <w:tcW w:w="116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LX-6E/75kW</w:t>
                  </w:r>
                </w:p>
              </w:tc>
              <w:tc>
                <w:tcPr>
                  <w:tcW w:w="462"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3</w:t>
                  </w:r>
                </w:p>
              </w:tc>
              <w:tc>
                <w:tcPr>
                  <w:tcW w:w="467"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台</w:t>
                  </w:r>
                </w:p>
              </w:tc>
              <w:tc>
                <w:tcPr>
                  <w:tcW w:w="835" w:type="pct"/>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619" w:type="pct"/>
                  <w:vMerge w:val="continue"/>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eastAsia="zh-CN"/>
                    </w:rPr>
                  </w:pPr>
                </w:p>
              </w:tc>
              <w:tc>
                <w:tcPr>
                  <w:tcW w:w="1449"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全自动吹瓶机一出六</w:t>
                  </w:r>
                </w:p>
              </w:tc>
              <w:tc>
                <w:tcPr>
                  <w:tcW w:w="116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210" w:firstLineChars="100"/>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BLMS-9000/98kW</w:t>
                  </w:r>
                </w:p>
              </w:tc>
              <w:tc>
                <w:tcPr>
                  <w:tcW w:w="462"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1</w:t>
                  </w:r>
                </w:p>
              </w:tc>
              <w:tc>
                <w:tcPr>
                  <w:tcW w:w="467"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台</w:t>
                  </w:r>
                </w:p>
              </w:tc>
              <w:tc>
                <w:tcPr>
                  <w:tcW w:w="835" w:type="pct"/>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619" w:type="pct"/>
                  <w:vMerge w:val="continue"/>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eastAsia="zh-CN"/>
                    </w:rPr>
                  </w:pPr>
                </w:p>
              </w:tc>
              <w:tc>
                <w:tcPr>
                  <w:tcW w:w="1449"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自动吹瓶机一出二</w:t>
                  </w:r>
                </w:p>
              </w:tc>
              <w:tc>
                <w:tcPr>
                  <w:tcW w:w="116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CYX-II-2L-4600A</w:t>
                  </w:r>
                </w:p>
              </w:tc>
              <w:tc>
                <w:tcPr>
                  <w:tcW w:w="462"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1</w:t>
                  </w:r>
                </w:p>
              </w:tc>
              <w:tc>
                <w:tcPr>
                  <w:tcW w:w="467"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台</w:t>
                  </w:r>
                </w:p>
              </w:tc>
              <w:tc>
                <w:tcPr>
                  <w:tcW w:w="835" w:type="pct"/>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619" w:type="pct"/>
                  <w:vMerge w:val="continue"/>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eastAsia="zh-CN"/>
                    </w:rPr>
                  </w:pPr>
                </w:p>
              </w:tc>
              <w:tc>
                <w:tcPr>
                  <w:tcW w:w="1449"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自动吹瓶机一出二</w:t>
                  </w:r>
                </w:p>
              </w:tc>
              <w:tc>
                <w:tcPr>
                  <w:tcW w:w="116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CY-II-1.5L-1500A/30kW</w:t>
                  </w:r>
                </w:p>
              </w:tc>
              <w:tc>
                <w:tcPr>
                  <w:tcW w:w="462"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1</w:t>
                  </w:r>
                </w:p>
              </w:tc>
              <w:tc>
                <w:tcPr>
                  <w:tcW w:w="467"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台</w:t>
                  </w:r>
                </w:p>
              </w:tc>
              <w:tc>
                <w:tcPr>
                  <w:tcW w:w="835" w:type="pct"/>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619" w:type="pct"/>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公用设备</w:t>
                  </w:r>
                </w:p>
              </w:tc>
              <w:tc>
                <w:tcPr>
                  <w:tcW w:w="1449"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天然气</w:t>
                  </w:r>
                  <w:r>
                    <w:rPr>
                      <w:rFonts w:hint="eastAsia" w:cs="Times New Roman"/>
                      <w:color w:val="auto"/>
                      <w:kern w:val="2"/>
                      <w:sz w:val="21"/>
                      <w:szCs w:val="21"/>
                      <w:highlight w:val="none"/>
                      <w:vertAlign w:val="baseline"/>
                      <w:lang w:val="en-US" w:eastAsia="zh-CN" w:bidi="ar-SA"/>
                    </w:rPr>
                    <w:t>锅炉</w:t>
                  </w:r>
                </w:p>
              </w:tc>
              <w:tc>
                <w:tcPr>
                  <w:tcW w:w="116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cs="Times New Roman"/>
                      <w:color w:val="auto"/>
                      <w:kern w:val="2"/>
                      <w:sz w:val="21"/>
                      <w:szCs w:val="21"/>
                      <w:highlight w:val="none"/>
                      <w:vertAlign w:val="baseline"/>
                      <w:lang w:val="en-US" w:eastAsia="zh-CN" w:bidi="ar-SA"/>
                    </w:rPr>
                    <w:t>4</w:t>
                  </w:r>
                  <w:r>
                    <w:rPr>
                      <w:rFonts w:hint="default" w:ascii="Times New Roman" w:hAnsi="Times New Roman" w:cs="Times New Roman"/>
                      <w:color w:val="auto"/>
                      <w:kern w:val="2"/>
                      <w:sz w:val="21"/>
                      <w:szCs w:val="21"/>
                      <w:highlight w:val="none"/>
                      <w:vertAlign w:val="baseline"/>
                      <w:lang w:val="en-US" w:eastAsia="zh-CN" w:bidi="ar-SA"/>
                    </w:rPr>
                    <w:t>t/h</w:t>
                  </w:r>
                </w:p>
              </w:tc>
              <w:tc>
                <w:tcPr>
                  <w:tcW w:w="462"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lang w:val="en-US" w:eastAsia="zh-CN"/>
                    </w:rPr>
                    <w:t>1</w:t>
                  </w:r>
                </w:p>
              </w:tc>
              <w:tc>
                <w:tcPr>
                  <w:tcW w:w="467"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台</w:t>
                  </w:r>
                </w:p>
              </w:tc>
              <w:tc>
                <w:tcPr>
                  <w:tcW w:w="835" w:type="pct"/>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bl>
          <w:p>
            <w:pPr>
              <w:keepNext w:val="0"/>
              <w:keepLines w:val="0"/>
              <w:pageBreakBefore w:val="0"/>
              <w:widowControl w:val="0"/>
              <w:kinsoku/>
              <w:wordWrap/>
              <w:overflowPunct/>
              <w:topLinePunct w:val="0"/>
              <w:autoSpaceDE/>
              <w:autoSpaceDN/>
              <w:bidi w:val="0"/>
              <w:adjustRightInd/>
              <w:snapToGrid/>
              <w:spacing w:line="360" w:lineRule="auto"/>
              <w:ind w:left="0" w:leftChars="0" w:firstLine="420" w:firstLineChars="200"/>
              <w:textAlignment w:val="auto"/>
              <w:rPr>
                <w:rFonts w:hint="default" w:ascii="Times New Roman" w:hAnsi="Times New Roman"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本项目NFC鲜榨果汁生产线、果汁饮料生产线</w:t>
            </w:r>
            <w:r>
              <w:rPr>
                <w:rFonts w:hint="eastAsia" w:cs="Times New Roman"/>
                <w:b w:val="0"/>
                <w:bCs w:val="0"/>
                <w:color w:val="auto"/>
                <w:sz w:val="21"/>
                <w:szCs w:val="21"/>
                <w:highlight w:val="none"/>
                <w:lang w:val="en-US" w:eastAsia="zh-CN"/>
              </w:rPr>
              <w:t>、</w:t>
            </w:r>
            <w:r>
              <w:rPr>
                <w:rFonts w:hint="default" w:ascii="Times New Roman" w:hAnsi="Times New Roman" w:cs="Times New Roman"/>
                <w:b w:val="0"/>
                <w:bCs w:val="0"/>
                <w:color w:val="auto"/>
                <w:sz w:val="21"/>
                <w:szCs w:val="21"/>
                <w:highlight w:val="none"/>
                <w:lang w:val="en-US" w:eastAsia="zh-CN"/>
              </w:rPr>
              <w:t>碳酸饮料生产线</w:t>
            </w:r>
            <w:r>
              <w:rPr>
                <w:rFonts w:hint="eastAsia" w:cs="Times New Roman"/>
                <w:b w:val="0"/>
                <w:bCs w:val="0"/>
                <w:color w:val="auto"/>
                <w:sz w:val="21"/>
                <w:szCs w:val="21"/>
                <w:highlight w:val="none"/>
                <w:lang w:val="en-US" w:eastAsia="zh-CN"/>
              </w:rPr>
              <w:t>、包装饮用水生产线均</w:t>
            </w:r>
            <w:r>
              <w:rPr>
                <w:rFonts w:hint="default" w:ascii="Times New Roman" w:hAnsi="Times New Roman" w:cs="Times New Roman"/>
                <w:b w:val="0"/>
                <w:bCs w:val="0"/>
                <w:color w:val="auto"/>
                <w:sz w:val="21"/>
                <w:szCs w:val="21"/>
                <w:highlight w:val="none"/>
                <w:lang w:val="en-US" w:eastAsia="zh-CN"/>
              </w:rPr>
              <w:t>采用CIP系统对生产设备进行彻底清洗，单套CIP系统具体组成如下：</w:t>
            </w:r>
          </w:p>
          <w:p>
            <w:pPr>
              <w:keepNext w:val="0"/>
              <w:keepLines w:val="0"/>
              <w:pageBreakBefore w:val="0"/>
              <w:widowControl w:val="0"/>
              <w:kinsoku/>
              <w:wordWrap/>
              <w:overflowPunct/>
              <w:topLinePunct w:val="0"/>
              <w:autoSpaceDE/>
              <w:autoSpaceDN/>
              <w:bidi w:val="0"/>
              <w:spacing w:line="240" w:lineRule="auto"/>
              <w:ind w:left="0" w:leftChars="0" w:firstLine="0" w:firstLineChars="0"/>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表</w:t>
            </w:r>
            <w:r>
              <w:rPr>
                <w:rFonts w:hint="default" w:ascii="Times New Roman" w:hAnsi="Times New Roman" w:cs="Times New Roman"/>
                <w:b/>
                <w:bCs/>
                <w:color w:val="auto"/>
                <w:sz w:val="21"/>
                <w:szCs w:val="21"/>
                <w:highlight w:val="none"/>
                <w:lang w:val="en-US" w:eastAsia="zh-CN"/>
              </w:rPr>
              <w:t>2-3（2）</w:t>
            </w:r>
            <w:r>
              <w:rPr>
                <w:rFonts w:hint="default" w:ascii="Times New Roman" w:hAnsi="Times New Roman" w:cs="Times New Roman"/>
                <w:b/>
                <w:bCs/>
                <w:color w:val="auto"/>
                <w:sz w:val="21"/>
                <w:szCs w:val="21"/>
                <w:highlight w:val="none"/>
              </w:rPr>
              <w:t xml:space="preserve"> </w:t>
            </w:r>
            <w:r>
              <w:rPr>
                <w:rFonts w:hint="default" w:ascii="Times New Roman" w:hAnsi="Times New Roman" w:cs="Times New Roman"/>
                <w:b/>
                <w:bCs/>
                <w:color w:val="auto"/>
                <w:sz w:val="21"/>
                <w:szCs w:val="21"/>
                <w:highlight w:val="none"/>
                <w:lang w:val="en-US" w:eastAsia="zh-CN"/>
              </w:rPr>
              <w:t>单套CIP清洗单元组成</w:t>
            </w:r>
            <w:r>
              <w:rPr>
                <w:rFonts w:hint="default" w:ascii="Times New Roman" w:hAnsi="Times New Roman" w:cs="Times New Roman"/>
                <w:b/>
                <w:bCs/>
                <w:color w:val="auto"/>
                <w:sz w:val="21"/>
                <w:szCs w:val="21"/>
                <w:highlight w:val="none"/>
              </w:rPr>
              <w:t>一览表</w:t>
            </w:r>
          </w:p>
          <w:tbl>
            <w:tblPr>
              <w:tblStyle w:val="2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90"/>
              <w:gridCol w:w="2736"/>
              <w:gridCol w:w="1636"/>
              <w:gridCol w:w="1099"/>
              <w:gridCol w:w="1013"/>
              <w:gridCol w:w="7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549" w:type="pct"/>
                  <w:tcBorders>
                    <w:top w:val="single" w:color="auto" w:sz="4" w:space="0"/>
                    <w:left w:val="single" w:color="auto" w:sz="4" w:space="0"/>
                    <w:bottom w:val="single" w:color="auto" w:sz="4" w:space="0"/>
                    <w:right w:val="single" w:color="auto" w:sz="4" w:space="0"/>
                  </w:tcBorders>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auto"/>
                      <w:sz w:val="21"/>
                      <w:szCs w:val="21"/>
                      <w:highlight w:val="none"/>
                      <w:lang w:eastAsia="zh-CN"/>
                    </w:rPr>
                  </w:pPr>
                  <w:r>
                    <w:rPr>
                      <w:rFonts w:hint="default" w:ascii="Times New Roman" w:hAnsi="Times New Roman" w:eastAsia="宋体" w:cs="Times New Roman"/>
                      <w:b/>
                      <w:bCs/>
                      <w:color w:val="auto"/>
                      <w:sz w:val="21"/>
                      <w:szCs w:val="21"/>
                      <w:highlight w:val="none"/>
                      <w:lang w:val="en-US" w:eastAsia="zh-CN"/>
                    </w:rPr>
                    <w:t>序号</w:t>
                  </w:r>
                </w:p>
              </w:tc>
              <w:tc>
                <w:tcPr>
                  <w:tcW w:w="1688" w:type="pct"/>
                  <w:tcBorders>
                    <w:top w:val="single" w:color="auto" w:sz="4" w:space="0"/>
                    <w:left w:val="single" w:color="auto" w:sz="4" w:space="0"/>
                    <w:bottom w:val="single" w:color="auto" w:sz="4" w:space="0"/>
                    <w:right w:val="single" w:color="auto" w:sz="4" w:space="0"/>
                  </w:tcBorders>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lang w:val="en-US" w:eastAsia="zh-CN"/>
                    </w:rPr>
                    <w:t>组成设备</w:t>
                  </w:r>
                  <w:r>
                    <w:rPr>
                      <w:rFonts w:hint="default" w:ascii="Times New Roman" w:hAnsi="Times New Roman" w:eastAsia="宋体" w:cs="Times New Roman"/>
                      <w:b/>
                      <w:bCs/>
                      <w:color w:val="auto"/>
                      <w:sz w:val="21"/>
                      <w:szCs w:val="21"/>
                      <w:highlight w:val="none"/>
                    </w:rPr>
                    <w:t>名称</w:t>
                  </w:r>
                </w:p>
              </w:tc>
              <w:tc>
                <w:tcPr>
                  <w:tcW w:w="1009" w:type="pct"/>
                  <w:tcBorders>
                    <w:top w:val="single" w:color="auto" w:sz="4" w:space="0"/>
                    <w:left w:val="single" w:color="auto" w:sz="4" w:space="0"/>
                    <w:bottom w:val="single" w:color="auto" w:sz="4" w:space="0"/>
                    <w:right w:val="single" w:color="auto" w:sz="4" w:space="0"/>
                  </w:tcBorders>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技术规格</w:t>
                  </w:r>
                </w:p>
              </w:tc>
              <w:tc>
                <w:tcPr>
                  <w:tcW w:w="678" w:type="pct"/>
                  <w:tcBorders>
                    <w:top w:val="single" w:color="auto" w:sz="4" w:space="0"/>
                    <w:left w:val="single" w:color="auto" w:sz="4" w:space="0"/>
                    <w:bottom w:val="single" w:color="auto" w:sz="4" w:space="0"/>
                    <w:right w:val="single" w:color="auto" w:sz="4" w:space="0"/>
                  </w:tcBorders>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数量</w:t>
                  </w:r>
                </w:p>
              </w:tc>
              <w:tc>
                <w:tcPr>
                  <w:tcW w:w="625" w:type="pct"/>
                  <w:tcBorders>
                    <w:top w:val="single" w:color="auto" w:sz="4" w:space="0"/>
                    <w:left w:val="single" w:color="auto" w:sz="4" w:space="0"/>
                    <w:bottom w:val="single" w:color="auto" w:sz="4" w:space="0"/>
                    <w:right w:val="single" w:color="auto" w:sz="4" w:space="0"/>
                  </w:tcBorders>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单位</w:t>
                  </w:r>
                </w:p>
              </w:tc>
              <w:tc>
                <w:tcPr>
                  <w:tcW w:w="449" w:type="pct"/>
                  <w:tcBorders>
                    <w:top w:val="single" w:color="auto" w:sz="4" w:space="0"/>
                    <w:left w:val="single" w:color="auto" w:sz="4" w:space="0"/>
                    <w:bottom w:val="single" w:color="auto" w:sz="4" w:space="0"/>
                    <w:right w:val="single" w:color="auto" w:sz="4" w:space="0"/>
                  </w:tcBorders>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3" w:hRule="atLeast"/>
                <w:jc w:val="center"/>
              </w:trPr>
              <w:tc>
                <w:tcPr>
                  <w:tcW w:w="549" w:type="pct"/>
                  <w:tcBorders>
                    <w:top w:val="single" w:color="auto" w:sz="4" w:space="0"/>
                    <w:left w:val="single" w:color="auto" w:sz="4" w:space="0"/>
                    <w:bottom w:val="single" w:color="auto" w:sz="4" w:space="0"/>
                    <w:right w:val="single" w:color="auto" w:sz="4" w:space="0"/>
                  </w:tcBorders>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1</w:t>
                  </w:r>
                </w:p>
              </w:tc>
              <w:tc>
                <w:tcPr>
                  <w:tcW w:w="1688" w:type="pct"/>
                  <w:tcBorders>
                    <w:top w:val="single" w:color="auto" w:sz="4" w:space="0"/>
                    <w:left w:val="single" w:color="auto" w:sz="4" w:space="0"/>
                    <w:bottom w:val="single" w:color="auto" w:sz="4" w:space="0"/>
                    <w:right w:val="single" w:color="auto" w:sz="4" w:space="0"/>
                  </w:tcBorders>
                  <w:vAlign w:val="top"/>
                </w:tcPr>
                <w:p>
                  <w:pPr>
                    <w:pStyle w:val="63"/>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color w:val="auto"/>
                      <w:spacing w:val="5"/>
                      <w:sz w:val="21"/>
                      <w:szCs w:val="21"/>
                      <w:lang w:val="en-US" w:eastAsia="zh-CN"/>
                    </w:rPr>
                    <w:t>碱罐搅拌</w:t>
                  </w:r>
                </w:p>
              </w:tc>
              <w:tc>
                <w:tcPr>
                  <w:tcW w:w="1009" w:type="pct"/>
                  <w:tcBorders>
                    <w:top w:val="single" w:color="auto" w:sz="4" w:space="0"/>
                    <w:left w:val="single" w:color="auto" w:sz="4" w:space="0"/>
                    <w:bottom w:val="single" w:color="auto" w:sz="4" w:space="0"/>
                    <w:right w:val="single" w:color="auto" w:sz="4" w:space="0"/>
                  </w:tcBorders>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w:t>
                  </w:r>
                </w:p>
              </w:tc>
              <w:tc>
                <w:tcPr>
                  <w:tcW w:w="678" w:type="pct"/>
                  <w:tcBorders>
                    <w:top w:val="single" w:color="auto" w:sz="4" w:space="0"/>
                    <w:left w:val="single" w:color="auto" w:sz="4" w:space="0"/>
                    <w:bottom w:val="single" w:color="auto" w:sz="4" w:space="0"/>
                    <w:right w:val="single" w:color="auto" w:sz="4" w:space="0"/>
                  </w:tcBorders>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1</w:t>
                  </w:r>
                </w:p>
              </w:tc>
              <w:tc>
                <w:tcPr>
                  <w:tcW w:w="625" w:type="pct"/>
                  <w:tcBorders>
                    <w:top w:val="single" w:color="auto" w:sz="4" w:space="0"/>
                    <w:left w:val="single" w:color="auto" w:sz="4" w:space="0"/>
                    <w:bottom w:val="single" w:color="auto" w:sz="4" w:space="0"/>
                    <w:right w:val="single" w:color="auto" w:sz="4" w:space="0"/>
                  </w:tcBorders>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台</w:t>
                  </w:r>
                </w:p>
              </w:tc>
              <w:tc>
                <w:tcPr>
                  <w:tcW w:w="449" w:type="pct"/>
                  <w:tcBorders>
                    <w:top w:val="single" w:color="auto" w:sz="4" w:space="0"/>
                    <w:left w:val="single" w:color="auto" w:sz="4" w:space="0"/>
                    <w:bottom w:val="single" w:color="auto" w:sz="4" w:space="0"/>
                    <w:right w:val="single" w:color="auto" w:sz="4" w:space="0"/>
                  </w:tcBorders>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549" w:type="pct"/>
                  <w:tcBorders>
                    <w:top w:val="single" w:color="auto" w:sz="4" w:space="0"/>
                    <w:left w:val="single" w:color="auto" w:sz="4" w:space="0"/>
                    <w:bottom w:val="single" w:color="auto" w:sz="4" w:space="0"/>
                    <w:right w:val="single" w:color="auto" w:sz="4" w:space="0"/>
                  </w:tcBorders>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2</w:t>
                  </w:r>
                </w:p>
              </w:tc>
              <w:tc>
                <w:tcPr>
                  <w:tcW w:w="1688" w:type="pct"/>
                  <w:tcBorders>
                    <w:top w:val="single" w:color="auto" w:sz="4" w:space="0"/>
                    <w:left w:val="single" w:color="auto" w:sz="4" w:space="0"/>
                    <w:bottom w:val="single" w:color="auto" w:sz="4" w:space="0"/>
                    <w:right w:val="single" w:color="auto" w:sz="4" w:space="0"/>
                  </w:tcBorders>
                  <w:vAlign w:val="top"/>
                </w:tcPr>
                <w:p>
                  <w:pPr>
                    <w:pStyle w:val="63"/>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color w:val="auto"/>
                      <w:spacing w:val="5"/>
                      <w:sz w:val="21"/>
                      <w:szCs w:val="21"/>
                      <w:lang w:val="en-US" w:eastAsia="zh-CN"/>
                    </w:rPr>
                    <w:t>酸罐搅拌</w:t>
                  </w:r>
                </w:p>
              </w:tc>
              <w:tc>
                <w:tcPr>
                  <w:tcW w:w="100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lang w:val="en-US" w:eastAsia="zh-CN"/>
                    </w:rPr>
                    <w:t>/</w:t>
                  </w:r>
                </w:p>
              </w:tc>
              <w:tc>
                <w:tcPr>
                  <w:tcW w:w="678"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val="0"/>
                      <w:bCs w:val="0"/>
                      <w:color w:val="auto"/>
                      <w:sz w:val="21"/>
                      <w:szCs w:val="21"/>
                      <w:highlight w:val="none"/>
                      <w:lang w:val="en-US" w:eastAsia="zh-CN"/>
                    </w:rPr>
                    <w:t>1</w:t>
                  </w:r>
                </w:p>
              </w:tc>
              <w:tc>
                <w:tcPr>
                  <w:tcW w:w="625"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val="0"/>
                      <w:bCs w:val="0"/>
                      <w:color w:val="auto"/>
                      <w:sz w:val="21"/>
                      <w:szCs w:val="21"/>
                      <w:highlight w:val="none"/>
                      <w:lang w:val="en-US" w:eastAsia="zh-CN"/>
                    </w:rPr>
                    <w:t>台</w:t>
                  </w:r>
                </w:p>
              </w:tc>
              <w:tc>
                <w:tcPr>
                  <w:tcW w:w="44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549" w:type="pct"/>
                  <w:tcBorders>
                    <w:top w:val="single" w:color="auto" w:sz="4" w:space="0"/>
                    <w:left w:val="single" w:color="auto" w:sz="4" w:space="0"/>
                    <w:bottom w:val="single" w:color="auto" w:sz="4" w:space="0"/>
                    <w:right w:val="single" w:color="auto" w:sz="4" w:space="0"/>
                  </w:tcBorders>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3</w:t>
                  </w:r>
                </w:p>
              </w:tc>
              <w:tc>
                <w:tcPr>
                  <w:tcW w:w="1688" w:type="pct"/>
                  <w:tcBorders>
                    <w:top w:val="single" w:color="auto" w:sz="4" w:space="0"/>
                    <w:left w:val="single" w:color="auto" w:sz="4" w:space="0"/>
                    <w:bottom w:val="single" w:color="auto" w:sz="4" w:space="0"/>
                    <w:right w:val="single" w:color="auto" w:sz="4" w:space="0"/>
                  </w:tcBorders>
                  <w:vAlign w:val="top"/>
                </w:tcPr>
                <w:p>
                  <w:pPr>
                    <w:pStyle w:val="63"/>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color w:val="auto"/>
                      <w:spacing w:val="5"/>
                      <w:sz w:val="21"/>
                      <w:szCs w:val="21"/>
                      <w:lang w:val="en-US" w:eastAsia="zh-CN"/>
                    </w:rPr>
                    <w:t>热水罐</w:t>
                  </w:r>
                </w:p>
              </w:tc>
              <w:tc>
                <w:tcPr>
                  <w:tcW w:w="100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lang w:val="en-US" w:eastAsia="zh-CN"/>
                    </w:rPr>
                    <w:t>/</w:t>
                  </w:r>
                </w:p>
              </w:tc>
              <w:tc>
                <w:tcPr>
                  <w:tcW w:w="678"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val="0"/>
                      <w:bCs w:val="0"/>
                      <w:color w:val="auto"/>
                      <w:sz w:val="21"/>
                      <w:szCs w:val="21"/>
                      <w:highlight w:val="none"/>
                      <w:lang w:val="en-US" w:eastAsia="zh-CN"/>
                    </w:rPr>
                    <w:t>1</w:t>
                  </w:r>
                </w:p>
              </w:tc>
              <w:tc>
                <w:tcPr>
                  <w:tcW w:w="625"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val="0"/>
                      <w:bCs w:val="0"/>
                      <w:color w:val="auto"/>
                      <w:sz w:val="21"/>
                      <w:szCs w:val="21"/>
                      <w:highlight w:val="none"/>
                      <w:lang w:val="en-US" w:eastAsia="zh-CN"/>
                    </w:rPr>
                    <w:t>台</w:t>
                  </w:r>
                </w:p>
              </w:tc>
              <w:tc>
                <w:tcPr>
                  <w:tcW w:w="44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549" w:type="pct"/>
                  <w:tcBorders>
                    <w:top w:val="single" w:color="auto" w:sz="4" w:space="0"/>
                    <w:left w:val="single" w:color="auto" w:sz="4" w:space="0"/>
                    <w:bottom w:val="single" w:color="auto" w:sz="4" w:space="0"/>
                    <w:right w:val="single" w:color="auto" w:sz="4" w:space="0"/>
                  </w:tcBorders>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4</w:t>
                  </w:r>
                </w:p>
              </w:tc>
              <w:tc>
                <w:tcPr>
                  <w:tcW w:w="1688" w:type="pct"/>
                  <w:tcBorders>
                    <w:top w:val="single" w:color="auto" w:sz="4" w:space="0"/>
                    <w:left w:val="single" w:color="auto" w:sz="4" w:space="0"/>
                    <w:bottom w:val="single" w:color="auto" w:sz="4" w:space="0"/>
                    <w:right w:val="single" w:color="auto" w:sz="4" w:space="0"/>
                  </w:tcBorders>
                  <w:vAlign w:val="top"/>
                </w:tcPr>
                <w:p>
                  <w:pPr>
                    <w:pStyle w:val="63"/>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color w:val="auto"/>
                      <w:spacing w:val="5"/>
                      <w:sz w:val="21"/>
                      <w:szCs w:val="21"/>
                      <w:lang w:val="en-US" w:eastAsia="zh-CN"/>
                    </w:rPr>
                    <w:t>回收水罐</w:t>
                  </w:r>
                </w:p>
              </w:tc>
              <w:tc>
                <w:tcPr>
                  <w:tcW w:w="100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lang w:val="en-US" w:eastAsia="zh-CN"/>
                    </w:rPr>
                    <w:t>/</w:t>
                  </w:r>
                </w:p>
              </w:tc>
              <w:tc>
                <w:tcPr>
                  <w:tcW w:w="678"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val="0"/>
                      <w:bCs w:val="0"/>
                      <w:color w:val="auto"/>
                      <w:sz w:val="21"/>
                      <w:szCs w:val="21"/>
                      <w:highlight w:val="none"/>
                      <w:lang w:val="en-US" w:eastAsia="zh-CN"/>
                    </w:rPr>
                    <w:t>1</w:t>
                  </w:r>
                </w:p>
              </w:tc>
              <w:tc>
                <w:tcPr>
                  <w:tcW w:w="625"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val="0"/>
                      <w:bCs w:val="0"/>
                      <w:color w:val="auto"/>
                      <w:sz w:val="21"/>
                      <w:szCs w:val="21"/>
                      <w:highlight w:val="none"/>
                      <w:lang w:val="en-US" w:eastAsia="zh-CN"/>
                    </w:rPr>
                    <w:t>台</w:t>
                  </w:r>
                </w:p>
              </w:tc>
              <w:tc>
                <w:tcPr>
                  <w:tcW w:w="44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549" w:type="pct"/>
                  <w:tcBorders>
                    <w:top w:val="single" w:color="auto" w:sz="4" w:space="0"/>
                    <w:left w:val="single" w:color="auto" w:sz="4" w:space="0"/>
                    <w:bottom w:val="single" w:color="auto" w:sz="4" w:space="0"/>
                    <w:right w:val="single" w:color="auto" w:sz="4" w:space="0"/>
                  </w:tcBorders>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5</w:t>
                  </w:r>
                </w:p>
              </w:tc>
              <w:tc>
                <w:tcPr>
                  <w:tcW w:w="1688" w:type="pct"/>
                  <w:tcBorders>
                    <w:top w:val="single" w:color="auto" w:sz="4" w:space="0"/>
                    <w:left w:val="single" w:color="auto" w:sz="4" w:space="0"/>
                    <w:bottom w:val="single" w:color="auto" w:sz="4" w:space="0"/>
                    <w:right w:val="single" w:color="auto" w:sz="4" w:space="0"/>
                  </w:tcBorders>
                  <w:vAlign w:val="top"/>
                </w:tcPr>
                <w:p>
                  <w:pPr>
                    <w:pStyle w:val="63"/>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color w:val="auto"/>
                      <w:spacing w:val="5"/>
                      <w:sz w:val="21"/>
                      <w:szCs w:val="21"/>
                      <w:lang w:val="en-US" w:eastAsia="zh-CN"/>
                    </w:rPr>
                    <w:t>CIP出口泵</w:t>
                  </w:r>
                </w:p>
              </w:tc>
              <w:tc>
                <w:tcPr>
                  <w:tcW w:w="100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lang w:val="en-US" w:eastAsia="zh-CN"/>
                    </w:rPr>
                    <w:t>/</w:t>
                  </w:r>
                </w:p>
              </w:tc>
              <w:tc>
                <w:tcPr>
                  <w:tcW w:w="678"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val="0"/>
                      <w:bCs w:val="0"/>
                      <w:color w:val="auto"/>
                      <w:sz w:val="21"/>
                      <w:szCs w:val="21"/>
                      <w:highlight w:val="none"/>
                      <w:lang w:val="en-US" w:eastAsia="zh-CN"/>
                    </w:rPr>
                    <w:t>1</w:t>
                  </w:r>
                </w:p>
              </w:tc>
              <w:tc>
                <w:tcPr>
                  <w:tcW w:w="625"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val="0"/>
                      <w:bCs w:val="0"/>
                      <w:color w:val="auto"/>
                      <w:sz w:val="21"/>
                      <w:szCs w:val="21"/>
                      <w:highlight w:val="none"/>
                      <w:lang w:val="en-US" w:eastAsia="zh-CN"/>
                    </w:rPr>
                    <w:t>台</w:t>
                  </w:r>
                </w:p>
              </w:tc>
              <w:tc>
                <w:tcPr>
                  <w:tcW w:w="44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549" w:type="pct"/>
                  <w:tcBorders>
                    <w:top w:val="single" w:color="auto" w:sz="4" w:space="0"/>
                    <w:left w:val="single" w:color="auto" w:sz="4" w:space="0"/>
                    <w:bottom w:val="single" w:color="auto" w:sz="4" w:space="0"/>
                    <w:right w:val="single" w:color="auto" w:sz="4" w:space="0"/>
                  </w:tcBorders>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6</w:t>
                  </w:r>
                </w:p>
              </w:tc>
              <w:tc>
                <w:tcPr>
                  <w:tcW w:w="1688" w:type="pct"/>
                  <w:tcBorders>
                    <w:top w:val="single" w:color="auto" w:sz="4" w:space="0"/>
                    <w:left w:val="single" w:color="auto" w:sz="4" w:space="0"/>
                    <w:bottom w:val="single" w:color="auto" w:sz="4" w:space="0"/>
                    <w:right w:val="single" w:color="auto" w:sz="4" w:space="0"/>
                  </w:tcBorders>
                  <w:vAlign w:val="top"/>
                </w:tcPr>
                <w:p>
                  <w:pPr>
                    <w:pStyle w:val="63"/>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color w:val="auto"/>
                      <w:spacing w:val="5"/>
                      <w:sz w:val="21"/>
                      <w:szCs w:val="21"/>
                      <w:lang w:val="en-US" w:eastAsia="zh-CN"/>
                    </w:rPr>
                    <w:t>双联管道过滤器</w:t>
                  </w:r>
                </w:p>
              </w:tc>
              <w:tc>
                <w:tcPr>
                  <w:tcW w:w="100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lang w:val="en-US" w:eastAsia="zh-CN"/>
                    </w:rPr>
                    <w:t>/</w:t>
                  </w:r>
                </w:p>
              </w:tc>
              <w:tc>
                <w:tcPr>
                  <w:tcW w:w="678"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val="0"/>
                      <w:bCs w:val="0"/>
                      <w:color w:val="auto"/>
                      <w:sz w:val="21"/>
                      <w:szCs w:val="21"/>
                      <w:highlight w:val="none"/>
                      <w:lang w:val="en-US" w:eastAsia="zh-CN"/>
                    </w:rPr>
                    <w:t>1</w:t>
                  </w:r>
                </w:p>
              </w:tc>
              <w:tc>
                <w:tcPr>
                  <w:tcW w:w="625"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val="0"/>
                      <w:bCs w:val="0"/>
                      <w:color w:val="auto"/>
                      <w:sz w:val="21"/>
                      <w:szCs w:val="21"/>
                      <w:highlight w:val="none"/>
                      <w:lang w:val="en-US" w:eastAsia="zh-CN"/>
                    </w:rPr>
                    <w:t>台</w:t>
                  </w:r>
                </w:p>
              </w:tc>
              <w:tc>
                <w:tcPr>
                  <w:tcW w:w="44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549" w:type="pct"/>
                  <w:tcBorders>
                    <w:top w:val="single" w:color="auto" w:sz="4" w:space="0"/>
                    <w:left w:val="single" w:color="auto" w:sz="4" w:space="0"/>
                    <w:bottom w:val="single" w:color="auto" w:sz="4" w:space="0"/>
                    <w:right w:val="single" w:color="auto" w:sz="4" w:space="0"/>
                  </w:tcBorders>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7</w:t>
                  </w:r>
                </w:p>
              </w:tc>
              <w:tc>
                <w:tcPr>
                  <w:tcW w:w="1688" w:type="pct"/>
                  <w:tcBorders>
                    <w:top w:val="single" w:color="auto" w:sz="4" w:space="0"/>
                    <w:left w:val="single" w:color="auto" w:sz="4" w:space="0"/>
                    <w:bottom w:val="single" w:color="auto" w:sz="4" w:space="0"/>
                    <w:right w:val="single" w:color="auto" w:sz="4" w:space="0"/>
                  </w:tcBorders>
                  <w:vAlign w:val="top"/>
                </w:tcPr>
                <w:p>
                  <w:pPr>
                    <w:pStyle w:val="63"/>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color w:val="auto"/>
                      <w:spacing w:val="5"/>
                      <w:sz w:val="21"/>
                      <w:szCs w:val="21"/>
                      <w:lang w:val="en-US" w:eastAsia="zh-CN"/>
                    </w:rPr>
                    <w:t>板式换热器</w:t>
                  </w:r>
                </w:p>
              </w:tc>
              <w:tc>
                <w:tcPr>
                  <w:tcW w:w="100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lang w:val="en-US" w:eastAsia="zh-CN"/>
                    </w:rPr>
                    <w:t>/</w:t>
                  </w:r>
                </w:p>
              </w:tc>
              <w:tc>
                <w:tcPr>
                  <w:tcW w:w="678"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val="0"/>
                      <w:bCs w:val="0"/>
                      <w:color w:val="auto"/>
                      <w:sz w:val="21"/>
                      <w:szCs w:val="21"/>
                      <w:highlight w:val="none"/>
                      <w:lang w:val="en-US" w:eastAsia="zh-CN"/>
                    </w:rPr>
                    <w:t>1</w:t>
                  </w:r>
                </w:p>
              </w:tc>
              <w:tc>
                <w:tcPr>
                  <w:tcW w:w="625"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val="0"/>
                      <w:bCs w:val="0"/>
                      <w:color w:val="auto"/>
                      <w:sz w:val="21"/>
                      <w:szCs w:val="21"/>
                      <w:highlight w:val="none"/>
                      <w:lang w:val="en-US" w:eastAsia="zh-CN"/>
                    </w:rPr>
                    <w:t>台</w:t>
                  </w:r>
                </w:p>
              </w:tc>
              <w:tc>
                <w:tcPr>
                  <w:tcW w:w="44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549" w:type="pct"/>
                  <w:tcBorders>
                    <w:top w:val="single" w:color="auto" w:sz="4" w:space="0"/>
                    <w:left w:val="single" w:color="auto" w:sz="4" w:space="0"/>
                    <w:bottom w:val="single" w:color="auto" w:sz="4" w:space="0"/>
                    <w:right w:val="single" w:color="auto" w:sz="4" w:space="0"/>
                  </w:tcBorders>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8</w:t>
                  </w:r>
                </w:p>
              </w:tc>
              <w:tc>
                <w:tcPr>
                  <w:tcW w:w="1688" w:type="pct"/>
                  <w:tcBorders>
                    <w:top w:val="single" w:color="auto" w:sz="4" w:space="0"/>
                    <w:left w:val="single" w:color="auto" w:sz="4" w:space="0"/>
                    <w:bottom w:val="single" w:color="auto" w:sz="4" w:space="0"/>
                    <w:right w:val="single" w:color="auto" w:sz="4" w:space="0"/>
                  </w:tcBorders>
                  <w:vAlign w:val="top"/>
                </w:tcPr>
                <w:p>
                  <w:pPr>
                    <w:pStyle w:val="63"/>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color w:val="auto"/>
                      <w:spacing w:val="5"/>
                      <w:sz w:val="21"/>
                      <w:szCs w:val="21"/>
                      <w:lang w:val="en-US" w:eastAsia="zh-CN"/>
                    </w:rPr>
                    <w:t>蒸汽阀组</w:t>
                  </w:r>
                </w:p>
              </w:tc>
              <w:tc>
                <w:tcPr>
                  <w:tcW w:w="100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lang w:val="en-US" w:eastAsia="zh-CN"/>
                    </w:rPr>
                    <w:t>/</w:t>
                  </w:r>
                </w:p>
              </w:tc>
              <w:tc>
                <w:tcPr>
                  <w:tcW w:w="678"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val="0"/>
                      <w:bCs w:val="0"/>
                      <w:color w:val="auto"/>
                      <w:sz w:val="21"/>
                      <w:szCs w:val="21"/>
                      <w:highlight w:val="none"/>
                      <w:lang w:val="en-US" w:eastAsia="zh-CN"/>
                    </w:rPr>
                    <w:t>1</w:t>
                  </w:r>
                </w:p>
              </w:tc>
              <w:tc>
                <w:tcPr>
                  <w:tcW w:w="625"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val="0"/>
                      <w:bCs w:val="0"/>
                      <w:color w:val="auto"/>
                      <w:sz w:val="21"/>
                      <w:szCs w:val="21"/>
                      <w:highlight w:val="none"/>
                      <w:lang w:val="en-US" w:eastAsia="zh-CN"/>
                    </w:rPr>
                    <w:t>台</w:t>
                  </w:r>
                </w:p>
              </w:tc>
              <w:tc>
                <w:tcPr>
                  <w:tcW w:w="44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549" w:type="pct"/>
                  <w:tcBorders>
                    <w:top w:val="single" w:color="auto" w:sz="4" w:space="0"/>
                    <w:left w:val="single" w:color="auto" w:sz="4" w:space="0"/>
                    <w:bottom w:val="single" w:color="auto" w:sz="4" w:space="0"/>
                    <w:right w:val="single" w:color="auto" w:sz="4" w:space="0"/>
                  </w:tcBorders>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9</w:t>
                  </w:r>
                </w:p>
              </w:tc>
              <w:tc>
                <w:tcPr>
                  <w:tcW w:w="1688" w:type="pct"/>
                  <w:tcBorders>
                    <w:top w:val="single" w:color="auto" w:sz="4" w:space="0"/>
                    <w:left w:val="single" w:color="auto" w:sz="4" w:space="0"/>
                    <w:bottom w:val="single" w:color="auto" w:sz="4" w:space="0"/>
                    <w:right w:val="single" w:color="auto" w:sz="4" w:space="0"/>
                  </w:tcBorders>
                  <w:vAlign w:val="top"/>
                </w:tcPr>
                <w:p>
                  <w:pPr>
                    <w:pStyle w:val="63"/>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color w:val="auto"/>
                      <w:spacing w:val="5"/>
                      <w:sz w:val="21"/>
                      <w:szCs w:val="21"/>
                      <w:lang w:val="en-US" w:eastAsia="zh-CN"/>
                    </w:rPr>
                    <w:t>电导率仪</w:t>
                  </w:r>
                </w:p>
              </w:tc>
              <w:tc>
                <w:tcPr>
                  <w:tcW w:w="100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lang w:val="en-US" w:eastAsia="zh-CN"/>
                    </w:rPr>
                    <w:t>/</w:t>
                  </w:r>
                </w:p>
              </w:tc>
              <w:tc>
                <w:tcPr>
                  <w:tcW w:w="678"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val="0"/>
                      <w:bCs w:val="0"/>
                      <w:color w:val="auto"/>
                      <w:sz w:val="21"/>
                      <w:szCs w:val="21"/>
                      <w:highlight w:val="none"/>
                      <w:lang w:val="en-US" w:eastAsia="zh-CN"/>
                    </w:rPr>
                    <w:t>1</w:t>
                  </w:r>
                </w:p>
              </w:tc>
              <w:tc>
                <w:tcPr>
                  <w:tcW w:w="625"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val="0"/>
                      <w:bCs w:val="0"/>
                      <w:color w:val="auto"/>
                      <w:sz w:val="21"/>
                      <w:szCs w:val="21"/>
                      <w:highlight w:val="none"/>
                      <w:lang w:val="en-US" w:eastAsia="zh-CN"/>
                    </w:rPr>
                    <w:t>台</w:t>
                  </w:r>
                </w:p>
              </w:tc>
              <w:tc>
                <w:tcPr>
                  <w:tcW w:w="44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549" w:type="pct"/>
                  <w:tcBorders>
                    <w:top w:val="single" w:color="auto" w:sz="4" w:space="0"/>
                    <w:left w:val="single" w:color="auto" w:sz="4" w:space="0"/>
                    <w:bottom w:val="single" w:color="auto" w:sz="4" w:space="0"/>
                    <w:right w:val="single" w:color="auto" w:sz="4" w:space="0"/>
                  </w:tcBorders>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10</w:t>
                  </w:r>
                </w:p>
              </w:tc>
              <w:tc>
                <w:tcPr>
                  <w:tcW w:w="1688" w:type="pct"/>
                  <w:tcBorders>
                    <w:top w:val="single" w:color="auto" w:sz="4" w:space="0"/>
                    <w:left w:val="single" w:color="auto" w:sz="4" w:space="0"/>
                    <w:bottom w:val="single" w:color="auto" w:sz="4" w:space="0"/>
                    <w:right w:val="single" w:color="auto" w:sz="4" w:space="0"/>
                  </w:tcBorders>
                  <w:vAlign w:val="top"/>
                </w:tcPr>
                <w:p>
                  <w:pPr>
                    <w:pStyle w:val="63"/>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color w:val="auto"/>
                      <w:spacing w:val="5"/>
                      <w:sz w:val="21"/>
                      <w:szCs w:val="21"/>
                      <w:lang w:val="en-US" w:eastAsia="zh-CN"/>
                    </w:rPr>
                    <w:t>流量开关</w:t>
                  </w:r>
                </w:p>
              </w:tc>
              <w:tc>
                <w:tcPr>
                  <w:tcW w:w="100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lang w:val="en-US" w:eastAsia="zh-CN"/>
                    </w:rPr>
                    <w:t>/</w:t>
                  </w:r>
                </w:p>
              </w:tc>
              <w:tc>
                <w:tcPr>
                  <w:tcW w:w="678"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val="0"/>
                      <w:bCs w:val="0"/>
                      <w:color w:val="auto"/>
                      <w:sz w:val="21"/>
                      <w:szCs w:val="21"/>
                      <w:highlight w:val="none"/>
                      <w:lang w:val="en-US" w:eastAsia="zh-CN"/>
                    </w:rPr>
                    <w:t>1</w:t>
                  </w:r>
                </w:p>
              </w:tc>
              <w:tc>
                <w:tcPr>
                  <w:tcW w:w="625"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val="0"/>
                      <w:bCs w:val="0"/>
                      <w:color w:val="auto"/>
                      <w:sz w:val="21"/>
                      <w:szCs w:val="21"/>
                      <w:highlight w:val="none"/>
                      <w:lang w:val="en-US" w:eastAsia="zh-CN"/>
                    </w:rPr>
                    <w:t>台</w:t>
                  </w:r>
                </w:p>
              </w:tc>
              <w:tc>
                <w:tcPr>
                  <w:tcW w:w="44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549" w:type="pct"/>
                  <w:tcBorders>
                    <w:top w:val="single" w:color="auto" w:sz="4" w:space="0"/>
                    <w:left w:val="single" w:color="auto" w:sz="4" w:space="0"/>
                    <w:bottom w:val="single" w:color="auto" w:sz="4" w:space="0"/>
                    <w:right w:val="single" w:color="auto" w:sz="4" w:space="0"/>
                  </w:tcBorders>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11</w:t>
                  </w:r>
                </w:p>
              </w:tc>
              <w:tc>
                <w:tcPr>
                  <w:tcW w:w="1688" w:type="pct"/>
                  <w:tcBorders>
                    <w:top w:val="single" w:color="auto" w:sz="4" w:space="0"/>
                    <w:left w:val="single" w:color="auto" w:sz="4" w:space="0"/>
                    <w:bottom w:val="single" w:color="auto" w:sz="4" w:space="0"/>
                    <w:right w:val="single" w:color="auto" w:sz="4" w:space="0"/>
                  </w:tcBorders>
                  <w:vAlign w:val="top"/>
                </w:tcPr>
                <w:p>
                  <w:pPr>
                    <w:keepNext w:val="0"/>
                    <w:keepLines w:val="0"/>
                    <w:widowControl/>
                    <w:suppressLineNumbers w:val="0"/>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color w:val="auto"/>
                      <w:spacing w:val="5"/>
                      <w:sz w:val="21"/>
                      <w:szCs w:val="21"/>
                      <w:lang w:val="en-US" w:eastAsia="zh-CN"/>
                    </w:rPr>
                    <w:t>小车和配套酸碱桶</w:t>
                  </w:r>
                </w:p>
              </w:tc>
              <w:tc>
                <w:tcPr>
                  <w:tcW w:w="100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lang w:val="en-US" w:eastAsia="zh-CN"/>
                    </w:rPr>
                    <w:t>/</w:t>
                  </w:r>
                </w:p>
              </w:tc>
              <w:tc>
                <w:tcPr>
                  <w:tcW w:w="678"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val="0"/>
                      <w:bCs w:val="0"/>
                      <w:color w:val="auto"/>
                      <w:sz w:val="21"/>
                      <w:szCs w:val="21"/>
                      <w:highlight w:val="none"/>
                      <w:lang w:val="en-US" w:eastAsia="zh-CN"/>
                    </w:rPr>
                    <w:t>1</w:t>
                  </w:r>
                </w:p>
              </w:tc>
              <w:tc>
                <w:tcPr>
                  <w:tcW w:w="625"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val="0"/>
                      <w:bCs w:val="0"/>
                      <w:color w:val="auto"/>
                      <w:sz w:val="21"/>
                      <w:szCs w:val="21"/>
                      <w:highlight w:val="none"/>
                      <w:lang w:val="en-US" w:eastAsia="zh-CN"/>
                    </w:rPr>
                    <w:t>台</w:t>
                  </w:r>
                </w:p>
              </w:tc>
              <w:tc>
                <w:tcPr>
                  <w:tcW w:w="44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549" w:type="pct"/>
                  <w:tcBorders>
                    <w:top w:val="single" w:color="auto" w:sz="4" w:space="0"/>
                    <w:left w:val="single" w:color="auto" w:sz="4" w:space="0"/>
                    <w:bottom w:val="single" w:color="auto" w:sz="4" w:space="0"/>
                    <w:right w:val="single" w:color="auto" w:sz="4" w:space="0"/>
                  </w:tcBorders>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12</w:t>
                  </w:r>
                </w:p>
              </w:tc>
              <w:tc>
                <w:tcPr>
                  <w:tcW w:w="1688" w:type="pct"/>
                  <w:tcBorders>
                    <w:top w:val="single" w:color="auto" w:sz="4" w:space="0"/>
                    <w:left w:val="single" w:color="auto" w:sz="4" w:space="0"/>
                    <w:bottom w:val="single" w:color="auto" w:sz="4" w:space="0"/>
                    <w:right w:val="single" w:color="auto" w:sz="4" w:space="0"/>
                  </w:tcBorders>
                  <w:vAlign w:val="top"/>
                </w:tcPr>
                <w:p>
                  <w:pPr>
                    <w:pStyle w:val="63"/>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color w:val="auto"/>
                      <w:spacing w:val="5"/>
                      <w:sz w:val="21"/>
                      <w:szCs w:val="21"/>
                      <w:lang w:val="en-US" w:eastAsia="zh-CN"/>
                    </w:rPr>
                    <w:t>自动加酸碱隔膜泵</w:t>
                  </w:r>
                </w:p>
              </w:tc>
              <w:tc>
                <w:tcPr>
                  <w:tcW w:w="100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lang w:val="en-US" w:eastAsia="zh-CN"/>
                    </w:rPr>
                    <w:t>/</w:t>
                  </w:r>
                </w:p>
              </w:tc>
              <w:tc>
                <w:tcPr>
                  <w:tcW w:w="678"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val="0"/>
                      <w:bCs w:val="0"/>
                      <w:color w:val="auto"/>
                      <w:sz w:val="21"/>
                      <w:szCs w:val="21"/>
                      <w:highlight w:val="none"/>
                      <w:lang w:val="en-US" w:eastAsia="zh-CN"/>
                    </w:rPr>
                    <w:t>1</w:t>
                  </w:r>
                </w:p>
              </w:tc>
              <w:tc>
                <w:tcPr>
                  <w:tcW w:w="625"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val="0"/>
                      <w:bCs w:val="0"/>
                      <w:color w:val="auto"/>
                      <w:sz w:val="21"/>
                      <w:szCs w:val="21"/>
                      <w:highlight w:val="none"/>
                      <w:lang w:val="en-US" w:eastAsia="zh-CN"/>
                    </w:rPr>
                    <w:t>台</w:t>
                  </w:r>
                </w:p>
              </w:tc>
              <w:tc>
                <w:tcPr>
                  <w:tcW w:w="44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83" w:hRule="atLeast"/>
                <w:jc w:val="center"/>
              </w:trPr>
              <w:tc>
                <w:tcPr>
                  <w:tcW w:w="549" w:type="pct"/>
                  <w:tcBorders>
                    <w:top w:val="single" w:color="auto" w:sz="4" w:space="0"/>
                    <w:left w:val="single" w:color="auto" w:sz="4" w:space="0"/>
                    <w:bottom w:val="single" w:color="auto" w:sz="4" w:space="0"/>
                    <w:right w:val="single" w:color="auto" w:sz="4" w:space="0"/>
                  </w:tcBorders>
                  <w:vAlign w:val="center"/>
                </w:tcPr>
                <w:p>
                  <w:pPr>
                    <w:pStyle w:val="48"/>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13</w:t>
                  </w:r>
                </w:p>
              </w:tc>
              <w:tc>
                <w:tcPr>
                  <w:tcW w:w="1688" w:type="pct"/>
                  <w:tcBorders>
                    <w:top w:val="single" w:color="auto" w:sz="4" w:space="0"/>
                    <w:left w:val="single" w:color="auto" w:sz="4" w:space="0"/>
                    <w:bottom w:val="single" w:color="auto" w:sz="4" w:space="0"/>
                    <w:right w:val="single" w:color="auto" w:sz="4" w:space="0"/>
                  </w:tcBorders>
                  <w:vAlign w:val="top"/>
                </w:tcPr>
                <w:p>
                  <w:pPr>
                    <w:pStyle w:val="63"/>
                    <w:keepNext w:val="0"/>
                    <w:keepLines w:val="0"/>
                    <w:pageBreakBefore w:val="0"/>
                    <w:widowControl w:val="0"/>
                    <w:kinsoku/>
                    <w:wordWrap/>
                    <w:overflowPunct/>
                    <w:topLinePunct w:val="0"/>
                    <w:autoSpaceDE/>
                    <w:autoSpaceDN/>
                    <w:bidi w:val="0"/>
                    <w:adjustRightInd w:val="0"/>
                    <w:snapToGrid w:val="0"/>
                    <w:spacing w:line="240" w:lineRule="auto"/>
                    <w:ind w:left="0" w:left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color w:val="auto"/>
                      <w:spacing w:val="5"/>
                      <w:sz w:val="21"/>
                      <w:szCs w:val="21"/>
                      <w:lang w:val="en-US" w:eastAsia="zh-CN"/>
                    </w:rPr>
                    <w:t>不锈钢管道</w:t>
                  </w:r>
                </w:p>
              </w:tc>
              <w:tc>
                <w:tcPr>
                  <w:tcW w:w="100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lang w:val="en-US" w:eastAsia="zh-CN"/>
                    </w:rPr>
                    <w:t>/</w:t>
                  </w:r>
                </w:p>
              </w:tc>
              <w:tc>
                <w:tcPr>
                  <w:tcW w:w="678"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val="0"/>
                      <w:bCs w:val="0"/>
                      <w:color w:val="auto"/>
                      <w:sz w:val="21"/>
                      <w:szCs w:val="21"/>
                      <w:highlight w:val="none"/>
                      <w:lang w:val="en-US" w:eastAsia="zh-CN"/>
                    </w:rPr>
                    <w:t>1</w:t>
                  </w:r>
                </w:p>
              </w:tc>
              <w:tc>
                <w:tcPr>
                  <w:tcW w:w="625"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val="0"/>
                      <w:bCs w:val="0"/>
                      <w:color w:val="auto"/>
                      <w:sz w:val="21"/>
                      <w:szCs w:val="21"/>
                      <w:highlight w:val="none"/>
                      <w:lang w:val="en-US" w:eastAsia="zh-CN"/>
                    </w:rPr>
                    <w:t>台</w:t>
                  </w:r>
                </w:p>
              </w:tc>
              <w:tc>
                <w:tcPr>
                  <w:tcW w:w="449" w:type="pct"/>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right="0" w:firstLine="0" w:firstLineChars="0"/>
                    <w:jc w:val="center"/>
                    <w:textAlignment w:val="auto"/>
                    <w:rPr>
                      <w:rFonts w:hint="default" w:ascii="Times New Roman" w:hAnsi="Times New Roman" w:eastAsia="宋体" w:cs="Times New Roman"/>
                      <w:b w:val="0"/>
                      <w:bCs w:val="0"/>
                      <w:color w:val="auto"/>
                      <w:sz w:val="21"/>
                      <w:szCs w:val="21"/>
                      <w:highlight w:val="none"/>
                    </w:rPr>
                  </w:pPr>
                  <w:r>
                    <w:rPr>
                      <w:rFonts w:hint="default" w:ascii="Times New Roman" w:hAnsi="Times New Roman" w:eastAsia="宋体" w:cs="Times New Roman"/>
                      <w:b w:val="0"/>
                      <w:bCs w:val="0"/>
                      <w:color w:val="auto"/>
                      <w:sz w:val="21"/>
                      <w:szCs w:val="21"/>
                      <w:highlight w:val="none"/>
                      <w:lang w:val="en-US" w:eastAsia="zh-CN"/>
                    </w:rPr>
                    <w:t>/</w:t>
                  </w:r>
                </w:p>
              </w:tc>
            </w:tr>
          </w:tbl>
          <w:p>
            <w:pPr>
              <w:spacing w:line="360" w:lineRule="auto"/>
              <w:ind w:left="0" w:leftChars="0" w:firstLine="0" w:firstLineChars="0"/>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六、</w:t>
            </w:r>
            <w:r>
              <w:rPr>
                <w:rFonts w:hint="default" w:ascii="Times New Roman" w:hAnsi="Times New Roman" w:cs="Times New Roman"/>
                <w:b/>
                <w:bCs/>
                <w:color w:val="auto"/>
                <w:sz w:val="21"/>
                <w:szCs w:val="21"/>
                <w:highlight w:val="none"/>
              </w:rPr>
              <w:t>主要原辅材料</w:t>
            </w:r>
          </w:p>
          <w:p>
            <w:pPr>
              <w:spacing w:line="360" w:lineRule="auto"/>
              <w:ind w:left="0" w:firstLine="420" w:firstLineChars="20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本项目所需主要能源消耗及来源见表</w:t>
            </w:r>
            <w:r>
              <w:rPr>
                <w:rFonts w:hint="default" w:ascii="Times New Roman" w:hAnsi="Times New Roman" w:cs="Times New Roman"/>
                <w:color w:val="auto"/>
                <w:sz w:val="21"/>
                <w:szCs w:val="21"/>
                <w:highlight w:val="none"/>
                <w:lang w:val="en-US" w:eastAsia="zh-CN"/>
              </w:rPr>
              <w:t>2-4</w:t>
            </w:r>
            <w:r>
              <w:rPr>
                <w:rFonts w:hint="default" w:ascii="Times New Roman" w:hAnsi="Times New Roman" w:cs="Times New Roman"/>
                <w:color w:val="auto"/>
                <w:sz w:val="21"/>
                <w:szCs w:val="21"/>
                <w:highlight w:val="none"/>
              </w:rPr>
              <w:t>。</w:t>
            </w:r>
          </w:p>
          <w:p>
            <w:pPr>
              <w:autoSpaceDN/>
              <w:spacing w:line="240" w:lineRule="auto"/>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表</w:t>
            </w:r>
            <w:r>
              <w:rPr>
                <w:rFonts w:hint="default" w:ascii="Times New Roman" w:hAnsi="Times New Roman" w:cs="Times New Roman"/>
                <w:b/>
                <w:bCs/>
                <w:color w:val="auto"/>
                <w:sz w:val="21"/>
                <w:szCs w:val="21"/>
                <w:highlight w:val="none"/>
                <w:lang w:val="en-US" w:eastAsia="zh-CN"/>
              </w:rPr>
              <w:t>2-4</w:t>
            </w:r>
            <w:r>
              <w:rPr>
                <w:rFonts w:hint="default" w:ascii="Times New Roman" w:hAnsi="Times New Roman" w:cs="Times New Roman"/>
                <w:b/>
                <w:bCs/>
                <w:color w:val="auto"/>
                <w:sz w:val="21"/>
                <w:szCs w:val="21"/>
                <w:highlight w:val="none"/>
              </w:rPr>
              <w:t xml:space="preserve"> 主要</w:t>
            </w:r>
            <w:r>
              <w:rPr>
                <w:rFonts w:hint="default" w:ascii="Times New Roman" w:hAnsi="Times New Roman" w:cs="Times New Roman"/>
                <w:b/>
                <w:bCs/>
                <w:color w:val="auto"/>
                <w:sz w:val="21"/>
                <w:szCs w:val="21"/>
                <w:highlight w:val="none"/>
                <w:lang w:val="en-US" w:eastAsia="zh-CN"/>
              </w:rPr>
              <w:t>原辅材料及</w:t>
            </w:r>
            <w:r>
              <w:rPr>
                <w:rFonts w:hint="default" w:ascii="Times New Roman" w:hAnsi="Times New Roman" w:cs="Times New Roman"/>
                <w:b/>
                <w:bCs/>
                <w:color w:val="auto"/>
                <w:sz w:val="21"/>
                <w:szCs w:val="21"/>
                <w:highlight w:val="none"/>
              </w:rPr>
              <w:t>能源消耗和来源一览表</w:t>
            </w:r>
          </w:p>
          <w:tbl>
            <w:tblPr>
              <w:tblStyle w:val="2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3"/>
              <w:gridCol w:w="2180"/>
              <w:gridCol w:w="1105"/>
              <w:gridCol w:w="976"/>
              <w:gridCol w:w="1093"/>
              <w:gridCol w:w="190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520" w:type="pct"/>
                  <w:noWrap w:val="0"/>
                  <w:vAlign w:val="center"/>
                </w:tcPr>
                <w:p>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产品名称</w:t>
                  </w:r>
                </w:p>
              </w:tc>
              <w:tc>
                <w:tcPr>
                  <w:tcW w:w="1345" w:type="pct"/>
                  <w:noWrap w:val="0"/>
                  <w:vAlign w:val="center"/>
                </w:tcPr>
                <w:p>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原辅料</w:t>
                  </w:r>
                  <w:r>
                    <w:rPr>
                      <w:rFonts w:hint="default" w:ascii="Times New Roman" w:hAnsi="Times New Roman" w:cs="Times New Roman"/>
                      <w:color w:val="auto"/>
                      <w:sz w:val="21"/>
                      <w:szCs w:val="21"/>
                      <w:highlight w:val="none"/>
                    </w:rPr>
                    <w:t>名称</w:t>
                  </w:r>
                </w:p>
              </w:tc>
              <w:tc>
                <w:tcPr>
                  <w:tcW w:w="681" w:type="pct"/>
                  <w:noWrap w:val="0"/>
                  <w:vAlign w:val="center"/>
                </w:tcPr>
                <w:p>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单位</w:t>
                  </w:r>
                </w:p>
              </w:tc>
              <w:tc>
                <w:tcPr>
                  <w:tcW w:w="602" w:type="pct"/>
                  <w:noWrap w:val="0"/>
                  <w:vAlign w:val="center"/>
                </w:tcPr>
                <w:p>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消耗量</w:t>
                  </w:r>
                </w:p>
              </w:tc>
              <w:tc>
                <w:tcPr>
                  <w:tcW w:w="674" w:type="pct"/>
                  <w:noWrap w:val="0"/>
                  <w:vAlign w:val="center"/>
                </w:tcPr>
                <w:p>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来源</w:t>
                  </w:r>
                </w:p>
              </w:tc>
              <w:tc>
                <w:tcPr>
                  <w:tcW w:w="1175" w:type="pct"/>
                  <w:noWrap w:val="0"/>
                  <w:vAlign w:val="center"/>
                </w:tcPr>
                <w:p>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20" w:type="pct"/>
                  <w:vMerge w:val="restart"/>
                  <w:noWrap w:val="0"/>
                  <w:vAlign w:val="center"/>
                </w:tcPr>
                <w:p>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b w:val="0"/>
                      <w:bCs/>
                      <w:color w:val="auto"/>
                      <w:kern w:val="2"/>
                      <w:sz w:val="21"/>
                      <w:szCs w:val="21"/>
                      <w:highlight w:val="none"/>
                      <w:lang w:val="en-US" w:eastAsia="zh-CN" w:bidi="ar-SA"/>
                    </w:rPr>
                    <w:t>高端鲜榨果汁饮料</w:t>
                  </w:r>
                </w:p>
              </w:tc>
              <w:tc>
                <w:tcPr>
                  <w:tcW w:w="1345" w:type="pct"/>
                  <w:noWrap w:val="0"/>
                  <w:vAlign w:val="center"/>
                </w:tcPr>
                <w:p>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库尔勒香梨</w:t>
                  </w:r>
                </w:p>
              </w:tc>
              <w:tc>
                <w:tcPr>
                  <w:tcW w:w="681" w:type="pct"/>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t/a</w:t>
                  </w:r>
                </w:p>
              </w:tc>
              <w:tc>
                <w:tcPr>
                  <w:tcW w:w="602" w:type="pct"/>
                  <w:noWrap w:val="0"/>
                  <w:vAlign w:val="center"/>
                </w:tcPr>
                <w:p>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10320</w:t>
                  </w:r>
                </w:p>
              </w:tc>
              <w:tc>
                <w:tcPr>
                  <w:tcW w:w="674"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val="en-US" w:eastAsia="zh-CN" w:bidi="ar-SA"/>
                    </w:rPr>
                    <w:t>外购</w:t>
                  </w:r>
                </w:p>
              </w:tc>
              <w:tc>
                <w:tcPr>
                  <w:tcW w:w="1175"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520" w:type="pct"/>
                  <w:vMerge w:val="continue"/>
                  <w:noWrap w:val="0"/>
                  <w:vAlign w:val="center"/>
                </w:tcPr>
                <w:p>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p>
              </w:tc>
              <w:tc>
                <w:tcPr>
                  <w:tcW w:w="1345" w:type="pct"/>
                  <w:noWrap w:val="0"/>
                  <w:vAlign w:val="center"/>
                </w:tcPr>
                <w:p>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维生素C</w:t>
                  </w:r>
                </w:p>
              </w:tc>
              <w:tc>
                <w:tcPr>
                  <w:tcW w:w="681" w:type="pct"/>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t/a</w:t>
                  </w:r>
                </w:p>
              </w:tc>
              <w:tc>
                <w:tcPr>
                  <w:tcW w:w="602" w:type="pct"/>
                  <w:noWrap w:val="0"/>
                  <w:vAlign w:val="center"/>
                </w:tcPr>
                <w:p>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1.4</w:t>
                  </w:r>
                </w:p>
              </w:tc>
              <w:tc>
                <w:tcPr>
                  <w:tcW w:w="674"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val="en-US" w:eastAsia="zh-CN" w:bidi="ar-SA"/>
                    </w:rPr>
                    <w:t>外购</w:t>
                  </w:r>
                </w:p>
              </w:tc>
              <w:tc>
                <w:tcPr>
                  <w:tcW w:w="1175"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520" w:type="pct"/>
                  <w:vMerge w:val="continue"/>
                  <w:noWrap w:val="0"/>
                  <w:vAlign w:val="center"/>
                </w:tcPr>
                <w:p>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p>
              </w:tc>
              <w:tc>
                <w:tcPr>
                  <w:tcW w:w="1345" w:type="pct"/>
                  <w:noWrap w:val="0"/>
                  <w:vAlign w:val="center"/>
                </w:tcPr>
                <w:p>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柠檬酸</w:t>
                  </w:r>
                </w:p>
              </w:tc>
              <w:tc>
                <w:tcPr>
                  <w:tcW w:w="681" w:type="pct"/>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t/a</w:t>
                  </w:r>
                </w:p>
              </w:tc>
              <w:tc>
                <w:tcPr>
                  <w:tcW w:w="602" w:type="pct"/>
                  <w:noWrap w:val="0"/>
                  <w:vAlign w:val="center"/>
                </w:tcPr>
                <w:p>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11.2</w:t>
                  </w:r>
                </w:p>
              </w:tc>
              <w:tc>
                <w:tcPr>
                  <w:tcW w:w="674"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val="en-US" w:eastAsia="zh-CN" w:bidi="ar-SA"/>
                    </w:rPr>
                    <w:t>外购</w:t>
                  </w:r>
                </w:p>
              </w:tc>
              <w:tc>
                <w:tcPr>
                  <w:tcW w:w="1175"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520" w:type="pct"/>
                  <w:vMerge w:val="continue"/>
                  <w:noWrap w:val="0"/>
                  <w:vAlign w:val="center"/>
                </w:tcPr>
                <w:p>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p>
              </w:tc>
              <w:tc>
                <w:tcPr>
                  <w:tcW w:w="1345" w:type="pct"/>
                  <w:noWrap w:val="0"/>
                  <w:vAlign w:val="center"/>
                </w:tcPr>
                <w:p>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乳酸菌发酵剂</w:t>
                  </w:r>
                </w:p>
              </w:tc>
              <w:tc>
                <w:tcPr>
                  <w:tcW w:w="681" w:type="pct"/>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t/a</w:t>
                  </w:r>
                </w:p>
              </w:tc>
              <w:tc>
                <w:tcPr>
                  <w:tcW w:w="602" w:type="pct"/>
                  <w:noWrap w:val="0"/>
                  <w:vAlign w:val="center"/>
                </w:tcPr>
                <w:p>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1.5</w:t>
                  </w:r>
                </w:p>
              </w:tc>
              <w:tc>
                <w:tcPr>
                  <w:tcW w:w="674"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val="en-US" w:eastAsia="zh-CN" w:bidi="ar-SA"/>
                    </w:rPr>
                    <w:t>外购</w:t>
                  </w:r>
                </w:p>
              </w:tc>
              <w:tc>
                <w:tcPr>
                  <w:tcW w:w="1175"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520" w:type="pct"/>
                  <w:vMerge w:val="continue"/>
                  <w:noWrap w:val="0"/>
                  <w:vAlign w:val="center"/>
                </w:tcPr>
                <w:p>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p>
              </w:tc>
              <w:tc>
                <w:tcPr>
                  <w:tcW w:w="1345" w:type="pct"/>
                  <w:noWrap w:val="0"/>
                  <w:vAlign w:val="center"/>
                </w:tcPr>
                <w:p>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pacing w:val="10"/>
                      <w:sz w:val="21"/>
                      <w:szCs w:val="21"/>
                    </w:rPr>
                    <w:t>食品级氢氧化钠</w:t>
                  </w:r>
                </w:p>
              </w:tc>
              <w:tc>
                <w:tcPr>
                  <w:tcW w:w="681" w:type="pct"/>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vertAlign w:val="baseline"/>
                      <w:lang w:val="en-US" w:eastAsia="zh-CN"/>
                    </w:rPr>
                    <w:t>t/a</w:t>
                  </w:r>
                </w:p>
              </w:tc>
              <w:tc>
                <w:tcPr>
                  <w:tcW w:w="602" w:type="pct"/>
                  <w:noWrap w:val="0"/>
                  <w:vAlign w:val="center"/>
                </w:tcPr>
                <w:p>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20</w:t>
                  </w:r>
                </w:p>
              </w:tc>
              <w:tc>
                <w:tcPr>
                  <w:tcW w:w="674"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外购</w:t>
                  </w:r>
                </w:p>
              </w:tc>
              <w:tc>
                <w:tcPr>
                  <w:tcW w:w="1175" w:type="pct"/>
                  <w:noWrap w:val="0"/>
                  <w:vAlign w:val="center"/>
                </w:tcPr>
                <w:p>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vertAlign w:val="baseline"/>
                      <w:lang w:val="en-US" w:eastAsia="zh-CN"/>
                    </w:rPr>
                    <w:t>设备清洗用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20" w:hRule="atLeast"/>
                <w:jc w:val="center"/>
              </w:trPr>
              <w:tc>
                <w:tcPr>
                  <w:tcW w:w="520" w:type="pct"/>
                  <w:vMerge w:val="continue"/>
                  <w:noWrap w:val="0"/>
                  <w:vAlign w:val="center"/>
                </w:tcPr>
                <w:p>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p>
              </w:tc>
              <w:tc>
                <w:tcPr>
                  <w:tcW w:w="1345" w:type="pct"/>
                  <w:noWrap w:val="0"/>
                  <w:vAlign w:val="center"/>
                </w:tcPr>
                <w:p>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eastAsia="Times New Roman" w:cs="Times New Roman"/>
                      <w:color w:val="auto"/>
                      <w:sz w:val="21"/>
                      <w:szCs w:val="21"/>
                    </w:rPr>
                    <w:t>PET</w:t>
                  </w:r>
                  <w:r>
                    <w:rPr>
                      <w:rFonts w:hint="default" w:ascii="Times New Roman" w:hAnsi="Times New Roman" w:cs="Times New Roman"/>
                      <w:color w:val="auto"/>
                      <w:spacing w:val="17"/>
                      <w:sz w:val="21"/>
                      <w:szCs w:val="21"/>
                    </w:rPr>
                    <w:t>瓶</w:t>
                  </w:r>
                </w:p>
              </w:tc>
              <w:tc>
                <w:tcPr>
                  <w:tcW w:w="681" w:type="pct"/>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pacing w:val="2"/>
                      <w:sz w:val="21"/>
                      <w:szCs w:val="21"/>
                    </w:rPr>
                    <w:t>万只</w:t>
                  </w:r>
                  <w:r>
                    <w:rPr>
                      <w:rFonts w:hint="default" w:ascii="Times New Roman" w:hAnsi="Times New Roman" w:eastAsia="Times New Roman" w:cs="Times New Roman"/>
                      <w:color w:val="auto"/>
                      <w:spacing w:val="2"/>
                      <w:sz w:val="21"/>
                      <w:szCs w:val="21"/>
                    </w:rPr>
                    <w:t>/a</w:t>
                  </w:r>
                </w:p>
              </w:tc>
              <w:tc>
                <w:tcPr>
                  <w:tcW w:w="602" w:type="pct"/>
                  <w:noWrap w:val="0"/>
                  <w:vAlign w:val="center"/>
                </w:tcPr>
                <w:p>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2113.5</w:t>
                  </w:r>
                </w:p>
              </w:tc>
              <w:tc>
                <w:tcPr>
                  <w:tcW w:w="674" w:type="pct"/>
                  <w:noWrap w:val="0"/>
                  <w:vAlign w:val="center"/>
                </w:tcPr>
                <w:p>
                  <w:pPr>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自制</w:t>
                  </w:r>
                </w:p>
              </w:tc>
              <w:tc>
                <w:tcPr>
                  <w:tcW w:w="1175" w:type="pct"/>
                  <w:noWrap w:val="0"/>
                  <w:vAlign w:val="center"/>
                </w:tcPr>
                <w:p>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vertAlign w:val="baseline"/>
                      <w:lang w:val="en-US" w:eastAsia="zh-CN"/>
                    </w:rPr>
                    <w:t>300</w:t>
                  </w:r>
                  <w:r>
                    <w:rPr>
                      <w:rFonts w:hint="eastAsia" w:ascii="Times New Roman" w:cs="Times New Roman"/>
                      <w:color w:val="auto"/>
                      <w:sz w:val="21"/>
                      <w:szCs w:val="21"/>
                      <w:highlight w:val="none"/>
                      <w:vertAlign w:val="baseline"/>
                      <w:lang w:val="en-US" w:eastAsia="zh-CN"/>
                    </w:rPr>
                    <w:t>ml、</w:t>
                  </w:r>
                  <w:r>
                    <w:rPr>
                      <w:rFonts w:hint="default" w:ascii="Times New Roman" w:hAnsi="Times New Roman" w:cs="Times New Roman"/>
                      <w:color w:val="auto"/>
                      <w:sz w:val="21"/>
                      <w:szCs w:val="21"/>
                      <w:highlight w:val="none"/>
                      <w:vertAlign w:val="baseline"/>
                      <w:lang w:val="en-US" w:eastAsia="zh-CN"/>
                    </w:rPr>
                    <w:t>500ml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20" w:type="pct"/>
                  <w:vMerge w:val="continue"/>
                  <w:noWrap w:val="0"/>
                  <w:vAlign w:val="center"/>
                </w:tcPr>
                <w:p>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p>
              </w:tc>
              <w:tc>
                <w:tcPr>
                  <w:tcW w:w="1345" w:type="pct"/>
                  <w:noWrap w:val="0"/>
                  <w:vAlign w:val="top"/>
                </w:tcPr>
                <w:p>
                  <w:pPr>
                    <w:pStyle w:val="63"/>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pacing w:val="6"/>
                      <w:sz w:val="21"/>
                      <w:szCs w:val="21"/>
                    </w:rPr>
                    <w:t>瓶盖</w:t>
                  </w:r>
                </w:p>
              </w:tc>
              <w:tc>
                <w:tcPr>
                  <w:tcW w:w="681" w:type="pct"/>
                  <w:shd w:val="clear" w:color="auto" w:fill="auto"/>
                  <w:noWrap w:val="0"/>
                  <w:vAlign w:val="top"/>
                </w:tcPr>
                <w:p>
                  <w:pPr>
                    <w:pStyle w:val="63"/>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pacing w:val="2"/>
                      <w:sz w:val="21"/>
                      <w:szCs w:val="21"/>
                    </w:rPr>
                    <w:t>万只</w:t>
                  </w:r>
                  <w:r>
                    <w:rPr>
                      <w:rFonts w:hint="default" w:ascii="Times New Roman" w:hAnsi="Times New Roman" w:eastAsia="Times New Roman" w:cs="Times New Roman"/>
                      <w:color w:val="auto"/>
                      <w:spacing w:val="2"/>
                      <w:sz w:val="21"/>
                      <w:szCs w:val="21"/>
                    </w:rPr>
                    <w:t>/a</w:t>
                  </w:r>
                </w:p>
              </w:tc>
              <w:tc>
                <w:tcPr>
                  <w:tcW w:w="602" w:type="pct"/>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2113.5</w:t>
                  </w:r>
                </w:p>
              </w:tc>
              <w:tc>
                <w:tcPr>
                  <w:tcW w:w="674" w:type="pct"/>
                  <w:noWrap w:val="0"/>
                  <w:vAlign w:val="top"/>
                </w:tcPr>
                <w:p>
                  <w:pPr>
                    <w:pStyle w:val="63"/>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cs="Times New Roman"/>
                      <w:color w:val="auto"/>
                      <w:kern w:val="0"/>
                      <w:sz w:val="21"/>
                      <w:szCs w:val="21"/>
                      <w:highlight w:val="none"/>
                      <w:lang w:val="en-US" w:eastAsia="zh-CN" w:bidi="ar-SA"/>
                    </w:rPr>
                  </w:pPr>
                  <w:r>
                    <w:rPr>
                      <w:rFonts w:hint="default" w:ascii="Times New Roman" w:hAnsi="Times New Roman" w:cs="Times New Roman"/>
                      <w:color w:val="auto"/>
                      <w:spacing w:val="1"/>
                      <w:sz w:val="21"/>
                      <w:szCs w:val="21"/>
                    </w:rPr>
                    <w:t>外购</w:t>
                  </w:r>
                </w:p>
              </w:tc>
              <w:tc>
                <w:tcPr>
                  <w:tcW w:w="1175"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20" w:type="pct"/>
                  <w:vMerge w:val="continue"/>
                  <w:noWrap w:val="0"/>
                  <w:vAlign w:val="center"/>
                </w:tcPr>
                <w:p>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p>
              </w:tc>
              <w:tc>
                <w:tcPr>
                  <w:tcW w:w="1345" w:type="pct"/>
                  <w:noWrap w:val="0"/>
                  <w:vAlign w:val="top"/>
                </w:tcPr>
                <w:p>
                  <w:pPr>
                    <w:pStyle w:val="63"/>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pacing w:val="4"/>
                      <w:sz w:val="21"/>
                      <w:szCs w:val="21"/>
                    </w:rPr>
                    <w:t>标签</w:t>
                  </w:r>
                </w:p>
              </w:tc>
              <w:tc>
                <w:tcPr>
                  <w:tcW w:w="681" w:type="pct"/>
                  <w:shd w:val="clear" w:color="auto" w:fill="auto"/>
                  <w:noWrap w:val="0"/>
                  <w:vAlign w:val="top"/>
                </w:tcPr>
                <w:p>
                  <w:pPr>
                    <w:pStyle w:val="63"/>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pacing w:val="2"/>
                      <w:sz w:val="21"/>
                      <w:szCs w:val="21"/>
                    </w:rPr>
                    <w:t>万张</w:t>
                  </w:r>
                  <w:r>
                    <w:rPr>
                      <w:rFonts w:hint="default" w:ascii="Times New Roman" w:hAnsi="Times New Roman" w:eastAsia="Times New Roman" w:cs="Times New Roman"/>
                      <w:color w:val="auto"/>
                      <w:spacing w:val="2"/>
                      <w:sz w:val="21"/>
                      <w:szCs w:val="21"/>
                    </w:rPr>
                    <w:t>/a</w:t>
                  </w:r>
                </w:p>
              </w:tc>
              <w:tc>
                <w:tcPr>
                  <w:tcW w:w="602" w:type="pct"/>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2113.5</w:t>
                  </w:r>
                </w:p>
              </w:tc>
              <w:tc>
                <w:tcPr>
                  <w:tcW w:w="674" w:type="pct"/>
                  <w:noWrap w:val="0"/>
                  <w:vAlign w:val="top"/>
                </w:tcPr>
                <w:p>
                  <w:pPr>
                    <w:pStyle w:val="63"/>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cs="Times New Roman"/>
                      <w:color w:val="auto"/>
                      <w:kern w:val="0"/>
                      <w:sz w:val="21"/>
                      <w:szCs w:val="21"/>
                      <w:highlight w:val="none"/>
                      <w:lang w:val="en-US" w:eastAsia="zh-CN" w:bidi="ar-SA"/>
                    </w:rPr>
                  </w:pPr>
                  <w:r>
                    <w:rPr>
                      <w:rFonts w:hint="default" w:ascii="Times New Roman" w:hAnsi="Times New Roman" w:cs="Times New Roman"/>
                      <w:color w:val="auto"/>
                      <w:spacing w:val="1"/>
                      <w:sz w:val="21"/>
                      <w:szCs w:val="21"/>
                    </w:rPr>
                    <w:t>外购</w:t>
                  </w:r>
                </w:p>
              </w:tc>
              <w:tc>
                <w:tcPr>
                  <w:tcW w:w="1175"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520" w:type="pct"/>
                  <w:vMerge w:val="continue"/>
                  <w:noWrap w:val="0"/>
                  <w:vAlign w:val="center"/>
                </w:tcPr>
                <w:p>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p>
              </w:tc>
              <w:tc>
                <w:tcPr>
                  <w:tcW w:w="1345" w:type="pct"/>
                  <w:noWrap w:val="0"/>
                  <w:vAlign w:val="top"/>
                </w:tcPr>
                <w:p>
                  <w:pPr>
                    <w:pStyle w:val="63"/>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pacing w:val="1"/>
                      <w:sz w:val="21"/>
                      <w:szCs w:val="21"/>
                    </w:rPr>
                    <w:t>纸箱</w:t>
                  </w:r>
                </w:p>
              </w:tc>
              <w:tc>
                <w:tcPr>
                  <w:tcW w:w="681" w:type="pct"/>
                  <w:shd w:val="clear" w:color="auto" w:fill="auto"/>
                  <w:noWrap w:val="0"/>
                  <w:vAlign w:val="top"/>
                </w:tcPr>
                <w:p>
                  <w:pPr>
                    <w:pStyle w:val="63"/>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pacing w:val="2"/>
                      <w:sz w:val="21"/>
                      <w:szCs w:val="21"/>
                    </w:rPr>
                    <w:t>万套</w:t>
                  </w:r>
                  <w:r>
                    <w:rPr>
                      <w:rFonts w:hint="default" w:ascii="Times New Roman" w:hAnsi="Times New Roman" w:eastAsia="Times New Roman" w:cs="Times New Roman"/>
                      <w:color w:val="auto"/>
                      <w:spacing w:val="2"/>
                      <w:sz w:val="21"/>
                      <w:szCs w:val="21"/>
                    </w:rPr>
                    <w:t>/a</w:t>
                  </w:r>
                </w:p>
              </w:tc>
              <w:tc>
                <w:tcPr>
                  <w:tcW w:w="602" w:type="pct"/>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pacing w:val="-3"/>
                      <w:sz w:val="21"/>
                      <w:szCs w:val="21"/>
                      <w:lang w:val="en-US" w:eastAsia="zh-CN"/>
                    </w:rPr>
                    <w:t>200</w:t>
                  </w:r>
                </w:p>
              </w:tc>
              <w:tc>
                <w:tcPr>
                  <w:tcW w:w="674" w:type="pct"/>
                  <w:noWrap w:val="0"/>
                  <w:vAlign w:val="top"/>
                </w:tcPr>
                <w:p>
                  <w:pPr>
                    <w:pStyle w:val="63"/>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cs="Times New Roman"/>
                      <w:color w:val="auto"/>
                      <w:kern w:val="0"/>
                      <w:sz w:val="21"/>
                      <w:szCs w:val="21"/>
                      <w:highlight w:val="none"/>
                      <w:lang w:val="en-US" w:eastAsia="zh-CN" w:bidi="ar-SA"/>
                    </w:rPr>
                  </w:pPr>
                  <w:r>
                    <w:rPr>
                      <w:rFonts w:hint="default" w:ascii="Times New Roman" w:hAnsi="Times New Roman" w:cs="Times New Roman"/>
                      <w:color w:val="auto"/>
                      <w:spacing w:val="1"/>
                      <w:sz w:val="21"/>
                      <w:szCs w:val="21"/>
                    </w:rPr>
                    <w:t>外购</w:t>
                  </w:r>
                </w:p>
              </w:tc>
              <w:tc>
                <w:tcPr>
                  <w:tcW w:w="1175"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520" w:type="pct"/>
                  <w:vMerge w:val="continue"/>
                  <w:noWrap w:val="0"/>
                  <w:vAlign w:val="center"/>
                </w:tcPr>
                <w:p>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p>
              </w:tc>
              <w:tc>
                <w:tcPr>
                  <w:tcW w:w="1345" w:type="pct"/>
                  <w:noWrap w:val="0"/>
                  <w:vAlign w:val="top"/>
                </w:tcPr>
                <w:p>
                  <w:pPr>
                    <w:pStyle w:val="63"/>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eastAsia="Times New Roman" w:cs="Times New Roman"/>
                      <w:color w:val="auto"/>
                      <w:sz w:val="21"/>
                      <w:szCs w:val="21"/>
                    </w:rPr>
                    <w:t>PE</w:t>
                  </w:r>
                  <w:r>
                    <w:rPr>
                      <w:rFonts w:hint="default" w:ascii="Times New Roman" w:hAnsi="Times New Roman" w:cs="Times New Roman"/>
                      <w:color w:val="auto"/>
                      <w:spacing w:val="5"/>
                      <w:sz w:val="21"/>
                      <w:szCs w:val="21"/>
                    </w:rPr>
                    <w:t>塑料膜</w:t>
                  </w:r>
                </w:p>
              </w:tc>
              <w:tc>
                <w:tcPr>
                  <w:tcW w:w="681" w:type="pct"/>
                  <w:shd w:val="clear" w:color="auto" w:fill="auto"/>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Times New Roman" w:cs="Times New Roman"/>
                      <w:color w:val="auto"/>
                      <w:spacing w:val="1"/>
                      <w:sz w:val="21"/>
                      <w:szCs w:val="21"/>
                    </w:rPr>
                    <w:t>t/a</w:t>
                  </w:r>
                </w:p>
              </w:tc>
              <w:tc>
                <w:tcPr>
                  <w:tcW w:w="602" w:type="pct"/>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pacing w:val="3"/>
                      <w:sz w:val="21"/>
                      <w:szCs w:val="21"/>
                      <w:lang w:val="en-US" w:eastAsia="zh-CN"/>
                    </w:rPr>
                    <w:t>27.5</w:t>
                  </w:r>
                </w:p>
              </w:tc>
              <w:tc>
                <w:tcPr>
                  <w:tcW w:w="674" w:type="pct"/>
                  <w:noWrap w:val="0"/>
                  <w:vAlign w:val="top"/>
                </w:tcPr>
                <w:p>
                  <w:pPr>
                    <w:pStyle w:val="63"/>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cs="Times New Roman"/>
                      <w:color w:val="auto"/>
                      <w:kern w:val="0"/>
                      <w:sz w:val="21"/>
                      <w:szCs w:val="21"/>
                      <w:highlight w:val="none"/>
                      <w:lang w:val="en-US" w:eastAsia="zh-CN" w:bidi="ar-SA"/>
                    </w:rPr>
                  </w:pPr>
                  <w:r>
                    <w:rPr>
                      <w:rFonts w:hint="default" w:ascii="Times New Roman" w:hAnsi="Times New Roman" w:cs="Times New Roman"/>
                      <w:color w:val="auto"/>
                      <w:spacing w:val="1"/>
                      <w:sz w:val="21"/>
                      <w:szCs w:val="21"/>
                    </w:rPr>
                    <w:t>外购</w:t>
                  </w:r>
                </w:p>
              </w:tc>
              <w:tc>
                <w:tcPr>
                  <w:tcW w:w="1175"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520" w:type="pct"/>
                  <w:vMerge w:val="continue"/>
                  <w:noWrap w:val="0"/>
                  <w:vAlign w:val="center"/>
                </w:tcPr>
                <w:p>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p>
              </w:tc>
              <w:tc>
                <w:tcPr>
                  <w:tcW w:w="1345" w:type="pct"/>
                  <w:noWrap w:val="0"/>
                  <w:vAlign w:val="top"/>
                </w:tcPr>
                <w:p>
                  <w:pPr>
                    <w:pStyle w:val="63"/>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pacing w:val="3"/>
                      <w:sz w:val="21"/>
                      <w:szCs w:val="21"/>
                    </w:rPr>
                    <w:t>热熔胶</w:t>
                  </w:r>
                </w:p>
              </w:tc>
              <w:tc>
                <w:tcPr>
                  <w:tcW w:w="681" w:type="pct"/>
                  <w:shd w:val="clear" w:color="auto" w:fill="auto"/>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Times New Roman" w:cs="Times New Roman"/>
                      <w:color w:val="auto"/>
                      <w:spacing w:val="1"/>
                      <w:sz w:val="21"/>
                      <w:szCs w:val="21"/>
                    </w:rPr>
                    <w:t>t/a</w:t>
                  </w:r>
                </w:p>
              </w:tc>
              <w:tc>
                <w:tcPr>
                  <w:tcW w:w="602" w:type="pct"/>
                  <w:noWrap w:val="0"/>
                  <w:vAlign w:val="top"/>
                </w:tcPr>
                <w:p>
                  <w:pPr>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pacing w:val="-8"/>
                      <w:sz w:val="21"/>
                      <w:szCs w:val="21"/>
                      <w:lang w:val="en-US" w:eastAsia="zh-CN"/>
                    </w:rPr>
                    <w:t>15</w:t>
                  </w:r>
                </w:p>
              </w:tc>
              <w:tc>
                <w:tcPr>
                  <w:tcW w:w="674" w:type="pct"/>
                  <w:noWrap w:val="0"/>
                  <w:vAlign w:val="top"/>
                </w:tcPr>
                <w:p>
                  <w:pPr>
                    <w:pStyle w:val="63"/>
                    <w:keepNext w:val="0"/>
                    <w:keepLines w:val="0"/>
                    <w:pageBreakBefore w:val="0"/>
                    <w:widowControl w:val="0"/>
                    <w:kinsoku/>
                    <w:wordWrap/>
                    <w:overflowPunct/>
                    <w:topLinePunct w:val="0"/>
                    <w:autoSpaceDE/>
                    <w:autoSpaceDN/>
                    <w:bidi w:val="0"/>
                    <w:adjustRightInd/>
                    <w:snapToGrid/>
                    <w:spacing w:line="240" w:lineRule="auto"/>
                    <w:ind w:left="0" w:leftChars="0"/>
                    <w:jc w:val="center"/>
                    <w:textAlignment w:val="auto"/>
                    <w:rPr>
                      <w:rFonts w:hint="default" w:ascii="Times New Roman" w:hAnsi="Times New Roman" w:cs="Times New Roman"/>
                      <w:color w:val="auto"/>
                      <w:kern w:val="0"/>
                      <w:sz w:val="21"/>
                      <w:szCs w:val="21"/>
                      <w:highlight w:val="none"/>
                      <w:lang w:val="en-US" w:eastAsia="zh-CN" w:bidi="ar-SA"/>
                    </w:rPr>
                  </w:pPr>
                  <w:r>
                    <w:rPr>
                      <w:rFonts w:hint="default" w:ascii="Times New Roman" w:hAnsi="Times New Roman" w:cs="Times New Roman"/>
                      <w:color w:val="auto"/>
                      <w:spacing w:val="1"/>
                      <w:sz w:val="21"/>
                      <w:szCs w:val="21"/>
                    </w:rPr>
                    <w:t>外购</w:t>
                  </w:r>
                </w:p>
              </w:tc>
              <w:tc>
                <w:tcPr>
                  <w:tcW w:w="1175"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520" w:type="pct"/>
                  <w:vMerge w:val="continue"/>
                  <w:noWrap w:val="0"/>
                  <w:vAlign w:val="center"/>
                </w:tcPr>
                <w:p>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p>
              </w:tc>
              <w:tc>
                <w:tcPr>
                  <w:tcW w:w="1345"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vertAlign w:val="baseline"/>
                      <w:lang w:val="en-US" w:eastAsia="zh-CN"/>
                    </w:rPr>
                    <w:t>粘胶带</w:t>
                  </w:r>
                </w:p>
              </w:tc>
              <w:tc>
                <w:tcPr>
                  <w:tcW w:w="681" w:type="pct"/>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箱/a</w:t>
                  </w:r>
                </w:p>
              </w:tc>
              <w:tc>
                <w:tcPr>
                  <w:tcW w:w="60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vertAlign w:val="baseline"/>
                      <w:lang w:val="en-US" w:eastAsia="zh-CN"/>
                    </w:rPr>
                    <w:t>6800</w:t>
                  </w:r>
                </w:p>
              </w:tc>
              <w:tc>
                <w:tcPr>
                  <w:tcW w:w="674"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kern w:val="0"/>
                      <w:sz w:val="21"/>
                      <w:szCs w:val="21"/>
                      <w:highlight w:val="none"/>
                      <w:lang w:val="en-US" w:eastAsia="zh-CN" w:bidi="ar-SA"/>
                    </w:rPr>
                    <w:t>外购</w:t>
                  </w:r>
                </w:p>
              </w:tc>
              <w:tc>
                <w:tcPr>
                  <w:tcW w:w="1175"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520" w:type="pct"/>
                  <w:vMerge w:val="restar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eastAsia="宋体" w:cs="Times New Roman"/>
                      <w:color w:val="auto"/>
                      <w:kern w:val="0"/>
                      <w:sz w:val="21"/>
                      <w:szCs w:val="21"/>
                      <w:highlight w:val="none"/>
                      <w:lang w:val="en-US" w:eastAsia="zh-CN" w:bidi="ar-SA"/>
                    </w:rPr>
                    <w:t>果汁饮料</w:t>
                  </w:r>
                </w:p>
              </w:tc>
              <w:tc>
                <w:tcPr>
                  <w:tcW w:w="1345" w:type="pct"/>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水果原汁（浆）</w:t>
                  </w:r>
                </w:p>
              </w:tc>
              <w:tc>
                <w:tcPr>
                  <w:tcW w:w="681" w:type="pct"/>
                  <w:shd w:val="clear" w:color="auto" w:fill="auto"/>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t/a</w:t>
                  </w:r>
                </w:p>
              </w:tc>
              <w:tc>
                <w:tcPr>
                  <w:tcW w:w="602"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vertAlign w:val="baseline"/>
                      <w:lang w:val="en-US" w:eastAsia="zh-CN"/>
                    </w:rPr>
                    <w:t>350</w:t>
                  </w:r>
                </w:p>
              </w:tc>
              <w:tc>
                <w:tcPr>
                  <w:tcW w:w="674" w:type="pct"/>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外购</w:t>
                  </w:r>
                </w:p>
              </w:tc>
              <w:tc>
                <w:tcPr>
                  <w:tcW w:w="1175" w:type="pct"/>
                  <w:noWrap w:val="0"/>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0"/>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520" w:type="pct"/>
                  <w:vMerge w:val="continue"/>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p>
              </w:tc>
              <w:tc>
                <w:tcPr>
                  <w:tcW w:w="134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水果浓缩汁</w:t>
                  </w:r>
                </w:p>
              </w:tc>
              <w:tc>
                <w:tcPr>
                  <w:tcW w:w="681"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t/a</w:t>
                  </w:r>
                </w:p>
              </w:tc>
              <w:tc>
                <w:tcPr>
                  <w:tcW w:w="602"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vertAlign w:val="baseline"/>
                      <w:lang w:val="en-US" w:eastAsia="zh-CN"/>
                    </w:rPr>
                    <w:t>150</w:t>
                  </w:r>
                </w:p>
              </w:tc>
              <w:tc>
                <w:tcPr>
                  <w:tcW w:w="674"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外购</w:t>
                  </w:r>
                </w:p>
              </w:tc>
              <w:tc>
                <w:tcPr>
                  <w:tcW w:w="1175"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0"/>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520" w:type="pct"/>
                  <w:vMerge w:val="continue"/>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p>
              </w:tc>
              <w:tc>
                <w:tcPr>
                  <w:tcW w:w="134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白砂糖</w:t>
                  </w:r>
                </w:p>
              </w:tc>
              <w:tc>
                <w:tcPr>
                  <w:tcW w:w="681"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t/a</w:t>
                  </w:r>
                </w:p>
              </w:tc>
              <w:tc>
                <w:tcPr>
                  <w:tcW w:w="602"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vertAlign w:val="baseline"/>
                      <w:lang w:val="en-US" w:eastAsia="zh-CN"/>
                    </w:rPr>
                    <w:t>160</w:t>
                  </w:r>
                </w:p>
              </w:tc>
              <w:tc>
                <w:tcPr>
                  <w:tcW w:w="674"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外购</w:t>
                  </w:r>
                </w:p>
              </w:tc>
              <w:tc>
                <w:tcPr>
                  <w:tcW w:w="1175"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0"/>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520" w:type="pct"/>
                  <w:vMerge w:val="continue"/>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p>
              </w:tc>
              <w:tc>
                <w:tcPr>
                  <w:tcW w:w="134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果葡糖浆</w:t>
                  </w:r>
                </w:p>
              </w:tc>
              <w:tc>
                <w:tcPr>
                  <w:tcW w:w="681"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t/a</w:t>
                  </w:r>
                </w:p>
              </w:tc>
              <w:tc>
                <w:tcPr>
                  <w:tcW w:w="602"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vertAlign w:val="baseline"/>
                      <w:lang w:val="en-US" w:eastAsia="zh-CN"/>
                    </w:rPr>
                    <w:t>180</w:t>
                  </w:r>
                </w:p>
              </w:tc>
              <w:tc>
                <w:tcPr>
                  <w:tcW w:w="674"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外购</w:t>
                  </w:r>
                </w:p>
              </w:tc>
              <w:tc>
                <w:tcPr>
                  <w:tcW w:w="1175"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0"/>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520" w:type="pct"/>
                  <w:vMerge w:val="continue"/>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p>
              </w:tc>
              <w:tc>
                <w:tcPr>
                  <w:tcW w:w="134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柠檬酸</w:t>
                  </w:r>
                </w:p>
              </w:tc>
              <w:tc>
                <w:tcPr>
                  <w:tcW w:w="681"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t/a</w:t>
                  </w:r>
                </w:p>
              </w:tc>
              <w:tc>
                <w:tcPr>
                  <w:tcW w:w="602"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vertAlign w:val="baseline"/>
                      <w:lang w:val="en-US" w:eastAsia="zh-CN"/>
                    </w:rPr>
                    <w:t>85</w:t>
                  </w:r>
                </w:p>
              </w:tc>
              <w:tc>
                <w:tcPr>
                  <w:tcW w:w="674"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外购</w:t>
                  </w:r>
                </w:p>
              </w:tc>
              <w:tc>
                <w:tcPr>
                  <w:tcW w:w="1175"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0"/>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520" w:type="pct"/>
                  <w:vMerge w:val="continue"/>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p>
              </w:tc>
              <w:tc>
                <w:tcPr>
                  <w:tcW w:w="134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柠檬酸钠</w:t>
                  </w:r>
                </w:p>
              </w:tc>
              <w:tc>
                <w:tcPr>
                  <w:tcW w:w="681"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t/a</w:t>
                  </w:r>
                </w:p>
              </w:tc>
              <w:tc>
                <w:tcPr>
                  <w:tcW w:w="602"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vertAlign w:val="baseline"/>
                      <w:lang w:val="en-US" w:eastAsia="zh-CN"/>
                    </w:rPr>
                    <w:t>25</w:t>
                  </w:r>
                </w:p>
              </w:tc>
              <w:tc>
                <w:tcPr>
                  <w:tcW w:w="674"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外购</w:t>
                  </w:r>
                </w:p>
              </w:tc>
              <w:tc>
                <w:tcPr>
                  <w:tcW w:w="1175"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0"/>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520" w:type="pct"/>
                  <w:vMerge w:val="continue"/>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p>
              </w:tc>
              <w:tc>
                <w:tcPr>
                  <w:tcW w:w="134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苹果酸</w:t>
                  </w:r>
                </w:p>
              </w:tc>
              <w:tc>
                <w:tcPr>
                  <w:tcW w:w="681"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t/a</w:t>
                  </w:r>
                </w:p>
              </w:tc>
              <w:tc>
                <w:tcPr>
                  <w:tcW w:w="602"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vertAlign w:val="baseline"/>
                      <w:lang w:val="en-US" w:eastAsia="zh-CN"/>
                    </w:rPr>
                    <w:t>32</w:t>
                  </w:r>
                </w:p>
              </w:tc>
              <w:tc>
                <w:tcPr>
                  <w:tcW w:w="674"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外购</w:t>
                  </w:r>
                </w:p>
              </w:tc>
              <w:tc>
                <w:tcPr>
                  <w:tcW w:w="1175"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0"/>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520" w:type="pct"/>
                  <w:vMerge w:val="continue"/>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p>
              </w:tc>
              <w:tc>
                <w:tcPr>
                  <w:tcW w:w="134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食品级氢氧化钠</w:t>
                  </w:r>
                </w:p>
              </w:tc>
              <w:tc>
                <w:tcPr>
                  <w:tcW w:w="681"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t/a</w:t>
                  </w:r>
                </w:p>
              </w:tc>
              <w:tc>
                <w:tcPr>
                  <w:tcW w:w="602"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vertAlign w:val="baseline"/>
                      <w:lang w:val="en-US" w:eastAsia="zh-CN"/>
                    </w:rPr>
                    <w:t>20</w:t>
                  </w:r>
                </w:p>
              </w:tc>
              <w:tc>
                <w:tcPr>
                  <w:tcW w:w="674"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外购</w:t>
                  </w:r>
                </w:p>
              </w:tc>
              <w:tc>
                <w:tcPr>
                  <w:tcW w:w="117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设备清洗用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520" w:type="pct"/>
                  <w:vMerge w:val="continue"/>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p>
              </w:tc>
              <w:tc>
                <w:tcPr>
                  <w:tcW w:w="134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工业盐</w:t>
                  </w:r>
                </w:p>
              </w:tc>
              <w:tc>
                <w:tcPr>
                  <w:tcW w:w="681"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t/a</w:t>
                  </w:r>
                </w:p>
              </w:tc>
              <w:tc>
                <w:tcPr>
                  <w:tcW w:w="602"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25</w:t>
                  </w:r>
                </w:p>
              </w:tc>
              <w:tc>
                <w:tcPr>
                  <w:tcW w:w="674"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外购</w:t>
                  </w:r>
                </w:p>
              </w:tc>
              <w:tc>
                <w:tcPr>
                  <w:tcW w:w="117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软化水用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20" w:type="pct"/>
                  <w:vMerge w:val="continue"/>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p>
              </w:tc>
              <w:tc>
                <w:tcPr>
                  <w:tcW w:w="134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阻垢剂</w:t>
                  </w:r>
                </w:p>
              </w:tc>
              <w:tc>
                <w:tcPr>
                  <w:tcW w:w="681"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t/a</w:t>
                  </w:r>
                </w:p>
              </w:tc>
              <w:tc>
                <w:tcPr>
                  <w:tcW w:w="602"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15</w:t>
                  </w:r>
                </w:p>
              </w:tc>
              <w:tc>
                <w:tcPr>
                  <w:tcW w:w="674"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外购</w:t>
                  </w:r>
                </w:p>
              </w:tc>
              <w:tc>
                <w:tcPr>
                  <w:tcW w:w="117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纯水设备用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520" w:type="pct"/>
                  <w:vMerge w:val="continue"/>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p>
              </w:tc>
              <w:tc>
                <w:tcPr>
                  <w:tcW w:w="134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其他食品添加剂</w:t>
                  </w:r>
                </w:p>
              </w:tc>
              <w:tc>
                <w:tcPr>
                  <w:tcW w:w="681"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t/a</w:t>
                  </w:r>
                </w:p>
              </w:tc>
              <w:tc>
                <w:tcPr>
                  <w:tcW w:w="602"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vertAlign w:val="baseline"/>
                      <w:lang w:val="en-US" w:eastAsia="zh-CN"/>
                    </w:rPr>
                    <w:t>45</w:t>
                  </w:r>
                </w:p>
              </w:tc>
              <w:tc>
                <w:tcPr>
                  <w:tcW w:w="674"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外购</w:t>
                  </w:r>
                </w:p>
              </w:tc>
              <w:tc>
                <w:tcPr>
                  <w:tcW w:w="1175"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20" w:type="pct"/>
                  <w:vMerge w:val="continue"/>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p>
              </w:tc>
              <w:tc>
                <w:tcPr>
                  <w:tcW w:w="134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PET瓶</w:t>
                  </w:r>
                </w:p>
              </w:tc>
              <w:tc>
                <w:tcPr>
                  <w:tcW w:w="681"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万只/a</w:t>
                  </w:r>
                </w:p>
              </w:tc>
              <w:tc>
                <w:tcPr>
                  <w:tcW w:w="602"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sz w:val="21"/>
                      <w:szCs w:val="21"/>
                      <w:highlight w:val="none"/>
                      <w:vertAlign w:val="baseline"/>
                      <w:lang w:val="en-US" w:eastAsia="zh-CN"/>
                    </w:rPr>
                    <w:t>1875</w:t>
                  </w:r>
                </w:p>
              </w:tc>
              <w:tc>
                <w:tcPr>
                  <w:tcW w:w="674"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自制</w:t>
                  </w:r>
                </w:p>
              </w:tc>
              <w:tc>
                <w:tcPr>
                  <w:tcW w:w="1175"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sz w:val="21"/>
                      <w:szCs w:val="21"/>
                      <w:highlight w:val="none"/>
                      <w:vertAlign w:val="baseline"/>
                      <w:lang w:val="en-US" w:eastAsia="zh-CN"/>
                    </w:rPr>
                    <w:t>450</w:t>
                  </w:r>
                  <w:r>
                    <w:rPr>
                      <w:rFonts w:hint="default" w:ascii="Times New Roman" w:hAnsi="Times New Roman" w:cs="Times New Roman"/>
                      <w:color w:val="auto"/>
                      <w:sz w:val="21"/>
                      <w:szCs w:val="21"/>
                      <w:highlight w:val="none"/>
                      <w:vertAlign w:val="baseline"/>
                      <w:lang w:val="en-US" w:eastAsia="zh-CN"/>
                    </w:rPr>
                    <w:t>ml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520" w:type="pct"/>
                  <w:vMerge w:val="continue"/>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p>
              </w:tc>
              <w:tc>
                <w:tcPr>
                  <w:tcW w:w="134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瓶盖</w:t>
                  </w:r>
                </w:p>
              </w:tc>
              <w:tc>
                <w:tcPr>
                  <w:tcW w:w="681"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万只/a</w:t>
                  </w:r>
                </w:p>
              </w:tc>
              <w:tc>
                <w:tcPr>
                  <w:tcW w:w="602"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sz w:val="21"/>
                      <w:szCs w:val="21"/>
                      <w:highlight w:val="none"/>
                      <w:vertAlign w:val="baseline"/>
                      <w:lang w:val="en-US" w:eastAsia="zh-CN"/>
                    </w:rPr>
                    <w:t>1875</w:t>
                  </w:r>
                </w:p>
              </w:tc>
              <w:tc>
                <w:tcPr>
                  <w:tcW w:w="674"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外购</w:t>
                  </w:r>
                </w:p>
              </w:tc>
              <w:tc>
                <w:tcPr>
                  <w:tcW w:w="1175"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0"/>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520" w:type="pct"/>
                  <w:vMerge w:val="continue"/>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p>
              </w:tc>
              <w:tc>
                <w:tcPr>
                  <w:tcW w:w="134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标签</w:t>
                  </w:r>
                </w:p>
              </w:tc>
              <w:tc>
                <w:tcPr>
                  <w:tcW w:w="681"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万张/a</w:t>
                  </w:r>
                </w:p>
              </w:tc>
              <w:tc>
                <w:tcPr>
                  <w:tcW w:w="602"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sz w:val="21"/>
                      <w:szCs w:val="21"/>
                      <w:highlight w:val="none"/>
                      <w:vertAlign w:val="baseline"/>
                      <w:lang w:val="en-US" w:eastAsia="zh-CN"/>
                    </w:rPr>
                    <w:t>1875</w:t>
                  </w:r>
                </w:p>
              </w:tc>
              <w:tc>
                <w:tcPr>
                  <w:tcW w:w="674"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外购</w:t>
                  </w:r>
                </w:p>
              </w:tc>
              <w:tc>
                <w:tcPr>
                  <w:tcW w:w="1175"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0"/>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520" w:type="pct"/>
                  <w:vMerge w:val="continue"/>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p>
              </w:tc>
              <w:tc>
                <w:tcPr>
                  <w:tcW w:w="134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纸箱</w:t>
                  </w:r>
                </w:p>
              </w:tc>
              <w:tc>
                <w:tcPr>
                  <w:tcW w:w="681"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万套/a</w:t>
                  </w:r>
                </w:p>
              </w:tc>
              <w:tc>
                <w:tcPr>
                  <w:tcW w:w="602"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vertAlign w:val="baseline"/>
                      <w:lang w:val="en-US" w:eastAsia="zh-CN"/>
                    </w:rPr>
                    <w:t>170</w:t>
                  </w:r>
                </w:p>
              </w:tc>
              <w:tc>
                <w:tcPr>
                  <w:tcW w:w="674"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外购</w:t>
                  </w:r>
                </w:p>
              </w:tc>
              <w:tc>
                <w:tcPr>
                  <w:tcW w:w="1175"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0"/>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520" w:type="pct"/>
                  <w:vMerge w:val="continue"/>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p>
              </w:tc>
              <w:tc>
                <w:tcPr>
                  <w:tcW w:w="134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PE塑料膜</w:t>
                  </w:r>
                </w:p>
              </w:tc>
              <w:tc>
                <w:tcPr>
                  <w:tcW w:w="681"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t/a</w:t>
                  </w:r>
                </w:p>
              </w:tc>
              <w:tc>
                <w:tcPr>
                  <w:tcW w:w="602"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vertAlign w:val="baseline"/>
                      <w:lang w:val="en-US" w:eastAsia="zh-CN"/>
                    </w:rPr>
                    <w:t>22.5</w:t>
                  </w:r>
                </w:p>
              </w:tc>
              <w:tc>
                <w:tcPr>
                  <w:tcW w:w="674"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外购</w:t>
                  </w:r>
                </w:p>
              </w:tc>
              <w:tc>
                <w:tcPr>
                  <w:tcW w:w="1175"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0"/>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520" w:type="pct"/>
                  <w:vMerge w:val="continue"/>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p>
              </w:tc>
              <w:tc>
                <w:tcPr>
                  <w:tcW w:w="134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热熔胶</w:t>
                  </w:r>
                </w:p>
              </w:tc>
              <w:tc>
                <w:tcPr>
                  <w:tcW w:w="681"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t/a</w:t>
                  </w:r>
                </w:p>
              </w:tc>
              <w:tc>
                <w:tcPr>
                  <w:tcW w:w="602"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vertAlign w:val="baseline"/>
                      <w:lang w:val="en-US" w:eastAsia="zh-CN"/>
                    </w:rPr>
                    <w:t>12</w:t>
                  </w:r>
                </w:p>
              </w:tc>
              <w:tc>
                <w:tcPr>
                  <w:tcW w:w="674"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外购</w:t>
                  </w:r>
                </w:p>
              </w:tc>
              <w:tc>
                <w:tcPr>
                  <w:tcW w:w="1175"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0"/>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520" w:type="pct"/>
                  <w:vMerge w:val="continue"/>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p>
              </w:tc>
              <w:tc>
                <w:tcPr>
                  <w:tcW w:w="134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粘胶带</w:t>
                  </w:r>
                </w:p>
              </w:tc>
              <w:tc>
                <w:tcPr>
                  <w:tcW w:w="681"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箱/a</w:t>
                  </w:r>
                </w:p>
              </w:tc>
              <w:tc>
                <w:tcPr>
                  <w:tcW w:w="602"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vertAlign w:val="baseline"/>
                      <w:lang w:val="en-US" w:eastAsia="zh-CN"/>
                    </w:rPr>
                    <w:t>5500</w:t>
                  </w:r>
                </w:p>
              </w:tc>
              <w:tc>
                <w:tcPr>
                  <w:tcW w:w="674"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外购</w:t>
                  </w:r>
                </w:p>
              </w:tc>
              <w:tc>
                <w:tcPr>
                  <w:tcW w:w="1175"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0"/>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520" w:type="pct"/>
                  <w:vMerge w:val="restar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碳酸饮料</w:t>
                  </w:r>
                </w:p>
              </w:tc>
              <w:tc>
                <w:tcPr>
                  <w:tcW w:w="134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白砂糖</w:t>
                  </w:r>
                </w:p>
              </w:tc>
              <w:tc>
                <w:tcPr>
                  <w:tcW w:w="681"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t/a</w:t>
                  </w:r>
                </w:p>
              </w:tc>
              <w:tc>
                <w:tcPr>
                  <w:tcW w:w="602"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vertAlign w:val="baseline"/>
                      <w:lang w:val="en-US" w:eastAsia="zh-CN"/>
                    </w:rPr>
                    <w:t>100</w:t>
                  </w:r>
                </w:p>
              </w:tc>
              <w:tc>
                <w:tcPr>
                  <w:tcW w:w="674"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外购</w:t>
                  </w:r>
                </w:p>
              </w:tc>
              <w:tc>
                <w:tcPr>
                  <w:tcW w:w="1175"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0"/>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520" w:type="pct"/>
                  <w:vMerge w:val="continue"/>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p>
              </w:tc>
              <w:tc>
                <w:tcPr>
                  <w:tcW w:w="134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果葡糖浆</w:t>
                  </w:r>
                </w:p>
              </w:tc>
              <w:tc>
                <w:tcPr>
                  <w:tcW w:w="681"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t/a</w:t>
                  </w:r>
                </w:p>
              </w:tc>
              <w:tc>
                <w:tcPr>
                  <w:tcW w:w="602"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vertAlign w:val="baseline"/>
                      <w:lang w:val="en-US" w:eastAsia="zh-CN"/>
                    </w:rPr>
                    <w:t>80</w:t>
                  </w:r>
                </w:p>
              </w:tc>
              <w:tc>
                <w:tcPr>
                  <w:tcW w:w="674"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外购</w:t>
                  </w:r>
                </w:p>
              </w:tc>
              <w:tc>
                <w:tcPr>
                  <w:tcW w:w="1175"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0"/>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520" w:type="pct"/>
                  <w:vMerge w:val="continue"/>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p>
              </w:tc>
              <w:tc>
                <w:tcPr>
                  <w:tcW w:w="134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柠檬酸</w:t>
                  </w:r>
                </w:p>
              </w:tc>
              <w:tc>
                <w:tcPr>
                  <w:tcW w:w="681"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t/a</w:t>
                  </w:r>
                </w:p>
              </w:tc>
              <w:tc>
                <w:tcPr>
                  <w:tcW w:w="602"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vertAlign w:val="baseline"/>
                      <w:lang w:val="en-US" w:eastAsia="zh-CN"/>
                    </w:rPr>
                    <w:t>50</w:t>
                  </w:r>
                </w:p>
              </w:tc>
              <w:tc>
                <w:tcPr>
                  <w:tcW w:w="674"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外购</w:t>
                  </w:r>
                </w:p>
              </w:tc>
              <w:tc>
                <w:tcPr>
                  <w:tcW w:w="1175"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0"/>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520" w:type="pct"/>
                  <w:vMerge w:val="continue"/>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p>
              </w:tc>
              <w:tc>
                <w:tcPr>
                  <w:tcW w:w="134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柠檬酸钠</w:t>
                  </w:r>
                </w:p>
              </w:tc>
              <w:tc>
                <w:tcPr>
                  <w:tcW w:w="681"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t/a</w:t>
                  </w:r>
                </w:p>
              </w:tc>
              <w:tc>
                <w:tcPr>
                  <w:tcW w:w="602"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vertAlign w:val="baseline"/>
                      <w:lang w:val="en-US" w:eastAsia="zh-CN"/>
                    </w:rPr>
                    <w:t>20</w:t>
                  </w:r>
                </w:p>
              </w:tc>
              <w:tc>
                <w:tcPr>
                  <w:tcW w:w="674"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外购</w:t>
                  </w:r>
                </w:p>
              </w:tc>
              <w:tc>
                <w:tcPr>
                  <w:tcW w:w="1175"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0"/>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520" w:type="pct"/>
                  <w:vMerge w:val="continue"/>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p>
              </w:tc>
              <w:tc>
                <w:tcPr>
                  <w:tcW w:w="134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苹果酸</w:t>
                  </w:r>
                </w:p>
              </w:tc>
              <w:tc>
                <w:tcPr>
                  <w:tcW w:w="681"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t/a</w:t>
                  </w:r>
                </w:p>
              </w:tc>
              <w:tc>
                <w:tcPr>
                  <w:tcW w:w="602"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vertAlign w:val="baseline"/>
                      <w:lang w:val="en-US" w:eastAsia="zh-CN"/>
                    </w:rPr>
                    <w:t>15</w:t>
                  </w:r>
                </w:p>
              </w:tc>
              <w:tc>
                <w:tcPr>
                  <w:tcW w:w="674"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外购</w:t>
                  </w:r>
                </w:p>
              </w:tc>
              <w:tc>
                <w:tcPr>
                  <w:tcW w:w="1175" w:type="pct"/>
                  <w:vAlign w:val="center"/>
                </w:tcPr>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240" w:lineRule="auto"/>
                    <w:ind w:left="0" w:leftChars="0" w:right="0" w:rightChars="0" w:firstLine="0" w:firstLineChars="0"/>
                    <w:jc w:val="center"/>
                    <w:textAlignment w:val="auto"/>
                    <w:rPr>
                      <w:rFonts w:hint="default" w:ascii="Times New Roman" w:hAnsi="Times New Roman" w:eastAsia="宋体" w:cs="Times New Roman"/>
                      <w:b w:val="0"/>
                      <w:bCs w:val="0"/>
                      <w:color w:val="auto"/>
                      <w:kern w:val="0"/>
                      <w:sz w:val="21"/>
                      <w:szCs w:val="21"/>
                      <w:highlight w:val="none"/>
                      <w:lang w:val="en-US" w:eastAsia="zh-CN" w:bidi="ar-SA"/>
                    </w:rPr>
                  </w:pPr>
                  <w:r>
                    <w:rPr>
                      <w:rFonts w:hint="default" w:ascii="Times New Roman" w:hAnsi="Times New Roman" w:eastAsia="宋体" w:cs="Times New Roman"/>
                      <w:b w:val="0"/>
                      <w:bCs w:val="0"/>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520" w:type="pct"/>
                  <w:vMerge w:val="continue"/>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p>
              </w:tc>
              <w:tc>
                <w:tcPr>
                  <w:tcW w:w="134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食品级二氧化碳</w:t>
                  </w:r>
                </w:p>
              </w:tc>
              <w:tc>
                <w:tcPr>
                  <w:tcW w:w="681"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t/a</w:t>
                  </w:r>
                </w:p>
              </w:tc>
              <w:tc>
                <w:tcPr>
                  <w:tcW w:w="602"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vertAlign w:val="baseline"/>
                      <w:lang w:val="en-US" w:eastAsia="zh-CN"/>
                    </w:rPr>
                    <w:t>140</w:t>
                  </w:r>
                </w:p>
              </w:tc>
              <w:tc>
                <w:tcPr>
                  <w:tcW w:w="674"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外购</w:t>
                  </w:r>
                </w:p>
              </w:tc>
              <w:tc>
                <w:tcPr>
                  <w:tcW w:w="1175"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520" w:type="pct"/>
                  <w:vMerge w:val="continue"/>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p>
              </w:tc>
              <w:tc>
                <w:tcPr>
                  <w:tcW w:w="134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食品级氢氧化钠</w:t>
                  </w:r>
                </w:p>
              </w:tc>
              <w:tc>
                <w:tcPr>
                  <w:tcW w:w="681"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t/a</w:t>
                  </w:r>
                </w:p>
              </w:tc>
              <w:tc>
                <w:tcPr>
                  <w:tcW w:w="602"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vertAlign w:val="baseline"/>
                      <w:lang w:val="en-US" w:eastAsia="zh-CN"/>
                    </w:rPr>
                    <w:t>8</w:t>
                  </w:r>
                </w:p>
              </w:tc>
              <w:tc>
                <w:tcPr>
                  <w:tcW w:w="674"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外购</w:t>
                  </w:r>
                </w:p>
              </w:tc>
              <w:tc>
                <w:tcPr>
                  <w:tcW w:w="1175"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520" w:type="pct"/>
                  <w:vMerge w:val="continue"/>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p>
              </w:tc>
              <w:tc>
                <w:tcPr>
                  <w:tcW w:w="134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其他食品添加剂</w:t>
                  </w:r>
                </w:p>
              </w:tc>
              <w:tc>
                <w:tcPr>
                  <w:tcW w:w="681"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t/a</w:t>
                  </w:r>
                </w:p>
              </w:tc>
              <w:tc>
                <w:tcPr>
                  <w:tcW w:w="602"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vertAlign w:val="baseline"/>
                      <w:lang w:val="en-US" w:eastAsia="zh-CN"/>
                    </w:rPr>
                    <w:t>35</w:t>
                  </w:r>
                </w:p>
              </w:tc>
              <w:tc>
                <w:tcPr>
                  <w:tcW w:w="674"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外购</w:t>
                  </w:r>
                </w:p>
              </w:tc>
              <w:tc>
                <w:tcPr>
                  <w:tcW w:w="1175"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520" w:type="pct"/>
                  <w:vMerge w:val="continue"/>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p>
              </w:tc>
              <w:tc>
                <w:tcPr>
                  <w:tcW w:w="134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PET瓶</w:t>
                  </w:r>
                </w:p>
              </w:tc>
              <w:tc>
                <w:tcPr>
                  <w:tcW w:w="681"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万只/a</w:t>
                  </w:r>
                </w:p>
              </w:tc>
              <w:tc>
                <w:tcPr>
                  <w:tcW w:w="602"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1224</w:t>
                  </w:r>
                </w:p>
              </w:tc>
              <w:tc>
                <w:tcPr>
                  <w:tcW w:w="674"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自制</w:t>
                  </w:r>
                </w:p>
              </w:tc>
              <w:tc>
                <w:tcPr>
                  <w:tcW w:w="1175"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vertAlign w:val="baseline"/>
                      <w:lang w:val="en-US" w:eastAsia="zh-CN"/>
                    </w:rPr>
                    <w:t>500ml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520" w:type="pct"/>
                  <w:vMerge w:val="continue"/>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p>
              </w:tc>
              <w:tc>
                <w:tcPr>
                  <w:tcW w:w="134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瓶盖</w:t>
                  </w:r>
                </w:p>
              </w:tc>
              <w:tc>
                <w:tcPr>
                  <w:tcW w:w="681"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万只/a</w:t>
                  </w:r>
                </w:p>
              </w:tc>
              <w:tc>
                <w:tcPr>
                  <w:tcW w:w="602"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1224</w:t>
                  </w:r>
                </w:p>
              </w:tc>
              <w:tc>
                <w:tcPr>
                  <w:tcW w:w="674"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外购</w:t>
                  </w:r>
                </w:p>
              </w:tc>
              <w:tc>
                <w:tcPr>
                  <w:tcW w:w="1175"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20" w:type="pct"/>
                  <w:vMerge w:val="continue"/>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p>
              </w:tc>
              <w:tc>
                <w:tcPr>
                  <w:tcW w:w="134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标签</w:t>
                  </w:r>
                </w:p>
              </w:tc>
              <w:tc>
                <w:tcPr>
                  <w:tcW w:w="681"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万张/a</w:t>
                  </w:r>
                </w:p>
              </w:tc>
              <w:tc>
                <w:tcPr>
                  <w:tcW w:w="602"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1224</w:t>
                  </w:r>
                </w:p>
              </w:tc>
              <w:tc>
                <w:tcPr>
                  <w:tcW w:w="674"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外购</w:t>
                  </w:r>
                </w:p>
              </w:tc>
              <w:tc>
                <w:tcPr>
                  <w:tcW w:w="1175"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520" w:type="pct"/>
                  <w:vMerge w:val="continue"/>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p>
              </w:tc>
              <w:tc>
                <w:tcPr>
                  <w:tcW w:w="134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纸箱</w:t>
                  </w:r>
                </w:p>
              </w:tc>
              <w:tc>
                <w:tcPr>
                  <w:tcW w:w="681"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万套/a</w:t>
                  </w:r>
                </w:p>
              </w:tc>
              <w:tc>
                <w:tcPr>
                  <w:tcW w:w="602"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vertAlign w:val="baseline"/>
                      <w:lang w:val="en-US" w:eastAsia="zh-CN"/>
                    </w:rPr>
                    <w:t>65</w:t>
                  </w:r>
                </w:p>
              </w:tc>
              <w:tc>
                <w:tcPr>
                  <w:tcW w:w="674"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外购</w:t>
                  </w:r>
                </w:p>
              </w:tc>
              <w:tc>
                <w:tcPr>
                  <w:tcW w:w="1175"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520" w:type="pct"/>
                  <w:vMerge w:val="continue"/>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p>
              </w:tc>
              <w:tc>
                <w:tcPr>
                  <w:tcW w:w="134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PE塑料膜</w:t>
                  </w:r>
                </w:p>
              </w:tc>
              <w:tc>
                <w:tcPr>
                  <w:tcW w:w="681"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t/a</w:t>
                  </w:r>
                </w:p>
              </w:tc>
              <w:tc>
                <w:tcPr>
                  <w:tcW w:w="602"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vertAlign w:val="baseline"/>
                      <w:lang w:val="en-US" w:eastAsia="zh-CN"/>
                    </w:rPr>
                    <w:t>25.5</w:t>
                  </w:r>
                </w:p>
              </w:tc>
              <w:tc>
                <w:tcPr>
                  <w:tcW w:w="674"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外购</w:t>
                  </w:r>
                </w:p>
              </w:tc>
              <w:tc>
                <w:tcPr>
                  <w:tcW w:w="1175"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520" w:type="pct"/>
                  <w:vMerge w:val="continue"/>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p>
              </w:tc>
              <w:tc>
                <w:tcPr>
                  <w:tcW w:w="134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热熔胶</w:t>
                  </w:r>
                </w:p>
              </w:tc>
              <w:tc>
                <w:tcPr>
                  <w:tcW w:w="681"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t/a</w:t>
                  </w:r>
                </w:p>
              </w:tc>
              <w:tc>
                <w:tcPr>
                  <w:tcW w:w="602"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vertAlign w:val="baseline"/>
                      <w:lang w:val="en-US" w:eastAsia="zh-CN"/>
                    </w:rPr>
                    <w:t>2</w:t>
                  </w:r>
                </w:p>
              </w:tc>
              <w:tc>
                <w:tcPr>
                  <w:tcW w:w="674"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外购</w:t>
                  </w:r>
                </w:p>
              </w:tc>
              <w:tc>
                <w:tcPr>
                  <w:tcW w:w="1175"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520" w:type="pct"/>
                  <w:vMerge w:val="continue"/>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p>
              </w:tc>
              <w:tc>
                <w:tcPr>
                  <w:tcW w:w="134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粘胶带</w:t>
                  </w:r>
                </w:p>
              </w:tc>
              <w:tc>
                <w:tcPr>
                  <w:tcW w:w="681"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箱</w:t>
                  </w:r>
                </w:p>
              </w:tc>
              <w:tc>
                <w:tcPr>
                  <w:tcW w:w="602"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vertAlign w:val="baseline"/>
                      <w:lang w:val="en-US" w:eastAsia="zh-CN"/>
                    </w:rPr>
                    <w:t>600</w:t>
                  </w:r>
                </w:p>
              </w:tc>
              <w:tc>
                <w:tcPr>
                  <w:tcW w:w="674"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外购</w:t>
                  </w:r>
                </w:p>
              </w:tc>
              <w:tc>
                <w:tcPr>
                  <w:tcW w:w="1175"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520" w:type="pct"/>
                  <w:vMerge w:val="restar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包装饮用水</w:t>
                  </w:r>
                </w:p>
              </w:tc>
              <w:tc>
                <w:tcPr>
                  <w:tcW w:w="134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水处理阻垢剂</w:t>
                  </w:r>
                </w:p>
              </w:tc>
              <w:tc>
                <w:tcPr>
                  <w:tcW w:w="681"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t/a</w:t>
                  </w:r>
                </w:p>
              </w:tc>
              <w:tc>
                <w:tcPr>
                  <w:tcW w:w="602"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16</w:t>
                  </w:r>
                </w:p>
              </w:tc>
              <w:tc>
                <w:tcPr>
                  <w:tcW w:w="674"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外购</w:t>
                  </w:r>
                </w:p>
              </w:tc>
              <w:tc>
                <w:tcPr>
                  <w:tcW w:w="1175"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520" w:type="pct"/>
                  <w:vMerge w:val="continue"/>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p>
              </w:tc>
              <w:tc>
                <w:tcPr>
                  <w:tcW w:w="134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PET瓶</w:t>
                  </w:r>
                </w:p>
              </w:tc>
              <w:tc>
                <w:tcPr>
                  <w:tcW w:w="681"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万只</w:t>
                  </w:r>
                  <w:r>
                    <w:rPr>
                      <w:rFonts w:hint="default" w:ascii="Times New Roman" w:hAnsi="Times New Roman" w:cs="Times New Roman"/>
                      <w:color w:val="auto"/>
                      <w:sz w:val="21"/>
                      <w:szCs w:val="21"/>
                      <w:highlight w:val="none"/>
                      <w:vertAlign w:val="baseline"/>
                      <w:lang w:val="en-US" w:eastAsia="zh-CN"/>
                    </w:rPr>
                    <w:t>/a</w:t>
                  </w:r>
                </w:p>
              </w:tc>
              <w:tc>
                <w:tcPr>
                  <w:tcW w:w="602"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36</w:t>
                  </w:r>
                  <w:r>
                    <w:rPr>
                      <w:rFonts w:hint="eastAsia" w:cs="Times New Roman"/>
                      <w:color w:val="auto"/>
                      <w:kern w:val="2"/>
                      <w:sz w:val="21"/>
                      <w:szCs w:val="21"/>
                      <w:highlight w:val="none"/>
                      <w:vertAlign w:val="baseline"/>
                      <w:lang w:val="en-US" w:eastAsia="zh-CN" w:bidi="ar-SA"/>
                    </w:rPr>
                    <w:t>48</w:t>
                  </w:r>
                </w:p>
              </w:tc>
              <w:tc>
                <w:tcPr>
                  <w:tcW w:w="674"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自制</w:t>
                  </w:r>
                </w:p>
              </w:tc>
              <w:tc>
                <w:tcPr>
                  <w:tcW w:w="1175"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vertAlign w:val="baseline"/>
                      <w:lang w:val="en-US" w:eastAsia="zh-CN"/>
                    </w:rPr>
                    <w:t>3</w:t>
                  </w:r>
                  <w:r>
                    <w:rPr>
                      <w:rFonts w:hint="eastAsia" w:cs="Times New Roman"/>
                      <w:color w:val="auto"/>
                      <w:sz w:val="21"/>
                      <w:szCs w:val="21"/>
                      <w:highlight w:val="none"/>
                      <w:vertAlign w:val="baseline"/>
                      <w:lang w:val="en-US" w:eastAsia="zh-CN"/>
                    </w:rPr>
                    <w:t>5</w:t>
                  </w:r>
                  <w:r>
                    <w:rPr>
                      <w:rFonts w:hint="default" w:ascii="Times New Roman" w:hAnsi="Times New Roman" w:cs="Times New Roman"/>
                      <w:color w:val="auto"/>
                      <w:sz w:val="21"/>
                      <w:szCs w:val="21"/>
                      <w:highlight w:val="none"/>
                      <w:vertAlign w:val="baseline"/>
                      <w:lang w:val="en-US" w:eastAsia="zh-CN"/>
                    </w:rPr>
                    <w:t>0</w:t>
                  </w:r>
                  <w:r>
                    <w:rPr>
                      <w:rFonts w:hint="eastAsia" w:cs="Times New Roman"/>
                      <w:color w:val="auto"/>
                      <w:sz w:val="21"/>
                      <w:szCs w:val="21"/>
                      <w:highlight w:val="none"/>
                      <w:vertAlign w:val="baseline"/>
                      <w:lang w:val="en-US" w:eastAsia="zh-CN"/>
                    </w:rPr>
                    <w:t>mL、</w:t>
                  </w:r>
                  <w:r>
                    <w:rPr>
                      <w:rFonts w:hint="default" w:ascii="Times New Roman" w:hAnsi="Times New Roman" w:cs="Times New Roman"/>
                      <w:color w:val="auto"/>
                      <w:sz w:val="21"/>
                      <w:szCs w:val="21"/>
                      <w:highlight w:val="none"/>
                      <w:vertAlign w:val="baseline"/>
                      <w:lang w:val="en-US" w:eastAsia="zh-CN"/>
                    </w:rPr>
                    <w:t>500ml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520" w:type="pct"/>
                  <w:vMerge w:val="continue"/>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p>
              </w:tc>
              <w:tc>
                <w:tcPr>
                  <w:tcW w:w="134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瓶盖</w:t>
                  </w:r>
                </w:p>
              </w:tc>
              <w:tc>
                <w:tcPr>
                  <w:tcW w:w="681"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万只</w:t>
                  </w:r>
                  <w:r>
                    <w:rPr>
                      <w:rFonts w:hint="default" w:ascii="Times New Roman" w:hAnsi="Times New Roman" w:cs="Times New Roman"/>
                      <w:color w:val="auto"/>
                      <w:sz w:val="21"/>
                      <w:szCs w:val="21"/>
                      <w:highlight w:val="none"/>
                      <w:vertAlign w:val="baseline"/>
                      <w:lang w:val="en-US" w:eastAsia="zh-CN"/>
                    </w:rPr>
                    <w:t>/a</w:t>
                  </w:r>
                </w:p>
              </w:tc>
              <w:tc>
                <w:tcPr>
                  <w:tcW w:w="602"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36</w:t>
                  </w:r>
                  <w:r>
                    <w:rPr>
                      <w:rFonts w:hint="eastAsia" w:cs="Times New Roman"/>
                      <w:color w:val="auto"/>
                      <w:kern w:val="2"/>
                      <w:sz w:val="21"/>
                      <w:szCs w:val="21"/>
                      <w:highlight w:val="none"/>
                      <w:vertAlign w:val="baseline"/>
                      <w:lang w:val="en-US" w:eastAsia="zh-CN" w:bidi="ar-SA"/>
                    </w:rPr>
                    <w:t>48</w:t>
                  </w:r>
                </w:p>
              </w:tc>
              <w:tc>
                <w:tcPr>
                  <w:tcW w:w="674"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外购</w:t>
                  </w:r>
                </w:p>
              </w:tc>
              <w:tc>
                <w:tcPr>
                  <w:tcW w:w="1175"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 w:hRule="atLeast"/>
                <w:jc w:val="center"/>
              </w:trPr>
              <w:tc>
                <w:tcPr>
                  <w:tcW w:w="520" w:type="pct"/>
                  <w:vMerge w:val="continue"/>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p>
              </w:tc>
              <w:tc>
                <w:tcPr>
                  <w:tcW w:w="134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标签</w:t>
                  </w:r>
                </w:p>
              </w:tc>
              <w:tc>
                <w:tcPr>
                  <w:tcW w:w="681"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万只/a</w:t>
                  </w:r>
                </w:p>
              </w:tc>
              <w:tc>
                <w:tcPr>
                  <w:tcW w:w="602"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vertAlign w:val="baseline"/>
                      <w:lang w:val="en-US" w:eastAsia="zh-CN"/>
                    </w:rPr>
                    <w:t>36</w:t>
                  </w:r>
                  <w:r>
                    <w:rPr>
                      <w:rFonts w:hint="eastAsia" w:cs="Times New Roman"/>
                      <w:color w:val="auto"/>
                      <w:sz w:val="21"/>
                      <w:szCs w:val="21"/>
                      <w:highlight w:val="none"/>
                      <w:vertAlign w:val="baseline"/>
                      <w:lang w:val="en-US" w:eastAsia="zh-CN"/>
                    </w:rPr>
                    <w:t>48</w:t>
                  </w:r>
                </w:p>
              </w:tc>
              <w:tc>
                <w:tcPr>
                  <w:tcW w:w="674"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外购</w:t>
                  </w:r>
                </w:p>
              </w:tc>
              <w:tc>
                <w:tcPr>
                  <w:tcW w:w="1175"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520" w:type="pct"/>
                  <w:vMerge w:val="continue"/>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p>
              </w:tc>
              <w:tc>
                <w:tcPr>
                  <w:tcW w:w="134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纸箱</w:t>
                  </w:r>
                </w:p>
              </w:tc>
              <w:tc>
                <w:tcPr>
                  <w:tcW w:w="681"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万个/a</w:t>
                  </w:r>
                </w:p>
              </w:tc>
              <w:tc>
                <w:tcPr>
                  <w:tcW w:w="602"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vertAlign w:val="baseline"/>
                      <w:lang w:val="en-US" w:eastAsia="zh-CN"/>
                    </w:rPr>
                    <w:t>2.5</w:t>
                  </w:r>
                </w:p>
              </w:tc>
              <w:tc>
                <w:tcPr>
                  <w:tcW w:w="674"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外购</w:t>
                  </w:r>
                </w:p>
              </w:tc>
              <w:tc>
                <w:tcPr>
                  <w:tcW w:w="1175"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520" w:type="pct"/>
                  <w:vMerge w:val="continue"/>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p>
              </w:tc>
              <w:tc>
                <w:tcPr>
                  <w:tcW w:w="134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热熔胶</w:t>
                  </w:r>
                </w:p>
              </w:tc>
              <w:tc>
                <w:tcPr>
                  <w:tcW w:w="681"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t/a</w:t>
                  </w:r>
                </w:p>
              </w:tc>
              <w:tc>
                <w:tcPr>
                  <w:tcW w:w="602"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vertAlign w:val="baseline"/>
                      <w:lang w:val="en-US" w:eastAsia="zh-CN"/>
                    </w:rPr>
                    <w:t>2.6</w:t>
                  </w:r>
                </w:p>
              </w:tc>
              <w:tc>
                <w:tcPr>
                  <w:tcW w:w="674"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外购</w:t>
                  </w:r>
                </w:p>
              </w:tc>
              <w:tc>
                <w:tcPr>
                  <w:tcW w:w="1175"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520" w:type="pct"/>
                  <w:vMerge w:val="continue"/>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p>
              </w:tc>
              <w:tc>
                <w:tcPr>
                  <w:tcW w:w="134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PE塑料膜</w:t>
                  </w:r>
                </w:p>
              </w:tc>
              <w:tc>
                <w:tcPr>
                  <w:tcW w:w="681"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2"/>
                      <w:sz w:val="21"/>
                      <w:szCs w:val="21"/>
                      <w:highlight w:val="none"/>
                      <w:vertAlign w:val="baseline"/>
                      <w:lang w:val="en-US" w:eastAsia="zh-CN" w:bidi="ar-SA"/>
                    </w:rPr>
                  </w:pPr>
                  <w:r>
                    <w:rPr>
                      <w:rFonts w:hint="default" w:ascii="Times New Roman" w:hAnsi="Times New Roman" w:cs="Times New Roman"/>
                      <w:color w:val="auto"/>
                      <w:sz w:val="21"/>
                      <w:szCs w:val="21"/>
                      <w:highlight w:val="none"/>
                      <w:vertAlign w:val="baseline"/>
                      <w:lang w:val="en-US" w:eastAsia="zh-CN"/>
                    </w:rPr>
                    <w:t>t/a</w:t>
                  </w:r>
                </w:p>
              </w:tc>
              <w:tc>
                <w:tcPr>
                  <w:tcW w:w="602"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vertAlign w:val="baseline"/>
                      <w:lang w:val="en-US" w:eastAsia="zh-CN"/>
                    </w:rPr>
                    <w:t>28</w:t>
                  </w:r>
                </w:p>
              </w:tc>
              <w:tc>
                <w:tcPr>
                  <w:tcW w:w="674"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外购</w:t>
                  </w:r>
                </w:p>
              </w:tc>
              <w:tc>
                <w:tcPr>
                  <w:tcW w:w="1175"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520"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PET瓶吹塑</w:t>
                  </w:r>
                </w:p>
              </w:tc>
              <w:tc>
                <w:tcPr>
                  <w:tcW w:w="134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PET瓶坯</w:t>
                  </w:r>
                </w:p>
              </w:tc>
              <w:tc>
                <w:tcPr>
                  <w:tcW w:w="681"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eastAsiaTheme="minorEastAsia"/>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万只</w:t>
                  </w:r>
                  <w:r>
                    <w:rPr>
                      <w:rFonts w:hint="default" w:ascii="Times New Roman" w:hAnsi="Times New Roman" w:cs="Times New Roman"/>
                      <w:color w:val="auto"/>
                      <w:sz w:val="21"/>
                      <w:szCs w:val="21"/>
                      <w:highlight w:val="none"/>
                      <w:vertAlign w:val="baseline"/>
                      <w:lang w:val="en-US" w:eastAsia="zh-CN"/>
                    </w:rPr>
                    <w:t>/a</w:t>
                  </w:r>
                </w:p>
              </w:tc>
              <w:tc>
                <w:tcPr>
                  <w:tcW w:w="602"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2"/>
                      <w:sz w:val="21"/>
                      <w:szCs w:val="21"/>
                      <w:highlight w:val="none"/>
                      <w:vertAlign w:val="baseline"/>
                      <w:lang w:val="en-US" w:eastAsia="zh-CN" w:bidi="ar-SA"/>
                    </w:rPr>
                    <w:t>8860.5</w:t>
                  </w:r>
                </w:p>
              </w:tc>
              <w:tc>
                <w:tcPr>
                  <w:tcW w:w="674"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外购</w:t>
                  </w:r>
                </w:p>
              </w:tc>
              <w:tc>
                <w:tcPr>
                  <w:tcW w:w="1175"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 w:hRule="atLeast"/>
                <w:jc w:val="center"/>
              </w:trPr>
              <w:tc>
                <w:tcPr>
                  <w:tcW w:w="520" w:type="pct"/>
                  <w:vMerge w:val="restar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公用工程</w:t>
                  </w:r>
                </w:p>
              </w:tc>
              <w:tc>
                <w:tcPr>
                  <w:tcW w:w="134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天然气</w:t>
                  </w:r>
                </w:p>
              </w:tc>
              <w:tc>
                <w:tcPr>
                  <w:tcW w:w="681"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万m</w:t>
                  </w:r>
                  <w:r>
                    <w:rPr>
                      <w:rFonts w:hint="default" w:ascii="Times New Roman" w:hAnsi="Times New Roman" w:cs="Times New Roman"/>
                      <w:color w:val="auto"/>
                      <w:kern w:val="2"/>
                      <w:sz w:val="21"/>
                      <w:szCs w:val="21"/>
                      <w:highlight w:val="none"/>
                      <w:vertAlign w:val="superscript"/>
                      <w:lang w:val="en-US" w:eastAsia="zh-CN" w:bidi="ar-SA"/>
                    </w:rPr>
                    <w:t>3</w:t>
                  </w:r>
                  <w:r>
                    <w:rPr>
                      <w:rFonts w:hint="default" w:ascii="Times New Roman" w:hAnsi="Times New Roman" w:cs="Times New Roman"/>
                      <w:color w:val="auto"/>
                      <w:kern w:val="2"/>
                      <w:sz w:val="21"/>
                      <w:szCs w:val="21"/>
                      <w:highlight w:val="none"/>
                      <w:vertAlign w:val="baseline"/>
                      <w:lang w:val="en-US" w:eastAsia="zh-CN" w:bidi="ar-SA"/>
                    </w:rPr>
                    <w:t>/a</w:t>
                  </w:r>
                </w:p>
              </w:tc>
              <w:tc>
                <w:tcPr>
                  <w:tcW w:w="602"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cs="Times New Roman"/>
                      <w:color w:val="auto"/>
                      <w:kern w:val="2"/>
                      <w:sz w:val="21"/>
                      <w:szCs w:val="21"/>
                      <w:highlight w:val="none"/>
                      <w:vertAlign w:val="baseline"/>
                      <w:lang w:val="en-US" w:eastAsia="zh-CN" w:bidi="ar-SA"/>
                    </w:rPr>
                    <w:t>150</w:t>
                  </w:r>
                </w:p>
              </w:tc>
              <w:tc>
                <w:tcPr>
                  <w:tcW w:w="674"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园区管网提供</w:t>
                  </w:r>
                </w:p>
              </w:tc>
              <w:tc>
                <w:tcPr>
                  <w:tcW w:w="1175"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79" w:hRule="atLeast"/>
                <w:jc w:val="center"/>
              </w:trPr>
              <w:tc>
                <w:tcPr>
                  <w:tcW w:w="520" w:type="pct"/>
                  <w:vMerge w:val="continue"/>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sz w:val="21"/>
                      <w:szCs w:val="21"/>
                      <w:highlight w:val="none"/>
                      <w:lang w:val="en-US" w:eastAsia="zh-CN"/>
                    </w:rPr>
                  </w:pPr>
                </w:p>
              </w:tc>
              <w:tc>
                <w:tcPr>
                  <w:tcW w:w="1345"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水</w:t>
                  </w:r>
                </w:p>
              </w:tc>
              <w:tc>
                <w:tcPr>
                  <w:tcW w:w="681"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default" w:ascii="Times New Roman" w:hAnsi="Times New Roman" w:cs="Times New Roman"/>
                      <w:color w:val="auto"/>
                      <w:kern w:val="2"/>
                      <w:sz w:val="21"/>
                      <w:szCs w:val="21"/>
                      <w:highlight w:val="none"/>
                      <w:vertAlign w:val="baseline"/>
                      <w:lang w:val="en-US" w:eastAsia="zh-CN" w:bidi="ar-SA"/>
                    </w:rPr>
                    <w:t>m</w:t>
                  </w:r>
                  <w:r>
                    <w:rPr>
                      <w:rFonts w:hint="default" w:ascii="Times New Roman" w:hAnsi="Times New Roman" w:cs="Times New Roman"/>
                      <w:color w:val="auto"/>
                      <w:kern w:val="2"/>
                      <w:sz w:val="21"/>
                      <w:szCs w:val="21"/>
                      <w:highlight w:val="none"/>
                      <w:vertAlign w:val="superscript"/>
                      <w:lang w:val="en-US" w:eastAsia="zh-CN" w:bidi="ar-SA"/>
                    </w:rPr>
                    <w:t>3</w:t>
                  </w:r>
                  <w:r>
                    <w:rPr>
                      <w:rFonts w:hint="default" w:ascii="Times New Roman" w:hAnsi="Times New Roman" w:cs="Times New Roman"/>
                      <w:color w:val="auto"/>
                      <w:kern w:val="2"/>
                      <w:sz w:val="21"/>
                      <w:szCs w:val="21"/>
                      <w:highlight w:val="none"/>
                      <w:vertAlign w:val="baseline"/>
                      <w:lang w:val="en-US" w:eastAsia="zh-CN" w:bidi="ar-SA"/>
                    </w:rPr>
                    <w:t>/a</w:t>
                  </w:r>
                </w:p>
              </w:tc>
              <w:tc>
                <w:tcPr>
                  <w:tcW w:w="602"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kern w:val="2"/>
                      <w:sz w:val="21"/>
                      <w:szCs w:val="21"/>
                      <w:highlight w:val="none"/>
                      <w:vertAlign w:val="baseline"/>
                      <w:lang w:val="en-US" w:eastAsia="zh-CN" w:bidi="ar-SA"/>
                    </w:rPr>
                  </w:pPr>
                  <w:r>
                    <w:rPr>
                      <w:rFonts w:hint="eastAsia" w:cs="Times New Roman"/>
                      <w:color w:val="auto"/>
                      <w:kern w:val="2"/>
                      <w:sz w:val="21"/>
                      <w:szCs w:val="21"/>
                      <w:highlight w:val="none"/>
                      <w:vertAlign w:val="baseline"/>
                      <w:lang w:val="en-US" w:eastAsia="zh-CN" w:bidi="ar-SA"/>
                    </w:rPr>
                    <w:t>84395.83</w:t>
                  </w:r>
                </w:p>
              </w:tc>
              <w:tc>
                <w:tcPr>
                  <w:tcW w:w="674"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cs="Times New Roman"/>
                      <w:color w:val="auto"/>
                      <w:kern w:val="0"/>
                      <w:sz w:val="21"/>
                      <w:szCs w:val="21"/>
                      <w:highlight w:val="none"/>
                      <w:lang w:val="en-US" w:eastAsia="zh-CN" w:bidi="ar-SA"/>
                    </w:rPr>
                  </w:pPr>
                  <w:r>
                    <w:rPr>
                      <w:rFonts w:hint="default" w:ascii="Times New Roman" w:hAnsi="Times New Roman" w:cs="Times New Roman"/>
                      <w:color w:val="auto"/>
                      <w:kern w:val="0"/>
                      <w:sz w:val="21"/>
                      <w:szCs w:val="21"/>
                      <w:highlight w:val="none"/>
                      <w:lang w:val="en-US" w:eastAsia="zh-CN" w:bidi="ar-SA"/>
                    </w:rPr>
                    <w:t>园区管网提供</w:t>
                  </w:r>
                </w:p>
              </w:tc>
              <w:tc>
                <w:tcPr>
                  <w:tcW w:w="1175" w:type="pct"/>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0" w:firstLineChars="0"/>
                    <w:jc w:val="center"/>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cs="Times New Roman"/>
                      <w:color w:val="auto"/>
                      <w:kern w:val="0"/>
                      <w:sz w:val="21"/>
                      <w:szCs w:val="21"/>
                      <w:highlight w:val="none"/>
                      <w:lang w:val="en-US" w:eastAsia="zh-CN" w:bidi="ar-SA"/>
                    </w:rPr>
                    <w:t>/</w:t>
                  </w:r>
                </w:p>
              </w:tc>
            </w:tr>
          </w:tbl>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主要原辅材料理化性质见下表。</w:t>
            </w:r>
          </w:p>
          <w:p>
            <w:pPr>
              <w:keepNext w:val="0"/>
              <w:keepLines w:val="0"/>
              <w:pageBreakBefore w:val="0"/>
              <w:widowControl w:val="0"/>
              <w:kinsoku/>
              <w:wordWrap/>
              <w:overflowPunct/>
              <w:topLinePunct w:val="0"/>
              <w:autoSpaceDE/>
              <w:autoSpaceDN/>
              <w:bidi w:val="0"/>
              <w:adjustRightInd w:val="0"/>
              <w:snapToGrid w:val="0"/>
              <w:spacing w:line="240" w:lineRule="auto"/>
              <w:ind w:firstLine="422" w:firstLineChars="200"/>
              <w:jc w:val="center"/>
              <w:textAlignment w:val="auto"/>
              <w:rPr>
                <w:rFonts w:hint="default" w:ascii="Times New Roman" w:hAnsi="Times New Roman"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表2-5 主要原辅材料理化性质表</w:t>
            </w:r>
          </w:p>
          <w:tbl>
            <w:tblPr>
              <w:tblStyle w:val="70"/>
              <w:tblW w:w="4998" w:type="pct"/>
              <w:tblInd w:w="0" w:type="dxa"/>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Layout w:type="fixed"/>
              <w:tblCellMar>
                <w:top w:w="0" w:type="dxa"/>
                <w:left w:w="0" w:type="dxa"/>
                <w:bottom w:w="0" w:type="dxa"/>
                <w:right w:w="0" w:type="dxa"/>
              </w:tblCellMar>
            </w:tblPr>
            <w:tblGrid>
              <w:gridCol w:w="1060"/>
              <w:gridCol w:w="7046"/>
            </w:tblGrid>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05" w:hRule="atLeast"/>
              </w:trPr>
              <w:tc>
                <w:tcPr>
                  <w:tcW w:w="654" w:type="pct"/>
                  <w:noWrap w:val="0"/>
                  <w:vAlign w:val="center"/>
                </w:tcPr>
                <w:p>
                  <w:pPr>
                    <w:pStyle w:val="65"/>
                    <w:bidi w:val="0"/>
                    <w:spacing w:line="240" w:lineRule="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原料名称</w:t>
                  </w:r>
                </w:p>
              </w:tc>
              <w:tc>
                <w:tcPr>
                  <w:tcW w:w="4345" w:type="pct"/>
                  <w:noWrap w:val="0"/>
                  <w:vAlign w:val="center"/>
                </w:tcPr>
                <w:p>
                  <w:pPr>
                    <w:pStyle w:val="65"/>
                    <w:bidi w:val="0"/>
                    <w:spacing w:line="240" w:lineRule="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物理化学性质</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654" w:type="pct"/>
                  <w:noWrap w:val="0"/>
                  <w:vAlign w:val="center"/>
                </w:tcPr>
                <w:p>
                  <w:pPr>
                    <w:pStyle w:val="65"/>
                    <w:bidi w:val="0"/>
                    <w:spacing w:line="240" w:lineRule="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维生素C</w:t>
                  </w:r>
                </w:p>
              </w:tc>
              <w:tc>
                <w:tcPr>
                  <w:tcW w:w="4345" w:type="pct"/>
                  <w:noWrap w:val="0"/>
                  <w:vAlign w:val="center"/>
                </w:tcPr>
                <w:p>
                  <w:pPr>
                    <w:pStyle w:val="65"/>
                    <w:bidi w:val="0"/>
                    <w:spacing w:line="240" w:lineRule="auto"/>
                    <w:jc w:val="both"/>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维生素C（VC），又名抗坏血酸，分子式为C</w:t>
                  </w:r>
                  <w:r>
                    <w:rPr>
                      <w:rFonts w:hint="default" w:ascii="Times New Roman" w:hAnsi="Times New Roman" w:cs="Times New Roman"/>
                      <w:color w:val="auto"/>
                      <w:sz w:val="21"/>
                      <w:szCs w:val="21"/>
                      <w:highlight w:val="none"/>
                      <w:vertAlign w:val="subscript"/>
                      <w:lang w:val="en-US" w:eastAsia="zh-CN"/>
                    </w:rPr>
                    <w:t>6</w:t>
                  </w:r>
                  <w:r>
                    <w:rPr>
                      <w:rFonts w:hint="default" w:ascii="Times New Roman" w:hAnsi="Times New Roman" w:cs="Times New Roman"/>
                      <w:color w:val="auto"/>
                      <w:sz w:val="21"/>
                      <w:szCs w:val="21"/>
                      <w:highlight w:val="none"/>
                      <w:lang w:val="en-US" w:eastAsia="zh-CN"/>
                    </w:rPr>
                    <w:t>H</w:t>
                  </w:r>
                  <w:r>
                    <w:rPr>
                      <w:rFonts w:hint="default" w:ascii="Times New Roman" w:hAnsi="Times New Roman" w:cs="Times New Roman"/>
                      <w:color w:val="auto"/>
                      <w:sz w:val="21"/>
                      <w:szCs w:val="21"/>
                      <w:highlight w:val="none"/>
                      <w:vertAlign w:val="subscript"/>
                      <w:lang w:val="en-US" w:eastAsia="zh-CN"/>
                    </w:rPr>
                    <w:t>8</w:t>
                  </w:r>
                  <w:r>
                    <w:rPr>
                      <w:rFonts w:hint="default" w:ascii="Times New Roman" w:hAnsi="Times New Roman" w:cs="Times New Roman"/>
                      <w:color w:val="auto"/>
                      <w:sz w:val="21"/>
                      <w:szCs w:val="21"/>
                      <w:highlight w:val="none"/>
                      <w:lang w:val="en-US" w:eastAsia="zh-CN"/>
                    </w:rPr>
                    <w:t>O</w:t>
                  </w:r>
                  <w:r>
                    <w:rPr>
                      <w:rFonts w:hint="default" w:ascii="Times New Roman" w:hAnsi="Times New Roman" w:cs="Times New Roman"/>
                      <w:color w:val="auto"/>
                      <w:sz w:val="21"/>
                      <w:szCs w:val="21"/>
                      <w:highlight w:val="none"/>
                      <w:vertAlign w:val="subscript"/>
                      <w:lang w:val="en-US" w:eastAsia="zh-CN"/>
                    </w:rPr>
                    <w:t>6</w:t>
                  </w:r>
                  <w:r>
                    <w:rPr>
                      <w:rFonts w:hint="default" w:ascii="Times New Roman" w:hAnsi="Times New Roman" w:cs="Times New Roman"/>
                      <w:color w:val="auto"/>
                      <w:sz w:val="21"/>
                      <w:szCs w:val="21"/>
                      <w:highlight w:val="none"/>
                      <w:lang w:val="en-US" w:eastAsia="zh-CN"/>
                    </w:rPr>
                    <w:t>，是一种重要的水溶性维生素，为无色晶体，无臭，味酸，易溶于水，水溶液显酸性且具有较强还原性。在生物化学中，它是人体必需的关键营养素，参与体内氧化还原反应、胶原蛋白合成、抗体形成及多种酶促代谢过程，人体无法自身合成，需通过膳食摄取。维生素C被广泛用作抗氧化剂、营养强化剂和酸度调节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405" w:hRule="atLeast"/>
              </w:trPr>
              <w:tc>
                <w:tcPr>
                  <w:tcW w:w="654" w:type="pct"/>
                  <w:noWrap w:val="0"/>
                  <w:vAlign w:val="center"/>
                </w:tcPr>
                <w:p>
                  <w:pPr>
                    <w:pStyle w:val="65"/>
                    <w:bidi w:val="0"/>
                    <w:spacing w:line="240" w:lineRule="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vertAlign w:val="baseline"/>
                      <w:lang w:val="en-US" w:eastAsia="zh-CN"/>
                    </w:rPr>
                    <w:t>苹果酸</w:t>
                  </w:r>
                </w:p>
              </w:tc>
              <w:tc>
                <w:tcPr>
                  <w:tcW w:w="4345" w:type="pct"/>
                  <w:noWrap w:val="0"/>
                  <w:vAlign w:val="center"/>
                </w:tcPr>
                <w:p>
                  <w:pPr>
                    <w:pStyle w:val="65"/>
                    <w:bidi w:val="0"/>
                    <w:spacing w:line="240" w:lineRule="auto"/>
                    <w:jc w:val="both"/>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苹果酸（MA），又名羟基丁二酸，分子式为C</w:t>
                  </w:r>
                  <w:r>
                    <w:rPr>
                      <w:rFonts w:hint="default" w:ascii="Times New Roman" w:hAnsi="Times New Roman" w:cs="Times New Roman"/>
                      <w:color w:val="auto"/>
                      <w:sz w:val="21"/>
                      <w:szCs w:val="21"/>
                      <w:highlight w:val="none"/>
                      <w:vertAlign w:val="subscript"/>
                      <w:lang w:val="en-US" w:eastAsia="zh-CN"/>
                    </w:rPr>
                    <w:t>4</w:t>
                  </w:r>
                  <w:r>
                    <w:rPr>
                      <w:rFonts w:hint="default" w:ascii="Times New Roman" w:hAnsi="Times New Roman" w:cs="Times New Roman"/>
                      <w:color w:val="auto"/>
                      <w:sz w:val="21"/>
                      <w:szCs w:val="21"/>
                      <w:highlight w:val="none"/>
                      <w:lang w:val="en-US" w:eastAsia="zh-CN"/>
                    </w:rPr>
                    <w:t>H</w:t>
                  </w:r>
                  <w:r>
                    <w:rPr>
                      <w:rFonts w:hint="default" w:ascii="Times New Roman" w:hAnsi="Times New Roman" w:cs="Times New Roman"/>
                      <w:color w:val="auto"/>
                      <w:sz w:val="21"/>
                      <w:szCs w:val="21"/>
                      <w:highlight w:val="none"/>
                      <w:vertAlign w:val="subscript"/>
                      <w:lang w:val="en-US" w:eastAsia="zh-CN"/>
                    </w:rPr>
                    <w:t>6</w:t>
                  </w:r>
                  <w:r>
                    <w:rPr>
                      <w:rFonts w:hint="default" w:ascii="Times New Roman" w:hAnsi="Times New Roman" w:cs="Times New Roman"/>
                      <w:color w:val="auto"/>
                      <w:sz w:val="21"/>
                      <w:szCs w:val="21"/>
                      <w:highlight w:val="none"/>
                      <w:lang w:val="en-US" w:eastAsia="zh-CN"/>
                    </w:rPr>
                    <w:t>O</w:t>
                  </w:r>
                  <w:r>
                    <w:rPr>
                      <w:rFonts w:hint="default" w:ascii="Times New Roman" w:hAnsi="Times New Roman" w:cs="Times New Roman"/>
                      <w:color w:val="auto"/>
                      <w:sz w:val="21"/>
                      <w:szCs w:val="21"/>
                      <w:highlight w:val="none"/>
                      <w:vertAlign w:val="subscript"/>
                      <w:lang w:val="en-US" w:eastAsia="zh-CN"/>
                    </w:rPr>
                    <w:t>5</w:t>
                  </w:r>
                  <w:r>
                    <w:rPr>
                      <w:rFonts w:hint="default" w:ascii="Times New Roman" w:hAnsi="Times New Roman" w:cs="Times New Roman"/>
                      <w:color w:val="auto"/>
                      <w:sz w:val="21"/>
                      <w:szCs w:val="21"/>
                      <w:highlight w:val="none"/>
                      <w:lang w:val="en-US" w:eastAsia="zh-CN"/>
                    </w:rPr>
                    <w:t>，是一种重要的有机弱酸，为无色晶体，无臭，具清爽酸味，易溶于水，溶液显酸性。在生物化学中，它是三羧酸循环的重要中间体，参与需氧生物体内的能量代谢过程。苹果酸被广泛用作酸度调节剂、风味增强剂和缓冲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1225" w:hRule="atLeast"/>
              </w:trPr>
              <w:tc>
                <w:tcPr>
                  <w:tcW w:w="654" w:type="pct"/>
                  <w:noWrap w:val="0"/>
                  <w:vAlign w:val="center"/>
                </w:tcPr>
                <w:p>
                  <w:pPr>
                    <w:pStyle w:val="65"/>
                    <w:bidi w:val="0"/>
                    <w:spacing w:line="240" w:lineRule="auto"/>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柠檬酸（CA）</w:t>
                  </w:r>
                </w:p>
              </w:tc>
              <w:tc>
                <w:tcPr>
                  <w:tcW w:w="4345" w:type="pct"/>
                  <w:noWrap w:val="0"/>
                  <w:vAlign w:val="center"/>
                </w:tcPr>
                <w:p>
                  <w:pPr>
                    <w:pStyle w:val="65"/>
                    <w:bidi w:val="0"/>
                    <w:spacing w:line="240" w:lineRule="auto"/>
                    <w:jc w:val="both"/>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柠檬酸（CA），又名枸橼酸，分子式为C</w:t>
                  </w:r>
                  <w:r>
                    <w:rPr>
                      <w:rFonts w:hint="default" w:ascii="Times New Roman" w:hAnsi="Times New Roman" w:cs="Times New Roman"/>
                      <w:color w:val="auto"/>
                      <w:sz w:val="21"/>
                      <w:szCs w:val="21"/>
                      <w:highlight w:val="none"/>
                      <w:vertAlign w:val="subscript"/>
                      <w:lang w:val="en-US" w:eastAsia="zh-CN"/>
                    </w:rPr>
                    <w:t>6</w:t>
                  </w:r>
                  <w:r>
                    <w:rPr>
                      <w:rFonts w:hint="default" w:ascii="Times New Roman" w:hAnsi="Times New Roman" w:cs="Times New Roman"/>
                      <w:color w:val="auto"/>
                      <w:sz w:val="21"/>
                      <w:szCs w:val="21"/>
                      <w:highlight w:val="none"/>
                      <w:lang w:val="en-US" w:eastAsia="zh-CN"/>
                    </w:rPr>
                    <w:t>H</w:t>
                  </w:r>
                  <w:r>
                    <w:rPr>
                      <w:rFonts w:hint="default" w:ascii="Times New Roman" w:hAnsi="Times New Roman" w:cs="Times New Roman"/>
                      <w:color w:val="auto"/>
                      <w:sz w:val="21"/>
                      <w:szCs w:val="21"/>
                      <w:highlight w:val="none"/>
                      <w:vertAlign w:val="subscript"/>
                      <w:lang w:val="en-US" w:eastAsia="zh-CN"/>
                    </w:rPr>
                    <w:t>8</w:t>
                  </w:r>
                  <w:r>
                    <w:rPr>
                      <w:rFonts w:hint="default" w:ascii="Times New Roman" w:hAnsi="Times New Roman" w:cs="Times New Roman"/>
                      <w:color w:val="auto"/>
                      <w:sz w:val="21"/>
                      <w:szCs w:val="21"/>
                      <w:highlight w:val="none"/>
                      <w:lang w:val="en-US" w:eastAsia="zh-CN"/>
                    </w:rPr>
                    <w:t>O</w:t>
                  </w:r>
                  <w:r>
                    <w:rPr>
                      <w:rFonts w:hint="default" w:ascii="Times New Roman" w:hAnsi="Times New Roman" w:cs="Times New Roman"/>
                      <w:color w:val="auto"/>
                      <w:sz w:val="21"/>
                      <w:szCs w:val="21"/>
                      <w:highlight w:val="none"/>
                      <w:vertAlign w:val="subscript"/>
                      <w:lang w:val="en-US" w:eastAsia="zh-CN"/>
                    </w:rPr>
                    <w:t>7</w:t>
                  </w:r>
                  <w:r>
                    <w:rPr>
                      <w:rFonts w:hint="default" w:ascii="Times New Roman" w:hAnsi="Times New Roman" w:cs="Times New Roman"/>
                      <w:color w:val="auto"/>
                      <w:sz w:val="21"/>
                      <w:szCs w:val="21"/>
                      <w:highlight w:val="none"/>
                      <w:lang w:val="en-US" w:eastAsia="zh-CN"/>
                    </w:rPr>
                    <w:t>，是一种重要的有机弱酸，为无色晶体，无臭，易溶于水，溶液显酸性。在生物化学中，它是柠檬酸循环（三羧酸循环）的中间体，柠檬酸循环发生在所有需氧生物的新陈代谢中。柠檬酸被广泛用作酸度调节剂、调味剂和螯合剂。</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CellMar>
                  <w:top w:w="0" w:type="dxa"/>
                  <w:left w:w="0" w:type="dxa"/>
                  <w:bottom w:w="0" w:type="dxa"/>
                  <w:right w:w="0" w:type="dxa"/>
                </w:tblCellMar>
              </w:tblPrEx>
              <w:trPr>
                <w:trHeight w:val="923" w:hRule="atLeast"/>
              </w:trPr>
              <w:tc>
                <w:tcPr>
                  <w:tcW w:w="1086" w:type="dxa"/>
                  <w:noWrap w:val="0"/>
                  <w:vAlign w:val="center"/>
                </w:tcPr>
                <w:p>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bidi="ar-SA"/>
                    </w:rPr>
                    <w:t>氢氧化钠</w:t>
                  </w:r>
                </w:p>
              </w:tc>
              <w:tc>
                <w:tcPr>
                  <w:tcW w:w="7216" w:type="dxa"/>
                  <w:noWrap w:val="0"/>
                  <w:vAlign w:val="center"/>
                </w:tcPr>
                <w:p>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jc w:val="both"/>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bidi="ar-SA"/>
                    </w:rPr>
                    <w:t>氢氧化钠，</w:t>
                  </w:r>
                  <w:r>
                    <w:rPr>
                      <w:rFonts w:hint="default" w:ascii="Times New Roman" w:hAnsi="Times New Roman" w:cs="Times New Roman"/>
                      <w:color w:val="auto"/>
                      <w:sz w:val="21"/>
                      <w:szCs w:val="21"/>
                      <w:highlight w:val="none"/>
                      <w:lang w:val="en-US" w:eastAsia="zh-CN" w:bidi="ar-SA"/>
                    </w:rPr>
                    <w:fldChar w:fldCharType="begin"/>
                  </w:r>
                  <w:r>
                    <w:rPr>
                      <w:rFonts w:hint="default" w:ascii="Times New Roman" w:hAnsi="Times New Roman" w:cs="Times New Roman"/>
                      <w:color w:val="auto"/>
                      <w:sz w:val="21"/>
                      <w:szCs w:val="21"/>
                      <w:highlight w:val="none"/>
                      <w:lang w:val="en-US" w:eastAsia="zh-CN" w:bidi="ar-SA"/>
                    </w:rPr>
                    <w:instrText xml:space="preserve"> HYPERLINK "https://baike.so.com/doc/804239-850746.html" \t "https://baike.so.com/doc/_blank" </w:instrText>
                  </w:r>
                  <w:r>
                    <w:rPr>
                      <w:rFonts w:hint="default" w:ascii="Times New Roman" w:hAnsi="Times New Roman" w:cs="Times New Roman"/>
                      <w:color w:val="auto"/>
                      <w:sz w:val="21"/>
                      <w:szCs w:val="21"/>
                      <w:highlight w:val="none"/>
                      <w:lang w:val="en-US" w:eastAsia="zh-CN" w:bidi="ar-SA"/>
                    </w:rPr>
                    <w:fldChar w:fldCharType="separate"/>
                  </w:r>
                  <w:r>
                    <w:rPr>
                      <w:rFonts w:hint="default" w:ascii="Times New Roman" w:hAnsi="Times New Roman" w:cs="Times New Roman"/>
                      <w:color w:val="auto"/>
                      <w:sz w:val="21"/>
                      <w:szCs w:val="21"/>
                      <w:highlight w:val="none"/>
                      <w:lang w:val="en-US" w:eastAsia="zh-CN" w:bidi="ar-SA"/>
                    </w:rPr>
                    <w:t>化学式</w:t>
                  </w:r>
                  <w:r>
                    <w:rPr>
                      <w:rFonts w:hint="default" w:ascii="Times New Roman" w:hAnsi="Times New Roman" w:cs="Times New Roman"/>
                      <w:color w:val="auto"/>
                      <w:sz w:val="21"/>
                      <w:szCs w:val="21"/>
                      <w:highlight w:val="none"/>
                      <w:lang w:val="en-US" w:eastAsia="zh-CN" w:bidi="ar-SA"/>
                    </w:rPr>
                    <w:fldChar w:fldCharType="end"/>
                  </w:r>
                  <w:r>
                    <w:rPr>
                      <w:rFonts w:hint="default" w:ascii="Times New Roman" w:hAnsi="Times New Roman" w:cs="Times New Roman"/>
                      <w:color w:val="auto"/>
                      <w:sz w:val="21"/>
                      <w:szCs w:val="21"/>
                      <w:highlight w:val="none"/>
                      <w:lang w:val="en-US" w:eastAsia="zh-CN" w:bidi="ar-SA"/>
                    </w:rPr>
                    <w:t>为NaOH，俗称烧碱、火碱、苛性钠，为一种具有强腐蚀性的</w:t>
                  </w:r>
                  <w:r>
                    <w:rPr>
                      <w:rFonts w:hint="default" w:ascii="Times New Roman" w:hAnsi="Times New Roman" w:cs="Times New Roman"/>
                      <w:color w:val="auto"/>
                      <w:sz w:val="21"/>
                      <w:szCs w:val="21"/>
                      <w:highlight w:val="none"/>
                      <w:lang w:val="en-US" w:eastAsia="zh-CN" w:bidi="ar-SA"/>
                    </w:rPr>
                    <w:fldChar w:fldCharType="begin"/>
                  </w:r>
                  <w:r>
                    <w:rPr>
                      <w:rFonts w:hint="default" w:ascii="Times New Roman" w:hAnsi="Times New Roman" w:cs="Times New Roman"/>
                      <w:color w:val="auto"/>
                      <w:sz w:val="21"/>
                      <w:szCs w:val="21"/>
                      <w:highlight w:val="none"/>
                      <w:lang w:val="en-US" w:eastAsia="zh-CN" w:bidi="ar-SA"/>
                    </w:rPr>
                    <w:instrText xml:space="preserve"> HYPERLINK "https://baike.so.com/doc/81217-85715.html" \t "https://baike.so.com/doc/_blank" </w:instrText>
                  </w:r>
                  <w:r>
                    <w:rPr>
                      <w:rFonts w:hint="default" w:ascii="Times New Roman" w:hAnsi="Times New Roman" w:cs="Times New Roman"/>
                      <w:color w:val="auto"/>
                      <w:sz w:val="21"/>
                      <w:szCs w:val="21"/>
                      <w:highlight w:val="none"/>
                      <w:lang w:val="en-US" w:eastAsia="zh-CN" w:bidi="ar-SA"/>
                    </w:rPr>
                    <w:fldChar w:fldCharType="separate"/>
                  </w:r>
                  <w:r>
                    <w:rPr>
                      <w:rFonts w:hint="default" w:ascii="Times New Roman" w:hAnsi="Times New Roman" w:cs="Times New Roman"/>
                      <w:color w:val="auto"/>
                      <w:sz w:val="21"/>
                      <w:szCs w:val="21"/>
                      <w:highlight w:val="none"/>
                      <w:lang w:val="en-US" w:eastAsia="zh-CN" w:bidi="ar-SA"/>
                    </w:rPr>
                    <w:t>强碱</w:t>
                  </w:r>
                  <w:r>
                    <w:rPr>
                      <w:rFonts w:hint="default" w:ascii="Times New Roman" w:hAnsi="Times New Roman" w:cs="Times New Roman"/>
                      <w:color w:val="auto"/>
                      <w:sz w:val="21"/>
                      <w:szCs w:val="21"/>
                      <w:highlight w:val="none"/>
                      <w:lang w:val="en-US" w:eastAsia="zh-CN" w:bidi="ar-SA"/>
                    </w:rPr>
                    <w:fldChar w:fldCharType="end"/>
                  </w:r>
                  <w:r>
                    <w:rPr>
                      <w:rFonts w:hint="default" w:ascii="Times New Roman" w:hAnsi="Times New Roman" w:cs="Times New Roman"/>
                      <w:color w:val="auto"/>
                      <w:sz w:val="21"/>
                      <w:szCs w:val="21"/>
                      <w:highlight w:val="none"/>
                      <w:lang w:val="en-US" w:eastAsia="zh-CN" w:bidi="ar-SA"/>
                    </w:rPr>
                    <w:t>，一般为片状或颗粒形态，易溶于水（溶于水时放热）并形成碱性溶液，另有</w:t>
                  </w:r>
                  <w:r>
                    <w:rPr>
                      <w:rFonts w:hint="default" w:ascii="Times New Roman" w:hAnsi="Times New Roman" w:cs="Times New Roman"/>
                      <w:color w:val="auto"/>
                      <w:sz w:val="21"/>
                      <w:szCs w:val="21"/>
                      <w:highlight w:val="none"/>
                      <w:lang w:val="en-US" w:eastAsia="zh-CN" w:bidi="ar-SA"/>
                    </w:rPr>
                    <w:fldChar w:fldCharType="begin"/>
                  </w:r>
                  <w:r>
                    <w:rPr>
                      <w:rFonts w:hint="default" w:ascii="Times New Roman" w:hAnsi="Times New Roman" w:cs="Times New Roman"/>
                      <w:color w:val="auto"/>
                      <w:sz w:val="21"/>
                      <w:szCs w:val="21"/>
                      <w:highlight w:val="none"/>
                      <w:lang w:val="en-US" w:eastAsia="zh-CN" w:bidi="ar-SA"/>
                    </w:rPr>
                    <w:instrText xml:space="preserve"> HYPERLINK "https://baike.so.com/doc/2628817-2775779.html" \t "https://baike.so.com/doc/_blank" </w:instrText>
                  </w:r>
                  <w:r>
                    <w:rPr>
                      <w:rFonts w:hint="default" w:ascii="Times New Roman" w:hAnsi="Times New Roman" w:cs="Times New Roman"/>
                      <w:color w:val="auto"/>
                      <w:sz w:val="21"/>
                      <w:szCs w:val="21"/>
                      <w:highlight w:val="none"/>
                      <w:lang w:val="en-US" w:eastAsia="zh-CN" w:bidi="ar-SA"/>
                    </w:rPr>
                    <w:fldChar w:fldCharType="separate"/>
                  </w:r>
                  <w:r>
                    <w:rPr>
                      <w:rFonts w:hint="default" w:ascii="Times New Roman" w:hAnsi="Times New Roman" w:cs="Times New Roman"/>
                      <w:color w:val="auto"/>
                      <w:sz w:val="21"/>
                      <w:szCs w:val="21"/>
                      <w:highlight w:val="none"/>
                      <w:lang w:val="en-US" w:eastAsia="zh-CN" w:bidi="ar-SA"/>
                    </w:rPr>
                    <w:t>潮解性</w:t>
                  </w:r>
                  <w:r>
                    <w:rPr>
                      <w:rFonts w:hint="default" w:ascii="Times New Roman" w:hAnsi="Times New Roman" w:cs="Times New Roman"/>
                      <w:color w:val="auto"/>
                      <w:sz w:val="21"/>
                      <w:szCs w:val="21"/>
                      <w:highlight w:val="none"/>
                      <w:lang w:val="en-US" w:eastAsia="zh-CN" w:bidi="ar-SA"/>
                    </w:rPr>
                    <w:fldChar w:fldCharType="end"/>
                  </w:r>
                  <w:r>
                    <w:rPr>
                      <w:rFonts w:hint="default" w:ascii="Times New Roman" w:hAnsi="Times New Roman" w:cs="Times New Roman"/>
                      <w:color w:val="auto"/>
                      <w:sz w:val="21"/>
                      <w:szCs w:val="21"/>
                      <w:highlight w:val="none"/>
                      <w:lang w:val="en-US" w:eastAsia="zh-CN" w:bidi="ar-SA"/>
                    </w:rPr>
                    <w:t>，易吸取空气中的水蒸气（潮解）和二氧化碳（变质）。是</w:t>
                  </w:r>
                  <w:r>
                    <w:rPr>
                      <w:rFonts w:hint="default" w:ascii="Times New Roman" w:hAnsi="Times New Roman" w:cs="Times New Roman"/>
                      <w:color w:val="auto"/>
                      <w:sz w:val="21"/>
                      <w:szCs w:val="21"/>
                      <w:highlight w:val="none"/>
                      <w:lang w:val="en-US" w:eastAsia="zh-CN" w:bidi="ar-SA"/>
                    </w:rPr>
                    <w:fldChar w:fldCharType="begin"/>
                  </w:r>
                  <w:r>
                    <w:rPr>
                      <w:rFonts w:hint="default" w:ascii="Times New Roman" w:hAnsi="Times New Roman" w:cs="Times New Roman"/>
                      <w:color w:val="auto"/>
                      <w:sz w:val="21"/>
                      <w:szCs w:val="21"/>
                      <w:highlight w:val="none"/>
                      <w:lang w:val="en-US" w:eastAsia="zh-CN" w:bidi="ar-SA"/>
                    </w:rPr>
                    <w:instrText xml:space="preserve"> HYPERLINK "https://baike.so.com/doc/6554657-6768406.html" \t "https://baike.so.com/doc/_blank" </w:instrText>
                  </w:r>
                  <w:r>
                    <w:rPr>
                      <w:rFonts w:hint="default" w:ascii="Times New Roman" w:hAnsi="Times New Roman" w:cs="Times New Roman"/>
                      <w:color w:val="auto"/>
                      <w:sz w:val="21"/>
                      <w:szCs w:val="21"/>
                      <w:highlight w:val="none"/>
                      <w:lang w:val="en-US" w:eastAsia="zh-CN" w:bidi="ar-SA"/>
                    </w:rPr>
                    <w:fldChar w:fldCharType="separate"/>
                  </w:r>
                  <w:r>
                    <w:rPr>
                      <w:rFonts w:hint="default" w:ascii="Times New Roman" w:hAnsi="Times New Roman" w:cs="Times New Roman"/>
                      <w:color w:val="auto"/>
                      <w:sz w:val="21"/>
                      <w:szCs w:val="21"/>
                      <w:highlight w:val="none"/>
                      <w:lang w:val="en-US" w:eastAsia="zh-CN" w:bidi="ar-SA"/>
                    </w:rPr>
                    <w:t>化学化验室</w:t>
                  </w:r>
                  <w:r>
                    <w:rPr>
                      <w:rFonts w:hint="default" w:ascii="Times New Roman" w:hAnsi="Times New Roman" w:cs="Times New Roman"/>
                      <w:color w:val="auto"/>
                      <w:sz w:val="21"/>
                      <w:szCs w:val="21"/>
                      <w:highlight w:val="none"/>
                      <w:lang w:val="en-US" w:eastAsia="zh-CN" w:bidi="ar-SA"/>
                    </w:rPr>
                    <w:fldChar w:fldCharType="end"/>
                  </w:r>
                  <w:r>
                    <w:rPr>
                      <w:rFonts w:hint="default" w:ascii="Times New Roman" w:hAnsi="Times New Roman" w:cs="Times New Roman"/>
                      <w:color w:val="auto"/>
                      <w:sz w:val="21"/>
                      <w:szCs w:val="21"/>
                      <w:highlight w:val="none"/>
                      <w:lang w:val="en-US" w:eastAsia="zh-CN" w:bidi="ar-SA"/>
                    </w:rPr>
                    <w:t>其中一种必备的化学品，亦为常见的化工品之一。纯品是无色透明的晶体。密度2.130g/cm³。熔点318.4℃。沸点1390℃。工业品含有少量的</w:t>
                  </w:r>
                  <w:r>
                    <w:rPr>
                      <w:rFonts w:hint="default" w:ascii="Times New Roman" w:hAnsi="Times New Roman" w:cs="Times New Roman"/>
                      <w:color w:val="auto"/>
                      <w:sz w:val="21"/>
                      <w:szCs w:val="21"/>
                      <w:highlight w:val="none"/>
                      <w:lang w:val="en-US" w:eastAsia="zh-CN" w:bidi="ar-SA"/>
                    </w:rPr>
                    <w:fldChar w:fldCharType="begin"/>
                  </w:r>
                  <w:r>
                    <w:rPr>
                      <w:rFonts w:hint="default" w:ascii="Times New Roman" w:hAnsi="Times New Roman" w:cs="Times New Roman"/>
                      <w:color w:val="auto"/>
                      <w:sz w:val="21"/>
                      <w:szCs w:val="21"/>
                      <w:highlight w:val="none"/>
                      <w:lang w:val="en-US" w:eastAsia="zh-CN" w:bidi="ar-SA"/>
                    </w:rPr>
                    <w:instrText xml:space="preserve"> HYPERLINK "https://baike.so.com/doc/1243217-1314844.html" \t "https://baike.so.com/doc/_blank" </w:instrText>
                  </w:r>
                  <w:r>
                    <w:rPr>
                      <w:rFonts w:hint="default" w:ascii="Times New Roman" w:hAnsi="Times New Roman" w:cs="Times New Roman"/>
                      <w:color w:val="auto"/>
                      <w:sz w:val="21"/>
                      <w:szCs w:val="21"/>
                      <w:highlight w:val="none"/>
                      <w:lang w:val="en-US" w:eastAsia="zh-CN" w:bidi="ar-SA"/>
                    </w:rPr>
                    <w:fldChar w:fldCharType="separate"/>
                  </w:r>
                  <w:r>
                    <w:rPr>
                      <w:rFonts w:hint="default" w:ascii="Times New Roman" w:hAnsi="Times New Roman" w:cs="Times New Roman"/>
                      <w:color w:val="auto"/>
                      <w:sz w:val="21"/>
                      <w:szCs w:val="21"/>
                      <w:highlight w:val="none"/>
                      <w:lang w:val="en-US" w:eastAsia="zh-CN" w:bidi="ar-SA"/>
                    </w:rPr>
                    <w:t>氯化钠</w:t>
                  </w:r>
                  <w:r>
                    <w:rPr>
                      <w:rFonts w:hint="default" w:ascii="Times New Roman" w:hAnsi="Times New Roman" w:cs="Times New Roman"/>
                      <w:color w:val="auto"/>
                      <w:sz w:val="21"/>
                      <w:szCs w:val="21"/>
                      <w:highlight w:val="none"/>
                      <w:lang w:val="en-US" w:eastAsia="zh-CN" w:bidi="ar-SA"/>
                    </w:rPr>
                    <w:fldChar w:fldCharType="end"/>
                  </w:r>
                  <w:r>
                    <w:rPr>
                      <w:rFonts w:hint="default" w:ascii="Times New Roman" w:hAnsi="Times New Roman" w:cs="Times New Roman"/>
                      <w:color w:val="auto"/>
                      <w:sz w:val="21"/>
                      <w:szCs w:val="21"/>
                      <w:highlight w:val="none"/>
                      <w:lang w:val="en-US" w:eastAsia="zh-CN" w:bidi="ar-SA"/>
                    </w:rPr>
                    <w:t>和碳酸钠，是白色不透明的晶体。有块状，片状，粒状和棒状等。式量40.01氢氧化钠在水处理中可作为碱性清洗剂，溶于乙醇和甘油，不溶于丙醇、乙醚。在高温下对碳钠也有腐蚀作用。与氯、溴、碘等卤素发生歧化反应，与酸类起中和作用而生成盐和水。</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1225" w:hRule="atLeast"/>
              </w:trPr>
              <w:tc>
                <w:tcPr>
                  <w:tcW w:w="654" w:type="pct"/>
                  <w:noWrap w:val="0"/>
                  <w:vAlign w:val="center"/>
                </w:tcPr>
                <w:p>
                  <w:pPr>
                    <w:pStyle w:val="65"/>
                    <w:bidi w:val="0"/>
                    <w:spacing w:line="240" w:lineRule="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vertAlign w:val="baseline"/>
                      <w:lang w:val="en-US" w:eastAsia="zh-CN"/>
                    </w:rPr>
                    <w:t>柠檬酸钠</w:t>
                  </w:r>
                </w:p>
              </w:tc>
              <w:tc>
                <w:tcPr>
                  <w:tcW w:w="4345" w:type="pct"/>
                  <w:noWrap w:val="0"/>
                  <w:vAlign w:val="center"/>
                </w:tcPr>
                <w:p>
                  <w:pPr>
                    <w:pStyle w:val="65"/>
                    <w:bidi w:val="0"/>
                    <w:spacing w:line="240" w:lineRule="auto"/>
                    <w:jc w:val="both"/>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又名</w:t>
                  </w:r>
                  <w:r>
                    <w:rPr>
                      <w:rFonts w:hint="default" w:ascii="Times New Roman" w:hAnsi="Times New Roman" w:cs="Times New Roman"/>
                      <w:color w:val="auto"/>
                      <w:sz w:val="21"/>
                      <w:szCs w:val="21"/>
                      <w:highlight w:val="none"/>
                      <w:lang w:val="en-US" w:eastAsia="zh-CN"/>
                    </w:rPr>
                    <w:fldChar w:fldCharType="begin"/>
                  </w:r>
                  <w:r>
                    <w:rPr>
                      <w:rFonts w:hint="default" w:ascii="Times New Roman" w:hAnsi="Times New Roman" w:cs="Times New Roman"/>
                      <w:color w:val="auto"/>
                      <w:sz w:val="21"/>
                      <w:szCs w:val="21"/>
                      <w:highlight w:val="none"/>
                      <w:lang w:val="en-US" w:eastAsia="zh-CN"/>
                    </w:rPr>
                    <w:instrText xml:space="preserve"> HYPERLINK "https://baike.baidu.com/item/%E6%9F%A0%E6%AA%AC%E9%85%B8%E4%B8%89%E9%92%A0/4549342?fromModule=lemma_inlink" \t "https://baike.baidu.com/item/%E6%9F%A0%E6%AA%AC%E9%85%B8%E9%92%A0/_blank" </w:instrText>
                  </w:r>
                  <w:r>
                    <w:rPr>
                      <w:rFonts w:hint="default" w:ascii="Times New Roman" w:hAnsi="Times New Roman" w:cs="Times New Roman"/>
                      <w:color w:val="auto"/>
                      <w:sz w:val="21"/>
                      <w:szCs w:val="21"/>
                      <w:highlight w:val="none"/>
                      <w:lang w:val="en-US" w:eastAsia="zh-CN"/>
                    </w:rPr>
                    <w:fldChar w:fldCharType="separate"/>
                  </w:r>
                  <w:r>
                    <w:rPr>
                      <w:rFonts w:hint="default" w:ascii="Times New Roman" w:hAnsi="Times New Roman" w:cs="Times New Roman"/>
                      <w:color w:val="auto"/>
                      <w:sz w:val="21"/>
                      <w:szCs w:val="21"/>
                      <w:highlight w:val="none"/>
                      <w:lang w:val="en-US" w:eastAsia="zh-CN"/>
                    </w:rPr>
                    <w:t>柠檬酸三钠</w:t>
                  </w:r>
                  <w:r>
                    <w:rPr>
                      <w:rFonts w:hint="default" w:ascii="Times New Roman" w:hAnsi="Times New Roman" w:cs="Times New Roman"/>
                      <w:color w:val="auto"/>
                      <w:sz w:val="21"/>
                      <w:szCs w:val="21"/>
                      <w:highlight w:val="none"/>
                      <w:lang w:val="en-US" w:eastAsia="zh-CN"/>
                    </w:rPr>
                    <w:fldChar w:fldCharType="end"/>
                  </w:r>
                  <w:r>
                    <w:rPr>
                      <w:rFonts w:hint="default" w:ascii="Times New Roman" w:hAnsi="Times New Roman"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fldChar w:fldCharType="begin"/>
                  </w:r>
                  <w:r>
                    <w:rPr>
                      <w:rFonts w:hint="default" w:ascii="Times New Roman" w:hAnsi="Times New Roman" w:cs="Times New Roman"/>
                      <w:color w:val="auto"/>
                      <w:sz w:val="21"/>
                      <w:szCs w:val="21"/>
                      <w:highlight w:val="none"/>
                      <w:lang w:val="en-US" w:eastAsia="zh-CN"/>
                    </w:rPr>
                    <w:instrText xml:space="preserve"> HYPERLINK "https://baike.baidu.com/item/%E6%9E%B8%E6%A9%BC%E9%85%B8%E9%92%A0/4463652?fromModule=lemma_inlink" \t "https://baike.baidu.com/item/%E6%9F%A0%E6%AA%AC%E9%85%B8%E9%92%A0/_blank" </w:instrText>
                  </w:r>
                  <w:r>
                    <w:rPr>
                      <w:rFonts w:hint="default" w:ascii="Times New Roman" w:hAnsi="Times New Roman" w:cs="Times New Roman"/>
                      <w:color w:val="auto"/>
                      <w:sz w:val="21"/>
                      <w:szCs w:val="21"/>
                      <w:highlight w:val="none"/>
                      <w:lang w:val="en-US" w:eastAsia="zh-CN"/>
                    </w:rPr>
                    <w:fldChar w:fldCharType="separate"/>
                  </w:r>
                  <w:r>
                    <w:rPr>
                      <w:rFonts w:hint="default" w:ascii="Times New Roman" w:hAnsi="Times New Roman" w:cs="Times New Roman"/>
                      <w:color w:val="auto"/>
                      <w:sz w:val="21"/>
                      <w:szCs w:val="21"/>
                      <w:highlight w:val="none"/>
                      <w:lang w:val="en-US" w:eastAsia="zh-CN"/>
                    </w:rPr>
                    <w:t>枸橼酸钠</w:t>
                  </w:r>
                  <w:r>
                    <w:rPr>
                      <w:rFonts w:hint="default" w:ascii="Times New Roman" w:hAnsi="Times New Roman" w:cs="Times New Roman"/>
                      <w:color w:val="auto"/>
                      <w:sz w:val="21"/>
                      <w:szCs w:val="21"/>
                      <w:highlight w:val="none"/>
                      <w:lang w:val="en-US" w:eastAsia="zh-CN"/>
                    </w:rPr>
                    <w:fldChar w:fldCharType="end"/>
                  </w:r>
                  <w:r>
                    <w:rPr>
                      <w:rFonts w:hint="default" w:ascii="Times New Roman" w:hAnsi="Times New Roman"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fldChar w:fldCharType="begin"/>
                  </w:r>
                  <w:r>
                    <w:rPr>
                      <w:rFonts w:hint="default" w:ascii="Times New Roman" w:hAnsi="Times New Roman" w:cs="Times New Roman"/>
                      <w:color w:val="auto"/>
                      <w:sz w:val="21"/>
                      <w:szCs w:val="21"/>
                      <w:highlight w:val="none"/>
                      <w:lang w:val="en-US" w:eastAsia="zh-CN"/>
                    </w:rPr>
                    <w:instrText xml:space="preserve"> HYPERLINK "https://baike.baidu.com/item/%E6%9E%B8%E6%A9%BC%E9%85%B8%E4%B8%89%E9%92%A0/17019001?fromModule=lemma_inlink" \t "https://baike.baidu.com/item/%E6%9F%A0%E6%AA%AC%E9%85%B8%E9%92%A0/_blank" </w:instrText>
                  </w:r>
                  <w:r>
                    <w:rPr>
                      <w:rFonts w:hint="default" w:ascii="Times New Roman" w:hAnsi="Times New Roman" w:cs="Times New Roman"/>
                      <w:color w:val="auto"/>
                      <w:sz w:val="21"/>
                      <w:szCs w:val="21"/>
                      <w:highlight w:val="none"/>
                      <w:lang w:val="en-US" w:eastAsia="zh-CN"/>
                    </w:rPr>
                    <w:fldChar w:fldCharType="separate"/>
                  </w:r>
                  <w:r>
                    <w:rPr>
                      <w:rFonts w:hint="default" w:ascii="Times New Roman" w:hAnsi="Times New Roman" w:cs="Times New Roman"/>
                      <w:color w:val="auto"/>
                      <w:sz w:val="21"/>
                      <w:szCs w:val="21"/>
                      <w:highlight w:val="none"/>
                      <w:lang w:val="en-US" w:eastAsia="zh-CN"/>
                    </w:rPr>
                    <w:t>枸橼酸三钠</w:t>
                  </w:r>
                  <w:r>
                    <w:rPr>
                      <w:rFonts w:hint="default" w:ascii="Times New Roman" w:hAnsi="Times New Roman" w:cs="Times New Roman"/>
                      <w:color w:val="auto"/>
                      <w:sz w:val="21"/>
                      <w:szCs w:val="21"/>
                      <w:highlight w:val="none"/>
                      <w:lang w:val="en-US" w:eastAsia="zh-CN"/>
                    </w:rPr>
                    <w:fldChar w:fldCharType="end"/>
                  </w:r>
                  <w:r>
                    <w:rPr>
                      <w:rFonts w:hint="default" w:ascii="Times New Roman" w:hAnsi="Times New Roman" w:cs="Times New Roman"/>
                      <w:color w:val="auto"/>
                      <w:sz w:val="21"/>
                      <w:szCs w:val="21"/>
                      <w:highlight w:val="none"/>
                      <w:lang w:val="en-US" w:eastAsia="zh-CN"/>
                    </w:rPr>
                    <w:t>，是一种有机酸钠盐。外观为白色到无色晶体，有凉咸味，在空气中稳定。化学式为C</w:t>
                  </w:r>
                  <w:r>
                    <w:rPr>
                      <w:rFonts w:hint="default" w:ascii="Times New Roman" w:hAnsi="Times New Roman" w:cs="Times New Roman"/>
                      <w:color w:val="auto"/>
                      <w:sz w:val="21"/>
                      <w:szCs w:val="21"/>
                      <w:highlight w:val="none"/>
                      <w:vertAlign w:val="subscript"/>
                      <w:lang w:val="en-US" w:eastAsia="zh-CN"/>
                    </w:rPr>
                    <w:t>6</w:t>
                  </w:r>
                  <w:r>
                    <w:rPr>
                      <w:rFonts w:hint="default" w:ascii="Times New Roman" w:hAnsi="Times New Roman" w:cs="Times New Roman"/>
                      <w:color w:val="auto"/>
                      <w:sz w:val="21"/>
                      <w:szCs w:val="21"/>
                      <w:highlight w:val="none"/>
                      <w:lang w:val="en-US" w:eastAsia="zh-CN"/>
                    </w:rPr>
                    <w:t>H</w:t>
                  </w:r>
                  <w:r>
                    <w:rPr>
                      <w:rFonts w:hint="default" w:ascii="Times New Roman" w:hAnsi="Times New Roman" w:cs="Times New Roman"/>
                      <w:color w:val="auto"/>
                      <w:sz w:val="21"/>
                      <w:szCs w:val="21"/>
                      <w:highlight w:val="none"/>
                      <w:vertAlign w:val="subscript"/>
                      <w:lang w:val="en-US" w:eastAsia="zh-CN"/>
                    </w:rPr>
                    <w:t>5</w:t>
                  </w:r>
                  <w:r>
                    <w:rPr>
                      <w:rFonts w:hint="default" w:ascii="Times New Roman" w:hAnsi="Times New Roman" w:cs="Times New Roman"/>
                      <w:color w:val="auto"/>
                      <w:sz w:val="21"/>
                      <w:szCs w:val="21"/>
                      <w:highlight w:val="none"/>
                      <w:lang w:val="en-US" w:eastAsia="zh-CN"/>
                    </w:rPr>
                    <w:t>Na</w:t>
                  </w:r>
                  <w:r>
                    <w:rPr>
                      <w:rFonts w:hint="default" w:ascii="Times New Roman" w:hAnsi="Times New Roman" w:cs="Times New Roman"/>
                      <w:color w:val="auto"/>
                      <w:sz w:val="21"/>
                      <w:szCs w:val="21"/>
                      <w:highlight w:val="none"/>
                      <w:vertAlign w:val="subscript"/>
                      <w:lang w:val="en-US" w:eastAsia="zh-CN"/>
                    </w:rPr>
                    <w:t>3</w:t>
                  </w:r>
                  <w:r>
                    <w:rPr>
                      <w:rFonts w:hint="default" w:ascii="Times New Roman" w:hAnsi="Times New Roman" w:cs="Times New Roman"/>
                      <w:color w:val="auto"/>
                      <w:sz w:val="21"/>
                      <w:szCs w:val="21"/>
                      <w:highlight w:val="none"/>
                      <w:lang w:val="en-US" w:eastAsia="zh-CN"/>
                    </w:rPr>
                    <w:t>O</w:t>
                  </w:r>
                  <w:r>
                    <w:rPr>
                      <w:rFonts w:hint="default" w:ascii="Times New Roman" w:hAnsi="Times New Roman" w:cs="Times New Roman"/>
                      <w:color w:val="auto"/>
                      <w:sz w:val="21"/>
                      <w:szCs w:val="21"/>
                      <w:highlight w:val="none"/>
                      <w:vertAlign w:val="subscript"/>
                      <w:lang w:val="en-US" w:eastAsia="zh-CN"/>
                    </w:rPr>
                    <w:t>7</w:t>
                  </w:r>
                  <w:r>
                    <w:rPr>
                      <w:rFonts w:hint="default" w:ascii="Times New Roman" w:hAnsi="Times New Roman" w:cs="Times New Roman"/>
                      <w:color w:val="auto"/>
                      <w:sz w:val="21"/>
                      <w:szCs w:val="21"/>
                      <w:highlight w:val="none"/>
                      <w:lang w:val="en-US" w:eastAsia="zh-CN"/>
                    </w:rPr>
                    <w:t>，溶于水，难溶于乙醇，水溶液具有微碱性，常用作缓冲剂、络合剂、细菌培养基，在医药上用于利尿、祛痰、抗凝血剂，并用于食品、饮料、电镀、照相等方面。是生物试验的基本药剂之一。</w:t>
                  </w:r>
                </w:p>
              </w:tc>
            </w:tr>
            <w:tr>
              <w:tblPrEx>
                <w:tblBorders>
                  <w:top w:val="single" w:color="000000" w:sz="2" w:space="0"/>
                  <w:left w:val="single" w:color="000000" w:sz="2" w:space="0"/>
                  <w:bottom w:val="single" w:color="000000" w:sz="2" w:space="0"/>
                  <w:right w:val="single" w:color="000000" w:sz="2" w:space="0"/>
                  <w:insideH w:val="single" w:color="000000" w:sz="2" w:space="0"/>
                  <w:insideV w:val="single" w:color="000000" w:sz="2" w:space="0"/>
                </w:tblBorders>
              </w:tblPrEx>
              <w:trPr>
                <w:trHeight w:val="468" w:hRule="atLeast"/>
              </w:trPr>
              <w:tc>
                <w:tcPr>
                  <w:tcW w:w="654" w:type="pct"/>
                  <w:noWrap w:val="0"/>
                  <w:vAlign w:val="center"/>
                </w:tcPr>
                <w:p>
                  <w:pPr>
                    <w:pStyle w:val="65"/>
                    <w:bidi w:val="0"/>
                    <w:spacing w:line="240" w:lineRule="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cs="Times New Roman"/>
                      <w:color w:val="auto"/>
                      <w:sz w:val="21"/>
                      <w:szCs w:val="21"/>
                      <w:highlight w:val="none"/>
                      <w:lang w:val="en-US" w:eastAsia="zh-CN"/>
                    </w:rPr>
                    <w:t>PET瓶坯</w:t>
                  </w:r>
                </w:p>
              </w:tc>
              <w:tc>
                <w:tcPr>
                  <w:tcW w:w="4345" w:type="pct"/>
                  <w:noWrap w:val="0"/>
                  <w:vAlign w:val="center"/>
                </w:tcPr>
                <w:p>
                  <w:pPr>
                    <w:pStyle w:val="65"/>
                    <w:bidi w:val="0"/>
                    <w:spacing w:line="240" w:lineRule="auto"/>
                    <w:jc w:val="both"/>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PET瓶坯是以聚对苯二甲酸乙二醇酯（PET）为原料制成的注塑加工中间产品，主要用于吹制饮料瓶、机油桶及日化包装容器。聚对苯二甲酸乙二醇酯是热塑性聚酯中最主要的品种，英文名为Polythylene terephthalate 简称PET或PETP（以下或称为PET），俗称涤纶树脂。它是对苯二甲酸与乙二醇的缩聚物，与PBT一起统称为热塑性聚酯，或饱和聚酯。PET是乳白色或浅黄色高度结晶性的聚合物，表面平滑而有光泽。耐蠕变、抗疲劳性、耐摩擦和尺寸稳定性好，磨耗小而硬度高，具有热塑性塑料中最大的韧性；电绝缘性能好，受温度影响小，但耐电晕性较差。无毒、耐气候性、抗化学药品稳定性好，吸水率低，耐弱酸和有机溶剂。</w:t>
                  </w:r>
                </w:p>
              </w:tc>
            </w:tr>
          </w:tbl>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天然气组分见下表，组分报告详见附件。</w:t>
            </w: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表2-6  主要原辅材料理化性质表</w:t>
            </w: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41"/>
              <w:gridCol w:w="2041"/>
              <w:gridCol w:w="2041"/>
              <w:gridCol w:w="204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41" w:type="dxa"/>
                  <w:noWrap w:val="0"/>
                  <w:vAlign w:val="center"/>
                </w:tcPr>
                <w:p>
                  <w:pPr>
                    <w:keepNext w:val="0"/>
                    <w:keepLines w:val="0"/>
                    <w:pageBreakBefore w:val="0"/>
                    <w:widowControl w:val="0"/>
                    <w:kinsoku/>
                    <w:wordWrap w:val="0"/>
                    <w:overflowPunct/>
                    <w:topLinePunct w:val="0"/>
                    <w:autoSpaceDE/>
                    <w:autoSpaceDN/>
                    <w:bidi w:val="0"/>
                    <w:adjustRightInd/>
                    <w:snapToGrid/>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组分名称</w:t>
                  </w:r>
                </w:p>
              </w:tc>
              <w:tc>
                <w:tcPr>
                  <w:tcW w:w="2041" w:type="dxa"/>
                  <w:noWrap w:val="0"/>
                  <w:vAlign w:val="center"/>
                </w:tcPr>
                <w:p>
                  <w:pPr>
                    <w:keepNext w:val="0"/>
                    <w:keepLines w:val="0"/>
                    <w:pageBreakBefore w:val="0"/>
                    <w:widowControl w:val="0"/>
                    <w:kinsoku/>
                    <w:wordWrap w:val="0"/>
                    <w:overflowPunct/>
                    <w:topLinePunct w:val="0"/>
                    <w:autoSpaceDE/>
                    <w:autoSpaceDN/>
                    <w:bidi w:val="0"/>
                    <w:adjustRightInd/>
                    <w:snapToGrid/>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摩尔分数，%</w:t>
                  </w:r>
                </w:p>
              </w:tc>
              <w:tc>
                <w:tcPr>
                  <w:tcW w:w="2041" w:type="dxa"/>
                  <w:noWrap w:val="0"/>
                  <w:vAlign w:val="center"/>
                </w:tcPr>
                <w:p>
                  <w:pPr>
                    <w:keepNext w:val="0"/>
                    <w:keepLines w:val="0"/>
                    <w:pageBreakBefore w:val="0"/>
                    <w:widowControl w:val="0"/>
                    <w:kinsoku/>
                    <w:wordWrap w:val="0"/>
                    <w:overflowPunct/>
                    <w:topLinePunct w:val="0"/>
                    <w:autoSpaceDE/>
                    <w:autoSpaceDN/>
                    <w:bidi w:val="0"/>
                    <w:adjustRightInd/>
                    <w:snapToGrid/>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组分名称</w:t>
                  </w:r>
                </w:p>
              </w:tc>
              <w:tc>
                <w:tcPr>
                  <w:tcW w:w="2041" w:type="dxa"/>
                  <w:noWrap w:val="0"/>
                  <w:vAlign w:val="center"/>
                </w:tcPr>
                <w:p>
                  <w:pPr>
                    <w:keepNext w:val="0"/>
                    <w:keepLines w:val="0"/>
                    <w:pageBreakBefore w:val="0"/>
                    <w:widowControl w:val="0"/>
                    <w:kinsoku/>
                    <w:wordWrap w:val="0"/>
                    <w:overflowPunct/>
                    <w:topLinePunct w:val="0"/>
                    <w:autoSpaceDE/>
                    <w:autoSpaceDN/>
                    <w:bidi w:val="0"/>
                    <w:adjustRightInd/>
                    <w:snapToGrid/>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摩尔分数，%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41" w:type="dxa"/>
                  <w:noWrap w:val="0"/>
                  <w:vAlign w:val="center"/>
                </w:tcPr>
                <w:p>
                  <w:pPr>
                    <w:keepNext w:val="0"/>
                    <w:keepLines w:val="0"/>
                    <w:pageBreakBefore w:val="0"/>
                    <w:widowControl w:val="0"/>
                    <w:kinsoku/>
                    <w:wordWrap w:val="0"/>
                    <w:overflowPunct/>
                    <w:topLinePunct w:val="0"/>
                    <w:autoSpaceDE/>
                    <w:autoSpaceDN/>
                    <w:bidi w:val="0"/>
                    <w:adjustRightInd/>
                    <w:snapToGrid/>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甲烷</w:t>
                  </w:r>
                </w:p>
              </w:tc>
              <w:tc>
                <w:tcPr>
                  <w:tcW w:w="2041" w:type="dxa"/>
                  <w:noWrap w:val="0"/>
                  <w:vAlign w:val="center"/>
                </w:tcPr>
                <w:p>
                  <w:pPr>
                    <w:keepNext w:val="0"/>
                    <w:keepLines w:val="0"/>
                    <w:pageBreakBefore w:val="0"/>
                    <w:widowControl w:val="0"/>
                    <w:kinsoku/>
                    <w:wordWrap w:val="0"/>
                    <w:overflowPunct/>
                    <w:topLinePunct w:val="0"/>
                    <w:autoSpaceDE/>
                    <w:autoSpaceDN/>
                    <w:bidi w:val="0"/>
                    <w:adjustRightInd/>
                    <w:snapToGrid/>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97.4</w:t>
                  </w:r>
                </w:p>
              </w:tc>
              <w:tc>
                <w:tcPr>
                  <w:tcW w:w="2041" w:type="dxa"/>
                  <w:noWrap w:val="0"/>
                  <w:vAlign w:val="center"/>
                </w:tcPr>
                <w:p>
                  <w:pPr>
                    <w:keepNext w:val="0"/>
                    <w:keepLines w:val="0"/>
                    <w:pageBreakBefore w:val="0"/>
                    <w:widowControl w:val="0"/>
                    <w:kinsoku/>
                    <w:wordWrap w:val="0"/>
                    <w:overflowPunct/>
                    <w:topLinePunct w:val="0"/>
                    <w:autoSpaceDE/>
                    <w:autoSpaceDN/>
                    <w:bidi w:val="0"/>
                    <w:adjustRightInd/>
                    <w:snapToGrid/>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辛烷及更重组分</w:t>
                  </w:r>
                </w:p>
              </w:tc>
              <w:tc>
                <w:tcPr>
                  <w:tcW w:w="2041" w:type="dxa"/>
                  <w:noWrap w:val="0"/>
                  <w:vAlign w:val="center"/>
                </w:tcPr>
                <w:p>
                  <w:pPr>
                    <w:keepNext w:val="0"/>
                    <w:keepLines w:val="0"/>
                    <w:pageBreakBefore w:val="0"/>
                    <w:widowControl w:val="0"/>
                    <w:kinsoku/>
                    <w:wordWrap w:val="0"/>
                    <w:overflowPunct/>
                    <w:topLinePunct w:val="0"/>
                    <w:autoSpaceDE/>
                    <w:autoSpaceDN/>
                    <w:bidi w:val="0"/>
                    <w:adjustRightInd/>
                    <w:snapToGrid/>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0.0102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41" w:type="dxa"/>
                  <w:noWrap w:val="0"/>
                  <w:vAlign w:val="center"/>
                </w:tcPr>
                <w:p>
                  <w:pPr>
                    <w:keepNext w:val="0"/>
                    <w:keepLines w:val="0"/>
                    <w:pageBreakBefore w:val="0"/>
                    <w:widowControl w:val="0"/>
                    <w:kinsoku/>
                    <w:wordWrap w:val="0"/>
                    <w:overflowPunct/>
                    <w:topLinePunct w:val="0"/>
                    <w:autoSpaceDE/>
                    <w:autoSpaceDN/>
                    <w:bidi w:val="0"/>
                    <w:adjustRightInd/>
                    <w:snapToGrid/>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乙烷</w:t>
                  </w:r>
                </w:p>
              </w:tc>
              <w:tc>
                <w:tcPr>
                  <w:tcW w:w="2041" w:type="dxa"/>
                  <w:noWrap w:val="0"/>
                  <w:vAlign w:val="center"/>
                </w:tcPr>
                <w:p>
                  <w:pPr>
                    <w:keepNext w:val="0"/>
                    <w:keepLines w:val="0"/>
                    <w:pageBreakBefore w:val="0"/>
                    <w:widowControl w:val="0"/>
                    <w:kinsoku/>
                    <w:wordWrap w:val="0"/>
                    <w:overflowPunct/>
                    <w:topLinePunct w:val="0"/>
                    <w:autoSpaceDE/>
                    <w:autoSpaceDN/>
                    <w:bidi w:val="0"/>
                    <w:adjustRightInd/>
                    <w:snapToGrid/>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0.845</w:t>
                  </w:r>
                </w:p>
              </w:tc>
              <w:tc>
                <w:tcPr>
                  <w:tcW w:w="2041" w:type="dxa"/>
                  <w:noWrap w:val="0"/>
                  <w:vAlign w:val="center"/>
                </w:tcPr>
                <w:p>
                  <w:pPr>
                    <w:keepNext w:val="0"/>
                    <w:keepLines w:val="0"/>
                    <w:pageBreakBefore w:val="0"/>
                    <w:widowControl w:val="0"/>
                    <w:kinsoku/>
                    <w:wordWrap w:val="0"/>
                    <w:overflowPunct/>
                    <w:topLinePunct w:val="0"/>
                    <w:autoSpaceDE/>
                    <w:autoSpaceDN/>
                    <w:bidi w:val="0"/>
                    <w:adjustRightInd/>
                    <w:snapToGrid/>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氨气</w:t>
                  </w:r>
                </w:p>
              </w:tc>
              <w:tc>
                <w:tcPr>
                  <w:tcW w:w="2041" w:type="dxa"/>
                  <w:noWrap w:val="0"/>
                  <w:vAlign w:val="center"/>
                </w:tcPr>
                <w:p>
                  <w:pPr>
                    <w:keepNext w:val="0"/>
                    <w:keepLines w:val="0"/>
                    <w:pageBreakBefore w:val="0"/>
                    <w:widowControl w:val="0"/>
                    <w:kinsoku/>
                    <w:wordWrap w:val="0"/>
                    <w:overflowPunct/>
                    <w:topLinePunct w:val="0"/>
                    <w:autoSpaceDE/>
                    <w:autoSpaceDN/>
                    <w:bidi w:val="0"/>
                    <w:adjustRightInd/>
                    <w:snapToGrid/>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0.864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41" w:type="dxa"/>
                  <w:noWrap w:val="0"/>
                  <w:vAlign w:val="center"/>
                </w:tcPr>
                <w:p>
                  <w:pPr>
                    <w:keepNext w:val="0"/>
                    <w:keepLines w:val="0"/>
                    <w:pageBreakBefore w:val="0"/>
                    <w:widowControl w:val="0"/>
                    <w:kinsoku/>
                    <w:wordWrap w:val="0"/>
                    <w:overflowPunct/>
                    <w:topLinePunct w:val="0"/>
                    <w:autoSpaceDE/>
                    <w:autoSpaceDN/>
                    <w:bidi w:val="0"/>
                    <w:adjustRightInd/>
                    <w:snapToGrid/>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丙烷</w:t>
                  </w:r>
                </w:p>
              </w:tc>
              <w:tc>
                <w:tcPr>
                  <w:tcW w:w="2041" w:type="dxa"/>
                  <w:noWrap w:val="0"/>
                  <w:vAlign w:val="center"/>
                </w:tcPr>
                <w:p>
                  <w:pPr>
                    <w:keepNext w:val="0"/>
                    <w:keepLines w:val="0"/>
                    <w:pageBreakBefore w:val="0"/>
                    <w:widowControl w:val="0"/>
                    <w:kinsoku/>
                    <w:wordWrap w:val="0"/>
                    <w:overflowPunct/>
                    <w:topLinePunct w:val="0"/>
                    <w:autoSpaceDE/>
                    <w:autoSpaceDN/>
                    <w:bidi w:val="0"/>
                    <w:adjustRightInd/>
                    <w:snapToGrid/>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0.105</w:t>
                  </w:r>
                </w:p>
              </w:tc>
              <w:tc>
                <w:tcPr>
                  <w:tcW w:w="2041" w:type="dxa"/>
                  <w:noWrap w:val="0"/>
                  <w:vAlign w:val="center"/>
                </w:tcPr>
                <w:p>
                  <w:pPr>
                    <w:keepNext w:val="0"/>
                    <w:keepLines w:val="0"/>
                    <w:pageBreakBefore w:val="0"/>
                    <w:widowControl w:val="0"/>
                    <w:kinsoku/>
                    <w:wordWrap w:val="0"/>
                    <w:overflowPunct/>
                    <w:topLinePunct w:val="0"/>
                    <w:autoSpaceDE/>
                    <w:autoSpaceDN/>
                    <w:bidi w:val="0"/>
                    <w:adjustRightInd/>
                    <w:snapToGrid/>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氧气</w:t>
                  </w:r>
                </w:p>
              </w:tc>
              <w:tc>
                <w:tcPr>
                  <w:tcW w:w="2041" w:type="dxa"/>
                  <w:noWrap w:val="0"/>
                  <w:vAlign w:val="center"/>
                </w:tcPr>
                <w:p>
                  <w:pPr>
                    <w:keepNext w:val="0"/>
                    <w:keepLines w:val="0"/>
                    <w:pageBreakBefore w:val="0"/>
                    <w:widowControl w:val="0"/>
                    <w:kinsoku/>
                    <w:wordWrap w:val="0"/>
                    <w:overflowPunct/>
                    <w:topLinePunct w:val="0"/>
                    <w:autoSpaceDE/>
                    <w:autoSpaceDN/>
                    <w:bidi w:val="0"/>
                    <w:adjustRightInd/>
                    <w:snapToGrid/>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41" w:type="dxa"/>
                  <w:noWrap w:val="0"/>
                  <w:vAlign w:val="center"/>
                </w:tcPr>
                <w:p>
                  <w:pPr>
                    <w:keepNext w:val="0"/>
                    <w:keepLines w:val="0"/>
                    <w:pageBreakBefore w:val="0"/>
                    <w:widowControl w:val="0"/>
                    <w:kinsoku/>
                    <w:wordWrap w:val="0"/>
                    <w:overflowPunct/>
                    <w:topLinePunct w:val="0"/>
                    <w:autoSpaceDE/>
                    <w:autoSpaceDN/>
                    <w:bidi w:val="0"/>
                    <w:adjustRightInd/>
                    <w:snapToGrid/>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异丁烷</w:t>
                  </w:r>
                </w:p>
              </w:tc>
              <w:tc>
                <w:tcPr>
                  <w:tcW w:w="2041" w:type="dxa"/>
                  <w:noWrap w:val="0"/>
                  <w:vAlign w:val="center"/>
                </w:tcPr>
                <w:p>
                  <w:pPr>
                    <w:keepNext w:val="0"/>
                    <w:keepLines w:val="0"/>
                    <w:pageBreakBefore w:val="0"/>
                    <w:widowControl w:val="0"/>
                    <w:kinsoku/>
                    <w:wordWrap w:val="0"/>
                    <w:overflowPunct/>
                    <w:topLinePunct w:val="0"/>
                    <w:autoSpaceDE/>
                    <w:autoSpaceDN/>
                    <w:bidi w:val="0"/>
                    <w:adjustRightInd/>
                    <w:snapToGrid/>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0.0204</w:t>
                  </w:r>
                </w:p>
              </w:tc>
              <w:tc>
                <w:tcPr>
                  <w:tcW w:w="2041" w:type="dxa"/>
                  <w:noWrap w:val="0"/>
                  <w:vAlign w:val="center"/>
                </w:tcPr>
                <w:p>
                  <w:pPr>
                    <w:keepNext w:val="0"/>
                    <w:keepLines w:val="0"/>
                    <w:pageBreakBefore w:val="0"/>
                    <w:widowControl w:val="0"/>
                    <w:kinsoku/>
                    <w:wordWrap w:val="0"/>
                    <w:overflowPunct/>
                    <w:topLinePunct w:val="0"/>
                    <w:autoSpaceDE/>
                    <w:autoSpaceDN/>
                    <w:bidi w:val="0"/>
                    <w:adjustRightInd/>
                    <w:snapToGrid/>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二氧化碳</w:t>
                  </w:r>
                </w:p>
              </w:tc>
              <w:tc>
                <w:tcPr>
                  <w:tcW w:w="2041" w:type="dxa"/>
                  <w:noWrap w:val="0"/>
                  <w:vAlign w:val="center"/>
                </w:tcPr>
                <w:p>
                  <w:pPr>
                    <w:keepNext w:val="0"/>
                    <w:keepLines w:val="0"/>
                    <w:pageBreakBefore w:val="0"/>
                    <w:widowControl w:val="0"/>
                    <w:kinsoku/>
                    <w:wordWrap w:val="0"/>
                    <w:overflowPunct/>
                    <w:topLinePunct w:val="0"/>
                    <w:autoSpaceDE/>
                    <w:autoSpaceDN/>
                    <w:bidi w:val="0"/>
                    <w:adjustRightInd/>
                    <w:snapToGrid/>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0.713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41" w:type="dxa"/>
                  <w:noWrap w:val="0"/>
                  <w:vAlign w:val="center"/>
                </w:tcPr>
                <w:p>
                  <w:pPr>
                    <w:keepNext w:val="0"/>
                    <w:keepLines w:val="0"/>
                    <w:pageBreakBefore w:val="0"/>
                    <w:widowControl w:val="0"/>
                    <w:kinsoku/>
                    <w:wordWrap w:val="0"/>
                    <w:overflowPunct/>
                    <w:topLinePunct w:val="0"/>
                    <w:autoSpaceDE/>
                    <w:autoSpaceDN/>
                    <w:bidi w:val="0"/>
                    <w:adjustRightInd/>
                    <w:snapToGrid/>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正丁烷</w:t>
                  </w:r>
                </w:p>
              </w:tc>
              <w:tc>
                <w:tcPr>
                  <w:tcW w:w="2041" w:type="dxa"/>
                  <w:noWrap w:val="0"/>
                  <w:vAlign w:val="center"/>
                </w:tcPr>
                <w:p>
                  <w:pPr>
                    <w:keepNext w:val="0"/>
                    <w:keepLines w:val="0"/>
                    <w:pageBreakBefore w:val="0"/>
                    <w:widowControl w:val="0"/>
                    <w:kinsoku/>
                    <w:wordWrap w:val="0"/>
                    <w:overflowPunct/>
                    <w:topLinePunct w:val="0"/>
                    <w:autoSpaceDE/>
                    <w:autoSpaceDN/>
                    <w:bidi w:val="0"/>
                    <w:adjustRightInd/>
                    <w:snapToGrid/>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0.0244</w:t>
                  </w:r>
                </w:p>
              </w:tc>
              <w:tc>
                <w:tcPr>
                  <w:tcW w:w="2041" w:type="dxa"/>
                  <w:noWrap w:val="0"/>
                  <w:vAlign w:val="center"/>
                </w:tcPr>
                <w:p>
                  <w:pPr>
                    <w:keepNext w:val="0"/>
                    <w:keepLines w:val="0"/>
                    <w:pageBreakBefore w:val="0"/>
                    <w:widowControl w:val="0"/>
                    <w:kinsoku/>
                    <w:wordWrap w:val="0"/>
                    <w:overflowPunct/>
                    <w:topLinePunct w:val="0"/>
                    <w:autoSpaceDE/>
                    <w:autoSpaceDN/>
                    <w:bidi w:val="0"/>
                    <w:adjustRightInd/>
                    <w:snapToGrid/>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硫化氢</w:t>
                  </w:r>
                </w:p>
              </w:tc>
              <w:tc>
                <w:tcPr>
                  <w:tcW w:w="2041" w:type="dxa"/>
                  <w:noWrap w:val="0"/>
                  <w:vAlign w:val="center"/>
                </w:tcPr>
                <w:p>
                  <w:pPr>
                    <w:keepNext w:val="0"/>
                    <w:keepLines w:val="0"/>
                    <w:pageBreakBefore w:val="0"/>
                    <w:widowControl w:val="0"/>
                    <w:kinsoku/>
                    <w:wordWrap w:val="0"/>
                    <w:overflowPunct/>
                    <w:topLinePunct w:val="0"/>
                    <w:autoSpaceDE/>
                    <w:autoSpaceDN/>
                    <w:bidi w:val="0"/>
                    <w:adjustRightInd/>
                    <w:snapToGrid/>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0.00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41" w:type="dxa"/>
                  <w:noWrap w:val="0"/>
                  <w:vAlign w:val="center"/>
                </w:tcPr>
                <w:p>
                  <w:pPr>
                    <w:keepNext w:val="0"/>
                    <w:keepLines w:val="0"/>
                    <w:pageBreakBefore w:val="0"/>
                    <w:widowControl w:val="0"/>
                    <w:kinsoku/>
                    <w:wordWrap w:val="0"/>
                    <w:overflowPunct/>
                    <w:topLinePunct w:val="0"/>
                    <w:autoSpaceDE/>
                    <w:autoSpaceDN/>
                    <w:bidi w:val="0"/>
                    <w:adjustRightInd/>
                    <w:snapToGrid/>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异戊烷</w:t>
                  </w:r>
                </w:p>
              </w:tc>
              <w:tc>
                <w:tcPr>
                  <w:tcW w:w="2041" w:type="dxa"/>
                  <w:noWrap w:val="0"/>
                  <w:vAlign w:val="center"/>
                </w:tcPr>
                <w:p>
                  <w:pPr>
                    <w:keepNext w:val="0"/>
                    <w:keepLines w:val="0"/>
                    <w:pageBreakBefore w:val="0"/>
                    <w:widowControl w:val="0"/>
                    <w:kinsoku/>
                    <w:wordWrap w:val="0"/>
                    <w:overflowPunct/>
                    <w:topLinePunct w:val="0"/>
                    <w:autoSpaceDE/>
                    <w:autoSpaceDN/>
                    <w:bidi w:val="0"/>
                    <w:adjustRightInd/>
                    <w:snapToGrid/>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0.00907</w:t>
                  </w:r>
                </w:p>
              </w:tc>
              <w:tc>
                <w:tcPr>
                  <w:tcW w:w="2041" w:type="dxa"/>
                  <w:noWrap w:val="0"/>
                  <w:vAlign w:val="center"/>
                </w:tcPr>
                <w:p>
                  <w:pPr>
                    <w:keepNext w:val="0"/>
                    <w:keepLines w:val="0"/>
                    <w:pageBreakBefore w:val="0"/>
                    <w:widowControl w:val="0"/>
                    <w:kinsoku/>
                    <w:wordWrap w:val="0"/>
                    <w:overflowPunct/>
                    <w:topLinePunct w:val="0"/>
                    <w:autoSpaceDE/>
                    <w:autoSpaceDN/>
                    <w:bidi w:val="0"/>
                    <w:adjustRightInd/>
                    <w:snapToGrid/>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氢气</w:t>
                  </w:r>
                </w:p>
              </w:tc>
              <w:tc>
                <w:tcPr>
                  <w:tcW w:w="2041" w:type="dxa"/>
                  <w:noWrap w:val="0"/>
                  <w:vAlign w:val="center"/>
                </w:tcPr>
                <w:p>
                  <w:pPr>
                    <w:keepNext w:val="0"/>
                    <w:keepLines w:val="0"/>
                    <w:pageBreakBefore w:val="0"/>
                    <w:widowControl w:val="0"/>
                    <w:kinsoku/>
                    <w:wordWrap w:val="0"/>
                    <w:overflowPunct/>
                    <w:topLinePunct w:val="0"/>
                    <w:autoSpaceDE/>
                    <w:autoSpaceDN/>
                    <w:bidi w:val="0"/>
                    <w:adjustRightInd/>
                    <w:snapToGrid/>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41" w:type="dxa"/>
                  <w:noWrap w:val="0"/>
                  <w:vAlign w:val="center"/>
                </w:tcPr>
                <w:p>
                  <w:pPr>
                    <w:keepNext w:val="0"/>
                    <w:keepLines w:val="0"/>
                    <w:pageBreakBefore w:val="0"/>
                    <w:widowControl w:val="0"/>
                    <w:kinsoku/>
                    <w:wordWrap w:val="0"/>
                    <w:overflowPunct/>
                    <w:topLinePunct w:val="0"/>
                    <w:autoSpaceDE/>
                    <w:autoSpaceDN/>
                    <w:bidi w:val="0"/>
                    <w:adjustRightInd/>
                    <w:snapToGrid/>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正戊烷</w:t>
                  </w:r>
                </w:p>
              </w:tc>
              <w:tc>
                <w:tcPr>
                  <w:tcW w:w="2041" w:type="dxa"/>
                  <w:noWrap w:val="0"/>
                  <w:vAlign w:val="center"/>
                </w:tcPr>
                <w:p>
                  <w:pPr>
                    <w:keepNext w:val="0"/>
                    <w:keepLines w:val="0"/>
                    <w:pageBreakBefore w:val="0"/>
                    <w:widowControl w:val="0"/>
                    <w:kinsoku/>
                    <w:wordWrap w:val="0"/>
                    <w:overflowPunct/>
                    <w:topLinePunct w:val="0"/>
                    <w:autoSpaceDE/>
                    <w:autoSpaceDN/>
                    <w:bidi w:val="0"/>
                    <w:adjustRightInd/>
                    <w:snapToGrid/>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0.00704</w:t>
                  </w:r>
                </w:p>
              </w:tc>
              <w:tc>
                <w:tcPr>
                  <w:tcW w:w="2041" w:type="dxa"/>
                  <w:noWrap w:val="0"/>
                  <w:vAlign w:val="center"/>
                </w:tcPr>
                <w:p>
                  <w:pPr>
                    <w:keepNext w:val="0"/>
                    <w:keepLines w:val="0"/>
                    <w:pageBreakBefore w:val="0"/>
                    <w:widowControl w:val="0"/>
                    <w:kinsoku/>
                    <w:wordWrap w:val="0"/>
                    <w:overflowPunct/>
                    <w:topLinePunct w:val="0"/>
                    <w:autoSpaceDE/>
                    <w:autoSpaceDN/>
                    <w:bidi w:val="0"/>
                    <w:adjustRightInd/>
                    <w:snapToGrid/>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氦气</w:t>
                  </w:r>
                </w:p>
              </w:tc>
              <w:tc>
                <w:tcPr>
                  <w:tcW w:w="2041" w:type="dxa"/>
                  <w:noWrap w:val="0"/>
                  <w:vAlign w:val="center"/>
                </w:tcPr>
                <w:p>
                  <w:pPr>
                    <w:keepNext w:val="0"/>
                    <w:keepLines w:val="0"/>
                    <w:pageBreakBefore w:val="0"/>
                    <w:widowControl w:val="0"/>
                    <w:kinsoku/>
                    <w:wordWrap w:val="0"/>
                    <w:overflowPunct/>
                    <w:topLinePunct w:val="0"/>
                    <w:autoSpaceDE/>
                    <w:autoSpaceDN/>
                    <w:bidi w:val="0"/>
                    <w:adjustRightInd/>
                    <w:snapToGrid/>
                    <w:jc w:val="center"/>
                    <w:textAlignment w:val="auto"/>
                    <w:rPr>
                      <w:rFonts w:hint="default" w:ascii="Times New Roman" w:hAnsi="Times New Roman"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41" w:type="dxa"/>
                  <w:noWrap w:val="0"/>
                  <w:vAlign w:val="center"/>
                </w:tcPr>
                <w:p>
                  <w:pPr>
                    <w:keepNext w:val="0"/>
                    <w:keepLines w:val="0"/>
                    <w:pageBreakBefore w:val="0"/>
                    <w:widowControl w:val="0"/>
                    <w:kinsoku/>
                    <w:wordWrap w:val="0"/>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己烷</w:t>
                  </w:r>
                </w:p>
              </w:tc>
              <w:tc>
                <w:tcPr>
                  <w:tcW w:w="2041" w:type="dxa"/>
                  <w:noWrap w:val="0"/>
                  <w:vAlign w:val="center"/>
                </w:tcPr>
                <w:p>
                  <w:pPr>
                    <w:keepNext w:val="0"/>
                    <w:keepLines w:val="0"/>
                    <w:pageBreakBefore w:val="0"/>
                    <w:widowControl w:val="0"/>
                    <w:kinsoku/>
                    <w:wordWrap w:val="0"/>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0.00823</w:t>
                  </w:r>
                </w:p>
              </w:tc>
              <w:tc>
                <w:tcPr>
                  <w:tcW w:w="2041" w:type="dxa"/>
                  <w:noWrap w:val="0"/>
                  <w:vAlign w:val="center"/>
                </w:tcPr>
                <w:p>
                  <w:pPr>
                    <w:keepNext w:val="0"/>
                    <w:keepLines w:val="0"/>
                    <w:pageBreakBefore w:val="0"/>
                    <w:widowControl w:val="0"/>
                    <w:kinsoku/>
                    <w:wordWrap w:val="0"/>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取样含空气</w:t>
                  </w:r>
                </w:p>
              </w:tc>
              <w:tc>
                <w:tcPr>
                  <w:tcW w:w="2041" w:type="dxa"/>
                  <w:noWrap w:val="0"/>
                  <w:vAlign w:val="center"/>
                </w:tcPr>
                <w:p>
                  <w:pPr>
                    <w:keepNext w:val="0"/>
                    <w:keepLines w:val="0"/>
                    <w:pageBreakBefore w:val="0"/>
                    <w:widowControl w:val="0"/>
                    <w:kinsoku/>
                    <w:wordWrap w:val="0"/>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0.411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2041" w:type="dxa"/>
                  <w:noWrap w:val="0"/>
                  <w:vAlign w:val="center"/>
                </w:tcPr>
                <w:p>
                  <w:pPr>
                    <w:keepNext w:val="0"/>
                    <w:keepLines w:val="0"/>
                    <w:pageBreakBefore w:val="0"/>
                    <w:widowControl w:val="0"/>
                    <w:kinsoku/>
                    <w:wordWrap w:val="0"/>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庚烷</w:t>
                  </w:r>
                </w:p>
              </w:tc>
              <w:tc>
                <w:tcPr>
                  <w:tcW w:w="2041" w:type="dxa"/>
                  <w:noWrap w:val="0"/>
                  <w:vAlign w:val="center"/>
                </w:tcPr>
                <w:p>
                  <w:pPr>
                    <w:keepNext w:val="0"/>
                    <w:keepLines w:val="0"/>
                    <w:pageBreakBefore w:val="0"/>
                    <w:widowControl w:val="0"/>
                    <w:kinsoku/>
                    <w:wordWrap w:val="0"/>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0.000875</w:t>
                  </w:r>
                </w:p>
              </w:tc>
              <w:tc>
                <w:tcPr>
                  <w:tcW w:w="2041" w:type="dxa"/>
                  <w:noWrap w:val="0"/>
                  <w:vAlign w:val="center"/>
                </w:tcPr>
                <w:p>
                  <w:pPr>
                    <w:keepNext w:val="0"/>
                    <w:keepLines w:val="0"/>
                    <w:pageBreakBefore w:val="0"/>
                    <w:widowControl w:val="0"/>
                    <w:kinsoku/>
                    <w:wordWrap w:val="0"/>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w:t>
                  </w:r>
                </w:p>
              </w:tc>
              <w:tc>
                <w:tcPr>
                  <w:tcW w:w="2041" w:type="dxa"/>
                  <w:noWrap w:val="0"/>
                  <w:vAlign w:val="center"/>
                </w:tcPr>
                <w:p>
                  <w:pPr>
                    <w:keepNext w:val="0"/>
                    <w:keepLines w:val="0"/>
                    <w:pageBreakBefore w:val="0"/>
                    <w:widowControl w:val="0"/>
                    <w:kinsoku/>
                    <w:wordWrap w:val="0"/>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077" w:type="dxa"/>
                  <w:gridSpan w:val="2"/>
                  <w:noWrap w:val="0"/>
                  <w:vAlign w:val="center"/>
                </w:tcPr>
                <w:p>
                  <w:pPr>
                    <w:keepNext w:val="0"/>
                    <w:keepLines w:val="0"/>
                    <w:pageBreakBefore w:val="0"/>
                    <w:widowControl w:val="0"/>
                    <w:kinsoku/>
                    <w:wordWrap w:val="0"/>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硫化氢，mg/m</w:t>
                  </w:r>
                  <w:r>
                    <w:rPr>
                      <w:rFonts w:hint="default" w:ascii="Times New Roman" w:hAnsi="Times New Roman" w:eastAsia="宋体" w:cs="Times New Roman"/>
                      <w:color w:val="auto"/>
                      <w:sz w:val="21"/>
                      <w:szCs w:val="21"/>
                      <w:highlight w:val="none"/>
                      <w:vertAlign w:val="superscript"/>
                      <w:lang w:val="en-US" w:eastAsia="zh-CN"/>
                    </w:rPr>
                    <w:t>3</w:t>
                  </w:r>
                  <w:r>
                    <w:rPr>
                      <w:rFonts w:hint="default" w:ascii="Times New Roman" w:hAnsi="Times New Roman" w:eastAsia="宋体" w:cs="Times New Roman"/>
                      <w:color w:val="auto"/>
                      <w:sz w:val="21"/>
                      <w:szCs w:val="21"/>
                      <w:highlight w:val="none"/>
                      <w:vertAlign w:val="baseline"/>
                      <w:lang w:val="en-US" w:eastAsia="zh-CN"/>
                    </w:rPr>
                    <w:t>=    &lt;0.1</w:t>
                  </w:r>
                </w:p>
              </w:tc>
              <w:tc>
                <w:tcPr>
                  <w:tcW w:w="4077" w:type="dxa"/>
                  <w:gridSpan w:val="2"/>
                  <w:noWrap w:val="0"/>
                  <w:vAlign w:val="center"/>
                </w:tcPr>
                <w:p>
                  <w:pPr>
                    <w:keepNext w:val="0"/>
                    <w:keepLines w:val="0"/>
                    <w:pageBreakBefore w:val="0"/>
                    <w:widowControl w:val="0"/>
                    <w:kinsoku/>
                    <w:wordWrap w:val="0"/>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甲硫醇，mg/m</w:t>
                  </w:r>
                  <w:r>
                    <w:rPr>
                      <w:rFonts w:hint="default" w:ascii="Times New Roman" w:hAnsi="Times New Roman" w:eastAsia="宋体" w:cs="Times New Roman"/>
                      <w:color w:val="auto"/>
                      <w:sz w:val="21"/>
                      <w:szCs w:val="21"/>
                      <w:highlight w:val="none"/>
                      <w:vertAlign w:val="superscript"/>
                      <w:lang w:val="en-US" w:eastAsia="zh-CN"/>
                    </w:rPr>
                    <w:t>3</w:t>
                  </w:r>
                  <w:r>
                    <w:rPr>
                      <w:rFonts w:hint="default" w:ascii="Times New Roman" w:hAnsi="Times New Roman" w:eastAsia="宋体" w:cs="Times New Roman"/>
                      <w:color w:val="auto"/>
                      <w:sz w:val="21"/>
                      <w:szCs w:val="21"/>
                      <w:highlight w:val="none"/>
                      <w:vertAlign w:val="baseline"/>
                      <w:lang w:val="en-US" w:eastAsia="zh-C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7" w:type="dxa"/>
                  <w:gridSpan w:val="2"/>
                  <w:noWrap w:val="0"/>
                  <w:vAlign w:val="center"/>
                </w:tcPr>
                <w:p>
                  <w:pPr>
                    <w:keepNext w:val="0"/>
                    <w:keepLines w:val="0"/>
                    <w:pageBreakBefore w:val="0"/>
                    <w:widowControl w:val="0"/>
                    <w:kinsoku/>
                    <w:wordWrap w:val="0"/>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总硫（以硫计），mg/m</w:t>
                  </w:r>
                  <w:r>
                    <w:rPr>
                      <w:rFonts w:hint="default" w:ascii="Times New Roman" w:hAnsi="Times New Roman" w:eastAsia="宋体" w:cs="Times New Roman"/>
                      <w:color w:val="auto"/>
                      <w:sz w:val="21"/>
                      <w:szCs w:val="21"/>
                      <w:highlight w:val="none"/>
                      <w:vertAlign w:val="superscript"/>
                      <w:lang w:val="en-US" w:eastAsia="zh-CN"/>
                    </w:rPr>
                    <w:t>3</w:t>
                  </w:r>
                  <w:r>
                    <w:rPr>
                      <w:rFonts w:hint="default" w:ascii="Times New Roman" w:hAnsi="Times New Roman" w:eastAsia="宋体" w:cs="Times New Roman"/>
                      <w:color w:val="auto"/>
                      <w:sz w:val="21"/>
                      <w:szCs w:val="21"/>
                      <w:highlight w:val="none"/>
                      <w:vertAlign w:val="baseline"/>
                      <w:lang w:val="en-US" w:eastAsia="zh-CN"/>
                    </w:rPr>
                    <w:t>=    1.0</w:t>
                  </w:r>
                </w:p>
              </w:tc>
              <w:tc>
                <w:tcPr>
                  <w:tcW w:w="4077" w:type="dxa"/>
                  <w:gridSpan w:val="2"/>
                  <w:noWrap w:val="0"/>
                  <w:vAlign w:val="center"/>
                </w:tcPr>
                <w:p>
                  <w:pPr>
                    <w:keepNext w:val="0"/>
                    <w:keepLines w:val="0"/>
                    <w:pageBreakBefore w:val="0"/>
                    <w:widowControl w:val="0"/>
                    <w:kinsoku/>
                    <w:wordWrap w:val="0"/>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羰基硫，mg/m</w:t>
                  </w:r>
                  <w:r>
                    <w:rPr>
                      <w:rFonts w:hint="default" w:ascii="Times New Roman" w:hAnsi="Times New Roman" w:eastAsia="宋体" w:cs="Times New Roman"/>
                      <w:color w:val="auto"/>
                      <w:sz w:val="21"/>
                      <w:szCs w:val="21"/>
                      <w:highlight w:val="none"/>
                      <w:vertAlign w:val="superscript"/>
                      <w:lang w:val="en-US" w:eastAsia="zh-CN"/>
                    </w:rPr>
                    <w:t>3</w:t>
                  </w:r>
                  <w:r>
                    <w:rPr>
                      <w:rFonts w:hint="default" w:ascii="Times New Roman" w:hAnsi="Times New Roman" w:eastAsia="宋体" w:cs="Times New Roman"/>
                      <w:color w:val="auto"/>
                      <w:sz w:val="21"/>
                      <w:szCs w:val="21"/>
                      <w:highlight w:val="none"/>
                      <w:vertAlign w:val="baseline"/>
                      <w:lang w:val="en-US" w:eastAsia="zh-C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7" w:type="dxa"/>
                  <w:gridSpan w:val="2"/>
                  <w:noWrap w:val="0"/>
                  <w:vAlign w:val="center"/>
                </w:tcPr>
                <w:p>
                  <w:pPr>
                    <w:keepNext w:val="0"/>
                    <w:keepLines w:val="0"/>
                    <w:pageBreakBefore w:val="0"/>
                    <w:widowControl w:val="0"/>
                    <w:kinsoku/>
                    <w:wordWrap w:val="0"/>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水露点，℃    /</w:t>
                  </w:r>
                </w:p>
              </w:tc>
              <w:tc>
                <w:tcPr>
                  <w:tcW w:w="4077" w:type="dxa"/>
                  <w:gridSpan w:val="2"/>
                  <w:noWrap w:val="0"/>
                  <w:vAlign w:val="center"/>
                </w:tcPr>
                <w:p>
                  <w:pPr>
                    <w:keepNext w:val="0"/>
                    <w:keepLines w:val="0"/>
                    <w:pageBreakBefore w:val="0"/>
                    <w:widowControl w:val="0"/>
                    <w:kinsoku/>
                    <w:wordWrap w:val="0"/>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二氧化硫，mg/m</w:t>
                  </w:r>
                  <w:r>
                    <w:rPr>
                      <w:rFonts w:hint="default" w:ascii="Times New Roman" w:hAnsi="Times New Roman" w:eastAsia="宋体" w:cs="Times New Roman"/>
                      <w:color w:val="auto"/>
                      <w:sz w:val="21"/>
                      <w:szCs w:val="21"/>
                      <w:highlight w:val="none"/>
                      <w:vertAlign w:val="superscript"/>
                      <w:lang w:val="en-US" w:eastAsia="zh-CN"/>
                    </w:rPr>
                    <w:t>3</w:t>
                  </w:r>
                  <w:r>
                    <w:rPr>
                      <w:rFonts w:hint="default" w:ascii="Times New Roman" w:hAnsi="Times New Roman" w:eastAsia="宋体" w:cs="Times New Roman"/>
                      <w:color w:val="auto"/>
                      <w:sz w:val="21"/>
                      <w:szCs w:val="21"/>
                      <w:highlight w:val="none"/>
                      <w:vertAlign w:val="baseline"/>
                      <w:lang w:val="en-US" w:eastAsia="zh-C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077" w:type="dxa"/>
                  <w:gridSpan w:val="2"/>
                  <w:noWrap w:val="0"/>
                  <w:vAlign w:val="center"/>
                </w:tcPr>
                <w:p>
                  <w:pPr>
                    <w:keepNext w:val="0"/>
                    <w:keepLines w:val="0"/>
                    <w:pageBreakBefore w:val="0"/>
                    <w:widowControl w:val="0"/>
                    <w:kinsoku/>
                    <w:wordWrap w:val="0"/>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烃露点，℃    /</w:t>
                  </w:r>
                </w:p>
              </w:tc>
              <w:tc>
                <w:tcPr>
                  <w:tcW w:w="4077" w:type="dxa"/>
                  <w:gridSpan w:val="2"/>
                  <w:noWrap w:val="0"/>
                  <w:vAlign w:val="center"/>
                </w:tcPr>
                <w:p>
                  <w:pPr>
                    <w:keepNext w:val="0"/>
                    <w:keepLines w:val="0"/>
                    <w:pageBreakBefore w:val="0"/>
                    <w:widowControl w:val="0"/>
                    <w:kinsoku/>
                    <w:wordWrap w:val="0"/>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乙硫醇，mg/m</w:t>
                  </w:r>
                  <w:r>
                    <w:rPr>
                      <w:rFonts w:hint="default" w:ascii="Times New Roman" w:hAnsi="Times New Roman" w:eastAsia="宋体" w:cs="Times New Roman"/>
                      <w:color w:val="auto"/>
                      <w:sz w:val="21"/>
                      <w:szCs w:val="21"/>
                      <w:highlight w:val="none"/>
                      <w:vertAlign w:val="superscript"/>
                      <w:lang w:val="en-US" w:eastAsia="zh-CN"/>
                    </w:rPr>
                    <w:t>3</w:t>
                  </w:r>
                  <w:r>
                    <w:rPr>
                      <w:rFonts w:hint="default" w:ascii="Times New Roman" w:hAnsi="Times New Roman" w:eastAsia="宋体" w:cs="Times New Roman"/>
                      <w:color w:val="auto"/>
                      <w:sz w:val="21"/>
                      <w:szCs w:val="21"/>
                      <w:highlight w:val="none"/>
                      <w:vertAlign w:val="baseline"/>
                      <w:lang w:val="en-US" w:eastAsia="zh-C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7" w:type="dxa"/>
                  <w:gridSpan w:val="2"/>
                  <w:noWrap w:val="0"/>
                  <w:vAlign w:val="center"/>
                </w:tcPr>
                <w:p>
                  <w:pPr>
                    <w:keepNext w:val="0"/>
                    <w:keepLines w:val="0"/>
                    <w:pageBreakBefore w:val="0"/>
                    <w:widowControl w:val="0"/>
                    <w:kinsoku/>
                    <w:wordWrap w:val="0"/>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密度，kg/m</w:t>
                  </w:r>
                  <w:r>
                    <w:rPr>
                      <w:rFonts w:hint="default" w:ascii="Times New Roman" w:hAnsi="Times New Roman" w:eastAsia="宋体" w:cs="Times New Roman"/>
                      <w:color w:val="auto"/>
                      <w:sz w:val="21"/>
                      <w:szCs w:val="21"/>
                      <w:highlight w:val="none"/>
                      <w:vertAlign w:val="superscript"/>
                      <w:lang w:val="en-US" w:eastAsia="zh-CN"/>
                    </w:rPr>
                    <w:t>3</w:t>
                  </w:r>
                  <w:r>
                    <w:rPr>
                      <w:rFonts w:hint="default" w:ascii="Times New Roman" w:hAnsi="Times New Roman" w:eastAsia="宋体" w:cs="Times New Roman"/>
                      <w:color w:val="auto"/>
                      <w:sz w:val="21"/>
                      <w:szCs w:val="21"/>
                      <w:highlight w:val="none"/>
                      <w:vertAlign w:val="baseline"/>
                      <w:lang w:val="en-US" w:eastAsia="zh-CN"/>
                    </w:rPr>
                    <w:t xml:space="preserve">   0.6888</w:t>
                  </w:r>
                </w:p>
              </w:tc>
              <w:tc>
                <w:tcPr>
                  <w:tcW w:w="4077" w:type="dxa"/>
                  <w:gridSpan w:val="2"/>
                  <w:noWrap w:val="0"/>
                  <w:vAlign w:val="center"/>
                </w:tcPr>
                <w:p>
                  <w:pPr>
                    <w:keepNext w:val="0"/>
                    <w:keepLines w:val="0"/>
                    <w:pageBreakBefore w:val="0"/>
                    <w:widowControl w:val="0"/>
                    <w:kinsoku/>
                    <w:wordWrap w:val="0"/>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相对密度，无量纲=   0.5709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077" w:type="dxa"/>
                  <w:gridSpan w:val="2"/>
                  <w:noWrap w:val="0"/>
                  <w:vAlign w:val="center"/>
                </w:tcPr>
                <w:p>
                  <w:pPr>
                    <w:keepNext w:val="0"/>
                    <w:keepLines w:val="0"/>
                    <w:pageBreakBefore w:val="0"/>
                    <w:widowControl w:val="0"/>
                    <w:kinsoku/>
                    <w:wordWrap w:val="0"/>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平均分子量，无量纲=16.54</w:t>
                  </w:r>
                </w:p>
              </w:tc>
              <w:tc>
                <w:tcPr>
                  <w:tcW w:w="4077" w:type="dxa"/>
                  <w:gridSpan w:val="2"/>
                  <w:noWrap w:val="0"/>
                  <w:vAlign w:val="center"/>
                </w:tcPr>
                <w:p>
                  <w:pPr>
                    <w:keepNext w:val="0"/>
                    <w:keepLines w:val="0"/>
                    <w:pageBreakBefore w:val="0"/>
                    <w:widowControl w:val="0"/>
                    <w:kinsoku/>
                    <w:wordWrap w:val="0"/>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汞含量，μg/m</w:t>
                  </w:r>
                  <w:r>
                    <w:rPr>
                      <w:rFonts w:hint="default" w:ascii="Times New Roman" w:hAnsi="Times New Roman" w:eastAsia="宋体" w:cs="Times New Roman"/>
                      <w:color w:val="auto"/>
                      <w:sz w:val="21"/>
                      <w:szCs w:val="21"/>
                      <w:highlight w:val="none"/>
                      <w:vertAlign w:val="superscript"/>
                      <w:lang w:val="en-US" w:eastAsia="zh-CN"/>
                    </w:rPr>
                    <w:t>3</w:t>
                  </w:r>
                  <w:r>
                    <w:rPr>
                      <w:rFonts w:hint="default" w:ascii="Times New Roman" w:hAnsi="Times New Roman" w:eastAsia="宋体" w:cs="Times New Roman"/>
                      <w:color w:val="auto"/>
                      <w:sz w:val="21"/>
                      <w:szCs w:val="21"/>
                      <w:highlight w:val="none"/>
                      <w:vertAlign w:val="baseline"/>
                      <w:lang w:val="en-US" w:eastAsia="zh-CN"/>
                    </w:rPr>
                    <w:t>=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4077" w:type="dxa"/>
                  <w:gridSpan w:val="2"/>
                  <w:noWrap w:val="0"/>
                  <w:vAlign w:val="center"/>
                </w:tcPr>
                <w:p>
                  <w:pPr>
                    <w:keepNext w:val="0"/>
                    <w:keepLines w:val="0"/>
                    <w:pageBreakBefore w:val="0"/>
                    <w:widowControl w:val="0"/>
                    <w:kinsoku/>
                    <w:wordWrap w:val="0"/>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20℃理想体积高位发热量，MJ/m</w:t>
                  </w:r>
                  <w:r>
                    <w:rPr>
                      <w:rFonts w:hint="default" w:ascii="Times New Roman" w:hAnsi="Times New Roman" w:eastAsia="宋体" w:cs="Times New Roman"/>
                      <w:color w:val="auto"/>
                      <w:sz w:val="21"/>
                      <w:szCs w:val="21"/>
                      <w:highlight w:val="none"/>
                      <w:vertAlign w:val="superscript"/>
                      <w:lang w:val="en-US" w:eastAsia="zh-CN"/>
                    </w:rPr>
                    <w:t>3</w:t>
                  </w:r>
                  <w:r>
                    <w:rPr>
                      <w:rFonts w:hint="default" w:ascii="Times New Roman" w:hAnsi="Times New Roman" w:eastAsia="宋体" w:cs="Times New Roman"/>
                      <w:color w:val="auto"/>
                      <w:sz w:val="21"/>
                      <w:szCs w:val="21"/>
                      <w:highlight w:val="none"/>
                      <w:vertAlign w:val="baseline"/>
                      <w:lang w:val="en-US" w:eastAsia="zh-CN"/>
                    </w:rPr>
                    <w:t>=36.91</w:t>
                  </w:r>
                </w:p>
              </w:tc>
              <w:tc>
                <w:tcPr>
                  <w:tcW w:w="4077" w:type="dxa"/>
                  <w:gridSpan w:val="2"/>
                  <w:noWrap w:val="0"/>
                  <w:vAlign w:val="center"/>
                </w:tcPr>
                <w:p>
                  <w:pPr>
                    <w:keepNext w:val="0"/>
                    <w:keepLines w:val="0"/>
                    <w:pageBreakBefore w:val="0"/>
                    <w:widowControl w:val="0"/>
                    <w:kinsoku/>
                    <w:wordWrap w:val="0"/>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20℃理想体积低位发热量，MJ/m</w:t>
                  </w:r>
                  <w:r>
                    <w:rPr>
                      <w:rFonts w:hint="default" w:ascii="Times New Roman" w:hAnsi="Times New Roman" w:eastAsia="宋体" w:cs="Times New Roman"/>
                      <w:color w:val="auto"/>
                      <w:sz w:val="21"/>
                      <w:szCs w:val="21"/>
                      <w:highlight w:val="none"/>
                      <w:vertAlign w:val="superscript"/>
                      <w:lang w:val="en-US" w:eastAsia="zh-CN"/>
                    </w:rPr>
                    <w:t>3</w:t>
                  </w:r>
                  <w:r>
                    <w:rPr>
                      <w:rFonts w:hint="default" w:ascii="Times New Roman" w:hAnsi="Times New Roman" w:eastAsia="宋体" w:cs="Times New Roman"/>
                      <w:color w:val="auto"/>
                      <w:sz w:val="21"/>
                      <w:szCs w:val="21"/>
                      <w:highlight w:val="none"/>
                      <w:vertAlign w:val="baseline"/>
                      <w:lang w:val="en-US" w:eastAsia="zh-CN"/>
                    </w:rPr>
                    <w:t>=33.26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4077" w:type="dxa"/>
                  <w:gridSpan w:val="2"/>
                  <w:noWrap w:val="0"/>
                  <w:vAlign w:val="center"/>
                </w:tcPr>
                <w:p>
                  <w:pPr>
                    <w:keepNext w:val="0"/>
                    <w:keepLines w:val="0"/>
                    <w:pageBreakBefore w:val="0"/>
                    <w:widowControl w:val="0"/>
                    <w:kinsoku/>
                    <w:wordWrap w:val="0"/>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20℃高位沃泊指数，MJ/m</w:t>
                  </w:r>
                  <w:r>
                    <w:rPr>
                      <w:rFonts w:hint="default" w:ascii="Times New Roman" w:hAnsi="Times New Roman" w:eastAsia="宋体" w:cs="Times New Roman"/>
                      <w:color w:val="auto"/>
                      <w:sz w:val="21"/>
                      <w:szCs w:val="21"/>
                      <w:highlight w:val="none"/>
                      <w:vertAlign w:val="superscript"/>
                      <w:lang w:val="en-US" w:eastAsia="zh-CN"/>
                    </w:rPr>
                    <w:t>3</w:t>
                  </w:r>
                  <w:r>
                    <w:rPr>
                      <w:rFonts w:hint="default" w:ascii="Times New Roman" w:hAnsi="Times New Roman" w:eastAsia="宋体" w:cs="Times New Roman"/>
                      <w:color w:val="auto"/>
                      <w:sz w:val="21"/>
                      <w:szCs w:val="21"/>
                      <w:highlight w:val="none"/>
                      <w:vertAlign w:val="baseline"/>
                      <w:lang w:val="en-US" w:eastAsia="zh-CN"/>
                    </w:rPr>
                    <w:t>=48.85</w:t>
                  </w:r>
                </w:p>
              </w:tc>
              <w:tc>
                <w:tcPr>
                  <w:tcW w:w="4077" w:type="dxa"/>
                  <w:gridSpan w:val="2"/>
                  <w:noWrap w:val="0"/>
                  <w:vAlign w:val="center"/>
                </w:tcPr>
                <w:p>
                  <w:pPr>
                    <w:keepNext w:val="0"/>
                    <w:keepLines w:val="0"/>
                    <w:pageBreakBefore w:val="0"/>
                    <w:widowControl w:val="0"/>
                    <w:kinsoku/>
                    <w:wordWrap w:val="0"/>
                    <w:overflowPunct/>
                    <w:topLinePunct w:val="0"/>
                    <w:autoSpaceDE/>
                    <w:autoSpaceDN/>
                    <w:bidi w:val="0"/>
                    <w:adjustRightInd/>
                    <w:snapToGrid/>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sz w:val="21"/>
                      <w:szCs w:val="21"/>
                      <w:highlight w:val="none"/>
                      <w:vertAlign w:val="baseline"/>
                      <w:lang w:val="en-US" w:eastAsia="zh-CN"/>
                    </w:rPr>
                    <w:t>20℃低位沃泊指数，MJ/m</w:t>
                  </w:r>
                  <w:r>
                    <w:rPr>
                      <w:rFonts w:hint="default" w:ascii="Times New Roman" w:hAnsi="Times New Roman" w:eastAsia="宋体" w:cs="Times New Roman"/>
                      <w:color w:val="auto"/>
                      <w:sz w:val="21"/>
                      <w:szCs w:val="21"/>
                      <w:highlight w:val="none"/>
                      <w:vertAlign w:val="superscript"/>
                      <w:lang w:val="en-US" w:eastAsia="zh-CN"/>
                    </w:rPr>
                    <w:t>3</w:t>
                  </w:r>
                  <w:r>
                    <w:rPr>
                      <w:rFonts w:hint="default" w:ascii="Times New Roman" w:hAnsi="Times New Roman" w:eastAsia="宋体" w:cs="Times New Roman"/>
                      <w:color w:val="auto"/>
                      <w:sz w:val="21"/>
                      <w:szCs w:val="21"/>
                      <w:highlight w:val="none"/>
                      <w:vertAlign w:val="baseline"/>
                      <w:lang w:val="en-US" w:eastAsia="zh-CN"/>
                    </w:rPr>
                    <w:t>=44.01</w:t>
                  </w:r>
                </w:p>
              </w:tc>
            </w:tr>
          </w:tbl>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本项目PET瓶生产线可年产8860.5万只PET瓶，分别用于NFC鲜榨果汁、果汁饮料、碳酸饮料及包装饮用水产品灌装，根据建设单位提供的资料分析PET瓶生产能力与各产品产能匹配性如下：</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①NFC鲜榨果汁：主要包括300ml、500mL两种规格，单瓶产品重量分别约为320g、520g，经塑封包装后成件产品规格3×4瓶（300ml）、3×5瓶（500ml），PET瓶生产线年供应NFC鲜榨果汁生产线PET瓶2113.5万只，其中300ml规格846万只，500ml规格1267.5万只，则可生产NFC鲜榨果汁件数为846/12+1267.5/15=155万件，重量为846*0.32/1000+1267.5*0.52/1000=0.93万吨，因此PET瓶生产线供应PET瓶能够满足NFC鲜榨果汁生产需求。</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②果汁饮料：主要为450ml规格，单瓶产品重量约为480g，经塑封包装后成件产品规格为3×5瓶，PET瓶生产线年供应普通果汁饮料生产线PET瓶1875万只，则可生产果汁饮料件数为1875/15=125万件，重量为1875*0.48/1000=0.90万吨，因此PET瓶生产线供应PET瓶能够满足果汁饮料生产需求。</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③碳酸饮料：主要为500ml规格，单瓶产品重量约为530g，经塑封包装后成件产品规格为3×4瓶，PET瓶生产线年供应碳酸饮料生产线PET瓶1224万只，则可生产碳酸饮料件数为1224/12=102万件，重量为1224*0.53/1000=0.65万吨，因此PET瓶生产线供应PET瓶能够满足碳酸饮料生产需求。</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④包装饮用水：主要包括350ml、500mL两种规格，单瓶产品重量分别约为370g、520g，经塑封包装后成件产品规格4×6瓶（350ml）、3×4瓶（500ml），PET瓶生产线年供应包装饮用水生产线PET瓶3648万只，其中350ml规格648万只，500ml规格3000万只，则可生产包装饮用水件数为648/24+3000/12=277万件，重量为648*0.37/1000+3000*0.52/1000=1.8万吨，因此PET瓶生产线供应PET瓶能够满足NFC包装饮用水生产需求。</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综上可知，本项目配套PET瓶生产线年供应PET瓶总量为8860.5万只，可满足本项目各产品生产需求。</w:t>
            </w:r>
          </w:p>
          <w:p>
            <w:pPr>
              <w:keepNext w:val="0"/>
              <w:keepLines w:val="0"/>
              <w:pageBreakBefore w:val="0"/>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七、水平衡分析</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default" w:ascii="Times New Roman" w:hAnsi="Times New Roman"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7.1供水</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项目用水主要为生活用水、生产用水。依托</w:t>
            </w:r>
            <w:r>
              <w:rPr>
                <w:rFonts w:hint="default" w:ascii="Times New Roman" w:hAnsi="Times New Roman" w:cs="Times New Roman"/>
                <w:color w:val="auto"/>
                <w:sz w:val="21"/>
                <w:szCs w:val="21"/>
                <w:highlight w:val="none"/>
                <w:lang w:val="en-US" w:eastAsia="zh-CN"/>
              </w:rPr>
              <w:t>市政</w:t>
            </w:r>
            <w:r>
              <w:rPr>
                <w:rFonts w:hint="default" w:ascii="Times New Roman" w:hAnsi="Times New Roman" w:eastAsia="宋体" w:cs="Times New Roman"/>
                <w:color w:val="auto"/>
                <w:sz w:val="21"/>
                <w:szCs w:val="21"/>
                <w:highlight w:val="none"/>
                <w:lang w:val="en-US" w:eastAsia="zh-CN"/>
              </w:rPr>
              <w:t>供水管网供给。</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default" w:ascii="Times New Roman" w:hAnsi="Times New Roman"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（1）生活用水</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本项目劳动定员60人，年工作273天，项目不设食堂、宿舍，</w:t>
            </w:r>
            <w:r>
              <w:rPr>
                <w:rFonts w:hint="default" w:ascii="Times New Roman" w:hAnsi="Times New Roman" w:cs="Times New Roman"/>
                <w:b w:val="0"/>
                <w:bCs w:val="0"/>
                <w:color w:val="auto"/>
                <w:sz w:val="21"/>
                <w:szCs w:val="21"/>
                <w:lang w:val="en-US" w:eastAsia="zh-CN"/>
              </w:rPr>
              <w:t>根据《新疆维吾尔自治区工业和生活用水定额》和《建筑给水排水设计规范》（GB50015-2019）的要求，本次评价职工生活用水以50L/（d·人）计，则本项目生活用水量为3.0m</w:t>
            </w:r>
            <w:r>
              <w:rPr>
                <w:rFonts w:hint="default" w:ascii="Times New Roman" w:hAnsi="Times New Roman" w:cs="Times New Roman"/>
                <w:b w:val="0"/>
                <w:bCs w:val="0"/>
                <w:color w:val="auto"/>
                <w:sz w:val="21"/>
                <w:szCs w:val="21"/>
                <w:vertAlign w:val="superscript"/>
                <w:lang w:val="en-US" w:eastAsia="zh-CN"/>
              </w:rPr>
              <w:t>3</w:t>
            </w:r>
            <w:r>
              <w:rPr>
                <w:rFonts w:hint="default" w:ascii="Times New Roman" w:hAnsi="Times New Roman" w:cs="Times New Roman"/>
                <w:b w:val="0"/>
                <w:bCs w:val="0"/>
                <w:color w:val="auto"/>
                <w:sz w:val="21"/>
                <w:szCs w:val="21"/>
                <w:lang w:val="en-US" w:eastAsia="zh-CN"/>
              </w:rPr>
              <w:t>/d（819m</w:t>
            </w:r>
            <w:r>
              <w:rPr>
                <w:rFonts w:hint="default" w:ascii="Times New Roman" w:hAnsi="Times New Roman" w:cs="Times New Roman"/>
                <w:b w:val="0"/>
                <w:bCs w:val="0"/>
                <w:color w:val="auto"/>
                <w:sz w:val="21"/>
                <w:szCs w:val="21"/>
                <w:vertAlign w:val="superscript"/>
                <w:lang w:val="en-US" w:eastAsia="zh-CN"/>
              </w:rPr>
              <w:t>3</w:t>
            </w:r>
            <w:r>
              <w:rPr>
                <w:rFonts w:hint="default" w:ascii="Times New Roman" w:hAnsi="Times New Roman" w:cs="Times New Roman"/>
                <w:b w:val="0"/>
                <w:bCs w:val="0"/>
                <w:color w:val="auto"/>
                <w:sz w:val="21"/>
                <w:szCs w:val="21"/>
                <w:lang w:val="en-US" w:eastAsia="zh-CN"/>
              </w:rPr>
              <w:t>/a）</w:t>
            </w:r>
            <w:r>
              <w:rPr>
                <w:rFonts w:hint="default" w:ascii="Times New Roman" w:hAnsi="Times New Roman" w:cs="Times New Roman"/>
                <w:b w:val="0"/>
                <w:bCs w:val="0"/>
                <w:color w:val="auto"/>
                <w:sz w:val="21"/>
                <w:szCs w:val="21"/>
                <w:highlight w:val="none"/>
                <w:lang w:val="en-US" w:eastAsia="zh-CN"/>
              </w:rPr>
              <w:t>。</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（2）生产用水</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生产用水主要包括原料清洗用水、设备清洗用水、洗瓶用水、饮料产品用水、循环冷却用水和</w:t>
            </w:r>
            <w:r>
              <w:rPr>
                <w:rFonts w:hint="eastAsia" w:cs="Times New Roman"/>
                <w:b w:val="0"/>
                <w:bCs w:val="0"/>
                <w:color w:val="auto"/>
                <w:sz w:val="21"/>
                <w:szCs w:val="21"/>
                <w:highlight w:val="none"/>
                <w:lang w:val="en-US" w:eastAsia="zh-CN"/>
              </w:rPr>
              <w:t>锅炉</w:t>
            </w:r>
            <w:r>
              <w:rPr>
                <w:rFonts w:hint="default" w:ascii="Times New Roman" w:hAnsi="Times New Roman" w:cs="Times New Roman"/>
                <w:b w:val="0"/>
                <w:bCs w:val="0"/>
                <w:color w:val="auto"/>
                <w:sz w:val="21"/>
                <w:szCs w:val="21"/>
                <w:highlight w:val="none"/>
                <w:lang w:val="en-US" w:eastAsia="zh-CN"/>
              </w:rPr>
              <w:t>用水。</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①原料清洗用水：用于鲜榨果汁生产的香梨水果原料需进行两次清洗，第一次清洗采用自来水，第二次清洗采用纯水。项目设置鼓泡清洗机用于清洗，鼓泡清洗机设2个1.5m</w:t>
            </w:r>
            <w:r>
              <w:rPr>
                <w:rFonts w:hint="default" w:ascii="Times New Roman" w:hAnsi="Times New Roman" w:cs="Times New Roman"/>
                <w:b w:val="0"/>
                <w:bCs w:val="0"/>
                <w:color w:val="auto"/>
                <w:sz w:val="21"/>
                <w:szCs w:val="21"/>
                <w:highlight w:val="none"/>
                <w:vertAlign w:val="superscript"/>
                <w:lang w:val="en-US" w:eastAsia="zh-CN"/>
              </w:rPr>
              <w:t>3</w:t>
            </w:r>
            <w:r>
              <w:rPr>
                <w:rFonts w:hint="default" w:ascii="Times New Roman" w:hAnsi="Times New Roman" w:cs="Times New Roman"/>
                <w:b w:val="0"/>
                <w:bCs w:val="0"/>
                <w:color w:val="auto"/>
                <w:sz w:val="21"/>
                <w:szCs w:val="21"/>
                <w:highlight w:val="none"/>
                <w:lang w:val="en-US" w:eastAsia="zh-CN"/>
              </w:rPr>
              <w:t>的水箱（有效容积1.2m</w:t>
            </w:r>
            <w:r>
              <w:rPr>
                <w:rFonts w:hint="default" w:ascii="Times New Roman" w:hAnsi="Times New Roman" w:cs="Times New Roman"/>
                <w:b w:val="0"/>
                <w:bCs w:val="0"/>
                <w:color w:val="auto"/>
                <w:sz w:val="21"/>
                <w:szCs w:val="21"/>
                <w:highlight w:val="none"/>
                <w:vertAlign w:val="superscript"/>
                <w:lang w:val="en-US" w:eastAsia="zh-CN"/>
              </w:rPr>
              <w:t>3</w:t>
            </w:r>
            <w:r>
              <w:rPr>
                <w:rFonts w:hint="default" w:ascii="Times New Roman" w:hAnsi="Times New Roman" w:cs="Times New Roman"/>
                <w:b w:val="0"/>
                <w:bCs w:val="0"/>
                <w:color w:val="auto"/>
                <w:sz w:val="21"/>
                <w:szCs w:val="21"/>
                <w:highlight w:val="none"/>
                <w:lang w:val="en-US" w:eastAsia="zh-CN"/>
              </w:rPr>
              <w:t>），利用气体在液体中形成大量细小气泡，通过泡沫的振动和冲击实现清洗。香梨水果进入鼓泡清洗机水箱后，会在气泡和水的作用下做翻滚状态，并随网带不断向前推进，在出水面时，设有喷淋头进行冲洗。清洗用水循环使用，定期补充、定期更换。根据建设单位提供资料，第一次清洗自来水循环量为2m</w:t>
            </w:r>
            <w:r>
              <w:rPr>
                <w:rFonts w:hint="default" w:ascii="Times New Roman" w:hAnsi="Times New Roman" w:cs="Times New Roman"/>
                <w:b w:val="0"/>
                <w:bCs w:val="0"/>
                <w:color w:val="auto"/>
                <w:sz w:val="21"/>
                <w:szCs w:val="21"/>
                <w:highlight w:val="none"/>
                <w:vertAlign w:val="superscript"/>
                <w:lang w:val="en-US" w:eastAsia="zh-CN"/>
              </w:rPr>
              <w:t>3</w:t>
            </w:r>
            <w:r>
              <w:rPr>
                <w:rFonts w:hint="default" w:ascii="Times New Roman" w:hAnsi="Times New Roman" w:cs="Times New Roman"/>
                <w:b w:val="0"/>
                <w:bCs w:val="0"/>
                <w:color w:val="auto"/>
                <w:sz w:val="21"/>
                <w:szCs w:val="21"/>
                <w:highlight w:val="none"/>
                <w:lang w:val="en-US" w:eastAsia="zh-CN"/>
              </w:rPr>
              <w:t>/h，补充水量约为循环量的10%，本项目年工作273天，4368h，则补充水量为3.2m</w:t>
            </w:r>
            <w:r>
              <w:rPr>
                <w:rFonts w:hint="default" w:ascii="Times New Roman" w:hAnsi="Times New Roman" w:cs="Times New Roman"/>
                <w:b w:val="0"/>
                <w:bCs w:val="0"/>
                <w:color w:val="auto"/>
                <w:sz w:val="21"/>
                <w:szCs w:val="21"/>
                <w:highlight w:val="none"/>
                <w:vertAlign w:val="superscript"/>
                <w:lang w:val="en-US" w:eastAsia="zh-CN"/>
              </w:rPr>
              <w:t>3</w:t>
            </w:r>
            <w:r>
              <w:rPr>
                <w:rFonts w:hint="default" w:ascii="Times New Roman" w:hAnsi="Times New Roman" w:cs="Times New Roman"/>
                <w:b w:val="0"/>
                <w:bCs w:val="0"/>
                <w:color w:val="auto"/>
                <w:sz w:val="21"/>
                <w:szCs w:val="21"/>
                <w:highlight w:val="none"/>
                <w:lang w:val="en-US" w:eastAsia="zh-CN"/>
              </w:rPr>
              <w:t>/d（873.6m</w:t>
            </w:r>
            <w:r>
              <w:rPr>
                <w:rFonts w:hint="default" w:ascii="Times New Roman" w:hAnsi="Times New Roman" w:cs="Times New Roman"/>
                <w:b w:val="0"/>
                <w:bCs w:val="0"/>
                <w:color w:val="auto"/>
                <w:sz w:val="21"/>
                <w:szCs w:val="21"/>
                <w:highlight w:val="none"/>
                <w:vertAlign w:val="superscript"/>
                <w:lang w:val="en-US" w:eastAsia="zh-CN"/>
              </w:rPr>
              <w:t>3</w:t>
            </w:r>
            <w:r>
              <w:rPr>
                <w:rFonts w:hint="default" w:ascii="Times New Roman" w:hAnsi="Times New Roman" w:cs="Times New Roman"/>
                <w:b w:val="0"/>
                <w:bCs w:val="0"/>
                <w:color w:val="auto"/>
                <w:sz w:val="21"/>
                <w:szCs w:val="21"/>
                <w:highlight w:val="none"/>
                <w:lang w:val="en-US" w:eastAsia="zh-CN"/>
              </w:rPr>
              <w:t>/a），清洗用水每天更换2次，更换量为2.4m</w:t>
            </w:r>
            <w:r>
              <w:rPr>
                <w:rFonts w:hint="default" w:ascii="Times New Roman" w:hAnsi="Times New Roman" w:cs="Times New Roman"/>
                <w:b w:val="0"/>
                <w:bCs w:val="0"/>
                <w:color w:val="auto"/>
                <w:sz w:val="21"/>
                <w:szCs w:val="21"/>
                <w:highlight w:val="none"/>
                <w:vertAlign w:val="superscript"/>
                <w:lang w:val="en-US" w:eastAsia="zh-CN"/>
              </w:rPr>
              <w:t>3</w:t>
            </w:r>
            <w:r>
              <w:rPr>
                <w:rFonts w:hint="default" w:ascii="Times New Roman" w:hAnsi="Times New Roman" w:cs="Times New Roman"/>
                <w:b w:val="0"/>
                <w:bCs w:val="0"/>
                <w:color w:val="auto"/>
                <w:sz w:val="21"/>
                <w:szCs w:val="21"/>
                <w:highlight w:val="none"/>
                <w:lang w:val="en-US" w:eastAsia="zh-CN"/>
              </w:rPr>
              <w:t>/d（655.2m</w:t>
            </w:r>
            <w:r>
              <w:rPr>
                <w:rFonts w:hint="default" w:ascii="Times New Roman" w:hAnsi="Times New Roman" w:cs="Times New Roman"/>
                <w:b w:val="0"/>
                <w:bCs w:val="0"/>
                <w:color w:val="auto"/>
                <w:sz w:val="21"/>
                <w:szCs w:val="21"/>
                <w:highlight w:val="none"/>
                <w:vertAlign w:val="superscript"/>
                <w:lang w:val="en-US" w:eastAsia="zh-CN"/>
              </w:rPr>
              <w:t>3</w:t>
            </w:r>
            <w:r>
              <w:rPr>
                <w:rFonts w:hint="default" w:ascii="Times New Roman" w:hAnsi="Times New Roman" w:cs="Times New Roman"/>
                <w:b w:val="0"/>
                <w:bCs w:val="0"/>
                <w:color w:val="auto"/>
                <w:sz w:val="21"/>
                <w:szCs w:val="21"/>
                <w:highlight w:val="none"/>
                <w:lang w:val="en-US" w:eastAsia="zh-CN"/>
              </w:rPr>
              <w:t>/a）。第一次清洗自来水合计用水量为5.6m</w:t>
            </w:r>
            <w:r>
              <w:rPr>
                <w:rFonts w:hint="default" w:ascii="Times New Roman" w:hAnsi="Times New Roman" w:cs="Times New Roman"/>
                <w:b w:val="0"/>
                <w:bCs w:val="0"/>
                <w:color w:val="auto"/>
                <w:sz w:val="21"/>
                <w:szCs w:val="21"/>
                <w:highlight w:val="none"/>
                <w:vertAlign w:val="superscript"/>
                <w:lang w:val="en-US" w:eastAsia="zh-CN"/>
              </w:rPr>
              <w:t>3</w:t>
            </w:r>
            <w:r>
              <w:rPr>
                <w:rFonts w:hint="default" w:ascii="Times New Roman" w:hAnsi="Times New Roman" w:cs="Times New Roman"/>
                <w:b w:val="0"/>
                <w:bCs w:val="0"/>
                <w:color w:val="auto"/>
                <w:sz w:val="21"/>
                <w:szCs w:val="21"/>
                <w:highlight w:val="none"/>
                <w:lang w:val="en-US" w:eastAsia="zh-CN"/>
              </w:rPr>
              <w:t>/d（1528.8m</w:t>
            </w:r>
            <w:r>
              <w:rPr>
                <w:rFonts w:hint="default" w:ascii="Times New Roman" w:hAnsi="Times New Roman" w:cs="Times New Roman"/>
                <w:b w:val="0"/>
                <w:bCs w:val="0"/>
                <w:color w:val="auto"/>
                <w:sz w:val="21"/>
                <w:szCs w:val="21"/>
                <w:highlight w:val="none"/>
                <w:vertAlign w:val="superscript"/>
                <w:lang w:val="en-US" w:eastAsia="zh-CN"/>
              </w:rPr>
              <w:t>3</w:t>
            </w:r>
            <w:r>
              <w:rPr>
                <w:rFonts w:hint="default" w:ascii="Times New Roman" w:hAnsi="Times New Roman" w:cs="Times New Roman"/>
                <w:b w:val="0"/>
                <w:bCs w:val="0"/>
                <w:color w:val="auto"/>
                <w:sz w:val="21"/>
                <w:szCs w:val="21"/>
                <w:highlight w:val="none"/>
                <w:lang w:val="en-US" w:eastAsia="zh-CN"/>
              </w:rPr>
              <w:t>/a）。第二次清洗纯水循环量为2m</w:t>
            </w:r>
            <w:r>
              <w:rPr>
                <w:rFonts w:hint="default" w:ascii="Times New Roman" w:hAnsi="Times New Roman" w:cs="Times New Roman"/>
                <w:b w:val="0"/>
                <w:bCs w:val="0"/>
                <w:color w:val="auto"/>
                <w:sz w:val="21"/>
                <w:szCs w:val="21"/>
                <w:highlight w:val="none"/>
                <w:vertAlign w:val="superscript"/>
                <w:lang w:val="en-US" w:eastAsia="zh-CN"/>
              </w:rPr>
              <w:t>3</w:t>
            </w:r>
            <w:r>
              <w:rPr>
                <w:rFonts w:hint="default" w:ascii="Times New Roman" w:hAnsi="Times New Roman" w:cs="Times New Roman"/>
                <w:b w:val="0"/>
                <w:bCs w:val="0"/>
                <w:color w:val="auto"/>
                <w:sz w:val="21"/>
                <w:szCs w:val="21"/>
                <w:highlight w:val="none"/>
                <w:lang w:val="en-US" w:eastAsia="zh-CN"/>
              </w:rPr>
              <w:t>/h，补充水量约为循环量的10%，本项目年工作273天，4368h，则补充水量为3.2m</w:t>
            </w:r>
            <w:r>
              <w:rPr>
                <w:rFonts w:hint="default" w:ascii="Times New Roman" w:hAnsi="Times New Roman" w:cs="Times New Roman"/>
                <w:b w:val="0"/>
                <w:bCs w:val="0"/>
                <w:color w:val="auto"/>
                <w:sz w:val="21"/>
                <w:szCs w:val="21"/>
                <w:highlight w:val="none"/>
                <w:vertAlign w:val="superscript"/>
                <w:lang w:val="en-US" w:eastAsia="zh-CN"/>
              </w:rPr>
              <w:t>3</w:t>
            </w:r>
            <w:r>
              <w:rPr>
                <w:rFonts w:hint="default" w:ascii="Times New Roman" w:hAnsi="Times New Roman" w:cs="Times New Roman"/>
                <w:b w:val="0"/>
                <w:bCs w:val="0"/>
                <w:color w:val="auto"/>
                <w:sz w:val="21"/>
                <w:szCs w:val="21"/>
                <w:highlight w:val="none"/>
                <w:lang w:val="en-US" w:eastAsia="zh-CN"/>
              </w:rPr>
              <w:t>/d（873.6m</w:t>
            </w:r>
            <w:r>
              <w:rPr>
                <w:rFonts w:hint="default" w:ascii="Times New Roman" w:hAnsi="Times New Roman" w:cs="Times New Roman"/>
                <w:b w:val="0"/>
                <w:bCs w:val="0"/>
                <w:color w:val="auto"/>
                <w:sz w:val="21"/>
                <w:szCs w:val="21"/>
                <w:highlight w:val="none"/>
                <w:vertAlign w:val="superscript"/>
                <w:lang w:val="en-US" w:eastAsia="zh-CN"/>
              </w:rPr>
              <w:t>3</w:t>
            </w:r>
            <w:r>
              <w:rPr>
                <w:rFonts w:hint="default" w:ascii="Times New Roman" w:hAnsi="Times New Roman" w:cs="Times New Roman"/>
                <w:b w:val="0"/>
                <w:bCs w:val="0"/>
                <w:color w:val="auto"/>
                <w:sz w:val="21"/>
                <w:szCs w:val="21"/>
                <w:highlight w:val="none"/>
                <w:lang w:val="en-US" w:eastAsia="zh-CN"/>
              </w:rPr>
              <w:t>/a），清洗用水每天更换1次，更换量为1.2m</w:t>
            </w:r>
            <w:r>
              <w:rPr>
                <w:rFonts w:hint="default" w:ascii="Times New Roman" w:hAnsi="Times New Roman" w:cs="Times New Roman"/>
                <w:b w:val="0"/>
                <w:bCs w:val="0"/>
                <w:color w:val="auto"/>
                <w:sz w:val="21"/>
                <w:szCs w:val="21"/>
                <w:highlight w:val="none"/>
                <w:vertAlign w:val="superscript"/>
                <w:lang w:val="en-US" w:eastAsia="zh-CN"/>
              </w:rPr>
              <w:t>3</w:t>
            </w:r>
            <w:r>
              <w:rPr>
                <w:rFonts w:hint="default" w:ascii="Times New Roman" w:hAnsi="Times New Roman" w:cs="Times New Roman"/>
                <w:b w:val="0"/>
                <w:bCs w:val="0"/>
                <w:color w:val="auto"/>
                <w:sz w:val="21"/>
                <w:szCs w:val="21"/>
                <w:highlight w:val="none"/>
                <w:lang w:val="en-US" w:eastAsia="zh-CN"/>
              </w:rPr>
              <w:t>/d（327.6m</w:t>
            </w:r>
            <w:r>
              <w:rPr>
                <w:rFonts w:hint="default" w:ascii="Times New Roman" w:hAnsi="Times New Roman" w:cs="Times New Roman"/>
                <w:b w:val="0"/>
                <w:bCs w:val="0"/>
                <w:color w:val="auto"/>
                <w:sz w:val="21"/>
                <w:szCs w:val="21"/>
                <w:highlight w:val="none"/>
                <w:vertAlign w:val="superscript"/>
                <w:lang w:val="en-US" w:eastAsia="zh-CN"/>
              </w:rPr>
              <w:t>3</w:t>
            </w:r>
            <w:r>
              <w:rPr>
                <w:rFonts w:hint="default" w:ascii="Times New Roman" w:hAnsi="Times New Roman" w:cs="Times New Roman"/>
                <w:b w:val="0"/>
                <w:bCs w:val="0"/>
                <w:color w:val="auto"/>
                <w:sz w:val="21"/>
                <w:szCs w:val="21"/>
                <w:highlight w:val="none"/>
                <w:lang w:val="en-US" w:eastAsia="zh-CN"/>
              </w:rPr>
              <w:t>/a）。第二次清洗纯水合计用水量为4.4m</w:t>
            </w:r>
            <w:r>
              <w:rPr>
                <w:rFonts w:hint="default" w:ascii="Times New Roman" w:hAnsi="Times New Roman" w:cs="Times New Roman"/>
                <w:b w:val="0"/>
                <w:bCs w:val="0"/>
                <w:color w:val="auto"/>
                <w:sz w:val="21"/>
                <w:szCs w:val="21"/>
                <w:highlight w:val="none"/>
                <w:vertAlign w:val="superscript"/>
                <w:lang w:val="en-US" w:eastAsia="zh-CN"/>
              </w:rPr>
              <w:t>3</w:t>
            </w:r>
            <w:r>
              <w:rPr>
                <w:rFonts w:hint="default" w:ascii="Times New Roman" w:hAnsi="Times New Roman" w:cs="Times New Roman"/>
                <w:b w:val="0"/>
                <w:bCs w:val="0"/>
                <w:color w:val="auto"/>
                <w:sz w:val="21"/>
                <w:szCs w:val="21"/>
                <w:highlight w:val="none"/>
                <w:lang w:val="en-US" w:eastAsia="zh-CN"/>
              </w:rPr>
              <w:t>/d（1201.2m</w:t>
            </w:r>
            <w:r>
              <w:rPr>
                <w:rFonts w:hint="default" w:ascii="Times New Roman" w:hAnsi="Times New Roman" w:cs="Times New Roman"/>
                <w:b w:val="0"/>
                <w:bCs w:val="0"/>
                <w:color w:val="auto"/>
                <w:sz w:val="21"/>
                <w:szCs w:val="21"/>
                <w:highlight w:val="none"/>
                <w:vertAlign w:val="superscript"/>
                <w:lang w:val="en-US" w:eastAsia="zh-CN"/>
              </w:rPr>
              <w:t>3</w:t>
            </w:r>
            <w:r>
              <w:rPr>
                <w:rFonts w:hint="default" w:ascii="Times New Roman" w:hAnsi="Times New Roman" w:cs="Times New Roman"/>
                <w:b w:val="0"/>
                <w:bCs w:val="0"/>
                <w:color w:val="auto"/>
                <w:sz w:val="21"/>
                <w:szCs w:val="21"/>
                <w:highlight w:val="none"/>
                <w:lang w:val="en-US" w:eastAsia="zh-CN"/>
              </w:rPr>
              <w:t>/a）。</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②设备清洗用水</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项目生产设备每天生产结束后需进行一次清洗，清洗采用CIP清洗工艺，根据建设单位提供的资料，单次清洗用水量约10m</w:t>
            </w:r>
            <w:r>
              <w:rPr>
                <w:rFonts w:hint="default" w:ascii="Times New Roman" w:hAnsi="Times New Roman" w:cs="Times New Roman"/>
                <w:b w:val="0"/>
                <w:bCs w:val="0"/>
                <w:color w:val="auto"/>
                <w:sz w:val="21"/>
                <w:szCs w:val="21"/>
                <w:highlight w:val="none"/>
                <w:vertAlign w:val="superscript"/>
                <w:lang w:val="en-US" w:eastAsia="zh-CN"/>
              </w:rPr>
              <w:t>3</w:t>
            </w:r>
            <w:r>
              <w:rPr>
                <w:rFonts w:hint="default" w:ascii="Times New Roman" w:hAnsi="Times New Roman" w:cs="Times New Roman"/>
                <w:b w:val="0"/>
                <w:bCs w:val="0"/>
                <w:color w:val="auto"/>
                <w:sz w:val="21"/>
                <w:szCs w:val="21"/>
                <w:highlight w:val="none"/>
                <w:lang w:val="en-US" w:eastAsia="zh-CN"/>
              </w:rPr>
              <w:t>，每年清洗273次，则清洗用水量约为2730m</w:t>
            </w:r>
            <w:r>
              <w:rPr>
                <w:rFonts w:hint="default" w:ascii="Times New Roman" w:hAnsi="Times New Roman" w:cs="Times New Roman"/>
                <w:b w:val="0"/>
                <w:bCs w:val="0"/>
                <w:color w:val="auto"/>
                <w:sz w:val="21"/>
                <w:szCs w:val="21"/>
                <w:highlight w:val="none"/>
                <w:vertAlign w:val="superscript"/>
                <w:lang w:val="en-US" w:eastAsia="zh-CN"/>
              </w:rPr>
              <w:t>3</w:t>
            </w:r>
            <w:r>
              <w:rPr>
                <w:rFonts w:hint="default" w:ascii="Times New Roman" w:hAnsi="Times New Roman" w:cs="Times New Roman"/>
                <w:b w:val="0"/>
                <w:bCs w:val="0"/>
                <w:color w:val="auto"/>
                <w:sz w:val="21"/>
                <w:szCs w:val="21"/>
                <w:highlight w:val="none"/>
                <w:lang w:val="en-US" w:eastAsia="zh-CN"/>
              </w:rPr>
              <w:t>/a，采用纯水制备系统制备的纯水进行清洗。</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③洗瓶用水</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项目产品生产采用自制PET瓶，使用前需进行清洗，采用纯水清洗，灌装机组自带洗瓶功能，根据建设单位提供的资料，洗瓶用水量约2.5m</w:t>
            </w:r>
            <w:r>
              <w:rPr>
                <w:rFonts w:hint="default" w:ascii="Times New Roman" w:hAnsi="Times New Roman" w:cs="Times New Roman"/>
                <w:b w:val="0"/>
                <w:bCs w:val="0"/>
                <w:color w:val="auto"/>
                <w:sz w:val="21"/>
                <w:szCs w:val="21"/>
                <w:highlight w:val="none"/>
                <w:vertAlign w:val="superscript"/>
                <w:lang w:val="en-US" w:eastAsia="zh-CN"/>
              </w:rPr>
              <w:t>3</w:t>
            </w:r>
            <w:r>
              <w:rPr>
                <w:rFonts w:hint="default" w:ascii="Times New Roman" w:hAnsi="Times New Roman" w:cs="Times New Roman"/>
                <w:b w:val="0"/>
                <w:bCs w:val="0"/>
                <w:color w:val="auto"/>
                <w:sz w:val="21"/>
                <w:szCs w:val="21"/>
                <w:highlight w:val="none"/>
                <w:lang w:val="en-US" w:eastAsia="zh-CN"/>
              </w:rPr>
              <w:t>/d（682.5m</w:t>
            </w:r>
            <w:r>
              <w:rPr>
                <w:rFonts w:hint="default" w:ascii="Times New Roman" w:hAnsi="Times New Roman" w:cs="Times New Roman"/>
                <w:b w:val="0"/>
                <w:bCs w:val="0"/>
                <w:color w:val="auto"/>
                <w:sz w:val="21"/>
                <w:szCs w:val="21"/>
                <w:highlight w:val="none"/>
                <w:vertAlign w:val="superscript"/>
                <w:lang w:val="en-US" w:eastAsia="zh-CN"/>
              </w:rPr>
              <w:t>3</w:t>
            </w:r>
            <w:r>
              <w:rPr>
                <w:rFonts w:hint="default" w:ascii="Times New Roman" w:hAnsi="Times New Roman" w:eastAsia="宋体" w:cs="Times New Roman"/>
                <w:b w:val="0"/>
                <w:bCs w:val="0"/>
                <w:color w:val="auto"/>
                <w:kern w:val="2"/>
                <w:sz w:val="21"/>
                <w:szCs w:val="21"/>
                <w:highlight w:val="none"/>
                <w:lang w:val="en-US" w:eastAsia="zh-CN" w:bidi="ar-SA"/>
              </w:rPr>
              <w:t>/a</w:t>
            </w:r>
            <w:r>
              <w:rPr>
                <w:rFonts w:hint="default" w:ascii="Times New Roman" w:hAnsi="Times New Roman" w:cs="Times New Roman"/>
                <w:b w:val="0"/>
                <w:bCs w:val="0"/>
                <w:color w:val="auto"/>
                <w:sz w:val="21"/>
                <w:szCs w:val="21"/>
                <w:highlight w:val="none"/>
                <w:lang w:val="en-US" w:eastAsia="zh-CN"/>
              </w:rPr>
              <w:t>）。</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④循环冷却用水</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b w:val="0"/>
                <w:bCs w:val="0"/>
                <w:color w:val="auto"/>
                <w:sz w:val="21"/>
                <w:szCs w:val="21"/>
                <w:highlight w:val="none"/>
                <w:vertAlign w:val="superscript"/>
                <w:lang w:val="en-US" w:eastAsia="zh-CN"/>
              </w:rPr>
            </w:pPr>
            <w:r>
              <w:rPr>
                <w:rFonts w:hint="default" w:ascii="Times New Roman" w:hAnsi="Times New Roman" w:eastAsia="宋体" w:cs="Times New Roman"/>
                <w:b w:val="0"/>
                <w:bCs w:val="0"/>
                <w:color w:val="auto"/>
                <w:sz w:val="21"/>
                <w:szCs w:val="21"/>
                <w:highlight w:val="none"/>
                <w:lang w:val="en-US" w:eastAsia="zh-CN"/>
              </w:rPr>
              <w:t>本项目冷却水经冷却塔循环使用，不外排</w:t>
            </w:r>
            <w:r>
              <w:rPr>
                <w:rFonts w:hint="default" w:ascii="Times New Roman" w:hAnsi="Times New Roman" w:cs="Times New Roman"/>
                <w:b w:val="0"/>
                <w:bCs w:val="0"/>
                <w:color w:val="auto"/>
                <w:sz w:val="21"/>
                <w:szCs w:val="21"/>
                <w:highlight w:val="none"/>
                <w:lang w:val="en-US" w:eastAsia="zh-CN"/>
              </w:rPr>
              <w:t>；根据建设单位提供的资料，冷却循环系统</w:t>
            </w:r>
            <w:r>
              <w:rPr>
                <w:rFonts w:hint="default" w:ascii="Times New Roman" w:hAnsi="Times New Roman" w:eastAsia="宋体" w:cs="Times New Roman"/>
                <w:b w:val="0"/>
                <w:bCs w:val="0"/>
                <w:color w:val="auto"/>
                <w:sz w:val="21"/>
                <w:szCs w:val="21"/>
                <w:highlight w:val="none"/>
                <w:lang w:val="en-US" w:eastAsia="zh-CN"/>
              </w:rPr>
              <w:t>补水量为</w:t>
            </w:r>
            <w:r>
              <w:rPr>
                <w:rFonts w:hint="default" w:ascii="Times New Roman" w:hAnsi="Times New Roman" w:cs="Times New Roman"/>
                <w:color w:val="auto"/>
                <w:sz w:val="21"/>
                <w:szCs w:val="21"/>
                <w:highlight w:val="none"/>
                <w:vertAlign w:val="baseline"/>
                <w:lang w:val="en-US" w:eastAsia="zh-CN"/>
              </w:rPr>
              <w:t>1.5</w:t>
            </w:r>
            <w:r>
              <w:rPr>
                <w:rFonts w:hint="default" w:ascii="Times New Roman" w:hAnsi="Times New Roman" w:eastAsia="宋体" w:cs="Times New Roman"/>
                <w:color w:val="auto"/>
                <w:sz w:val="21"/>
                <w:szCs w:val="21"/>
                <w:highlight w:val="none"/>
              </w:rPr>
              <w:t>m</w:t>
            </w:r>
            <w:r>
              <w:rPr>
                <w:rFonts w:hint="default" w:ascii="Times New Roman" w:hAnsi="Times New Roman" w:eastAsia="宋体" w:cs="Times New Roman"/>
                <w:color w:val="auto"/>
                <w:sz w:val="21"/>
                <w:szCs w:val="21"/>
                <w:highlight w:val="none"/>
                <w:vertAlign w:val="superscript"/>
              </w:rPr>
              <w:t>3</w:t>
            </w:r>
            <w:r>
              <w:rPr>
                <w:rFonts w:hint="default" w:ascii="Times New Roman" w:hAnsi="Times New Roman" w:eastAsia="宋体" w:cs="Times New Roman"/>
                <w:color w:val="auto"/>
                <w:sz w:val="21"/>
                <w:szCs w:val="21"/>
                <w:highlight w:val="none"/>
              </w:rPr>
              <w:t>/</w:t>
            </w:r>
            <w:r>
              <w:rPr>
                <w:rFonts w:hint="default" w:ascii="Times New Roman" w:hAnsi="Times New Roman" w:eastAsia="宋体" w:cs="Times New Roman"/>
                <w:color w:val="auto"/>
                <w:sz w:val="21"/>
                <w:szCs w:val="21"/>
                <w:highlight w:val="none"/>
                <w:vertAlign w:val="baseline"/>
                <w:lang w:val="en-US" w:eastAsia="zh-CN"/>
              </w:rPr>
              <w:t>d（</w:t>
            </w:r>
            <w:r>
              <w:rPr>
                <w:rFonts w:hint="default" w:ascii="Times New Roman" w:hAnsi="Times New Roman" w:cs="Times New Roman"/>
                <w:color w:val="auto"/>
                <w:sz w:val="21"/>
                <w:szCs w:val="21"/>
                <w:highlight w:val="none"/>
                <w:vertAlign w:val="baseline"/>
                <w:lang w:val="en-US" w:eastAsia="zh-CN"/>
              </w:rPr>
              <w:t>409.5</w:t>
            </w:r>
            <w:r>
              <w:rPr>
                <w:rFonts w:hint="default" w:ascii="Times New Roman" w:hAnsi="Times New Roman" w:eastAsia="宋体" w:cs="Times New Roman"/>
                <w:color w:val="auto"/>
                <w:sz w:val="21"/>
                <w:szCs w:val="21"/>
                <w:highlight w:val="none"/>
              </w:rPr>
              <w:t>m</w:t>
            </w:r>
            <w:r>
              <w:rPr>
                <w:rFonts w:hint="default" w:ascii="Times New Roman" w:hAnsi="Times New Roman" w:eastAsia="宋体" w:cs="Times New Roman"/>
                <w:color w:val="auto"/>
                <w:sz w:val="21"/>
                <w:szCs w:val="21"/>
                <w:highlight w:val="none"/>
                <w:vertAlign w:val="superscript"/>
              </w:rPr>
              <w:t>3</w:t>
            </w:r>
            <w:r>
              <w:rPr>
                <w:rFonts w:hint="default" w:ascii="Times New Roman" w:hAnsi="Times New Roman" w:eastAsia="宋体" w:cs="Times New Roman"/>
                <w:color w:val="auto"/>
                <w:sz w:val="21"/>
                <w:szCs w:val="21"/>
                <w:highlight w:val="none"/>
              </w:rPr>
              <w:t>/</w:t>
            </w:r>
            <w:r>
              <w:rPr>
                <w:rFonts w:hint="default" w:ascii="Times New Roman" w:hAnsi="Times New Roman" w:cs="Times New Roman"/>
                <w:color w:val="auto"/>
                <w:sz w:val="21"/>
                <w:szCs w:val="21"/>
                <w:highlight w:val="none"/>
                <w:lang w:val="en-US" w:eastAsia="zh-CN"/>
              </w:rPr>
              <w:t>a</w:t>
            </w:r>
            <w:r>
              <w:rPr>
                <w:rFonts w:hint="default" w:ascii="Times New Roman" w:hAnsi="Times New Roman" w:eastAsia="宋体" w:cs="Times New Roman"/>
                <w:color w:val="auto"/>
                <w:sz w:val="21"/>
                <w:szCs w:val="21"/>
                <w:highlight w:val="none"/>
                <w:vertAlign w:val="baseline"/>
                <w:lang w:val="en-US" w:eastAsia="zh-CN"/>
              </w:rPr>
              <w:t>）</w:t>
            </w:r>
            <w:r>
              <w:rPr>
                <w:rFonts w:hint="default" w:ascii="Times New Roman" w:hAnsi="Times New Roman" w:cs="Times New Roman"/>
                <w:color w:val="auto"/>
                <w:sz w:val="21"/>
                <w:szCs w:val="21"/>
                <w:highlight w:val="none"/>
                <w:vertAlign w:val="baseline"/>
                <w:lang w:val="en-US" w:eastAsia="zh-CN"/>
              </w:rPr>
              <w:t>，采用自来水</w:t>
            </w:r>
            <w:r>
              <w:rPr>
                <w:rFonts w:hint="default" w:ascii="Times New Roman" w:hAnsi="Times New Roman" w:eastAsia="宋体" w:cs="Times New Roman"/>
                <w:color w:val="auto"/>
                <w:sz w:val="21"/>
                <w:szCs w:val="21"/>
                <w:highlight w:val="none"/>
                <w:vertAlign w:val="baseline"/>
                <w:lang w:val="en-US" w:eastAsia="zh-CN"/>
              </w:rPr>
              <w:t>。</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⑤产品生产用水</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根据建设单位提供的资料，产品生产需要纯水约50500m</w:t>
            </w:r>
            <w:r>
              <w:rPr>
                <w:rFonts w:hint="default" w:ascii="Times New Roman" w:hAnsi="Times New Roman" w:cs="Times New Roman"/>
                <w:b w:val="0"/>
                <w:bCs w:val="0"/>
                <w:color w:val="auto"/>
                <w:sz w:val="21"/>
                <w:szCs w:val="21"/>
                <w:highlight w:val="none"/>
                <w:vertAlign w:val="superscript"/>
                <w:lang w:val="en-US" w:eastAsia="zh-CN"/>
              </w:rPr>
              <w:t>3</w:t>
            </w:r>
            <w:r>
              <w:rPr>
                <w:rFonts w:hint="default" w:ascii="Times New Roman" w:hAnsi="Times New Roman" w:cs="Times New Roman"/>
                <w:b w:val="0"/>
                <w:bCs w:val="0"/>
                <w:color w:val="auto"/>
                <w:sz w:val="21"/>
                <w:szCs w:val="21"/>
                <w:highlight w:val="none"/>
                <w:lang w:val="en-US" w:eastAsia="zh-CN"/>
              </w:rPr>
              <w:t>/a，</w:t>
            </w:r>
            <w:r>
              <w:rPr>
                <w:rFonts w:hint="default" w:ascii="Times New Roman" w:hAnsi="Times New Roman" w:eastAsia="宋体" w:cs="Times New Roman"/>
                <w:color w:val="auto"/>
                <w:sz w:val="21"/>
                <w:szCs w:val="21"/>
                <w:highlight w:val="none"/>
                <w:lang w:val="en-US" w:eastAsia="zh-CN"/>
              </w:rPr>
              <w:t>不合格产品回收利用，过滤后消毒杀菌重新</w:t>
            </w:r>
            <w:r>
              <w:rPr>
                <w:rFonts w:hint="default" w:ascii="Times New Roman" w:hAnsi="Times New Roman" w:cs="Times New Roman"/>
                <w:color w:val="auto"/>
                <w:sz w:val="21"/>
                <w:szCs w:val="21"/>
                <w:highlight w:val="none"/>
                <w:lang w:val="en-US" w:eastAsia="zh-CN"/>
              </w:rPr>
              <w:t>灌装</w:t>
            </w:r>
            <w:r>
              <w:rPr>
                <w:rFonts w:hint="default" w:ascii="Times New Roman" w:hAnsi="Times New Roman" w:eastAsia="宋体" w:cs="Times New Roman"/>
                <w:color w:val="auto"/>
                <w:sz w:val="21"/>
                <w:szCs w:val="21"/>
                <w:highlight w:val="none"/>
                <w:lang w:val="en-US" w:eastAsia="zh-CN"/>
              </w:rPr>
              <w:t>，不外排</w:t>
            </w:r>
            <w:r>
              <w:rPr>
                <w:rFonts w:hint="default" w:ascii="Times New Roman" w:hAnsi="Times New Roman" w:cs="Times New Roman"/>
                <w:color w:val="auto"/>
                <w:sz w:val="21"/>
                <w:szCs w:val="21"/>
                <w:highlight w:val="none"/>
                <w:lang w:val="en-US" w:eastAsia="zh-CN"/>
              </w:rPr>
              <w:t>。</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⑥</w:t>
            </w:r>
            <w:r>
              <w:rPr>
                <w:rFonts w:hint="eastAsia" w:cs="Times New Roman"/>
                <w:b w:val="0"/>
                <w:bCs w:val="0"/>
                <w:color w:val="auto"/>
                <w:sz w:val="21"/>
                <w:szCs w:val="21"/>
                <w:highlight w:val="none"/>
                <w:lang w:val="en-US" w:eastAsia="zh-CN"/>
              </w:rPr>
              <w:t>锅炉</w:t>
            </w:r>
            <w:r>
              <w:rPr>
                <w:rFonts w:hint="default" w:ascii="Times New Roman" w:hAnsi="Times New Roman" w:cs="Times New Roman"/>
                <w:b w:val="0"/>
                <w:bCs w:val="0"/>
                <w:color w:val="auto"/>
                <w:sz w:val="21"/>
                <w:szCs w:val="21"/>
                <w:highlight w:val="none"/>
                <w:lang w:val="en-US" w:eastAsia="zh-CN"/>
              </w:rPr>
              <w:t>用水</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项目设有</w:t>
            </w:r>
            <w:r>
              <w:rPr>
                <w:rFonts w:hint="eastAsia" w:cs="Times New Roman"/>
                <w:b w:val="0"/>
                <w:bCs w:val="0"/>
                <w:color w:val="auto"/>
                <w:sz w:val="21"/>
                <w:szCs w:val="21"/>
                <w:highlight w:val="none"/>
                <w:lang w:val="en-US" w:eastAsia="zh-CN"/>
              </w:rPr>
              <w:t>1</w:t>
            </w:r>
            <w:r>
              <w:rPr>
                <w:rFonts w:hint="default" w:ascii="Times New Roman" w:hAnsi="Times New Roman" w:cs="Times New Roman"/>
                <w:b w:val="0"/>
                <w:bCs w:val="0"/>
                <w:color w:val="auto"/>
                <w:sz w:val="21"/>
                <w:szCs w:val="21"/>
                <w:highlight w:val="none"/>
                <w:lang w:val="en-US" w:eastAsia="zh-CN"/>
              </w:rPr>
              <w:t>台</w:t>
            </w:r>
            <w:r>
              <w:rPr>
                <w:rFonts w:hint="eastAsia" w:cs="Times New Roman"/>
                <w:b w:val="0"/>
                <w:bCs w:val="0"/>
                <w:color w:val="auto"/>
                <w:sz w:val="21"/>
                <w:szCs w:val="21"/>
                <w:highlight w:val="none"/>
                <w:lang w:val="en-US" w:eastAsia="zh-CN"/>
              </w:rPr>
              <w:t>4</w:t>
            </w:r>
            <w:r>
              <w:rPr>
                <w:rFonts w:hint="default" w:ascii="Times New Roman" w:hAnsi="Times New Roman" w:cs="Times New Roman"/>
                <w:b w:val="0"/>
                <w:bCs w:val="0"/>
                <w:color w:val="auto"/>
                <w:sz w:val="21"/>
                <w:szCs w:val="21"/>
                <w:highlight w:val="none"/>
                <w:lang w:val="en-US" w:eastAsia="zh-CN"/>
              </w:rPr>
              <w:t>t/h天然气</w:t>
            </w:r>
            <w:r>
              <w:rPr>
                <w:rFonts w:hint="eastAsia" w:cs="Times New Roman"/>
                <w:b w:val="0"/>
                <w:bCs w:val="0"/>
                <w:color w:val="auto"/>
                <w:sz w:val="21"/>
                <w:szCs w:val="21"/>
                <w:highlight w:val="none"/>
                <w:lang w:val="en-US" w:eastAsia="zh-CN"/>
              </w:rPr>
              <w:t>锅炉</w:t>
            </w:r>
            <w:r>
              <w:rPr>
                <w:rFonts w:hint="default" w:ascii="Times New Roman" w:hAnsi="Times New Roman" w:cs="Times New Roman"/>
                <w:b w:val="0"/>
                <w:bCs w:val="0"/>
                <w:color w:val="auto"/>
                <w:sz w:val="21"/>
                <w:szCs w:val="21"/>
                <w:highlight w:val="none"/>
                <w:lang w:val="en-US" w:eastAsia="zh-CN"/>
              </w:rPr>
              <w:t>，项目年运行4368h，</w:t>
            </w:r>
            <w:r>
              <w:rPr>
                <w:rFonts w:hint="eastAsia" w:cs="Times New Roman"/>
                <w:b w:val="0"/>
                <w:bCs w:val="0"/>
                <w:color w:val="auto"/>
                <w:sz w:val="21"/>
                <w:szCs w:val="21"/>
                <w:highlight w:val="none"/>
                <w:lang w:val="en-US" w:eastAsia="zh-CN"/>
              </w:rPr>
              <w:t>锅炉</w:t>
            </w:r>
            <w:r>
              <w:rPr>
                <w:rFonts w:hint="default" w:ascii="Times New Roman" w:hAnsi="Times New Roman" w:cs="Times New Roman"/>
                <w:b w:val="0"/>
                <w:bCs w:val="0"/>
                <w:color w:val="auto"/>
                <w:sz w:val="21"/>
                <w:szCs w:val="21"/>
                <w:highlight w:val="none"/>
                <w:lang w:val="en-US" w:eastAsia="zh-CN"/>
              </w:rPr>
              <w:t>循环水量为</w:t>
            </w:r>
            <w:r>
              <w:rPr>
                <w:rFonts w:hint="eastAsia" w:cs="Times New Roman"/>
                <w:b w:val="0"/>
                <w:bCs w:val="0"/>
                <w:color w:val="auto"/>
                <w:sz w:val="21"/>
                <w:szCs w:val="21"/>
                <w:highlight w:val="none"/>
                <w:lang w:val="en-US" w:eastAsia="zh-CN"/>
              </w:rPr>
              <w:t>17472</w:t>
            </w:r>
            <w:r>
              <w:rPr>
                <w:rFonts w:hint="default" w:ascii="Times New Roman" w:hAnsi="Times New Roman" w:eastAsia="宋体" w:cs="Times New Roman"/>
                <w:b w:val="0"/>
                <w:bCs w:val="0"/>
                <w:color w:val="auto"/>
                <w:sz w:val="21"/>
                <w:szCs w:val="21"/>
                <w:highlight w:val="none"/>
                <w:lang w:val="en-US" w:eastAsia="zh-CN"/>
              </w:rPr>
              <w:t>m</w:t>
            </w:r>
            <w:r>
              <w:rPr>
                <w:rFonts w:hint="default" w:ascii="Times New Roman" w:hAnsi="Times New Roman" w:eastAsia="宋体" w:cs="Times New Roman"/>
                <w:b w:val="0"/>
                <w:bCs w:val="0"/>
                <w:color w:val="auto"/>
                <w:sz w:val="21"/>
                <w:szCs w:val="21"/>
                <w:highlight w:val="none"/>
                <w:vertAlign w:val="superscript"/>
                <w:lang w:val="en-US" w:eastAsia="zh-CN"/>
              </w:rPr>
              <w:t>3</w:t>
            </w:r>
            <w:r>
              <w:rPr>
                <w:rFonts w:hint="default" w:ascii="Times New Roman" w:hAnsi="Times New Roman" w:eastAsia="宋体" w:cs="Times New Roman"/>
                <w:b w:val="0"/>
                <w:bCs w:val="0"/>
                <w:color w:val="auto"/>
                <w:sz w:val="21"/>
                <w:szCs w:val="21"/>
                <w:highlight w:val="none"/>
                <w:lang w:val="en-US" w:eastAsia="zh-CN"/>
              </w:rPr>
              <w:t>/a</w:t>
            </w:r>
            <w:r>
              <w:rPr>
                <w:rFonts w:hint="default" w:ascii="Times New Roman" w:hAnsi="Times New Roman" w:cs="Times New Roman"/>
                <w:b w:val="0"/>
                <w:bCs w:val="0"/>
                <w:color w:val="auto"/>
                <w:sz w:val="21"/>
                <w:szCs w:val="21"/>
                <w:highlight w:val="none"/>
                <w:lang w:val="en-US" w:eastAsia="zh-CN"/>
              </w:rPr>
              <w:t>，蒸发损耗为循环水量的30%，管道损耗占循环水量的3%，则</w:t>
            </w:r>
            <w:r>
              <w:rPr>
                <w:rFonts w:hint="eastAsia" w:cs="Times New Roman"/>
                <w:b w:val="0"/>
                <w:bCs w:val="0"/>
                <w:color w:val="auto"/>
                <w:sz w:val="21"/>
                <w:szCs w:val="21"/>
                <w:highlight w:val="none"/>
                <w:lang w:val="en-US" w:eastAsia="zh-CN"/>
              </w:rPr>
              <w:t>锅炉</w:t>
            </w:r>
            <w:r>
              <w:rPr>
                <w:rFonts w:hint="default" w:ascii="Times New Roman" w:hAnsi="Times New Roman" w:cs="Times New Roman"/>
                <w:b w:val="0"/>
                <w:bCs w:val="0"/>
                <w:color w:val="auto"/>
                <w:sz w:val="21"/>
                <w:szCs w:val="21"/>
                <w:highlight w:val="none"/>
                <w:lang w:val="en-US" w:eastAsia="zh-CN"/>
              </w:rPr>
              <w:t>蒸发损耗+管道损耗共为5765.76</w:t>
            </w:r>
            <w:r>
              <w:rPr>
                <w:rFonts w:hint="default" w:ascii="Times New Roman" w:hAnsi="Times New Roman" w:eastAsia="宋体" w:cs="Times New Roman"/>
                <w:b w:val="0"/>
                <w:bCs w:val="0"/>
                <w:color w:val="auto"/>
                <w:sz w:val="21"/>
                <w:szCs w:val="21"/>
                <w:highlight w:val="none"/>
                <w:lang w:val="en-US" w:eastAsia="zh-CN"/>
              </w:rPr>
              <w:t>m</w:t>
            </w:r>
            <w:r>
              <w:rPr>
                <w:rFonts w:hint="default" w:ascii="Times New Roman" w:hAnsi="Times New Roman" w:eastAsia="宋体" w:cs="Times New Roman"/>
                <w:b w:val="0"/>
                <w:bCs w:val="0"/>
                <w:color w:val="auto"/>
                <w:sz w:val="21"/>
                <w:szCs w:val="21"/>
                <w:highlight w:val="none"/>
                <w:vertAlign w:val="superscript"/>
                <w:lang w:val="en-US" w:eastAsia="zh-CN"/>
              </w:rPr>
              <w:t>3</w:t>
            </w:r>
            <w:r>
              <w:rPr>
                <w:rFonts w:hint="default" w:ascii="Times New Roman" w:hAnsi="Times New Roman" w:eastAsia="宋体" w:cs="Times New Roman"/>
                <w:b w:val="0"/>
                <w:bCs w:val="0"/>
                <w:color w:val="auto"/>
                <w:sz w:val="21"/>
                <w:szCs w:val="21"/>
                <w:highlight w:val="none"/>
                <w:lang w:val="en-US" w:eastAsia="zh-CN"/>
              </w:rPr>
              <w:t>/a</w:t>
            </w:r>
            <w:r>
              <w:rPr>
                <w:rFonts w:hint="default" w:ascii="Times New Roman" w:hAnsi="Times New Roman" w:cs="Times New Roman"/>
                <w:b w:val="0"/>
                <w:bCs w:val="0"/>
                <w:color w:val="auto"/>
                <w:sz w:val="21"/>
                <w:szCs w:val="21"/>
                <w:highlight w:val="none"/>
                <w:lang w:val="en-US" w:eastAsia="zh-CN"/>
              </w:rPr>
              <w:t>；</w:t>
            </w:r>
            <w:r>
              <w:rPr>
                <w:rFonts w:hint="eastAsia" w:cs="Times New Roman"/>
                <w:b w:val="0"/>
                <w:bCs w:val="0"/>
                <w:color w:val="auto"/>
                <w:sz w:val="21"/>
                <w:szCs w:val="21"/>
                <w:highlight w:val="none"/>
                <w:lang w:val="en-US" w:eastAsia="zh-CN"/>
              </w:rPr>
              <w:t>锅炉</w:t>
            </w:r>
            <w:r>
              <w:rPr>
                <w:rFonts w:hint="default" w:ascii="Times New Roman" w:hAnsi="Times New Roman" w:cs="Times New Roman"/>
                <w:b w:val="0"/>
                <w:bCs w:val="0"/>
                <w:color w:val="auto"/>
                <w:sz w:val="21"/>
                <w:szCs w:val="21"/>
                <w:highlight w:val="none"/>
                <w:lang w:val="en-US" w:eastAsia="zh-CN"/>
              </w:rPr>
              <w:t>需定期排放污水，排污占比约</w:t>
            </w:r>
            <w:r>
              <w:rPr>
                <w:rFonts w:hint="eastAsia" w:cs="Times New Roman"/>
                <w:b w:val="0"/>
                <w:bCs w:val="0"/>
                <w:color w:val="auto"/>
                <w:sz w:val="21"/>
                <w:szCs w:val="21"/>
                <w:highlight w:val="none"/>
                <w:lang w:val="en-US" w:eastAsia="zh-CN"/>
              </w:rPr>
              <w:t>为</w:t>
            </w:r>
            <w:r>
              <w:rPr>
                <w:rFonts w:hint="default" w:ascii="Times New Roman" w:hAnsi="Times New Roman" w:cs="Times New Roman"/>
                <w:b w:val="0"/>
                <w:bCs w:val="0"/>
                <w:color w:val="auto"/>
                <w:sz w:val="21"/>
                <w:szCs w:val="21"/>
                <w:highlight w:val="none"/>
                <w:lang w:val="en-US" w:eastAsia="zh-CN"/>
              </w:rPr>
              <w:t>循环水量的2%，则</w:t>
            </w:r>
            <w:r>
              <w:rPr>
                <w:rFonts w:hint="default" w:ascii="Times New Roman" w:hAnsi="Times New Roman" w:cs="Times New Roman"/>
                <w:color w:val="auto"/>
                <w:sz w:val="21"/>
                <w:szCs w:val="21"/>
                <w:highlight w:val="none"/>
              </w:rPr>
              <w:t>排污水</w:t>
            </w:r>
            <w:r>
              <w:rPr>
                <w:rFonts w:hint="default" w:ascii="Times New Roman" w:hAnsi="Times New Roman" w:cs="Times New Roman"/>
                <w:b w:val="0"/>
                <w:bCs w:val="0"/>
                <w:color w:val="auto"/>
                <w:sz w:val="21"/>
                <w:szCs w:val="21"/>
                <w:highlight w:val="none"/>
                <w:lang w:val="en-US" w:eastAsia="zh-CN"/>
              </w:rPr>
              <w:t>水量为349.44</w:t>
            </w:r>
            <w:r>
              <w:rPr>
                <w:rFonts w:hint="default" w:ascii="Times New Roman" w:hAnsi="Times New Roman" w:eastAsia="宋体" w:cs="Times New Roman"/>
                <w:b w:val="0"/>
                <w:bCs w:val="0"/>
                <w:color w:val="auto"/>
                <w:sz w:val="21"/>
                <w:szCs w:val="21"/>
                <w:highlight w:val="none"/>
                <w:lang w:val="en-US" w:eastAsia="zh-CN"/>
              </w:rPr>
              <w:t>m</w:t>
            </w:r>
            <w:r>
              <w:rPr>
                <w:rFonts w:hint="default" w:ascii="Times New Roman" w:hAnsi="Times New Roman" w:eastAsia="宋体" w:cs="Times New Roman"/>
                <w:b w:val="0"/>
                <w:bCs w:val="0"/>
                <w:color w:val="auto"/>
                <w:sz w:val="21"/>
                <w:szCs w:val="21"/>
                <w:highlight w:val="none"/>
                <w:vertAlign w:val="superscript"/>
                <w:lang w:val="en-US" w:eastAsia="zh-CN"/>
              </w:rPr>
              <w:t>3</w:t>
            </w:r>
            <w:r>
              <w:rPr>
                <w:rFonts w:hint="default" w:ascii="Times New Roman" w:hAnsi="Times New Roman" w:eastAsia="宋体" w:cs="Times New Roman"/>
                <w:b w:val="0"/>
                <w:bCs w:val="0"/>
                <w:color w:val="auto"/>
                <w:sz w:val="21"/>
                <w:szCs w:val="21"/>
                <w:highlight w:val="none"/>
                <w:lang w:val="en-US" w:eastAsia="zh-CN"/>
              </w:rPr>
              <w:t>/a</w:t>
            </w:r>
            <w:r>
              <w:rPr>
                <w:rFonts w:hint="default" w:ascii="Times New Roman" w:hAnsi="Times New Roman" w:cs="Times New Roman"/>
                <w:b w:val="0"/>
                <w:bCs w:val="0"/>
                <w:color w:val="auto"/>
                <w:sz w:val="21"/>
                <w:szCs w:val="21"/>
                <w:highlight w:val="none"/>
                <w:lang w:val="en-US" w:eastAsia="zh-CN"/>
              </w:rPr>
              <w:t>，综上</w:t>
            </w:r>
            <w:r>
              <w:rPr>
                <w:rFonts w:hint="eastAsia" w:cs="Times New Roman"/>
                <w:b w:val="0"/>
                <w:bCs w:val="0"/>
                <w:color w:val="auto"/>
                <w:sz w:val="21"/>
                <w:szCs w:val="21"/>
                <w:highlight w:val="none"/>
                <w:lang w:val="en-US" w:eastAsia="zh-CN"/>
              </w:rPr>
              <w:t>本项目锅炉</w:t>
            </w:r>
            <w:r>
              <w:rPr>
                <w:rFonts w:hint="default" w:ascii="Times New Roman" w:hAnsi="Times New Roman" w:cs="Times New Roman"/>
                <w:b w:val="0"/>
                <w:bCs w:val="0"/>
                <w:color w:val="auto"/>
                <w:sz w:val="21"/>
                <w:szCs w:val="21"/>
                <w:highlight w:val="none"/>
                <w:lang w:val="en-US" w:eastAsia="zh-CN"/>
              </w:rPr>
              <w:t>共需纯水6115.2</w:t>
            </w:r>
            <w:r>
              <w:rPr>
                <w:rFonts w:hint="default" w:ascii="Times New Roman" w:hAnsi="Times New Roman" w:eastAsia="宋体" w:cs="Times New Roman"/>
                <w:b w:val="0"/>
                <w:bCs w:val="0"/>
                <w:color w:val="auto"/>
                <w:sz w:val="21"/>
                <w:szCs w:val="21"/>
                <w:highlight w:val="none"/>
                <w:lang w:val="en-US" w:eastAsia="zh-CN"/>
              </w:rPr>
              <w:t>m</w:t>
            </w:r>
            <w:r>
              <w:rPr>
                <w:rFonts w:hint="default" w:ascii="Times New Roman" w:hAnsi="Times New Roman" w:eastAsia="宋体" w:cs="Times New Roman"/>
                <w:b w:val="0"/>
                <w:bCs w:val="0"/>
                <w:color w:val="auto"/>
                <w:sz w:val="21"/>
                <w:szCs w:val="21"/>
                <w:highlight w:val="none"/>
                <w:vertAlign w:val="superscript"/>
                <w:lang w:val="en-US" w:eastAsia="zh-CN"/>
              </w:rPr>
              <w:t>3</w:t>
            </w:r>
            <w:r>
              <w:rPr>
                <w:rFonts w:hint="default" w:ascii="Times New Roman" w:hAnsi="Times New Roman" w:eastAsia="宋体" w:cs="Times New Roman"/>
                <w:b w:val="0"/>
                <w:bCs w:val="0"/>
                <w:color w:val="auto"/>
                <w:sz w:val="21"/>
                <w:szCs w:val="21"/>
                <w:highlight w:val="none"/>
                <w:lang w:val="en-US" w:eastAsia="zh-CN"/>
              </w:rPr>
              <w:t>/a。</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通过上述分析可知，项目生产共需纯水61228.9</w:t>
            </w:r>
            <w:r>
              <w:rPr>
                <w:rFonts w:hint="default" w:ascii="Times New Roman" w:hAnsi="Times New Roman" w:eastAsia="宋体" w:cs="Times New Roman"/>
                <w:b w:val="0"/>
                <w:bCs w:val="0"/>
                <w:color w:val="auto"/>
                <w:sz w:val="21"/>
                <w:szCs w:val="21"/>
                <w:highlight w:val="none"/>
                <w:lang w:val="en-US" w:eastAsia="zh-CN"/>
              </w:rPr>
              <w:t>m</w:t>
            </w:r>
            <w:r>
              <w:rPr>
                <w:rFonts w:hint="default" w:ascii="Times New Roman" w:hAnsi="Times New Roman" w:eastAsia="宋体" w:cs="Times New Roman"/>
                <w:b w:val="0"/>
                <w:bCs w:val="0"/>
                <w:color w:val="auto"/>
                <w:sz w:val="21"/>
                <w:szCs w:val="21"/>
                <w:highlight w:val="none"/>
                <w:vertAlign w:val="superscript"/>
                <w:lang w:val="en-US" w:eastAsia="zh-CN"/>
              </w:rPr>
              <w:t>3</w:t>
            </w:r>
            <w:r>
              <w:rPr>
                <w:rFonts w:hint="default" w:ascii="Times New Roman" w:hAnsi="Times New Roman" w:eastAsia="宋体" w:cs="Times New Roman"/>
                <w:b w:val="0"/>
                <w:bCs w:val="0"/>
                <w:color w:val="auto"/>
                <w:sz w:val="21"/>
                <w:szCs w:val="21"/>
                <w:highlight w:val="none"/>
                <w:lang w:val="en-US" w:eastAsia="zh-CN"/>
              </w:rPr>
              <w:t>/a</w:t>
            </w:r>
            <w:r>
              <w:rPr>
                <w:rFonts w:hint="default" w:ascii="Times New Roman" w:hAnsi="Times New Roman" w:cs="Times New Roman"/>
                <w:b w:val="0"/>
                <w:bCs w:val="0"/>
                <w:color w:val="auto"/>
                <w:sz w:val="21"/>
                <w:szCs w:val="21"/>
                <w:highlight w:val="none"/>
                <w:lang w:val="en-US" w:eastAsia="zh-CN"/>
              </w:rPr>
              <w:t>，项目纯水制备系统平均制水效率75%，则纯水制备需自来水量为81638.53m</w:t>
            </w:r>
            <w:r>
              <w:rPr>
                <w:rFonts w:hint="default" w:ascii="Times New Roman" w:hAnsi="Times New Roman" w:cs="Times New Roman"/>
                <w:b w:val="0"/>
                <w:bCs w:val="0"/>
                <w:color w:val="auto"/>
                <w:sz w:val="21"/>
                <w:szCs w:val="21"/>
                <w:highlight w:val="none"/>
                <w:vertAlign w:val="superscript"/>
                <w:lang w:val="en-US" w:eastAsia="zh-CN"/>
              </w:rPr>
              <w:t>3</w:t>
            </w:r>
            <w:r>
              <w:rPr>
                <w:rFonts w:hint="default" w:ascii="Times New Roman" w:hAnsi="Times New Roman" w:cs="Times New Roman"/>
                <w:b w:val="0"/>
                <w:bCs w:val="0"/>
                <w:color w:val="auto"/>
                <w:sz w:val="21"/>
                <w:szCs w:val="21"/>
                <w:highlight w:val="none"/>
                <w:lang w:val="en-US" w:eastAsia="zh-CN"/>
              </w:rPr>
              <w:t>/a，纯水制备浓水约20409.63m</w:t>
            </w:r>
            <w:r>
              <w:rPr>
                <w:rFonts w:hint="default" w:ascii="Times New Roman" w:hAnsi="Times New Roman" w:cs="Times New Roman"/>
                <w:b w:val="0"/>
                <w:bCs w:val="0"/>
                <w:color w:val="auto"/>
                <w:sz w:val="21"/>
                <w:szCs w:val="21"/>
                <w:highlight w:val="none"/>
                <w:vertAlign w:val="superscript"/>
                <w:lang w:val="en-US" w:eastAsia="zh-CN"/>
              </w:rPr>
              <w:t>3</w:t>
            </w:r>
            <w:r>
              <w:rPr>
                <w:rFonts w:hint="default" w:ascii="Times New Roman" w:hAnsi="Times New Roman" w:cs="Times New Roman"/>
                <w:b w:val="0"/>
                <w:bCs w:val="0"/>
                <w:color w:val="auto"/>
                <w:sz w:val="21"/>
                <w:szCs w:val="21"/>
                <w:highlight w:val="none"/>
                <w:lang w:val="en-US" w:eastAsia="zh-CN"/>
              </w:rPr>
              <w:t>/a。</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综上，项目自来水用量合计84395.83m</w:t>
            </w:r>
            <w:r>
              <w:rPr>
                <w:rFonts w:hint="default" w:ascii="Times New Roman" w:hAnsi="Times New Roman" w:cs="Times New Roman"/>
                <w:b w:val="0"/>
                <w:bCs w:val="0"/>
                <w:color w:val="auto"/>
                <w:sz w:val="21"/>
                <w:szCs w:val="21"/>
                <w:highlight w:val="none"/>
                <w:vertAlign w:val="superscript"/>
                <w:lang w:val="en-US" w:eastAsia="zh-CN"/>
              </w:rPr>
              <w:t>3</w:t>
            </w:r>
            <w:r>
              <w:rPr>
                <w:rFonts w:hint="default" w:ascii="Times New Roman" w:hAnsi="Times New Roman" w:cs="Times New Roman"/>
                <w:b w:val="0"/>
                <w:bCs w:val="0"/>
                <w:color w:val="auto"/>
                <w:sz w:val="21"/>
                <w:szCs w:val="21"/>
                <w:highlight w:val="none"/>
                <w:lang w:val="en-US" w:eastAsia="zh-CN"/>
              </w:rPr>
              <w:t>/a。</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7.2排水</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2" w:firstLineChars="200"/>
              <w:jc w:val="left"/>
              <w:textAlignment w:val="auto"/>
              <w:rPr>
                <w:rFonts w:hint="default" w:ascii="Times New Roman" w:hAnsi="Times New Roman"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（1）生活污水</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default" w:ascii="Times New Roman" w:hAnsi="Times New Roman" w:cs="Times New Roman"/>
                <w:color w:val="auto"/>
                <w:sz w:val="21"/>
                <w:szCs w:val="21"/>
                <w:highlight w:val="none"/>
                <w:lang w:val="en-US" w:eastAsia="zh-CN"/>
              </w:rPr>
            </w:pPr>
            <w:bookmarkStart w:id="3" w:name="OLE_LINK76"/>
            <w:r>
              <w:rPr>
                <w:rFonts w:hint="default" w:ascii="Times New Roman" w:hAnsi="Times New Roman" w:cs="Times New Roman"/>
                <w:b w:val="0"/>
                <w:bCs w:val="0"/>
                <w:color w:val="auto"/>
                <w:sz w:val="21"/>
                <w:szCs w:val="21"/>
                <w:highlight w:val="none"/>
                <w:lang w:val="en-US" w:eastAsia="zh-CN"/>
              </w:rPr>
              <w:t>本项目生活污水产污系数按80%计，则生活污水总产生量为655.2</w:t>
            </w:r>
            <w:r>
              <w:rPr>
                <w:rFonts w:hint="default" w:ascii="Times New Roman" w:hAnsi="Times New Roman" w:eastAsia="宋体" w:cs="Times New Roman"/>
                <w:b w:val="0"/>
                <w:bCs w:val="0"/>
                <w:color w:val="auto"/>
                <w:sz w:val="21"/>
                <w:szCs w:val="21"/>
                <w:highlight w:val="none"/>
                <w:lang w:val="en-US" w:eastAsia="zh-CN"/>
              </w:rPr>
              <w:t>m</w:t>
            </w:r>
            <w:r>
              <w:rPr>
                <w:rFonts w:hint="default" w:ascii="Times New Roman" w:hAnsi="Times New Roman" w:eastAsia="宋体" w:cs="Times New Roman"/>
                <w:b w:val="0"/>
                <w:bCs w:val="0"/>
                <w:color w:val="auto"/>
                <w:sz w:val="21"/>
                <w:szCs w:val="21"/>
                <w:highlight w:val="none"/>
                <w:vertAlign w:val="superscript"/>
                <w:lang w:val="en-US" w:eastAsia="zh-CN"/>
              </w:rPr>
              <w:t>3</w:t>
            </w:r>
            <w:r>
              <w:rPr>
                <w:rFonts w:hint="default" w:ascii="Times New Roman" w:hAnsi="Times New Roman" w:eastAsia="宋体" w:cs="Times New Roman"/>
                <w:b w:val="0"/>
                <w:bCs w:val="0"/>
                <w:color w:val="auto"/>
                <w:sz w:val="21"/>
                <w:szCs w:val="21"/>
                <w:highlight w:val="none"/>
                <w:lang w:val="en-US" w:eastAsia="zh-CN"/>
              </w:rPr>
              <w:t>/a</w:t>
            </w:r>
            <w:r>
              <w:rPr>
                <w:rFonts w:hint="default" w:ascii="Times New Roman" w:hAnsi="Times New Roman" w:cs="Times New Roman"/>
                <w:b w:val="0"/>
                <w:bCs w:val="0"/>
                <w:color w:val="auto"/>
                <w:sz w:val="21"/>
                <w:szCs w:val="21"/>
                <w:highlight w:val="none"/>
                <w:lang w:val="en-US" w:eastAsia="zh-CN"/>
              </w:rPr>
              <w:t>。生活污水经化粪池收集后</w:t>
            </w:r>
            <w:r>
              <w:rPr>
                <w:rFonts w:hint="default" w:ascii="Times New Roman" w:hAnsi="Times New Roman" w:eastAsia="宋体" w:cs="Times New Roman"/>
                <w:b w:val="0"/>
                <w:bCs w:val="0"/>
                <w:color w:val="auto"/>
                <w:sz w:val="21"/>
                <w:szCs w:val="21"/>
                <w:highlight w:val="none"/>
                <w:lang w:eastAsia="zh-CN"/>
              </w:rPr>
              <w:t>排入园区下水管网，进入</w:t>
            </w:r>
            <w:r>
              <w:rPr>
                <w:rFonts w:hint="default" w:ascii="Times New Roman" w:hAnsi="Times New Roman" w:cs="Times New Roman"/>
                <w:b w:val="0"/>
                <w:bCs w:val="0"/>
                <w:color w:val="auto"/>
                <w:sz w:val="21"/>
                <w:szCs w:val="21"/>
                <w:highlight w:val="none"/>
                <w:lang w:eastAsia="zh-CN"/>
              </w:rPr>
              <w:t>库尔勒经济技术开发区工业废水处理回用厂</w:t>
            </w:r>
            <w:r>
              <w:rPr>
                <w:rFonts w:hint="default" w:ascii="Times New Roman" w:hAnsi="Times New Roman" w:cs="Times New Roman"/>
                <w:b w:val="0"/>
                <w:bCs w:val="0"/>
                <w:color w:val="auto"/>
                <w:sz w:val="21"/>
                <w:szCs w:val="21"/>
                <w:highlight w:val="none"/>
                <w:lang w:val="en-US" w:eastAsia="zh-CN"/>
              </w:rPr>
              <w:t>深度处理</w:t>
            </w:r>
            <w:r>
              <w:rPr>
                <w:rFonts w:hint="default" w:ascii="Times New Roman" w:hAnsi="Times New Roman" w:eastAsia="宋体" w:cs="Times New Roman"/>
                <w:b w:val="0"/>
                <w:bCs w:val="0"/>
                <w:color w:val="auto"/>
                <w:sz w:val="21"/>
                <w:szCs w:val="21"/>
                <w:highlight w:val="none"/>
                <w:lang w:eastAsia="zh-CN"/>
              </w:rPr>
              <w:t>。</w:t>
            </w:r>
            <w:bookmarkEnd w:id="3"/>
          </w:p>
          <w:p>
            <w:pPr>
              <w:keepNext w:val="0"/>
              <w:keepLines w:val="0"/>
              <w:pageBreakBefore w:val="0"/>
              <w:widowControl/>
              <w:numPr>
                <w:ilvl w:val="0"/>
                <w:numId w:val="0"/>
              </w:numPr>
              <w:suppressLineNumbers w:val="0"/>
              <w:kinsoku/>
              <w:wordWrap/>
              <w:overflowPunct/>
              <w:topLinePunct w:val="0"/>
              <w:autoSpaceDE/>
              <w:autoSpaceDN/>
              <w:bidi w:val="0"/>
              <w:adjustRightInd/>
              <w:snapToGrid/>
              <w:spacing w:line="360" w:lineRule="auto"/>
              <w:ind w:firstLine="422" w:firstLineChars="200"/>
              <w:jc w:val="left"/>
              <w:textAlignment w:val="auto"/>
              <w:rPr>
                <w:rFonts w:hint="default" w:ascii="Times New Roman" w:hAnsi="Times New Roman" w:cs="Times New Roman"/>
                <w:b/>
                <w:bCs/>
                <w:color w:val="auto"/>
                <w:sz w:val="21"/>
                <w:szCs w:val="21"/>
                <w:highlight w:val="none"/>
                <w:lang w:val="en-US" w:eastAsia="zh-CN"/>
              </w:rPr>
            </w:pPr>
            <w:r>
              <w:rPr>
                <w:rFonts w:hint="default" w:ascii="Times New Roman" w:hAnsi="Times New Roman" w:eastAsia="宋体" w:cs="Times New Roman"/>
                <w:b/>
                <w:bCs/>
                <w:color w:val="auto"/>
                <w:kern w:val="2"/>
                <w:sz w:val="21"/>
                <w:szCs w:val="21"/>
                <w:highlight w:val="none"/>
                <w:lang w:val="en-US" w:eastAsia="zh-CN" w:bidi="ar-SA"/>
              </w:rPr>
              <w:t>（2）</w:t>
            </w:r>
            <w:r>
              <w:rPr>
                <w:rFonts w:hint="default" w:ascii="Times New Roman" w:hAnsi="Times New Roman" w:cs="Times New Roman"/>
                <w:b/>
                <w:bCs/>
                <w:color w:val="auto"/>
                <w:sz w:val="21"/>
                <w:szCs w:val="21"/>
                <w:highlight w:val="none"/>
                <w:lang w:val="en-US" w:eastAsia="zh-CN"/>
              </w:rPr>
              <w:t>生产废水</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生产废水主要为纯水制备废水、洗瓶废水、CIP系统清洗废水、</w:t>
            </w:r>
            <w:r>
              <w:rPr>
                <w:rFonts w:hint="eastAsia" w:cs="Times New Roman"/>
                <w:b w:val="0"/>
                <w:bCs w:val="0"/>
                <w:color w:val="auto"/>
                <w:sz w:val="21"/>
                <w:szCs w:val="21"/>
                <w:highlight w:val="none"/>
                <w:lang w:val="en-US" w:eastAsia="zh-CN"/>
              </w:rPr>
              <w:t>锅炉</w:t>
            </w:r>
            <w:r>
              <w:rPr>
                <w:rFonts w:hint="default" w:ascii="Times New Roman" w:hAnsi="Times New Roman" w:cs="Times New Roman"/>
                <w:b w:val="0"/>
                <w:bCs w:val="0"/>
                <w:color w:val="auto"/>
                <w:sz w:val="21"/>
                <w:szCs w:val="21"/>
                <w:highlight w:val="none"/>
                <w:lang w:val="en-US" w:eastAsia="zh-CN"/>
              </w:rPr>
              <w:t>排污水及原料清洗废水。</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①</w:t>
            </w:r>
            <w:r>
              <w:rPr>
                <w:rFonts w:hint="default" w:ascii="Times New Roman" w:hAnsi="Times New Roman" w:cs="Times New Roman"/>
                <w:b w:val="0"/>
                <w:bCs w:val="0"/>
                <w:color w:val="auto"/>
                <w:sz w:val="21"/>
                <w:szCs w:val="21"/>
                <w:highlight w:val="none"/>
                <w:lang w:val="en-US" w:eastAsia="zh-CN"/>
              </w:rPr>
              <w:t>纯水制备废水</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default" w:ascii="Times New Roman" w:hAnsi="Times New Roman"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纯水制备效率按</w:t>
            </w:r>
            <w:r>
              <w:rPr>
                <w:rFonts w:hint="default" w:ascii="Times New Roman" w:hAnsi="Times New Roman" w:cs="Times New Roman"/>
                <w:b w:val="0"/>
                <w:bCs w:val="0"/>
                <w:color w:val="auto"/>
                <w:sz w:val="21"/>
                <w:szCs w:val="21"/>
                <w:highlight w:val="none"/>
                <w:lang w:val="en-US" w:eastAsia="zh-CN"/>
              </w:rPr>
              <w:t>75</w:t>
            </w:r>
            <w:r>
              <w:rPr>
                <w:rFonts w:hint="default" w:ascii="Times New Roman" w:hAnsi="Times New Roman" w:eastAsia="宋体" w:cs="Times New Roman"/>
                <w:b w:val="0"/>
                <w:bCs w:val="0"/>
                <w:color w:val="auto"/>
                <w:sz w:val="21"/>
                <w:szCs w:val="21"/>
                <w:highlight w:val="none"/>
                <w:lang w:val="en-US" w:eastAsia="zh-CN"/>
              </w:rPr>
              <w:t>%计，</w:t>
            </w:r>
            <w:r>
              <w:rPr>
                <w:rFonts w:hint="default" w:ascii="Times New Roman" w:hAnsi="Times New Roman" w:eastAsia="宋体" w:cs="Times New Roman"/>
                <w:b w:val="0"/>
                <w:bCs w:val="0"/>
                <w:color w:val="auto"/>
                <w:sz w:val="21"/>
                <w:szCs w:val="21"/>
                <w:highlight w:val="none"/>
                <w:lang w:eastAsia="zh-CN"/>
              </w:rPr>
              <w:t>则制备纯水</w:t>
            </w:r>
            <w:r>
              <w:rPr>
                <w:rFonts w:hint="default" w:ascii="Times New Roman" w:hAnsi="Times New Roman" w:cs="Times New Roman"/>
                <w:b w:val="0"/>
                <w:bCs w:val="0"/>
                <w:color w:val="auto"/>
                <w:sz w:val="21"/>
                <w:szCs w:val="21"/>
                <w:highlight w:val="none"/>
                <w:lang w:val="en-US" w:eastAsia="zh-CN"/>
              </w:rPr>
              <w:t>产生浓水</w:t>
            </w:r>
            <w:r>
              <w:rPr>
                <w:rFonts w:hint="default" w:ascii="Times New Roman" w:hAnsi="Times New Roman" w:eastAsia="宋体" w:cs="Times New Roman"/>
                <w:b w:val="0"/>
                <w:bCs w:val="0"/>
                <w:color w:val="auto"/>
                <w:sz w:val="21"/>
                <w:szCs w:val="21"/>
                <w:highlight w:val="none"/>
                <w:lang w:eastAsia="zh-CN"/>
              </w:rPr>
              <w:t>量为</w:t>
            </w:r>
            <w:r>
              <w:rPr>
                <w:rFonts w:hint="default" w:ascii="Times New Roman" w:hAnsi="Times New Roman" w:cs="Times New Roman"/>
                <w:b w:val="0"/>
                <w:bCs w:val="0"/>
                <w:color w:val="auto"/>
                <w:sz w:val="21"/>
                <w:szCs w:val="21"/>
                <w:highlight w:val="none"/>
                <w:lang w:val="en-US" w:eastAsia="zh-CN"/>
              </w:rPr>
              <w:t>20409.63</w:t>
            </w:r>
            <w:r>
              <w:rPr>
                <w:rFonts w:hint="default" w:ascii="Times New Roman" w:hAnsi="Times New Roman" w:eastAsia="宋体" w:cs="Times New Roman"/>
                <w:b w:val="0"/>
                <w:bCs w:val="0"/>
                <w:color w:val="auto"/>
                <w:sz w:val="21"/>
                <w:szCs w:val="21"/>
                <w:highlight w:val="none"/>
                <w:lang w:val="en-US" w:eastAsia="zh-CN"/>
              </w:rPr>
              <w:t>m</w:t>
            </w:r>
            <w:r>
              <w:rPr>
                <w:rFonts w:hint="default" w:ascii="Times New Roman" w:hAnsi="Times New Roman" w:eastAsia="宋体" w:cs="Times New Roman"/>
                <w:b w:val="0"/>
                <w:bCs w:val="0"/>
                <w:color w:val="auto"/>
                <w:sz w:val="21"/>
                <w:szCs w:val="21"/>
                <w:highlight w:val="none"/>
                <w:vertAlign w:val="superscript"/>
                <w:lang w:val="en-US" w:eastAsia="zh-CN"/>
              </w:rPr>
              <w:t>3</w:t>
            </w:r>
            <w:r>
              <w:rPr>
                <w:rFonts w:hint="default" w:ascii="Times New Roman" w:hAnsi="Times New Roman" w:eastAsia="宋体" w:cs="Times New Roman"/>
                <w:b w:val="0"/>
                <w:bCs w:val="0"/>
                <w:color w:val="auto"/>
                <w:sz w:val="21"/>
                <w:szCs w:val="21"/>
                <w:highlight w:val="none"/>
                <w:lang w:eastAsia="zh-CN"/>
              </w:rPr>
              <w:t>/a。浓水的主要成分为可溶性盐类，项目纯水制备过程中产生的浓水排入园区下水管网，进入</w:t>
            </w:r>
            <w:r>
              <w:rPr>
                <w:rFonts w:hint="default" w:ascii="Times New Roman" w:hAnsi="Times New Roman" w:cs="Times New Roman"/>
                <w:b w:val="0"/>
                <w:bCs w:val="0"/>
                <w:color w:val="auto"/>
                <w:sz w:val="21"/>
                <w:szCs w:val="21"/>
                <w:highlight w:val="none"/>
                <w:lang w:eastAsia="zh-CN"/>
              </w:rPr>
              <w:t>库尔勒经济技术开发区工业废水处理回用厂</w:t>
            </w:r>
            <w:r>
              <w:rPr>
                <w:rFonts w:hint="default" w:ascii="Times New Roman" w:hAnsi="Times New Roman" w:cs="Times New Roman"/>
                <w:b w:val="0"/>
                <w:bCs w:val="0"/>
                <w:color w:val="auto"/>
                <w:sz w:val="21"/>
                <w:szCs w:val="21"/>
                <w:highlight w:val="none"/>
                <w:lang w:val="en-US" w:eastAsia="zh-CN"/>
              </w:rPr>
              <w:t>深度处理</w:t>
            </w:r>
            <w:r>
              <w:rPr>
                <w:rFonts w:hint="default" w:ascii="Times New Roman" w:hAnsi="Times New Roman" w:eastAsia="宋体" w:cs="Times New Roman"/>
                <w:b w:val="0"/>
                <w:bCs w:val="0"/>
                <w:color w:val="auto"/>
                <w:sz w:val="21"/>
                <w:szCs w:val="21"/>
                <w:highlight w:val="none"/>
                <w:lang w:eastAsia="zh-CN"/>
              </w:rPr>
              <w:t>。</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②</w:t>
            </w:r>
            <w:r>
              <w:rPr>
                <w:rFonts w:hint="default" w:ascii="Times New Roman" w:hAnsi="Times New Roman" w:cs="Times New Roman"/>
                <w:b w:val="0"/>
                <w:bCs w:val="0"/>
                <w:color w:val="auto"/>
                <w:sz w:val="21"/>
                <w:szCs w:val="21"/>
                <w:highlight w:val="none"/>
                <w:lang w:val="en-US" w:eastAsia="zh-CN"/>
              </w:rPr>
              <w:t>洗瓶废水</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default" w:ascii="Times New Roman" w:hAnsi="Times New Roman"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kern w:val="2"/>
                <w:sz w:val="21"/>
                <w:szCs w:val="21"/>
                <w:highlight w:val="none"/>
                <w:lang w:val="en-US" w:eastAsia="zh-CN" w:bidi="ar-SA"/>
              </w:rPr>
              <w:t>损耗按0.2计，</w:t>
            </w:r>
            <w:r>
              <w:rPr>
                <w:rFonts w:hint="default" w:ascii="Times New Roman" w:hAnsi="Times New Roman" w:cs="Times New Roman"/>
                <w:b w:val="0"/>
                <w:bCs w:val="0"/>
                <w:color w:val="auto"/>
                <w:kern w:val="2"/>
                <w:sz w:val="21"/>
                <w:szCs w:val="21"/>
                <w:highlight w:val="none"/>
                <w:lang w:val="en-US" w:eastAsia="zh-CN" w:bidi="ar-SA"/>
              </w:rPr>
              <w:t>洗瓶废水</w:t>
            </w:r>
            <w:r>
              <w:rPr>
                <w:rFonts w:hint="default" w:ascii="Times New Roman" w:hAnsi="Times New Roman" w:eastAsia="宋体" w:cs="Times New Roman"/>
                <w:b w:val="0"/>
                <w:bCs w:val="0"/>
                <w:color w:val="auto"/>
                <w:kern w:val="2"/>
                <w:sz w:val="21"/>
                <w:szCs w:val="21"/>
                <w:highlight w:val="none"/>
                <w:lang w:val="en-US" w:eastAsia="zh-CN" w:bidi="ar-SA"/>
              </w:rPr>
              <w:t>排</w:t>
            </w:r>
            <w:r>
              <w:rPr>
                <w:rFonts w:hint="default" w:ascii="Times New Roman" w:hAnsi="Times New Roman" w:eastAsia="宋体" w:cs="Times New Roman"/>
                <w:b w:val="0"/>
                <w:bCs w:val="0"/>
                <w:color w:val="auto"/>
                <w:sz w:val="21"/>
                <w:szCs w:val="21"/>
                <w:highlight w:val="none"/>
                <w:lang w:val="en-US" w:eastAsia="zh-CN"/>
              </w:rPr>
              <w:t>放量为</w:t>
            </w:r>
            <w:r>
              <w:rPr>
                <w:rFonts w:hint="default" w:ascii="Times New Roman" w:hAnsi="Times New Roman" w:cs="Times New Roman"/>
                <w:b w:val="0"/>
                <w:bCs w:val="0"/>
                <w:color w:val="auto"/>
                <w:sz w:val="21"/>
                <w:szCs w:val="21"/>
                <w:highlight w:val="none"/>
                <w:lang w:val="en-US" w:eastAsia="zh-CN"/>
              </w:rPr>
              <w:t>2.0</w:t>
            </w:r>
            <w:r>
              <w:rPr>
                <w:rFonts w:hint="default" w:ascii="Times New Roman" w:hAnsi="Times New Roman" w:eastAsia="宋体" w:cs="Times New Roman"/>
                <w:b w:val="0"/>
                <w:bCs w:val="0"/>
                <w:color w:val="auto"/>
                <w:sz w:val="21"/>
                <w:szCs w:val="21"/>
                <w:highlight w:val="none"/>
                <w:lang w:val="en-US" w:eastAsia="zh-CN"/>
              </w:rPr>
              <w:t>m</w:t>
            </w:r>
            <w:r>
              <w:rPr>
                <w:rFonts w:hint="default" w:ascii="Times New Roman" w:hAnsi="Times New Roman" w:eastAsia="宋体" w:cs="Times New Roman"/>
                <w:b w:val="0"/>
                <w:bCs w:val="0"/>
                <w:color w:val="auto"/>
                <w:sz w:val="21"/>
                <w:szCs w:val="21"/>
                <w:highlight w:val="none"/>
                <w:vertAlign w:val="superscript"/>
                <w:lang w:val="en-US" w:eastAsia="zh-CN"/>
              </w:rPr>
              <w:t>3</w:t>
            </w:r>
            <w:r>
              <w:rPr>
                <w:rFonts w:hint="default" w:ascii="Times New Roman" w:hAnsi="Times New Roman" w:eastAsia="宋体" w:cs="Times New Roman"/>
                <w:b w:val="0"/>
                <w:bCs w:val="0"/>
                <w:color w:val="auto"/>
                <w:sz w:val="21"/>
                <w:szCs w:val="21"/>
                <w:highlight w:val="none"/>
                <w:lang w:val="en-US" w:eastAsia="zh-CN"/>
              </w:rPr>
              <w:t>/</w:t>
            </w:r>
            <w:r>
              <w:rPr>
                <w:rFonts w:hint="default" w:ascii="Times New Roman" w:hAnsi="Times New Roman" w:cs="Times New Roman"/>
                <w:b w:val="0"/>
                <w:bCs w:val="0"/>
                <w:color w:val="auto"/>
                <w:sz w:val="21"/>
                <w:szCs w:val="21"/>
                <w:highlight w:val="none"/>
                <w:lang w:val="en-US" w:eastAsia="zh-CN"/>
              </w:rPr>
              <w:t>d</w:t>
            </w:r>
            <w:r>
              <w:rPr>
                <w:rFonts w:hint="default" w:ascii="Times New Roman" w:hAnsi="Times New Roman" w:eastAsia="宋体" w:cs="Times New Roman"/>
                <w:b w:val="0"/>
                <w:bCs w:val="0"/>
                <w:color w:val="auto"/>
                <w:sz w:val="21"/>
                <w:szCs w:val="21"/>
                <w:highlight w:val="none"/>
                <w:lang w:val="en-US" w:eastAsia="zh-CN"/>
              </w:rPr>
              <w:t>（</w:t>
            </w:r>
            <w:r>
              <w:rPr>
                <w:rFonts w:hint="default" w:ascii="Times New Roman" w:hAnsi="Times New Roman" w:cs="Times New Roman"/>
                <w:b w:val="0"/>
                <w:bCs w:val="0"/>
                <w:color w:val="auto"/>
                <w:sz w:val="21"/>
                <w:szCs w:val="21"/>
                <w:highlight w:val="none"/>
                <w:lang w:val="en-US" w:eastAsia="zh-CN"/>
              </w:rPr>
              <w:t>546</w:t>
            </w:r>
            <w:r>
              <w:rPr>
                <w:rFonts w:hint="default" w:ascii="Times New Roman" w:hAnsi="Times New Roman" w:eastAsia="宋体" w:cs="Times New Roman"/>
                <w:b w:val="0"/>
                <w:bCs w:val="0"/>
                <w:color w:val="auto"/>
                <w:sz w:val="21"/>
                <w:szCs w:val="21"/>
                <w:highlight w:val="none"/>
                <w:lang w:val="en-US" w:eastAsia="zh-CN"/>
              </w:rPr>
              <w:t>m</w:t>
            </w:r>
            <w:r>
              <w:rPr>
                <w:rFonts w:hint="default" w:ascii="Times New Roman" w:hAnsi="Times New Roman" w:eastAsia="宋体" w:cs="Times New Roman"/>
                <w:b w:val="0"/>
                <w:bCs w:val="0"/>
                <w:color w:val="auto"/>
                <w:sz w:val="21"/>
                <w:szCs w:val="21"/>
                <w:highlight w:val="none"/>
                <w:vertAlign w:val="superscript"/>
                <w:lang w:val="en-US" w:eastAsia="zh-CN"/>
              </w:rPr>
              <w:t>3</w:t>
            </w:r>
            <w:r>
              <w:rPr>
                <w:rFonts w:hint="default" w:ascii="Times New Roman" w:hAnsi="Times New Roman" w:eastAsia="宋体" w:cs="Times New Roman"/>
                <w:b w:val="0"/>
                <w:bCs w:val="0"/>
                <w:color w:val="auto"/>
                <w:sz w:val="21"/>
                <w:szCs w:val="21"/>
                <w:highlight w:val="none"/>
                <w:lang w:val="en-US" w:eastAsia="zh-CN"/>
              </w:rPr>
              <w:t>/a）</w:t>
            </w:r>
            <w:r>
              <w:rPr>
                <w:rFonts w:hint="default" w:ascii="Times New Roman" w:hAnsi="Times New Roman" w:cs="Times New Roman"/>
                <w:b w:val="0"/>
                <w:bCs w:val="0"/>
                <w:color w:val="auto"/>
                <w:sz w:val="21"/>
                <w:szCs w:val="21"/>
                <w:highlight w:val="none"/>
                <w:lang w:val="en-US" w:eastAsia="zh-CN"/>
              </w:rPr>
              <w:t>，排入厂内污水处理站进行处理</w:t>
            </w:r>
            <w:r>
              <w:rPr>
                <w:rFonts w:hint="default" w:ascii="Times New Roman" w:hAnsi="Times New Roman" w:eastAsia="宋体" w:cs="Times New Roman"/>
                <w:color w:val="auto"/>
                <w:sz w:val="21"/>
                <w:szCs w:val="21"/>
                <w:highlight w:val="none"/>
                <w:lang w:val="en-US" w:eastAsia="zh-CN"/>
              </w:rPr>
              <w:t>。</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③CIP系统清洗废水</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b w:val="0"/>
                <w:bCs w:val="0"/>
                <w:color w:val="auto"/>
                <w:kern w:val="2"/>
                <w:sz w:val="21"/>
                <w:szCs w:val="21"/>
                <w:highlight w:val="none"/>
                <w:lang w:val="en-US" w:eastAsia="zh-CN" w:bidi="ar-SA"/>
              </w:rPr>
              <w:t>损耗按0.2计，</w:t>
            </w:r>
            <w:r>
              <w:rPr>
                <w:rFonts w:hint="default" w:ascii="Times New Roman" w:hAnsi="Times New Roman" w:cs="Times New Roman"/>
                <w:b w:val="0"/>
                <w:bCs w:val="0"/>
                <w:color w:val="auto"/>
                <w:sz w:val="21"/>
                <w:szCs w:val="21"/>
                <w:highlight w:val="none"/>
                <w:lang w:val="en-US" w:eastAsia="zh-CN"/>
              </w:rPr>
              <w:t>CIP系统清洗废水</w:t>
            </w:r>
            <w:r>
              <w:rPr>
                <w:rFonts w:hint="default" w:ascii="Times New Roman" w:hAnsi="Times New Roman" w:eastAsia="宋体" w:cs="Times New Roman"/>
                <w:b w:val="0"/>
                <w:bCs w:val="0"/>
                <w:color w:val="auto"/>
                <w:kern w:val="2"/>
                <w:sz w:val="21"/>
                <w:szCs w:val="21"/>
                <w:highlight w:val="none"/>
                <w:lang w:val="en-US" w:eastAsia="zh-CN" w:bidi="ar-SA"/>
              </w:rPr>
              <w:t>排</w:t>
            </w:r>
            <w:r>
              <w:rPr>
                <w:rFonts w:hint="default" w:ascii="Times New Roman" w:hAnsi="Times New Roman" w:eastAsia="宋体" w:cs="Times New Roman"/>
                <w:b w:val="0"/>
                <w:bCs w:val="0"/>
                <w:color w:val="auto"/>
                <w:sz w:val="21"/>
                <w:szCs w:val="21"/>
                <w:highlight w:val="none"/>
                <w:lang w:val="en-US" w:eastAsia="zh-CN"/>
              </w:rPr>
              <w:t>放量为</w:t>
            </w:r>
            <w:r>
              <w:rPr>
                <w:rFonts w:hint="default" w:ascii="Times New Roman" w:hAnsi="Times New Roman" w:cs="Times New Roman"/>
                <w:b w:val="0"/>
                <w:bCs w:val="0"/>
                <w:color w:val="auto"/>
                <w:sz w:val="21"/>
                <w:szCs w:val="21"/>
                <w:highlight w:val="none"/>
                <w:lang w:val="en-US" w:eastAsia="zh-CN"/>
              </w:rPr>
              <w:t>8.0</w:t>
            </w:r>
            <w:r>
              <w:rPr>
                <w:rFonts w:hint="default" w:ascii="Times New Roman" w:hAnsi="Times New Roman" w:eastAsia="宋体" w:cs="Times New Roman"/>
                <w:b w:val="0"/>
                <w:bCs w:val="0"/>
                <w:color w:val="auto"/>
                <w:sz w:val="21"/>
                <w:szCs w:val="21"/>
                <w:highlight w:val="none"/>
                <w:lang w:val="en-US" w:eastAsia="zh-CN"/>
              </w:rPr>
              <w:t>m</w:t>
            </w:r>
            <w:r>
              <w:rPr>
                <w:rFonts w:hint="default" w:ascii="Times New Roman" w:hAnsi="Times New Roman" w:eastAsia="宋体" w:cs="Times New Roman"/>
                <w:b w:val="0"/>
                <w:bCs w:val="0"/>
                <w:color w:val="auto"/>
                <w:sz w:val="21"/>
                <w:szCs w:val="21"/>
                <w:highlight w:val="none"/>
                <w:vertAlign w:val="superscript"/>
                <w:lang w:val="en-US" w:eastAsia="zh-CN"/>
              </w:rPr>
              <w:t>3</w:t>
            </w:r>
            <w:r>
              <w:rPr>
                <w:rFonts w:hint="default" w:ascii="Times New Roman" w:hAnsi="Times New Roman" w:eastAsia="宋体" w:cs="Times New Roman"/>
                <w:b w:val="0"/>
                <w:bCs w:val="0"/>
                <w:color w:val="auto"/>
                <w:sz w:val="21"/>
                <w:szCs w:val="21"/>
                <w:highlight w:val="none"/>
                <w:lang w:val="en-US" w:eastAsia="zh-CN"/>
              </w:rPr>
              <w:t>/</w:t>
            </w:r>
            <w:r>
              <w:rPr>
                <w:rFonts w:hint="default" w:ascii="Times New Roman" w:hAnsi="Times New Roman" w:cs="Times New Roman"/>
                <w:b w:val="0"/>
                <w:bCs w:val="0"/>
                <w:color w:val="auto"/>
                <w:sz w:val="21"/>
                <w:szCs w:val="21"/>
                <w:highlight w:val="none"/>
                <w:lang w:val="en-US" w:eastAsia="zh-CN"/>
              </w:rPr>
              <w:t>d</w:t>
            </w:r>
            <w:r>
              <w:rPr>
                <w:rFonts w:hint="default" w:ascii="Times New Roman" w:hAnsi="Times New Roman" w:eastAsia="宋体" w:cs="Times New Roman"/>
                <w:b w:val="0"/>
                <w:bCs w:val="0"/>
                <w:color w:val="auto"/>
                <w:sz w:val="21"/>
                <w:szCs w:val="21"/>
                <w:highlight w:val="none"/>
                <w:lang w:val="en-US" w:eastAsia="zh-CN"/>
              </w:rPr>
              <w:t>（</w:t>
            </w:r>
            <w:r>
              <w:rPr>
                <w:rFonts w:hint="default" w:ascii="Times New Roman" w:hAnsi="Times New Roman" w:cs="Times New Roman"/>
                <w:b w:val="0"/>
                <w:bCs w:val="0"/>
                <w:color w:val="auto"/>
                <w:sz w:val="21"/>
                <w:szCs w:val="21"/>
                <w:highlight w:val="none"/>
                <w:lang w:val="en-US" w:eastAsia="zh-CN"/>
              </w:rPr>
              <w:t>2184</w:t>
            </w:r>
            <w:r>
              <w:rPr>
                <w:rFonts w:hint="default" w:ascii="Times New Roman" w:hAnsi="Times New Roman" w:eastAsia="宋体" w:cs="Times New Roman"/>
                <w:b w:val="0"/>
                <w:bCs w:val="0"/>
                <w:color w:val="auto"/>
                <w:sz w:val="21"/>
                <w:szCs w:val="21"/>
                <w:highlight w:val="none"/>
                <w:lang w:val="en-US" w:eastAsia="zh-CN"/>
              </w:rPr>
              <w:t>m</w:t>
            </w:r>
            <w:r>
              <w:rPr>
                <w:rFonts w:hint="default" w:ascii="Times New Roman" w:hAnsi="Times New Roman" w:eastAsia="宋体" w:cs="Times New Roman"/>
                <w:b w:val="0"/>
                <w:bCs w:val="0"/>
                <w:color w:val="auto"/>
                <w:sz w:val="21"/>
                <w:szCs w:val="21"/>
                <w:highlight w:val="none"/>
                <w:vertAlign w:val="superscript"/>
                <w:lang w:val="en-US" w:eastAsia="zh-CN"/>
              </w:rPr>
              <w:t>3</w:t>
            </w:r>
            <w:r>
              <w:rPr>
                <w:rFonts w:hint="default" w:ascii="Times New Roman" w:hAnsi="Times New Roman" w:eastAsia="宋体" w:cs="Times New Roman"/>
                <w:b w:val="0"/>
                <w:bCs w:val="0"/>
                <w:color w:val="auto"/>
                <w:sz w:val="21"/>
                <w:szCs w:val="21"/>
                <w:highlight w:val="none"/>
                <w:lang w:val="en-US" w:eastAsia="zh-CN"/>
              </w:rPr>
              <w:t>/a），</w:t>
            </w:r>
            <w:r>
              <w:rPr>
                <w:rFonts w:hint="default" w:ascii="Times New Roman" w:hAnsi="Times New Roman" w:cs="Times New Roman"/>
                <w:b w:val="0"/>
                <w:bCs w:val="0"/>
                <w:color w:val="auto"/>
                <w:sz w:val="21"/>
                <w:szCs w:val="21"/>
                <w:highlight w:val="none"/>
                <w:lang w:val="en-US" w:eastAsia="zh-CN"/>
              </w:rPr>
              <w:t>排入厂内污水处理站进行处理</w:t>
            </w:r>
            <w:r>
              <w:rPr>
                <w:rFonts w:hint="default" w:ascii="Times New Roman" w:hAnsi="Times New Roman" w:eastAsia="宋体" w:cs="Times New Roman"/>
                <w:color w:val="auto"/>
                <w:sz w:val="21"/>
                <w:szCs w:val="21"/>
                <w:highlight w:val="none"/>
                <w:lang w:val="en-US" w:eastAsia="zh-CN"/>
              </w:rPr>
              <w:t>。</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cs="Times New Roman"/>
                <w:b/>
                <w:bCs/>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④</w:t>
            </w:r>
            <w:r>
              <w:rPr>
                <w:rFonts w:hint="eastAsia" w:cs="Times New Roman"/>
                <w:b w:val="0"/>
                <w:bCs w:val="0"/>
                <w:color w:val="auto"/>
                <w:sz w:val="21"/>
                <w:szCs w:val="21"/>
                <w:highlight w:val="none"/>
                <w:lang w:val="en-US" w:eastAsia="zh-CN"/>
              </w:rPr>
              <w:t>锅炉</w:t>
            </w:r>
            <w:r>
              <w:rPr>
                <w:rFonts w:hint="default" w:ascii="Times New Roman" w:hAnsi="Times New Roman" w:cs="Times New Roman"/>
                <w:b w:val="0"/>
                <w:bCs w:val="0"/>
                <w:color w:val="auto"/>
                <w:sz w:val="21"/>
                <w:szCs w:val="21"/>
                <w:highlight w:val="none"/>
                <w:lang w:val="en-US" w:eastAsia="zh-CN"/>
              </w:rPr>
              <w:t>排污水</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eastAsia="宋体" w:cs="Times New Roman"/>
                <w:color w:val="auto"/>
                <w:sz w:val="21"/>
                <w:szCs w:val="21"/>
                <w:highlight w:val="none"/>
                <w:lang w:val="en-US" w:eastAsia="zh-CN"/>
              </w:rPr>
            </w:pPr>
            <w:r>
              <w:rPr>
                <w:rFonts w:hint="eastAsia" w:cs="Times New Roman"/>
                <w:b w:val="0"/>
                <w:bCs w:val="0"/>
                <w:color w:val="auto"/>
                <w:sz w:val="21"/>
                <w:szCs w:val="21"/>
                <w:highlight w:val="none"/>
                <w:lang w:val="en-US" w:eastAsia="zh-CN"/>
              </w:rPr>
              <w:t>锅炉</w:t>
            </w:r>
            <w:r>
              <w:rPr>
                <w:rFonts w:hint="default" w:ascii="Times New Roman" w:hAnsi="Times New Roman" w:cs="Times New Roman"/>
                <w:b w:val="0"/>
                <w:bCs w:val="0"/>
                <w:color w:val="auto"/>
                <w:sz w:val="21"/>
                <w:szCs w:val="21"/>
                <w:highlight w:val="none"/>
                <w:lang w:val="en-US" w:eastAsia="zh-CN"/>
              </w:rPr>
              <w:t>需定期排放污水，排污占比约循环水量的2%，则</w:t>
            </w:r>
            <w:r>
              <w:rPr>
                <w:rFonts w:hint="default" w:ascii="Times New Roman" w:hAnsi="Times New Roman" w:cs="Times New Roman"/>
                <w:color w:val="auto"/>
                <w:sz w:val="21"/>
                <w:szCs w:val="21"/>
                <w:highlight w:val="none"/>
              </w:rPr>
              <w:t>排污水</w:t>
            </w:r>
            <w:r>
              <w:rPr>
                <w:rFonts w:hint="default" w:ascii="Times New Roman" w:hAnsi="Times New Roman" w:cs="Times New Roman"/>
                <w:b w:val="0"/>
                <w:bCs w:val="0"/>
                <w:color w:val="auto"/>
                <w:sz w:val="21"/>
                <w:szCs w:val="21"/>
                <w:highlight w:val="none"/>
                <w:lang w:val="en-US" w:eastAsia="zh-CN"/>
              </w:rPr>
              <w:t>水量为349.44</w:t>
            </w:r>
            <w:r>
              <w:rPr>
                <w:rFonts w:hint="default" w:ascii="Times New Roman" w:hAnsi="Times New Roman" w:eastAsia="宋体" w:cs="Times New Roman"/>
                <w:b w:val="0"/>
                <w:bCs w:val="0"/>
                <w:color w:val="auto"/>
                <w:sz w:val="21"/>
                <w:szCs w:val="21"/>
                <w:highlight w:val="none"/>
                <w:lang w:val="en-US" w:eastAsia="zh-CN"/>
              </w:rPr>
              <w:t>m</w:t>
            </w:r>
            <w:r>
              <w:rPr>
                <w:rFonts w:hint="default" w:ascii="Times New Roman" w:hAnsi="Times New Roman" w:eastAsia="宋体" w:cs="Times New Roman"/>
                <w:b w:val="0"/>
                <w:bCs w:val="0"/>
                <w:color w:val="auto"/>
                <w:sz w:val="21"/>
                <w:szCs w:val="21"/>
                <w:highlight w:val="none"/>
                <w:vertAlign w:val="superscript"/>
                <w:lang w:val="en-US" w:eastAsia="zh-CN"/>
              </w:rPr>
              <w:t>3</w:t>
            </w:r>
            <w:r>
              <w:rPr>
                <w:rFonts w:hint="default" w:ascii="Times New Roman" w:hAnsi="Times New Roman" w:eastAsia="宋体" w:cs="Times New Roman"/>
                <w:b w:val="0"/>
                <w:bCs w:val="0"/>
                <w:color w:val="auto"/>
                <w:sz w:val="21"/>
                <w:szCs w:val="21"/>
                <w:highlight w:val="none"/>
                <w:lang w:val="en-US" w:eastAsia="zh-CN"/>
              </w:rPr>
              <w:t>/a</w:t>
            </w:r>
            <w:r>
              <w:rPr>
                <w:rFonts w:hint="default" w:ascii="Times New Roman" w:hAnsi="Times New Roman" w:cs="Times New Roman"/>
                <w:b w:val="0"/>
                <w:bCs w:val="0"/>
                <w:color w:val="auto"/>
                <w:sz w:val="21"/>
                <w:szCs w:val="21"/>
                <w:highlight w:val="none"/>
                <w:lang w:val="en-US" w:eastAsia="zh-CN"/>
              </w:rPr>
              <w:t>。</w:t>
            </w:r>
            <w:r>
              <w:rPr>
                <w:rFonts w:hint="eastAsia" w:cs="Times New Roman"/>
                <w:b w:val="0"/>
                <w:bCs w:val="0"/>
                <w:color w:val="auto"/>
                <w:sz w:val="21"/>
                <w:szCs w:val="21"/>
                <w:highlight w:val="none"/>
                <w:lang w:val="en-US" w:eastAsia="zh-CN"/>
              </w:rPr>
              <w:t>锅炉</w:t>
            </w:r>
            <w:r>
              <w:rPr>
                <w:rFonts w:hint="default" w:ascii="Times New Roman" w:hAnsi="Times New Roman" w:cs="Times New Roman"/>
                <w:b w:val="0"/>
                <w:bCs w:val="0"/>
                <w:color w:val="auto"/>
                <w:sz w:val="21"/>
                <w:szCs w:val="21"/>
                <w:highlight w:val="none"/>
                <w:lang w:val="en-US" w:eastAsia="zh-CN"/>
              </w:rPr>
              <w:t>排污水水质较为简单，直接</w:t>
            </w:r>
            <w:r>
              <w:rPr>
                <w:rFonts w:hint="default" w:ascii="Times New Roman" w:hAnsi="Times New Roman" w:eastAsia="宋体" w:cs="Times New Roman"/>
                <w:b w:val="0"/>
                <w:bCs w:val="0"/>
                <w:color w:val="auto"/>
                <w:sz w:val="21"/>
                <w:szCs w:val="21"/>
                <w:highlight w:val="none"/>
                <w:lang w:eastAsia="zh-CN"/>
              </w:rPr>
              <w:t>排入园区下水管网，进入</w:t>
            </w:r>
            <w:r>
              <w:rPr>
                <w:rFonts w:hint="default" w:ascii="Times New Roman" w:hAnsi="Times New Roman" w:cs="Times New Roman"/>
                <w:b w:val="0"/>
                <w:bCs w:val="0"/>
                <w:color w:val="auto"/>
                <w:sz w:val="21"/>
                <w:szCs w:val="21"/>
                <w:highlight w:val="none"/>
                <w:lang w:eastAsia="zh-CN"/>
              </w:rPr>
              <w:t>库尔勒经济技术开发区工业废水处理回用厂</w:t>
            </w:r>
            <w:r>
              <w:rPr>
                <w:rFonts w:hint="default" w:ascii="Times New Roman" w:hAnsi="Times New Roman" w:cs="Times New Roman"/>
                <w:b w:val="0"/>
                <w:bCs w:val="0"/>
                <w:color w:val="auto"/>
                <w:sz w:val="21"/>
                <w:szCs w:val="21"/>
                <w:highlight w:val="none"/>
                <w:lang w:val="en-US" w:eastAsia="zh-CN"/>
              </w:rPr>
              <w:t>深度处理</w:t>
            </w:r>
            <w:r>
              <w:rPr>
                <w:rFonts w:hint="default" w:ascii="Times New Roman" w:hAnsi="Times New Roman" w:eastAsia="宋体" w:cs="Times New Roman"/>
                <w:color w:val="auto"/>
                <w:sz w:val="21"/>
                <w:szCs w:val="21"/>
                <w:highlight w:val="none"/>
                <w:lang w:val="en-US" w:eastAsia="zh-CN"/>
              </w:rPr>
              <w:t>。</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⑤原料清洗废水</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根据前文分析，原料第一次清洗用水更换废水产生量为655.2</w:t>
            </w:r>
            <w:r>
              <w:rPr>
                <w:rFonts w:hint="default" w:ascii="Times New Roman" w:hAnsi="Times New Roman" w:eastAsia="宋体" w:cs="Times New Roman"/>
                <w:b w:val="0"/>
                <w:bCs w:val="0"/>
                <w:color w:val="auto"/>
                <w:sz w:val="21"/>
                <w:szCs w:val="21"/>
                <w:highlight w:val="none"/>
                <w:lang w:val="en-US" w:eastAsia="zh-CN"/>
              </w:rPr>
              <w:t>m</w:t>
            </w:r>
            <w:r>
              <w:rPr>
                <w:rFonts w:hint="default" w:ascii="Times New Roman" w:hAnsi="Times New Roman" w:eastAsia="宋体" w:cs="Times New Roman"/>
                <w:b w:val="0"/>
                <w:bCs w:val="0"/>
                <w:color w:val="auto"/>
                <w:sz w:val="21"/>
                <w:szCs w:val="21"/>
                <w:highlight w:val="none"/>
                <w:vertAlign w:val="superscript"/>
                <w:lang w:val="en-US" w:eastAsia="zh-CN"/>
              </w:rPr>
              <w:t>3</w:t>
            </w:r>
            <w:r>
              <w:rPr>
                <w:rFonts w:hint="default" w:ascii="Times New Roman" w:hAnsi="Times New Roman" w:eastAsia="宋体" w:cs="Times New Roman"/>
                <w:b w:val="0"/>
                <w:bCs w:val="0"/>
                <w:color w:val="auto"/>
                <w:sz w:val="21"/>
                <w:szCs w:val="21"/>
                <w:highlight w:val="none"/>
                <w:lang w:val="en-US" w:eastAsia="zh-CN"/>
              </w:rPr>
              <w:t>/a</w:t>
            </w:r>
            <w:r>
              <w:rPr>
                <w:rFonts w:hint="default" w:ascii="Times New Roman" w:hAnsi="Times New Roman" w:cs="Times New Roman"/>
                <w:color w:val="auto"/>
                <w:sz w:val="21"/>
                <w:szCs w:val="21"/>
                <w:highlight w:val="none"/>
                <w:lang w:val="en-US" w:eastAsia="zh-CN"/>
              </w:rPr>
              <w:t>，第二次清洗用水更换废水产生量为327.6</w:t>
            </w:r>
            <w:r>
              <w:rPr>
                <w:rFonts w:hint="default" w:ascii="Times New Roman" w:hAnsi="Times New Roman" w:eastAsia="宋体" w:cs="Times New Roman"/>
                <w:b w:val="0"/>
                <w:bCs w:val="0"/>
                <w:color w:val="auto"/>
                <w:sz w:val="21"/>
                <w:szCs w:val="21"/>
                <w:highlight w:val="none"/>
                <w:lang w:val="en-US" w:eastAsia="zh-CN"/>
              </w:rPr>
              <w:t>m</w:t>
            </w:r>
            <w:r>
              <w:rPr>
                <w:rFonts w:hint="default" w:ascii="Times New Roman" w:hAnsi="Times New Roman" w:eastAsia="宋体" w:cs="Times New Roman"/>
                <w:b w:val="0"/>
                <w:bCs w:val="0"/>
                <w:color w:val="auto"/>
                <w:sz w:val="21"/>
                <w:szCs w:val="21"/>
                <w:highlight w:val="none"/>
                <w:vertAlign w:val="superscript"/>
                <w:lang w:val="en-US" w:eastAsia="zh-CN"/>
              </w:rPr>
              <w:t>3</w:t>
            </w:r>
            <w:r>
              <w:rPr>
                <w:rFonts w:hint="default" w:ascii="Times New Roman" w:hAnsi="Times New Roman" w:eastAsia="宋体" w:cs="Times New Roman"/>
                <w:b w:val="0"/>
                <w:bCs w:val="0"/>
                <w:color w:val="auto"/>
                <w:sz w:val="21"/>
                <w:szCs w:val="21"/>
                <w:highlight w:val="none"/>
                <w:lang w:val="en-US" w:eastAsia="zh-CN"/>
              </w:rPr>
              <w:t>/a</w:t>
            </w:r>
            <w:r>
              <w:rPr>
                <w:rFonts w:hint="default" w:ascii="Times New Roman" w:hAnsi="Times New Roman" w:cs="Times New Roman"/>
                <w:color w:val="auto"/>
                <w:sz w:val="21"/>
                <w:szCs w:val="21"/>
                <w:highlight w:val="none"/>
                <w:lang w:val="en-US" w:eastAsia="zh-CN"/>
              </w:rPr>
              <w:t>，则原料清洗废水合计产生量为982.8</w:t>
            </w:r>
            <w:r>
              <w:rPr>
                <w:rFonts w:hint="default" w:ascii="Times New Roman" w:hAnsi="Times New Roman" w:eastAsia="宋体" w:cs="Times New Roman"/>
                <w:b w:val="0"/>
                <w:bCs w:val="0"/>
                <w:color w:val="auto"/>
                <w:sz w:val="21"/>
                <w:szCs w:val="21"/>
                <w:highlight w:val="none"/>
                <w:lang w:val="en-US" w:eastAsia="zh-CN"/>
              </w:rPr>
              <w:t>m</w:t>
            </w:r>
            <w:r>
              <w:rPr>
                <w:rFonts w:hint="default" w:ascii="Times New Roman" w:hAnsi="Times New Roman" w:eastAsia="宋体" w:cs="Times New Roman"/>
                <w:b w:val="0"/>
                <w:bCs w:val="0"/>
                <w:color w:val="auto"/>
                <w:sz w:val="21"/>
                <w:szCs w:val="21"/>
                <w:highlight w:val="none"/>
                <w:vertAlign w:val="superscript"/>
                <w:lang w:val="en-US" w:eastAsia="zh-CN"/>
              </w:rPr>
              <w:t>3</w:t>
            </w:r>
            <w:r>
              <w:rPr>
                <w:rFonts w:hint="default" w:ascii="Times New Roman" w:hAnsi="Times New Roman" w:eastAsia="宋体" w:cs="Times New Roman"/>
                <w:b w:val="0"/>
                <w:bCs w:val="0"/>
                <w:color w:val="auto"/>
                <w:sz w:val="21"/>
                <w:szCs w:val="21"/>
                <w:highlight w:val="none"/>
                <w:lang w:val="en-US" w:eastAsia="zh-CN"/>
              </w:rPr>
              <w:t>/a</w:t>
            </w:r>
            <w:r>
              <w:rPr>
                <w:rFonts w:hint="default" w:ascii="Times New Roman" w:hAnsi="Times New Roman" w:cs="Times New Roman"/>
                <w:b w:val="0"/>
                <w:bCs w:val="0"/>
                <w:color w:val="auto"/>
                <w:sz w:val="21"/>
                <w:szCs w:val="21"/>
                <w:highlight w:val="none"/>
                <w:lang w:val="en-US" w:eastAsia="zh-CN"/>
              </w:rPr>
              <w:t>，排入厂内污水处理站进行处理</w:t>
            </w:r>
            <w:r>
              <w:rPr>
                <w:rFonts w:hint="default" w:ascii="Times New Roman" w:hAnsi="Times New Roman" w:eastAsia="宋体" w:cs="Times New Roman"/>
                <w:color w:val="auto"/>
                <w:sz w:val="21"/>
                <w:szCs w:val="21"/>
                <w:highlight w:val="none"/>
                <w:lang w:val="en-US" w:eastAsia="zh-CN"/>
              </w:rPr>
              <w:t>。</w:t>
            </w:r>
          </w:p>
          <w:p>
            <w:pPr>
              <w:keepNext w:val="0"/>
              <w:keepLines w:val="0"/>
              <w:pageBreakBefore w:val="0"/>
              <w:widowControl/>
              <w:suppressLineNumbers w:val="0"/>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综上所述，本项目废水合计产生量为25127.07</w:t>
            </w:r>
            <w:r>
              <w:rPr>
                <w:rFonts w:hint="default" w:ascii="Times New Roman" w:hAnsi="Times New Roman" w:eastAsia="宋体" w:cs="Times New Roman"/>
                <w:b w:val="0"/>
                <w:bCs w:val="0"/>
                <w:color w:val="auto"/>
                <w:sz w:val="21"/>
                <w:szCs w:val="21"/>
                <w:highlight w:val="none"/>
                <w:lang w:val="en-US" w:eastAsia="zh-CN"/>
              </w:rPr>
              <w:t>m</w:t>
            </w:r>
            <w:r>
              <w:rPr>
                <w:rFonts w:hint="default" w:ascii="Times New Roman" w:hAnsi="Times New Roman" w:eastAsia="宋体" w:cs="Times New Roman"/>
                <w:b w:val="0"/>
                <w:bCs w:val="0"/>
                <w:color w:val="auto"/>
                <w:sz w:val="21"/>
                <w:szCs w:val="21"/>
                <w:highlight w:val="none"/>
                <w:vertAlign w:val="superscript"/>
                <w:lang w:val="en-US" w:eastAsia="zh-CN"/>
              </w:rPr>
              <w:t>3</w:t>
            </w:r>
            <w:r>
              <w:rPr>
                <w:rFonts w:hint="default" w:ascii="Times New Roman" w:hAnsi="Times New Roman" w:eastAsia="宋体" w:cs="Times New Roman"/>
                <w:b w:val="0"/>
                <w:bCs w:val="0"/>
                <w:color w:val="auto"/>
                <w:sz w:val="21"/>
                <w:szCs w:val="21"/>
                <w:highlight w:val="none"/>
                <w:lang w:val="en-US" w:eastAsia="zh-CN"/>
              </w:rPr>
              <w:t>/a</w:t>
            </w:r>
            <w:r>
              <w:rPr>
                <w:rFonts w:hint="default" w:ascii="Times New Roman" w:hAnsi="Times New Roman" w:cs="Times New Roman"/>
                <w:b w:val="0"/>
                <w:bCs w:val="0"/>
                <w:color w:val="auto"/>
                <w:sz w:val="21"/>
                <w:szCs w:val="21"/>
                <w:highlight w:val="none"/>
                <w:lang w:val="en-US" w:eastAsia="zh-CN"/>
              </w:rPr>
              <w:t>，其中CIP系统清洗废水、洗瓶废水、原料清洗废水等排入厂内污水站处理后，再与</w:t>
            </w:r>
            <w:r>
              <w:rPr>
                <w:rFonts w:hint="eastAsia" w:cs="Times New Roman"/>
                <w:b w:val="0"/>
                <w:bCs w:val="0"/>
                <w:color w:val="auto"/>
                <w:sz w:val="21"/>
                <w:szCs w:val="21"/>
                <w:highlight w:val="none"/>
                <w:lang w:val="en-US" w:eastAsia="zh-CN"/>
              </w:rPr>
              <w:t>锅炉</w:t>
            </w:r>
            <w:r>
              <w:rPr>
                <w:rFonts w:hint="default" w:ascii="Times New Roman" w:hAnsi="Times New Roman" w:cs="Times New Roman"/>
                <w:b w:val="0"/>
                <w:bCs w:val="0"/>
                <w:color w:val="auto"/>
                <w:sz w:val="21"/>
                <w:szCs w:val="21"/>
                <w:highlight w:val="none"/>
                <w:lang w:val="en-US" w:eastAsia="zh-CN"/>
              </w:rPr>
              <w:t>排污水、纯水制备废水</w:t>
            </w:r>
            <w:r>
              <w:rPr>
                <w:rFonts w:hint="eastAsia" w:cs="Times New Roman"/>
                <w:b w:val="0"/>
                <w:bCs w:val="0"/>
                <w:color w:val="auto"/>
                <w:sz w:val="21"/>
                <w:szCs w:val="21"/>
                <w:highlight w:val="none"/>
                <w:lang w:val="en-US" w:eastAsia="zh-CN"/>
              </w:rPr>
              <w:t>及经化粪池预处理的生活污水</w:t>
            </w:r>
            <w:r>
              <w:rPr>
                <w:rFonts w:hint="default" w:ascii="Times New Roman" w:hAnsi="Times New Roman" w:cs="Times New Roman"/>
                <w:b w:val="0"/>
                <w:bCs w:val="0"/>
                <w:color w:val="auto"/>
                <w:sz w:val="21"/>
                <w:szCs w:val="21"/>
                <w:highlight w:val="none"/>
                <w:lang w:val="en-US" w:eastAsia="zh-CN"/>
              </w:rPr>
              <w:t>等一同排入</w:t>
            </w:r>
            <w:r>
              <w:rPr>
                <w:rFonts w:hint="default" w:ascii="Times New Roman" w:hAnsi="Times New Roman" w:eastAsia="宋体" w:cs="Times New Roman"/>
                <w:b w:val="0"/>
                <w:bCs w:val="0"/>
                <w:color w:val="auto"/>
                <w:sz w:val="21"/>
                <w:szCs w:val="21"/>
                <w:highlight w:val="none"/>
                <w:lang w:eastAsia="zh-CN"/>
              </w:rPr>
              <w:t>园区下水管网，进入</w:t>
            </w:r>
            <w:r>
              <w:rPr>
                <w:rFonts w:hint="default" w:ascii="Times New Roman" w:hAnsi="Times New Roman" w:cs="Times New Roman"/>
                <w:b w:val="0"/>
                <w:bCs w:val="0"/>
                <w:color w:val="auto"/>
                <w:sz w:val="21"/>
                <w:szCs w:val="21"/>
                <w:highlight w:val="none"/>
                <w:lang w:eastAsia="zh-CN"/>
              </w:rPr>
              <w:t>库尔勒经济技术开发区工业废水处理回用厂</w:t>
            </w:r>
            <w:r>
              <w:rPr>
                <w:rFonts w:hint="default" w:ascii="Times New Roman" w:hAnsi="Times New Roman" w:cs="Times New Roman"/>
                <w:b w:val="0"/>
                <w:bCs w:val="0"/>
                <w:color w:val="auto"/>
                <w:sz w:val="21"/>
                <w:szCs w:val="21"/>
                <w:highlight w:val="none"/>
                <w:lang w:val="en-US" w:eastAsia="zh-CN"/>
              </w:rPr>
              <w:t>深度处理</w:t>
            </w:r>
            <w:r>
              <w:rPr>
                <w:rFonts w:hint="default" w:ascii="Times New Roman" w:hAnsi="Times New Roman" w:eastAsia="宋体" w:cs="Times New Roman"/>
                <w:color w:val="auto"/>
                <w:sz w:val="21"/>
                <w:szCs w:val="21"/>
                <w:highlight w:val="none"/>
                <w:lang w:val="en-US" w:eastAsia="zh-CN"/>
              </w:rPr>
              <w:t>。</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left"/>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本项目水平衡分析见下图。</w:t>
            </w:r>
          </w:p>
          <w:p>
            <w:pPr>
              <w:keepNext w:val="0"/>
              <w:keepLines w:val="0"/>
              <w:pageBreakBefore w:val="0"/>
              <w:widowControl/>
              <w:suppressLineNumbers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color w:val="auto"/>
                <w:sz w:val="21"/>
                <w:szCs w:val="21"/>
                <w:lang w:eastAsia="zh-CN"/>
              </w:rPr>
              <w:object>
                <v:shape id="_x0000_i1025" o:spt="75" type="#_x0000_t75" style="height:386.3pt;width:418.4pt;" o:ole="t" filled="f" o:preferrelative="t" stroked="f" coordsize="21600,21600">
                  <v:path/>
                  <v:fill on="f" focussize="0,0"/>
                  <v:stroke on="f"/>
                  <v:imagedata r:id="rId9" o:title=""/>
                  <o:lock v:ext="edit" aspectratio="t"/>
                  <w10:wrap type="none"/>
                  <w10:anchorlock/>
                </v:shape>
                <o:OLEObject Type="Embed" ProgID="Visio.Drawing.11" ShapeID="_x0000_i1025" DrawAspect="Content" ObjectID="_1468075725" r:id="rId8">
                  <o:LockedField>false</o:LockedField>
                </o:OLEObject>
              </w:object>
            </w:r>
            <w:r>
              <w:rPr>
                <w:rFonts w:hint="default" w:ascii="Times New Roman" w:hAnsi="Times New Roman" w:eastAsia="宋体" w:cs="Times New Roman"/>
                <w:b/>
                <w:bCs/>
                <w:color w:val="auto"/>
                <w:sz w:val="21"/>
                <w:szCs w:val="21"/>
                <w:highlight w:val="none"/>
                <w:lang w:val="en-US" w:eastAsia="zh-CN"/>
              </w:rPr>
              <w:t xml:space="preserve">图2-1  </w:t>
            </w:r>
            <w:r>
              <w:rPr>
                <w:rFonts w:hint="default" w:ascii="Times New Roman" w:hAnsi="Times New Roman" w:cs="Times New Roman"/>
                <w:b/>
                <w:bCs/>
                <w:color w:val="auto"/>
                <w:sz w:val="21"/>
                <w:szCs w:val="21"/>
                <w:highlight w:val="none"/>
                <w:lang w:val="en-US" w:eastAsia="zh-CN"/>
              </w:rPr>
              <w:t>本项目</w:t>
            </w:r>
            <w:r>
              <w:rPr>
                <w:rFonts w:hint="default" w:ascii="Times New Roman" w:hAnsi="Times New Roman" w:eastAsia="宋体" w:cs="Times New Roman"/>
                <w:b/>
                <w:bCs/>
                <w:color w:val="auto"/>
                <w:sz w:val="21"/>
                <w:szCs w:val="21"/>
                <w:highlight w:val="none"/>
                <w:lang w:val="en-US" w:eastAsia="zh-CN"/>
              </w:rPr>
              <w:t>水平衡图</w:t>
            </w:r>
            <w:r>
              <w:rPr>
                <w:rFonts w:hint="default" w:ascii="Times New Roman" w:hAnsi="Times New Roman" w:cs="Times New Roman"/>
                <w:b/>
                <w:bCs/>
                <w:color w:val="auto"/>
                <w:sz w:val="21"/>
                <w:szCs w:val="21"/>
                <w:highlight w:val="none"/>
                <w:lang w:val="en-US" w:eastAsia="zh-CN"/>
              </w:rPr>
              <w:t>（</w:t>
            </w:r>
            <w:r>
              <w:rPr>
                <w:rFonts w:hint="default" w:ascii="Times New Roman" w:hAnsi="Times New Roman" w:eastAsia="宋体" w:cs="Times New Roman"/>
                <w:b/>
                <w:bCs/>
                <w:color w:val="auto"/>
                <w:sz w:val="21"/>
                <w:szCs w:val="21"/>
                <w:highlight w:val="none"/>
                <w:lang w:val="en-US" w:eastAsia="zh-CN"/>
              </w:rPr>
              <w:t>单位：m</w:t>
            </w:r>
            <w:r>
              <w:rPr>
                <w:rFonts w:hint="default" w:ascii="Times New Roman" w:hAnsi="Times New Roman" w:eastAsia="宋体" w:cs="Times New Roman"/>
                <w:b/>
                <w:bCs/>
                <w:color w:val="auto"/>
                <w:sz w:val="21"/>
                <w:szCs w:val="21"/>
                <w:highlight w:val="none"/>
                <w:vertAlign w:val="superscript"/>
                <w:lang w:val="en-US" w:eastAsia="zh-CN"/>
              </w:rPr>
              <w:t>3</w:t>
            </w:r>
            <w:r>
              <w:rPr>
                <w:rFonts w:hint="default" w:ascii="Times New Roman" w:hAnsi="Times New Roman" w:eastAsia="宋体" w:cs="Times New Roman"/>
                <w:b/>
                <w:bCs/>
                <w:color w:val="auto"/>
                <w:sz w:val="21"/>
                <w:szCs w:val="21"/>
                <w:highlight w:val="none"/>
                <w:lang w:val="en-US" w:eastAsia="zh-CN"/>
              </w:rPr>
              <w:t>/</w:t>
            </w:r>
            <w:r>
              <w:rPr>
                <w:rFonts w:hint="default" w:ascii="Times New Roman" w:hAnsi="Times New Roman" w:cs="Times New Roman"/>
                <w:b/>
                <w:bCs/>
                <w:color w:val="auto"/>
                <w:sz w:val="21"/>
                <w:szCs w:val="21"/>
                <w:highlight w:val="none"/>
                <w:lang w:val="en-US" w:eastAsia="zh-CN"/>
              </w:rPr>
              <w:t>a）</w:t>
            </w:r>
          </w:p>
          <w:p>
            <w:pPr>
              <w:keepNext w:val="0"/>
              <w:keepLines w:val="0"/>
              <w:pageBreakBefore w:val="0"/>
              <w:widowControl/>
              <w:suppressLineNumbers w:val="0"/>
              <w:kinsoku/>
              <w:wordWrap/>
              <w:overflowPunct/>
              <w:topLinePunct w:val="0"/>
              <w:autoSpaceDE/>
              <w:autoSpaceDN/>
              <w:bidi w:val="0"/>
              <w:adjustRightInd/>
              <w:snapToGrid/>
              <w:spacing w:line="360" w:lineRule="auto"/>
              <w:jc w:val="left"/>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八、</w:t>
            </w:r>
            <w:r>
              <w:rPr>
                <w:rFonts w:hint="default" w:ascii="Times New Roman" w:hAnsi="Times New Roman" w:eastAsia="宋体" w:cs="Times New Roman"/>
                <w:b/>
                <w:bCs/>
                <w:color w:val="auto"/>
                <w:sz w:val="21"/>
                <w:szCs w:val="21"/>
                <w:highlight w:val="none"/>
                <w:lang w:val="en-US" w:eastAsia="zh-CN"/>
              </w:rPr>
              <w:t>劳动定员及工作制度</w:t>
            </w:r>
          </w:p>
          <w:p>
            <w:pPr>
              <w:spacing w:line="360" w:lineRule="auto"/>
              <w:ind w:firstLine="420" w:firstLineChars="200"/>
              <w:rPr>
                <w:rFonts w:hint="default" w:ascii="Times New Roman" w:hAnsi="Times New Roman" w:cs="Times New Roman"/>
                <w:bCs/>
                <w:color w:val="auto"/>
                <w:sz w:val="21"/>
                <w:szCs w:val="21"/>
                <w:highlight w:val="none"/>
                <w:lang w:val="en-US" w:eastAsia="zh-CN"/>
              </w:rPr>
            </w:pPr>
            <w:r>
              <w:rPr>
                <w:rFonts w:hint="default" w:ascii="Times New Roman" w:hAnsi="Times New Roman" w:cs="Times New Roman"/>
                <w:bCs/>
                <w:color w:val="auto"/>
                <w:sz w:val="21"/>
                <w:szCs w:val="21"/>
                <w:highlight w:val="none"/>
                <w:lang w:val="en-US" w:eastAsia="zh-CN"/>
              </w:rPr>
              <w:t>项目总定员为60人，其中管理岗位10人、生产岗位50人。除少数职能部门人员为一班外，其余大部分人员为两班工作制，每班8小时，每天生产16小时，年生产273天，</w:t>
            </w:r>
            <w:r>
              <w:rPr>
                <w:rFonts w:hint="eastAsia" w:cs="Times New Roman"/>
                <w:bCs/>
                <w:color w:val="auto"/>
                <w:sz w:val="21"/>
                <w:szCs w:val="21"/>
                <w:highlight w:val="none"/>
                <w:lang w:val="en-US" w:eastAsia="zh-CN"/>
              </w:rPr>
              <w:t>4368h，</w:t>
            </w:r>
            <w:r>
              <w:rPr>
                <w:rFonts w:hint="default" w:ascii="Times New Roman" w:hAnsi="Times New Roman" w:cs="Times New Roman"/>
                <w:bCs/>
                <w:color w:val="auto"/>
                <w:sz w:val="21"/>
                <w:szCs w:val="21"/>
                <w:highlight w:val="none"/>
                <w:lang w:val="en-US" w:eastAsia="zh-CN"/>
              </w:rPr>
              <w:t>冬季不生产。</w:t>
            </w:r>
          </w:p>
          <w:p>
            <w:pPr>
              <w:spacing w:line="360" w:lineRule="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lang w:val="en-US" w:eastAsia="zh-CN"/>
              </w:rPr>
              <w:t>九、</w:t>
            </w:r>
            <w:r>
              <w:rPr>
                <w:rFonts w:hint="default" w:ascii="Times New Roman" w:hAnsi="Times New Roman" w:cs="Times New Roman"/>
                <w:b/>
                <w:bCs/>
                <w:color w:val="auto"/>
                <w:sz w:val="21"/>
                <w:szCs w:val="21"/>
                <w:highlight w:val="none"/>
              </w:rPr>
              <w:t>厂区平面布置</w:t>
            </w:r>
          </w:p>
          <w:p>
            <w:pPr>
              <w:spacing w:line="360" w:lineRule="auto"/>
              <w:ind w:firstLine="420" w:firstLineChars="200"/>
              <w:rPr>
                <w:rFonts w:hint="default" w:ascii="Times New Roman" w:hAnsi="Times New Roman" w:eastAsia="宋体" w:cs="Times New Roman"/>
                <w:bCs/>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本项目厂区</w:t>
            </w:r>
            <w:r>
              <w:rPr>
                <w:rFonts w:hint="default" w:ascii="Times New Roman" w:hAnsi="Times New Roman" w:cs="Times New Roman"/>
                <w:bCs/>
                <w:color w:val="auto"/>
                <w:sz w:val="21"/>
                <w:szCs w:val="21"/>
                <w:highlight w:val="none"/>
                <w:lang w:val="en-US" w:eastAsia="zh-CN"/>
              </w:rPr>
              <w:t>北侧、东侧</w:t>
            </w:r>
            <w:r>
              <w:rPr>
                <w:rFonts w:hint="eastAsia" w:cs="Times New Roman"/>
                <w:bCs/>
                <w:color w:val="auto"/>
                <w:sz w:val="21"/>
                <w:szCs w:val="21"/>
                <w:highlight w:val="none"/>
                <w:lang w:val="en-US" w:eastAsia="zh-CN"/>
              </w:rPr>
              <w:t>各</w:t>
            </w:r>
            <w:r>
              <w:rPr>
                <w:rFonts w:hint="default" w:ascii="Times New Roman" w:hAnsi="Times New Roman" w:cs="Times New Roman"/>
                <w:bCs/>
                <w:color w:val="auto"/>
                <w:sz w:val="21"/>
                <w:szCs w:val="21"/>
                <w:highlight w:val="none"/>
                <w:lang w:val="en-US" w:eastAsia="zh-CN"/>
              </w:rPr>
              <w:t>设置一处出入口，主入口位于场地北侧，与友谊路相接。项目区东</w:t>
            </w:r>
            <w:r>
              <w:rPr>
                <w:rFonts w:hint="eastAsia" w:cs="Times New Roman"/>
                <w:bCs/>
                <w:color w:val="auto"/>
                <w:sz w:val="21"/>
                <w:szCs w:val="21"/>
                <w:highlight w:val="none"/>
                <w:lang w:val="en-US" w:eastAsia="zh-CN"/>
              </w:rPr>
              <w:t>北</w:t>
            </w:r>
            <w:r>
              <w:rPr>
                <w:rFonts w:hint="default" w:ascii="Times New Roman" w:hAnsi="Times New Roman" w:cs="Times New Roman"/>
                <w:bCs/>
                <w:color w:val="auto"/>
                <w:sz w:val="21"/>
                <w:szCs w:val="21"/>
                <w:highlight w:val="none"/>
                <w:lang w:val="en-US" w:eastAsia="zh-CN"/>
              </w:rPr>
              <w:t>侧为办公楼（已建），用于职工办公</w:t>
            </w:r>
            <w:r>
              <w:rPr>
                <w:rFonts w:hint="eastAsia" w:cs="Times New Roman"/>
                <w:bCs/>
                <w:color w:val="auto"/>
                <w:sz w:val="21"/>
                <w:szCs w:val="21"/>
                <w:highlight w:val="none"/>
                <w:lang w:val="en-US" w:eastAsia="zh-CN"/>
              </w:rPr>
              <w:t>生活</w:t>
            </w:r>
            <w:r>
              <w:rPr>
                <w:rFonts w:hint="default" w:ascii="Times New Roman" w:hAnsi="Times New Roman" w:cs="Times New Roman"/>
                <w:bCs/>
                <w:color w:val="auto"/>
                <w:sz w:val="21"/>
                <w:szCs w:val="21"/>
                <w:highlight w:val="none"/>
                <w:lang w:val="en-US" w:eastAsia="zh-CN"/>
              </w:rPr>
              <w:t>；办公楼西侧为拟建门卫室，拟建生产车间</w:t>
            </w:r>
            <w:r>
              <w:rPr>
                <w:rFonts w:hint="eastAsia" w:cs="Times New Roman"/>
                <w:bCs/>
                <w:color w:val="auto"/>
                <w:sz w:val="21"/>
                <w:szCs w:val="21"/>
                <w:highlight w:val="none"/>
                <w:lang w:val="en-US" w:eastAsia="zh-CN"/>
              </w:rPr>
              <w:t>位于厂区中南部</w:t>
            </w:r>
            <w:r>
              <w:rPr>
                <w:rFonts w:hint="default" w:ascii="Times New Roman" w:hAnsi="Times New Roman" w:cs="Times New Roman"/>
                <w:bCs/>
                <w:color w:val="auto"/>
                <w:sz w:val="21"/>
                <w:szCs w:val="21"/>
                <w:highlight w:val="none"/>
                <w:lang w:val="en-US" w:eastAsia="zh-CN"/>
              </w:rPr>
              <w:t>。</w:t>
            </w:r>
            <w:r>
              <w:rPr>
                <w:rFonts w:hint="eastAsia" w:cs="Times New Roman"/>
                <w:bCs/>
                <w:color w:val="auto"/>
                <w:sz w:val="21"/>
                <w:szCs w:val="21"/>
                <w:highlight w:val="none"/>
                <w:lang w:val="en-US" w:eastAsia="zh-CN"/>
              </w:rPr>
              <w:t>项目污水处理站布置于厂区东南角，位于常年主导风向下风向，且与生活区有较远距离；</w:t>
            </w:r>
            <w:r>
              <w:rPr>
                <w:rFonts w:hint="default" w:ascii="Times New Roman" w:hAnsi="Times New Roman" w:cs="Times New Roman"/>
                <w:bCs/>
                <w:color w:val="auto"/>
                <w:sz w:val="21"/>
                <w:szCs w:val="21"/>
                <w:highlight w:val="none"/>
                <w:lang w:val="en-US" w:eastAsia="zh-CN"/>
              </w:rPr>
              <w:t>厂房周边规划了大面积硬化地面，便于大型货车停放和装卸货物。</w:t>
            </w:r>
            <w:r>
              <w:rPr>
                <w:rFonts w:hint="eastAsia" w:cs="Times New Roman"/>
                <w:bCs/>
                <w:color w:val="auto"/>
                <w:sz w:val="21"/>
                <w:szCs w:val="21"/>
                <w:highlight w:val="none"/>
                <w:lang w:val="en-US" w:eastAsia="zh-CN"/>
              </w:rPr>
              <w:t>本项目厂区平面布置</w:t>
            </w:r>
            <w:r>
              <w:rPr>
                <w:rFonts w:hint="default" w:ascii="Times New Roman" w:hAnsi="Times New Roman" w:eastAsia="宋体" w:cs="Times New Roman"/>
                <w:bCs/>
                <w:color w:val="auto"/>
                <w:sz w:val="21"/>
                <w:szCs w:val="21"/>
                <w:highlight w:val="none"/>
                <w:lang w:val="en-US" w:eastAsia="zh-CN"/>
              </w:rPr>
              <w:t>详见图</w:t>
            </w:r>
            <w:r>
              <w:rPr>
                <w:rFonts w:hint="eastAsia" w:cs="Times New Roman"/>
                <w:bCs/>
                <w:color w:val="auto"/>
                <w:sz w:val="21"/>
                <w:szCs w:val="21"/>
                <w:highlight w:val="none"/>
                <w:lang w:val="en-US" w:eastAsia="zh-CN"/>
              </w:rPr>
              <w:t>4</w:t>
            </w:r>
            <w:r>
              <w:rPr>
                <w:rFonts w:hint="default" w:ascii="Times New Roman" w:hAnsi="Times New Roman" w:eastAsia="宋体" w:cs="Times New Roman"/>
                <w:bCs/>
                <w:color w:val="auto"/>
                <w:sz w:val="21"/>
                <w:szCs w:val="21"/>
                <w:highlight w:val="none"/>
                <w:lang w:val="en-US" w:eastAsia="zh-CN"/>
              </w:rPr>
              <w:t>。</w:t>
            </w:r>
          </w:p>
          <w:p>
            <w:pPr>
              <w:spacing w:line="360" w:lineRule="auto"/>
              <w:ind w:firstLine="420" w:firstLineChars="200"/>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本项目生产设施按生产工艺布局，结构紧凑，</w:t>
            </w:r>
            <w:r>
              <w:rPr>
                <w:rFonts w:hint="default" w:ascii="Times New Roman" w:hAnsi="Times New Roman" w:cs="Times New Roman"/>
                <w:bCs/>
                <w:color w:val="auto"/>
                <w:sz w:val="21"/>
                <w:szCs w:val="21"/>
                <w:highlight w:val="none"/>
                <w:lang w:val="en-US" w:eastAsia="zh-CN"/>
              </w:rPr>
              <w:t>污染源</w:t>
            </w:r>
            <w:r>
              <w:rPr>
                <w:rFonts w:hint="default" w:ascii="Times New Roman" w:hAnsi="Times New Roman" w:eastAsia="宋体" w:cs="Times New Roman"/>
                <w:bCs/>
                <w:color w:val="auto"/>
                <w:sz w:val="21"/>
                <w:szCs w:val="21"/>
                <w:highlight w:val="none"/>
                <w:lang w:val="en-US" w:eastAsia="zh-CN"/>
              </w:rPr>
              <w:t>较为集中，便于治理，利于有组织生产，项目功能分区明确，生产车间工艺短捷、物流顺畅、布局合理紧凑、节约用地，从工艺、节约用地和环保角度，项目的厂区平面布置较为合理。</w:t>
            </w:r>
          </w:p>
          <w:p>
            <w:pPr>
              <w:adjustRightInd w:val="0"/>
              <w:snapToGrid w:val="0"/>
              <w:spacing w:line="360" w:lineRule="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lang w:val="en-US" w:eastAsia="zh-CN"/>
              </w:rPr>
              <w:t>十、</w:t>
            </w:r>
            <w:r>
              <w:rPr>
                <w:rFonts w:hint="default" w:ascii="Times New Roman" w:hAnsi="Times New Roman" w:cs="Times New Roman"/>
                <w:b/>
                <w:bCs/>
                <w:color w:val="auto"/>
                <w:sz w:val="21"/>
                <w:szCs w:val="21"/>
                <w:highlight w:val="none"/>
              </w:rPr>
              <w:t>项目环保投资估算</w:t>
            </w:r>
          </w:p>
          <w:p>
            <w:pPr>
              <w:spacing w:line="360" w:lineRule="auto"/>
              <w:ind w:firstLine="48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本项目总投资</w:t>
            </w:r>
            <w:r>
              <w:rPr>
                <w:rFonts w:hint="default" w:ascii="Times New Roman" w:hAnsi="Times New Roman" w:eastAsia="仿宋" w:cs="Times New Roman"/>
                <w:color w:val="auto"/>
                <w:sz w:val="21"/>
                <w:szCs w:val="21"/>
                <w:highlight w:val="none"/>
                <w:lang w:val="en-US" w:eastAsia="zh-CN"/>
              </w:rPr>
              <w:t>5000</w:t>
            </w:r>
            <w:r>
              <w:rPr>
                <w:rFonts w:hint="default" w:ascii="Times New Roman" w:hAnsi="Times New Roman" w:cs="Times New Roman"/>
                <w:color w:val="auto"/>
                <w:sz w:val="21"/>
                <w:szCs w:val="21"/>
                <w:highlight w:val="none"/>
              </w:rPr>
              <w:t>万元，其中环保投资</w:t>
            </w:r>
            <w:r>
              <w:rPr>
                <w:rFonts w:hint="default" w:ascii="Times New Roman" w:hAnsi="Times New Roman" w:cs="Times New Roman"/>
                <w:color w:val="auto"/>
                <w:sz w:val="21"/>
                <w:szCs w:val="21"/>
                <w:highlight w:val="none"/>
                <w:lang w:val="en-US" w:eastAsia="zh-CN"/>
              </w:rPr>
              <w:t>114</w:t>
            </w:r>
            <w:r>
              <w:rPr>
                <w:rFonts w:hint="default" w:ascii="Times New Roman" w:hAnsi="Times New Roman" w:cs="Times New Roman"/>
                <w:color w:val="auto"/>
                <w:sz w:val="21"/>
                <w:szCs w:val="21"/>
                <w:highlight w:val="none"/>
              </w:rPr>
              <w:t>万元，占投资的</w:t>
            </w:r>
            <w:r>
              <w:rPr>
                <w:rFonts w:hint="default" w:ascii="Times New Roman" w:hAnsi="Times New Roman" w:cs="Times New Roman"/>
                <w:color w:val="auto"/>
                <w:sz w:val="21"/>
                <w:szCs w:val="21"/>
                <w:highlight w:val="none"/>
                <w:lang w:val="en-US" w:eastAsia="zh-CN"/>
              </w:rPr>
              <w:t>2.28</w:t>
            </w:r>
            <w:r>
              <w:rPr>
                <w:rFonts w:hint="default" w:ascii="Times New Roman" w:hAnsi="Times New Roman" w:cs="Times New Roman"/>
                <w:color w:val="auto"/>
                <w:sz w:val="21"/>
                <w:szCs w:val="21"/>
                <w:highlight w:val="none"/>
              </w:rPr>
              <w:t>%，具体情况见表</w:t>
            </w:r>
            <w:r>
              <w:rPr>
                <w:rFonts w:hint="default" w:ascii="Times New Roman" w:hAnsi="Times New Roman" w:cs="Times New Roman"/>
                <w:color w:val="auto"/>
                <w:sz w:val="21"/>
                <w:szCs w:val="21"/>
                <w:highlight w:val="none"/>
                <w:lang w:val="en-US" w:eastAsia="zh-CN"/>
              </w:rPr>
              <w:t>2-7</w:t>
            </w:r>
            <w:r>
              <w:rPr>
                <w:rFonts w:hint="default" w:ascii="Times New Roman" w:hAnsi="Times New Roman" w:cs="Times New Roman"/>
                <w:color w:val="auto"/>
                <w:sz w:val="21"/>
                <w:szCs w:val="21"/>
                <w:highlight w:val="none"/>
              </w:rPr>
              <w:t>。</w:t>
            </w:r>
          </w:p>
          <w:p>
            <w:pPr>
              <w:adjustRightInd w:val="0"/>
              <w:snapToGrid w:val="0"/>
              <w:spacing w:line="240" w:lineRule="auto"/>
              <w:ind w:firstLine="0" w:firstLineChars="0"/>
              <w:jc w:val="center"/>
              <w:rPr>
                <w:rFonts w:hint="default" w:ascii="Times New Roman" w:hAnsi="Times New Roman" w:cs="Times New Roman"/>
                <w:b/>
                <w:bCs w:val="0"/>
                <w:color w:val="auto"/>
                <w:sz w:val="21"/>
                <w:szCs w:val="21"/>
                <w:highlight w:val="none"/>
              </w:rPr>
            </w:pPr>
            <w:r>
              <w:rPr>
                <w:rFonts w:hint="default" w:ascii="Times New Roman" w:hAnsi="Times New Roman" w:cs="Times New Roman"/>
                <w:b/>
                <w:bCs w:val="0"/>
                <w:color w:val="auto"/>
                <w:sz w:val="21"/>
                <w:szCs w:val="21"/>
                <w:highlight w:val="none"/>
              </w:rPr>
              <w:t>表</w:t>
            </w:r>
            <w:r>
              <w:rPr>
                <w:rFonts w:hint="default" w:ascii="Times New Roman" w:hAnsi="Times New Roman" w:cs="Times New Roman"/>
                <w:b/>
                <w:bCs w:val="0"/>
                <w:color w:val="auto"/>
                <w:sz w:val="21"/>
                <w:szCs w:val="21"/>
                <w:highlight w:val="none"/>
                <w:lang w:val="en-US" w:eastAsia="zh-CN"/>
              </w:rPr>
              <w:t>2-7</w:t>
            </w:r>
            <w:r>
              <w:rPr>
                <w:rFonts w:hint="default" w:ascii="Times New Roman" w:hAnsi="Times New Roman" w:cs="Times New Roman"/>
                <w:b/>
                <w:bCs w:val="0"/>
                <w:color w:val="auto"/>
                <w:sz w:val="21"/>
                <w:szCs w:val="21"/>
                <w:highlight w:val="none"/>
              </w:rPr>
              <w:t xml:space="preserve"> 环保设施（措施）及投资估算一览表</w:t>
            </w:r>
          </w:p>
          <w:tbl>
            <w:tblPr>
              <w:tblStyle w:val="2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13"/>
              <w:gridCol w:w="692"/>
              <w:gridCol w:w="1603"/>
              <w:gridCol w:w="3712"/>
              <w:gridCol w:w="13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93" w:hRule="atLeast"/>
                <w:jc w:val="center"/>
              </w:trPr>
              <w:tc>
                <w:tcPr>
                  <w:tcW w:w="440" w:type="pct"/>
                  <w:noWrap w:val="0"/>
                  <w:vAlign w:val="center"/>
                </w:tcPr>
                <w:p>
                  <w:pPr>
                    <w:pStyle w:val="48"/>
                    <w:bidi w:val="0"/>
                    <w:spacing w:line="240" w:lineRule="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时段</w:t>
                  </w:r>
                </w:p>
              </w:tc>
              <w:tc>
                <w:tcPr>
                  <w:tcW w:w="1416" w:type="pct"/>
                  <w:gridSpan w:val="2"/>
                  <w:noWrap w:val="0"/>
                  <w:vAlign w:val="center"/>
                </w:tcPr>
                <w:p>
                  <w:pPr>
                    <w:pStyle w:val="48"/>
                    <w:bidi w:val="0"/>
                    <w:spacing w:line="240" w:lineRule="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项目</w:t>
                  </w:r>
                </w:p>
              </w:tc>
              <w:tc>
                <w:tcPr>
                  <w:tcW w:w="2290" w:type="pct"/>
                  <w:noWrap w:val="0"/>
                  <w:vAlign w:val="center"/>
                </w:tcPr>
                <w:p>
                  <w:pPr>
                    <w:pStyle w:val="48"/>
                    <w:bidi w:val="0"/>
                    <w:spacing w:line="240" w:lineRule="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环保措施</w:t>
                  </w:r>
                </w:p>
              </w:tc>
              <w:tc>
                <w:tcPr>
                  <w:tcW w:w="852" w:type="pct"/>
                  <w:noWrap w:val="0"/>
                  <w:vAlign w:val="center"/>
                </w:tcPr>
                <w:p>
                  <w:pPr>
                    <w:pStyle w:val="48"/>
                    <w:bidi w:val="0"/>
                    <w:spacing w:line="240" w:lineRule="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投资（万元）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440" w:type="pct"/>
                  <w:vMerge w:val="restart"/>
                  <w:noWrap w:val="0"/>
                  <w:vAlign w:val="center"/>
                </w:tcPr>
                <w:p>
                  <w:pPr>
                    <w:pStyle w:val="48"/>
                    <w:bidi w:val="0"/>
                    <w:spacing w:line="240" w:lineRule="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施</w:t>
                  </w:r>
                </w:p>
                <w:p>
                  <w:pPr>
                    <w:pStyle w:val="48"/>
                    <w:bidi w:val="0"/>
                    <w:spacing w:line="240" w:lineRule="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工</w:t>
                  </w:r>
                </w:p>
                <w:p>
                  <w:pPr>
                    <w:pStyle w:val="48"/>
                    <w:bidi w:val="0"/>
                    <w:spacing w:line="240" w:lineRule="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期</w:t>
                  </w:r>
                </w:p>
              </w:tc>
              <w:tc>
                <w:tcPr>
                  <w:tcW w:w="1416" w:type="pct"/>
                  <w:gridSpan w:val="2"/>
                  <w:noWrap w:val="0"/>
                  <w:vAlign w:val="center"/>
                </w:tcPr>
                <w:p>
                  <w:pPr>
                    <w:pStyle w:val="48"/>
                    <w:bidi w:val="0"/>
                    <w:spacing w:line="240" w:lineRule="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扬尘治理</w:t>
                  </w:r>
                </w:p>
              </w:tc>
              <w:tc>
                <w:tcPr>
                  <w:tcW w:w="2290" w:type="pct"/>
                  <w:noWrap w:val="0"/>
                  <w:vAlign w:val="center"/>
                </w:tcPr>
                <w:p>
                  <w:pPr>
                    <w:pStyle w:val="48"/>
                    <w:bidi w:val="0"/>
                    <w:spacing w:line="240" w:lineRule="auto"/>
                    <w:rPr>
                      <w:rFonts w:hint="default" w:ascii="Times New Roman" w:hAnsi="Times New Roman" w:eastAsia="宋体" w:cs="Times New Roman"/>
                      <w:color w:val="auto"/>
                      <w:sz w:val="21"/>
                      <w:szCs w:val="21"/>
                      <w:highlight w:val="none"/>
                    </w:rPr>
                  </w:pPr>
                  <w:r>
                    <w:rPr>
                      <w:rFonts w:hint="default" w:ascii="Times New Roman" w:hAnsi="Times New Roman" w:cs="Times New Roman"/>
                      <w:color w:val="auto"/>
                      <w:sz w:val="21"/>
                      <w:szCs w:val="21"/>
                      <w:highlight w:val="none"/>
                      <w:lang w:val="en-US" w:eastAsia="zh-CN"/>
                    </w:rPr>
                    <w:t>加</w:t>
                  </w:r>
                  <w:r>
                    <w:rPr>
                      <w:rFonts w:hint="default" w:ascii="Times New Roman" w:hAnsi="Times New Roman" w:eastAsia="宋体" w:cs="Times New Roman"/>
                      <w:color w:val="auto"/>
                      <w:sz w:val="21"/>
                      <w:szCs w:val="21"/>
                      <w:highlight w:val="none"/>
                    </w:rPr>
                    <w:t>强施工期环境管理，场地适时洒水，散堆物料用篷布覆盖，车辆冲洗上路，避免大风天气作业等</w:t>
                  </w:r>
                </w:p>
              </w:tc>
              <w:tc>
                <w:tcPr>
                  <w:tcW w:w="852" w:type="pct"/>
                  <w:noWrap w:val="0"/>
                  <w:vAlign w:val="center"/>
                </w:tcPr>
                <w:p>
                  <w:pPr>
                    <w:pStyle w:val="48"/>
                    <w:bidi w:val="0"/>
                    <w:spacing w:line="240" w:lineRule="auto"/>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40" w:type="pct"/>
                  <w:vMerge w:val="continue"/>
                  <w:noWrap w:val="0"/>
                  <w:vAlign w:val="center"/>
                </w:tcPr>
                <w:p>
                  <w:pPr>
                    <w:pStyle w:val="48"/>
                    <w:bidi w:val="0"/>
                    <w:spacing w:line="240" w:lineRule="auto"/>
                    <w:rPr>
                      <w:rFonts w:hint="default" w:ascii="Times New Roman" w:hAnsi="Times New Roman" w:cs="Times New Roman"/>
                      <w:color w:val="auto"/>
                      <w:sz w:val="21"/>
                      <w:szCs w:val="21"/>
                      <w:highlight w:val="none"/>
                    </w:rPr>
                  </w:pPr>
                </w:p>
              </w:tc>
              <w:tc>
                <w:tcPr>
                  <w:tcW w:w="1416" w:type="pct"/>
                  <w:gridSpan w:val="2"/>
                  <w:noWrap w:val="0"/>
                  <w:vAlign w:val="center"/>
                </w:tcPr>
                <w:p>
                  <w:pPr>
                    <w:pStyle w:val="48"/>
                    <w:bidi w:val="0"/>
                    <w:spacing w:line="240" w:lineRule="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rPr>
                    <w:t>噪声治理</w:t>
                  </w:r>
                </w:p>
              </w:tc>
              <w:tc>
                <w:tcPr>
                  <w:tcW w:w="2290" w:type="pct"/>
                  <w:noWrap w:val="0"/>
                  <w:vAlign w:val="center"/>
                </w:tcPr>
                <w:p>
                  <w:pPr>
                    <w:pStyle w:val="48"/>
                    <w:bidi w:val="0"/>
                    <w:spacing w:line="240" w:lineRule="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合理安排作业时间，优选低噪声设备，加强维修管理，加强运输车辆管理</w:t>
                  </w:r>
                </w:p>
              </w:tc>
              <w:tc>
                <w:tcPr>
                  <w:tcW w:w="852" w:type="pct"/>
                  <w:noWrap w:val="0"/>
                  <w:vAlign w:val="center"/>
                </w:tcPr>
                <w:p>
                  <w:pPr>
                    <w:pStyle w:val="48"/>
                    <w:bidi w:val="0"/>
                    <w:spacing w:line="240" w:lineRule="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40" w:type="pct"/>
                  <w:vMerge w:val="continue"/>
                  <w:noWrap w:val="0"/>
                  <w:vAlign w:val="center"/>
                </w:tcPr>
                <w:p>
                  <w:pPr>
                    <w:pStyle w:val="48"/>
                    <w:bidi w:val="0"/>
                    <w:spacing w:line="240" w:lineRule="auto"/>
                    <w:rPr>
                      <w:rFonts w:hint="default" w:ascii="Times New Roman" w:hAnsi="Times New Roman" w:cs="Times New Roman"/>
                      <w:color w:val="auto"/>
                      <w:sz w:val="21"/>
                      <w:szCs w:val="21"/>
                      <w:highlight w:val="none"/>
                    </w:rPr>
                  </w:pPr>
                </w:p>
              </w:tc>
              <w:tc>
                <w:tcPr>
                  <w:tcW w:w="1416" w:type="pct"/>
                  <w:gridSpan w:val="2"/>
                  <w:vMerge w:val="restart"/>
                  <w:noWrap w:val="0"/>
                  <w:vAlign w:val="center"/>
                </w:tcPr>
                <w:p>
                  <w:pPr>
                    <w:pStyle w:val="48"/>
                    <w:bidi w:val="0"/>
                    <w:spacing w:line="240" w:lineRule="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废水治理</w:t>
                  </w:r>
                </w:p>
              </w:tc>
              <w:tc>
                <w:tcPr>
                  <w:tcW w:w="2290" w:type="pct"/>
                  <w:noWrap w:val="0"/>
                  <w:vAlign w:val="center"/>
                </w:tcPr>
                <w:p>
                  <w:pPr>
                    <w:pStyle w:val="48"/>
                    <w:bidi w:val="0"/>
                    <w:spacing w:line="240" w:lineRule="auto"/>
                    <w:rPr>
                      <w:rFonts w:hint="default" w:ascii="Times New Roman" w:hAnsi="Times New Roman" w:eastAsia="宋体" w:cs="Times New Roman"/>
                      <w:color w:val="auto"/>
                      <w:sz w:val="21"/>
                      <w:szCs w:val="21"/>
                      <w:highlight w:val="none"/>
                      <w:lang w:val="en-US"/>
                    </w:rPr>
                  </w:pPr>
                  <w:r>
                    <w:rPr>
                      <w:rFonts w:hint="default" w:ascii="Times New Roman" w:hAnsi="Times New Roman" w:eastAsia="宋体" w:cs="Times New Roman"/>
                      <w:color w:val="auto"/>
                      <w:sz w:val="21"/>
                      <w:szCs w:val="21"/>
                      <w:highlight w:val="none"/>
                      <w:lang w:val="en-US" w:eastAsia="zh-CN"/>
                    </w:rPr>
                    <w:t>临时沉淀池</w:t>
                  </w:r>
                </w:p>
              </w:tc>
              <w:tc>
                <w:tcPr>
                  <w:tcW w:w="852" w:type="pct"/>
                  <w:noWrap w:val="0"/>
                  <w:vAlign w:val="center"/>
                </w:tcPr>
                <w:p>
                  <w:pPr>
                    <w:pStyle w:val="48"/>
                    <w:bidi w:val="0"/>
                    <w:spacing w:line="240" w:lineRule="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40" w:type="pct"/>
                  <w:vMerge w:val="continue"/>
                  <w:noWrap w:val="0"/>
                  <w:vAlign w:val="center"/>
                </w:tcPr>
                <w:p>
                  <w:pPr>
                    <w:pStyle w:val="48"/>
                    <w:bidi w:val="0"/>
                    <w:spacing w:line="240" w:lineRule="auto"/>
                    <w:rPr>
                      <w:rFonts w:hint="default" w:ascii="Times New Roman" w:hAnsi="Times New Roman" w:cs="Times New Roman"/>
                      <w:color w:val="auto"/>
                      <w:sz w:val="21"/>
                      <w:szCs w:val="21"/>
                      <w:highlight w:val="none"/>
                    </w:rPr>
                  </w:pPr>
                </w:p>
              </w:tc>
              <w:tc>
                <w:tcPr>
                  <w:tcW w:w="1416" w:type="pct"/>
                  <w:gridSpan w:val="2"/>
                  <w:vMerge w:val="continue"/>
                  <w:noWrap w:val="0"/>
                  <w:vAlign w:val="center"/>
                </w:tcPr>
                <w:p>
                  <w:pPr>
                    <w:pStyle w:val="48"/>
                    <w:bidi w:val="0"/>
                    <w:spacing w:line="240" w:lineRule="auto"/>
                    <w:rPr>
                      <w:rFonts w:hint="default" w:ascii="Times New Roman" w:hAnsi="Times New Roman" w:cs="Times New Roman"/>
                      <w:color w:val="auto"/>
                      <w:sz w:val="21"/>
                      <w:szCs w:val="21"/>
                      <w:highlight w:val="none"/>
                      <w:lang w:val="en-US" w:eastAsia="zh-CN"/>
                    </w:rPr>
                  </w:pPr>
                </w:p>
              </w:tc>
              <w:tc>
                <w:tcPr>
                  <w:tcW w:w="2290" w:type="pct"/>
                  <w:noWrap w:val="0"/>
                  <w:vAlign w:val="center"/>
                </w:tcPr>
                <w:p>
                  <w:pPr>
                    <w:pStyle w:val="48"/>
                    <w:bidi w:val="0"/>
                    <w:spacing w:line="240" w:lineRule="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化粪池</w:t>
                  </w:r>
                </w:p>
              </w:tc>
              <w:tc>
                <w:tcPr>
                  <w:tcW w:w="852" w:type="pct"/>
                  <w:noWrap w:val="0"/>
                  <w:vAlign w:val="center"/>
                </w:tcPr>
                <w:p>
                  <w:pPr>
                    <w:pStyle w:val="48"/>
                    <w:bidi w:val="0"/>
                    <w:spacing w:line="240" w:lineRule="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依托现有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440" w:type="pct"/>
                  <w:vMerge w:val="continue"/>
                  <w:noWrap w:val="0"/>
                  <w:vAlign w:val="center"/>
                </w:tcPr>
                <w:p>
                  <w:pPr>
                    <w:pStyle w:val="48"/>
                    <w:bidi w:val="0"/>
                    <w:spacing w:line="240" w:lineRule="auto"/>
                    <w:rPr>
                      <w:rFonts w:hint="default" w:ascii="Times New Roman" w:hAnsi="Times New Roman" w:cs="Times New Roman"/>
                      <w:color w:val="auto"/>
                      <w:sz w:val="21"/>
                      <w:szCs w:val="21"/>
                      <w:highlight w:val="none"/>
                    </w:rPr>
                  </w:pPr>
                </w:p>
              </w:tc>
              <w:tc>
                <w:tcPr>
                  <w:tcW w:w="427" w:type="pct"/>
                  <w:vMerge w:val="restart"/>
                  <w:noWrap w:val="0"/>
                  <w:vAlign w:val="center"/>
                </w:tcPr>
                <w:p>
                  <w:pPr>
                    <w:pStyle w:val="48"/>
                    <w:bidi w:val="0"/>
                    <w:spacing w:line="240" w:lineRule="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固废治理</w:t>
                  </w:r>
                </w:p>
              </w:tc>
              <w:tc>
                <w:tcPr>
                  <w:tcW w:w="989" w:type="pct"/>
                  <w:noWrap w:val="0"/>
                  <w:vAlign w:val="center"/>
                </w:tcPr>
                <w:p>
                  <w:pPr>
                    <w:pStyle w:val="48"/>
                    <w:bidi w:val="0"/>
                    <w:spacing w:line="240" w:lineRule="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生活垃圾</w:t>
                  </w:r>
                </w:p>
              </w:tc>
              <w:tc>
                <w:tcPr>
                  <w:tcW w:w="2290" w:type="pct"/>
                  <w:noWrap w:val="0"/>
                  <w:vAlign w:val="center"/>
                </w:tcPr>
                <w:p>
                  <w:pPr>
                    <w:pStyle w:val="48"/>
                    <w:bidi w:val="0"/>
                    <w:spacing w:line="240" w:lineRule="auto"/>
                    <w:rPr>
                      <w:rFonts w:hint="default" w:ascii="Times New Roman" w:hAnsi="Times New Roman" w:eastAsia="宋体" w:cs="Times New Roman"/>
                      <w:color w:val="auto"/>
                      <w:sz w:val="21"/>
                      <w:szCs w:val="21"/>
                      <w:highlight w:val="none"/>
                      <w:lang w:val="en-US"/>
                    </w:rPr>
                  </w:pPr>
                  <w:r>
                    <w:rPr>
                      <w:rFonts w:hint="default" w:ascii="Times New Roman" w:hAnsi="Times New Roman" w:eastAsia="宋体" w:cs="Times New Roman"/>
                      <w:color w:val="auto"/>
                      <w:sz w:val="21"/>
                      <w:szCs w:val="21"/>
                      <w:highlight w:val="none"/>
                      <w:lang w:val="en-US" w:eastAsia="zh-CN"/>
                    </w:rPr>
                    <w:t>垃圾收集箱</w:t>
                  </w:r>
                </w:p>
              </w:tc>
              <w:tc>
                <w:tcPr>
                  <w:tcW w:w="852" w:type="pct"/>
                  <w:noWrap w:val="0"/>
                  <w:vAlign w:val="center"/>
                </w:tcPr>
                <w:p>
                  <w:pPr>
                    <w:pStyle w:val="48"/>
                    <w:bidi w:val="0"/>
                    <w:spacing w:line="240" w:lineRule="auto"/>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440" w:type="pct"/>
                  <w:vMerge w:val="continue"/>
                  <w:noWrap w:val="0"/>
                  <w:vAlign w:val="center"/>
                </w:tcPr>
                <w:p>
                  <w:pPr>
                    <w:pStyle w:val="48"/>
                    <w:bidi w:val="0"/>
                    <w:spacing w:line="240" w:lineRule="auto"/>
                    <w:rPr>
                      <w:rFonts w:hint="default" w:ascii="Times New Roman" w:hAnsi="Times New Roman" w:cs="Times New Roman"/>
                      <w:color w:val="auto"/>
                      <w:sz w:val="21"/>
                      <w:szCs w:val="21"/>
                      <w:highlight w:val="none"/>
                    </w:rPr>
                  </w:pPr>
                </w:p>
              </w:tc>
              <w:tc>
                <w:tcPr>
                  <w:tcW w:w="427" w:type="pct"/>
                  <w:vMerge w:val="continue"/>
                  <w:noWrap w:val="0"/>
                  <w:vAlign w:val="center"/>
                </w:tcPr>
                <w:p>
                  <w:pPr>
                    <w:pStyle w:val="48"/>
                    <w:bidi w:val="0"/>
                    <w:spacing w:line="240" w:lineRule="auto"/>
                    <w:rPr>
                      <w:rFonts w:hint="default" w:ascii="Times New Roman" w:hAnsi="Times New Roman" w:cs="Times New Roman"/>
                      <w:color w:val="auto"/>
                      <w:sz w:val="21"/>
                      <w:szCs w:val="21"/>
                      <w:highlight w:val="none"/>
                    </w:rPr>
                  </w:pPr>
                </w:p>
              </w:tc>
              <w:tc>
                <w:tcPr>
                  <w:tcW w:w="989" w:type="pct"/>
                  <w:noWrap w:val="0"/>
                  <w:vAlign w:val="center"/>
                </w:tcPr>
                <w:p>
                  <w:pPr>
                    <w:pStyle w:val="48"/>
                    <w:bidi w:val="0"/>
                    <w:spacing w:line="240" w:lineRule="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施工废料、弃土弃渣</w:t>
                  </w:r>
                </w:p>
              </w:tc>
              <w:tc>
                <w:tcPr>
                  <w:tcW w:w="2290" w:type="pct"/>
                  <w:noWrap w:val="0"/>
                  <w:vAlign w:val="center"/>
                </w:tcPr>
                <w:p>
                  <w:pPr>
                    <w:pStyle w:val="48"/>
                    <w:bidi w:val="0"/>
                    <w:spacing w:line="240" w:lineRule="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可回收部分回收，不可回收部分送垃圾填埋场安全填埋，弃土弃渣按市政要求送指定地点堆放</w:t>
                  </w:r>
                </w:p>
              </w:tc>
              <w:tc>
                <w:tcPr>
                  <w:tcW w:w="852" w:type="pct"/>
                  <w:noWrap w:val="0"/>
                  <w:vAlign w:val="center"/>
                </w:tcPr>
                <w:p>
                  <w:pPr>
                    <w:pStyle w:val="48"/>
                    <w:bidi w:val="0"/>
                    <w:spacing w:line="240" w:lineRule="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1" w:hRule="atLeast"/>
                <w:jc w:val="center"/>
              </w:trPr>
              <w:tc>
                <w:tcPr>
                  <w:tcW w:w="440" w:type="pct"/>
                  <w:vMerge w:val="continue"/>
                  <w:noWrap w:val="0"/>
                  <w:vAlign w:val="center"/>
                </w:tcPr>
                <w:p>
                  <w:pPr>
                    <w:pStyle w:val="48"/>
                    <w:bidi w:val="0"/>
                    <w:spacing w:line="240" w:lineRule="auto"/>
                    <w:rPr>
                      <w:rFonts w:hint="default" w:ascii="Times New Roman" w:hAnsi="Times New Roman" w:cs="Times New Roman"/>
                      <w:color w:val="auto"/>
                      <w:sz w:val="21"/>
                      <w:szCs w:val="21"/>
                      <w:highlight w:val="none"/>
                    </w:rPr>
                  </w:pPr>
                </w:p>
              </w:tc>
              <w:tc>
                <w:tcPr>
                  <w:tcW w:w="3707" w:type="pct"/>
                  <w:gridSpan w:val="3"/>
                  <w:noWrap w:val="0"/>
                  <w:vAlign w:val="center"/>
                </w:tcPr>
                <w:p>
                  <w:pPr>
                    <w:pStyle w:val="48"/>
                    <w:bidi w:val="0"/>
                    <w:spacing w:line="240" w:lineRule="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小计</w:t>
                  </w:r>
                </w:p>
              </w:tc>
              <w:tc>
                <w:tcPr>
                  <w:tcW w:w="852" w:type="pct"/>
                  <w:noWrap w:val="0"/>
                  <w:vAlign w:val="center"/>
                </w:tcPr>
                <w:p>
                  <w:pPr>
                    <w:pStyle w:val="48"/>
                    <w:bidi w:val="0"/>
                    <w:spacing w:line="240" w:lineRule="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40" w:type="pct"/>
                  <w:vMerge w:val="restart"/>
                  <w:noWrap w:val="0"/>
                  <w:vAlign w:val="center"/>
                </w:tcPr>
                <w:p>
                  <w:pPr>
                    <w:pStyle w:val="48"/>
                    <w:bidi w:val="0"/>
                    <w:spacing w:line="240" w:lineRule="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运营期</w:t>
                  </w:r>
                </w:p>
              </w:tc>
              <w:tc>
                <w:tcPr>
                  <w:tcW w:w="427" w:type="pct"/>
                  <w:vMerge w:val="restart"/>
                  <w:noWrap w:val="0"/>
                  <w:vAlign w:val="center"/>
                </w:tcPr>
                <w:p>
                  <w:pPr>
                    <w:pStyle w:val="48"/>
                    <w:bidi w:val="0"/>
                    <w:spacing w:line="240" w:lineRule="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eastAsia="zh-CN"/>
                    </w:rPr>
                    <w:t>废气治理</w:t>
                  </w:r>
                </w:p>
              </w:tc>
              <w:tc>
                <w:tcPr>
                  <w:tcW w:w="989" w:type="pct"/>
                  <w:noWrap w:val="0"/>
                  <w:vAlign w:val="center"/>
                </w:tcPr>
                <w:p>
                  <w:pPr>
                    <w:pStyle w:val="48"/>
                    <w:bidi w:val="0"/>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天然气</w:t>
                  </w:r>
                  <w:r>
                    <w:rPr>
                      <w:rFonts w:hint="eastAsia" w:ascii="Times New Roman" w:cs="Times New Roman"/>
                      <w:color w:val="auto"/>
                      <w:sz w:val="21"/>
                      <w:szCs w:val="21"/>
                      <w:highlight w:val="none"/>
                      <w:lang w:val="en-US" w:eastAsia="zh-CN"/>
                    </w:rPr>
                    <w:t>锅炉</w:t>
                  </w:r>
                </w:p>
              </w:tc>
              <w:tc>
                <w:tcPr>
                  <w:tcW w:w="2290" w:type="pct"/>
                  <w:noWrap w:val="0"/>
                  <w:vAlign w:val="center"/>
                </w:tcPr>
                <w:p>
                  <w:pPr>
                    <w:pStyle w:val="48"/>
                    <w:bidi w:val="0"/>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低氮燃烧+8m高排气筒</w:t>
                  </w:r>
                </w:p>
              </w:tc>
              <w:tc>
                <w:tcPr>
                  <w:tcW w:w="852" w:type="pct"/>
                  <w:noWrap w:val="0"/>
                  <w:vAlign w:val="center"/>
                </w:tcPr>
                <w:p>
                  <w:pPr>
                    <w:pStyle w:val="48"/>
                    <w:bidi w:val="0"/>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40" w:type="pct"/>
                  <w:vMerge w:val="continue"/>
                  <w:noWrap w:val="0"/>
                  <w:vAlign w:val="center"/>
                </w:tcPr>
                <w:p>
                  <w:pPr>
                    <w:pStyle w:val="48"/>
                    <w:bidi w:val="0"/>
                    <w:spacing w:line="240" w:lineRule="auto"/>
                    <w:rPr>
                      <w:rFonts w:hint="default" w:ascii="Times New Roman" w:hAnsi="Times New Roman" w:cs="Times New Roman"/>
                      <w:color w:val="auto"/>
                      <w:sz w:val="21"/>
                      <w:szCs w:val="21"/>
                      <w:highlight w:val="none"/>
                    </w:rPr>
                  </w:pPr>
                </w:p>
              </w:tc>
              <w:tc>
                <w:tcPr>
                  <w:tcW w:w="427" w:type="pct"/>
                  <w:vMerge w:val="continue"/>
                  <w:noWrap w:val="0"/>
                  <w:vAlign w:val="center"/>
                </w:tcPr>
                <w:p>
                  <w:pPr>
                    <w:pStyle w:val="48"/>
                    <w:bidi w:val="0"/>
                    <w:spacing w:line="240" w:lineRule="auto"/>
                    <w:rPr>
                      <w:rFonts w:hint="default" w:ascii="Times New Roman" w:hAnsi="Times New Roman" w:cs="Times New Roman"/>
                      <w:color w:val="auto"/>
                      <w:sz w:val="21"/>
                      <w:szCs w:val="21"/>
                      <w:highlight w:val="none"/>
                      <w:lang w:eastAsia="zh-CN"/>
                    </w:rPr>
                  </w:pPr>
                </w:p>
              </w:tc>
              <w:tc>
                <w:tcPr>
                  <w:tcW w:w="989" w:type="pct"/>
                  <w:noWrap w:val="0"/>
                  <w:vAlign w:val="center"/>
                </w:tcPr>
                <w:p>
                  <w:pPr>
                    <w:pStyle w:val="48"/>
                    <w:bidi w:val="0"/>
                    <w:spacing w:line="240" w:lineRule="auto"/>
                    <w:jc w:val="center"/>
                    <w:rPr>
                      <w:rFonts w:hint="default" w:ascii="Times New Roman" w:hAnsi="Times New Roman"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瓶胚预热</w:t>
                  </w:r>
                  <w:r>
                    <w:rPr>
                      <w:rFonts w:hint="default" w:ascii="Times New Roman" w:hAnsi="Times New Roman" w:cs="Times New Roman"/>
                      <w:color w:val="auto"/>
                      <w:sz w:val="21"/>
                      <w:szCs w:val="21"/>
                      <w:highlight w:val="none"/>
                      <w:lang w:val="en-US" w:eastAsia="zh-CN"/>
                    </w:rPr>
                    <w:t>废气</w:t>
                  </w:r>
                </w:p>
              </w:tc>
              <w:tc>
                <w:tcPr>
                  <w:tcW w:w="2290" w:type="pct"/>
                  <w:noWrap w:val="0"/>
                  <w:vAlign w:val="center"/>
                </w:tcPr>
                <w:p>
                  <w:pPr>
                    <w:pStyle w:val="48"/>
                    <w:bidi w:val="0"/>
                    <w:spacing w:line="240" w:lineRule="auto"/>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二级活性炭吸附装置+15m高排气筒</w:t>
                  </w:r>
                </w:p>
              </w:tc>
              <w:tc>
                <w:tcPr>
                  <w:tcW w:w="852" w:type="pct"/>
                  <w:noWrap w:val="0"/>
                  <w:vAlign w:val="center"/>
                </w:tcPr>
                <w:p>
                  <w:pPr>
                    <w:pStyle w:val="48"/>
                    <w:bidi w:val="0"/>
                    <w:spacing w:line="240" w:lineRule="auto"/>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40" w:type="pct"/>
                  <w:vMerge w:val="continue"/>
                  <w:noWrap w:val="0"/>
                  <w:vAlign w:val="center"/>
                </w:tcPr>
                <w:p>
                  <w:pPr>
                    <w:pStyle w:val="48"/>
                    <w:bidi w:val="0"/>
                    <w:spacing w:line="240" w:lineRule="auto"/>
                    <w:rPr>
                      <w:rFonts w:hint="default" w:ascii="Times New Roman" w:hAnsi="Times New Roman" w:cs="Times New Roman"/>
                      <w:color w:val="auto"/>
                      <w:sz w:val="21"/>
                      <w:szCs w:val="21"/>
                      <w:highlight w:val="none"/>
                    </w:rPr>
                  </w:pPr>
                </w:p>
              </w:tc>
              <w:tc>
                <w:tcPr>
                  <w:tcW w:w="427" w:type="pct"/>
                  <w:vMerge w:val="continue"/>
                  <w:noWrap w:val="0"/>
                  <w:vAlign w:val="center"/>
                </w:tcPr>
                <w:p>
                  <w:pPr>
                    <w:pStyle w:val="48"/>
                    <w:bidi w:val="0"/>
                    <w:spacing w:line="240" w:lineRule="auto"/>
                    <w:rPr>
                      <w:rFonts w:hint="default" w:ascii="Times New Roman" w:hAnsi="Times New Roman" w:cs="Times New Roman"/>
                      <w:color w:val="auto"/>
                      <w:sz w:val="21"/>
                      <w:szCs w:val="21"/>
                      <w:highlight w:val="none"/>
                      <w:lang w:eastAsia="zh-CN"/>
                    </w:rPr>
                  </w:pPr>
                </w:p>
              </w:tc>
              <w:tc>
                <w:tcPr>
                  <w:tcW w:w="989" w:type="pct"/>
                  <w:noWrap w:val="0"/>
                  <w:vAlign w:val="center"/>
                </w:tcPr>
                <w:p>
                  <w:pPr>
                    <w:pStyle w:val="48"/>
                    <w:bidi w:val="0"/>
                    <w:spacing w:line="240" w:lineRule="auto"/>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包装</w:t>
                  </w:r>
                  <w:r>
                    <w:rPr>
                      <w:rFonts w:hint="eastAsia" w:ascii="Times New Roman" w:cs="Times New Roman"/>
                      <w:color w:val="auto"/>
                      <w:sz w:val="21"/>
                      <w:szCs w:val="21"/>
                      <w:highlight w:val="none"/>
                      <w:lang w:val="en-US" w:eastAsia="zh-CN"/>
                    </w:rPr>
                    <w:t>缩膜</w:t>
                  </w:r>
                  <w:r>
                    <w:rPr>
                      <w:rFonts w:hint="default" w:ascii="Times New Roman" w:hAnsi="Times New Roman" w:cs="Times New Roman"/>
                      <w:color w:val="auto"/>
                      <w:sz w:val="21"/>
                      <w:szCs w:val="21"/>
                      <w:highlight w:val="none"/>
                      <w:lang w:val="en-US" w:eastAsia="zh-CN"/>
                    </w:rPr>
                    <w:t>废气</w:t>
                  </w:r>
                </w:p>
              </w:tc>
              <w:tc>
                <w:tcPr>
                  <w:tcW w:w="2290" w:type="pct"/>
                  <w:noWrap w:val="0"/>
                  <w:vAlign w:val="center"/>
                </w:tcPr>
                <w:p>
                  <w:pPr>
                    <w:pStyle w:val="48"/>
                    <w:bidi w:val="0"/>
                    <w:spacing w:line="240" w:lineRule="auto"/>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二级活性炭吸附装置+15m高排气筒</w:t>
                  </w:r>
                </w:p>
              </w:tc>
              <w:tc>
                <w:tcPr>
                  <w:tcW w:w="852" w:type="pct"/>
                  <w:noWrap w:val="0"/>
                  <w:vAlign w:val="center"/>
                </w:tcPr>
                <w:p>
                  <w:pPr>
                    <w:pStyle w:val="48"/>
                    <w:bidi w:val="0"/>
                    <w:spacing w:line="240" w:lineRule="auto"/>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40" w:type="pct"/>
                  <w:vMerge w:val="continue"/>
                  <w:noWrap w:val="0"/>
                  <w:vAlign w:val="center"/>
                </w:tcPr>
                <w:p>
                  <w:pPr>
                    <w:pStyle w:val="48"/>
                    <w:bidi w:val="0"/>
                    <w:spacing w:line="240" w:lineRule="auto"/>
                    <w:rPr>
                      <w:rFonts w:hint="default" w:ascii="Times New Roman" w:hAnsi="Times New Roman" w:cs="Times New Roman"/>
                      <w:color w:val="auto"/>
                      <w:sz w:val="21"/>
                      <w:szCs w:val="21"/>
                      <w:highlight w:val="none"/>
                    </w:rPr>
                  </w:pPr>
                </w:p>
              </w:tc>
              <w:tc>
                <w:tcPr>
                  <w:tcW w:w="1416" w:type="pct"/>
                  <w:gridSpan w:val="2"/>
                  <w:noWrap w:val="0"/>
                  <w:vAlign w:val="center"/>
                </w:tcPr>
                <w:p>
                  <w:pPr>
                    <w:pStyle w:val="48"/>
                    <w:bidi w:val="0"/>
                    <w:spacing w:line="240" w:lineRule="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噪声治理</w:t>
                  </w:r>
                </w:p>
              </w:tc>
              <w:tc>
                <w:tcPr>
                  <w:tcW w:w="2290" w:type="pct"/>
                  <w:noWrap w:val="0"/>
                  <w:vAlign w:val="center"/>
                </w:tcPr>
                <w:p>
                  <w:pPr>
                    <w:adjustRightInd w:val="0"/>
                    <w:snapToGrid w:val="0"/>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选用低噪声设备、基础减振、厂房隔声，</w:t>
                  </w:r>
                  <w:r>
                    <w:rPr>
                      <w:rFonts w:hint="default" w:ascii="Times New Roman" w:hAnsi="Times New Roman" w:cs="Times New Roman"/>
                      <w:color w:val="auto"/>
                      <w:sz w:val="21"/>
                      <w:szCs w:val="21"/>
                      <w:highlight w:val="none"/>
                      <w:lang w:eastAsia="zh-CN"/>
                    </w:rPr>
                    <w:t>车辆进场后低速、禁鸣</w:t>
                  </w:r>
                </w:p>
              </w:tc>
              <w:tc>
                <w:tcPr>
                  <w:tcW w:w="852" w:type="pct"/>
                  <w:noWrap w:val="0"/>
                  <w:vAlign w:val="center"/>
                </w:tcPr>
                <w:p>
                  <w:pPr>
                    <w:pStyle w:val="48"/>
                    <w:bidi w:val="0"/>
                    <w:spacing w:line="240" w:lineRule="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40" w:type="pct"/>
                  <w:vMerge w:val="continue"/>
                  <w:noWrap w:val="0"/>
                  <w:vAlign w:val="center"/>
                </w:tcPr>
                <w:p>
                  <w:pPr>
                    <w:pStyle w:val="48"/>
                    <w:bidi w:val="0"/>
                    <w:spacing w:line="240" w:lineRule="auto"/>
                    <w:rPr>
                      <w:rFonts w:hint="default" w:ascii="Times New Roman" w:hAnsi="Times New Roman" w:cs="Times New Roman"/>
                      <w:color w:val="auto"/>
                      <w:sz w:val="21"/>
                      <w:szCs w:val="21"/>
                      <w:highlight w:val="none"/>
                    </w:rPr>
                  </w:pPr>
                </w:p>
              </w:tc>
              <w:tc>
                <w:tcPr>
                  <w:tcW w:w="427" w:type="pct"/>
                  <w:vMerge w:val="restart"/>
                  <w:noWrap w:val="0"/>
                  <w:vAlign w:val="center"/>
                </w:tcPr>
                <w:p>
                  <w:pPr>
                    <w:pStyle w:val="48"/>
                    <w:bidi w:val="0"/>
                    <w:spacing w:line="240" w:lineRule="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废水治理</w:t>
                  </w:r>
                </w:p>
              </w:tc>
              <w:tc>
                <w:tcPr>
                  <w:tcW w:w="989" w:type="pct"/>
                  <w:noWrap w:val="0"/>
                  <w:vAlign w:val="center"/>
                </w:tcPr>
                <w:p>
                  <w:pPr>
                    <w:pStyle w:val="48"/>
                    <w:bidi w:val="0"/>
                    <w:spacing w:line="240" w:lineRule="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生活污水</w:t>
                  </w:r>
                </w:p>
              </w:tc>
              <w:tc>
                <w:tcPr>
                  <w:tcW w:w="2290" w:type="pct"/>
                  <w:noWrap w:val="0"/>
                  <w:vAlign w:val="center"/>
                </w:tcPr>
                <w:p>
                  <w:pPr>
                    <w:pStyle w:val="48"/>
                    <w:bidi w:val="0"/>
                    <w:spacing w:line="240" w:lineRule="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化粪池</w:t>
                  </w:r>
                </w:p>
              </w:tc>
              <w:tc>
                <w:tcPr>
                  <w:tcW w:w="852" w:type="pct"/>
                  <w:noWrap w:val="0"/>
                  <w:vAlign w:val="center"/>
                </w:tcPr>
                <w:p>
                  <w:pPr>
                    <w:bidi w:val="0"/>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依托现有</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40" w:type="pct"/>
                  <w:vMerge w:val="continue"/>
                  <w:noWrap w:val="0"/>
                  <w:vAlign w:val="center"/>
                </w:tcPr>
                <w:p>
                  <w:pPr>
                    <w:pStyle w:val="48"/>
                    <w:bidi w:val="0"/>
                    <w:spacing w:line="240" w:lineRule="auto"/>
                    <w:rPr>
                      <w:rFonts w:hint="default" w:ascii="Times New Roman" w:hAnsi="Times New Roman" w:cs="Times New Roman"/>
                      <w:color w:val="auto"/>
                      <w:sz w:val="21"/>
                      <w:szCs w:val="21"/>
                      <w:highlight w:val="none"/>
                    </w:rPr>
                  </w:pPr>
                </w:p>
              </w:tc>
              <w:tc>
                <w:tcPr>
                  <w:tcW w:w="427" w:type="pct"/>
                  <w:vMerge w:val="continue"/>
                  <w:noWrap w:val="0"/>
                  <w:vAlign w:val="center"/>
                </w:tcPr>
                <w:p>
                  <w:pPr>
                    <w:pStyle w:val="48"/>
                    <w:bidi w:val="0"/>
                    <w:spacing w:line="240" w:lineRule="auto"/>
                    <w:rPr>
                      <w:rFonts w:hint="default" w:ascii="Times New Roman" w:hAnsi="Times New Roman" w:cs="Times New Roman"/>
                      <w:color w:val="auto"/>
                      <w:sz w:val="21"/>
                      <w:szCs w:val="21"/>
                      <w:highlight w:val="none"/>
                      <w:lang w:val="en-US" w:eastAsia="zh-CN"/>
                    </w:rPr>
                  </w:pPr>
                </w:p>
              </w:tc>
              <w:tc>
                <w:tcPr>
                  <w:tcW w:w="989" w:type="pct"/>
                  <w:shd w:val="clear" w:color="auto" w:fill="auto"/>
                  <w:noWrap w:val="0"/>
                  <w:vAlign w:val="center"/>
                </w:tcPr>
                <w:p>
                  <w:pPr>
                    <w:pStyle w:val="48"/>
                    <w:bidi w:val="0"/>
                    <w:spacing w:line="240" w:lineRule="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循环冷却系统</w:t>
                  </w:r>
                </w:p>
              </w:tc>
              <w:tc>
                <w:tcPr>
                  <w:tcW w:w="2290" w:type="pct"/>
                  <w:shd w:val="clear" w:color="auto" w:fill="auto"/>
                  <w:noWrap w:val="0"/>
                  <w:vAlign w:val="center"/>
                </w:tcPr>
                <w:p>
                  <w:pPr>
                    <w:pStyle w:val="48"/>
                    <w:bidi w:val="0"/>
                    <w:spacing w:line="240" w:lineRule="auto"/>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冷却塔</w:t>
                  </w:r>
                </w:p>
              </w:tc>
              <w:tc>
                <w:tcPr>
                  <w:tcW w:w="852" w:type="pct"/>
                  <w:shd w:val="clear" w:color="auto" w:fill="auto"/>
                  <w:noWrap w:val="0"/>
                  <w:vAlign w:val="center"/>
                </w:tcPr>
                <w:p>
                  <w:pPr>
                    <w:bidi w:val="0"/>
                    <w:spacing w:line="240" w:lineRule="auto"/>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40" w:type="pct"/>
                  <w:vMerge w:val="continue"/>
                  <w:noWrap w:val="0"/>
                  <w:vAlign w:val="center"/>
                </w:tcPr>
                <w:p>
                  <w:pPr>
                    <w:pStyle w:val="48"/>
                    <w:bidi w:val="0"/>
                    <w:spacing w:line="240" w:lineRule="auto"/>
                    <w:rPr>
                      <w:rFonts w:hint="default" w:ascii="Times New Roman" w:hAnsi="Times New Roman" w:cs="Times New Roman"/>
                      <w:color w:val="auto"/>
                      <w:sz w:val="21"/>
                      <w:szCs w:val="21"/>
                      <w:highlight w:val="none"/>
                    </w:rPr>
                  </w:pPr>
                </w:p>
              </w:tc>
              <w:tc>
                <w:tcPr>
                  <w:tcW w:w="427" w:type="pct"/>
                  <w:vMerge w:val="continue"/>
                  <w:noWrap w:val="0"/>
                  <w:vAlign w:val="center"/>
                </w:tcPr>
                <w:p>
                  <w:pPr>
                    <w:pStyle w:val="48"/>
                    <w:bidi w:val="0"/>
                    <w:spacing w:line="240" w:lineRule="auto"/>
                    <w:rPr>
                      <w:rFonts w:hint="default" w:ascii="Times New Roman" w:hAnsi="Times New Roman" w:cs="Times New Roman"/>
                      <w:color w:val="auto"/>
                      <w:sz w:val="21"/>
                      <w:szCs w:val="21"/>
                      <w:highlight w:val="none"/>
                      <w:lang w:val="en-US" w:eastAsia="zh-CN"/>
                    </w:rPr>
                  </w:pPr>
                </w:p>
              </w:tc>
              <w:tc>
                <w:tcPr>
                  <w:tcW w:w="989" w:type="pct"/>
                  <w:shd w:val="clear" w:color="auto" w:fill="auto"/>
                  <w:noWrap w:val="0"/>
                  <w:vAlign w:val="center"/>
                </w:tcPr>
                <w:p>
                  <w:pPr>
                    <w:pStyle w:val="48"/>
                    <w:bidi w:val="0"/>
                    <w:spacing w:line="240" w:lineRule="auto"/>
                    <w:rPr>
                      <w:rFonts w:hint="default" w:ascii="Times New Roman" w:hAnsi="Times New Roman"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原料清洗废水、洗瓶废水、CIP系统清洗废水</w:t>
                  </w:r>
                </w:p>
              </w:tc>
              <w:tc>
                <w:tcPr>
                  <w:tcW w:w="2290" w:type="pct"/>
                  <w:shd w:val="clear" w:color="auto" w:fill="auto"/>
                  <w:noWrap w:val="0"/>
                  <w:vAlign w:val="center"/>
                </w:tcPr>
                <w:p>
                  <w:pPr>
                    <w:pStyle w:val="48"/>
                    <w:bidi w:val="0"/>
                    <w:spacing w:line="240" w:lineRule="auto"/>
                    <w:rPr>
                      <w:rFonts w:hint="default" w:ascii="Times New Roman" w:hAnsi="Times New Roman"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污水处理站</w:t>
                  </w:r>
                </w:p>
              </w:tc>
              <w:tc>
                <w:tcPr>
                  <w:tcW w:w="852" w:type="pct"/>
                  <w:shd w:val="clear" w:color="auto" w:fill="auto"/>
                  <w:noWrap w:val="0"/>
                  <w:vAlign w:val="center"/>
                </w:tcPr>
                <w:p>
                  <w:pPr>
                    <w:bidi w:val="0"/>
                    <w:spacing w:line="240" w:lineRule="auto"/>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30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40" w:type="pct"/>
                  <w:vMerge w:val="continue"/>
                  <w:noWrap w:val="0"/>
                  <w:vAlign w:val="center"/>
                </w:tcPr>
                <w:p>
                  <w:pPr>
                    <w:pStyle w:val="48"/>
                    <w:bidi w:val="0"/>
                    <w:spacing w:line="240" w:lineRule="auto"/>
                    <w:rPr>
                      <w:rFonts w:hint="default" w:ascii="Times New Roman" w:hAnsi="Times New Roman" w:cs="Times New Roman"/>
                      <w:color w:val="auto"/>
                      <w:sz w:val="21"/>
                      <w:szCs w:val="21"/>
                      <w:highlight w:val="none"/>
                    </w:rPr>
                  </w:pPr>
                </w:p>
              </w:tc>
              <w:tc>
                <w:tcPr>
                  <w:tcW w:w="427" w:type="pct"/>
                  <w:vMerge w:val="continue"/>
                  <w:noWrap w:val="0"/>
                  <w:vAlign w:val="center"/>
                </w:tcPr>
                <w:p>
                  <w:pPr>
                    <w:pStyle w:val="48"/>
                    <w:bidi w:val="0"/>
                    <w:spacing w:line="240" w:lineRule="auto"/>
                    <w:rPr>
                      <w:rFonts w:hint="default" w:ascii="Times New Roman" w:hAnsi="Times New Roman" w:cs="Times New Roman"/>
                      <w:color w:val="auto"/>
                      <w:sz w:val="21"/>
                      <w:szCs w:val="21"/>
                      <w:highlight w:val="none"/>
                      <w:lang w:val="en-US" w:eastAsia="zh-CN"/>
                    </w:rPr>
                  </w:pPr>
                </w:p>
              </w:tc>
              <w:tc>
                <w:tcPr>
                  <w:tcW w:w="989" w:type="pct"/>
                  <w:shd w:val="clear" w:color="auto" w:fill="auto"/>
                  <w:noWrap w:val="0"/>
                  <w:vAlign w:val="center"/>
                </w:tcPr>
                <w:p>
                  <w:pPr>
                    <w:pStyle w:val="48"/>
                    <w:bidi w:val="0"/>
                    <w:spacing w:line="240" w:lineRule="auto"/>
                    <w:rPr>
                      <w:rFonts w:hint="default" w:ascii="Times New Roman" w:hAnsi="Times New Roman"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综合废水</w:t>
                  </w:r>
                </w:p>
              </w:tc>
              <w:tc>
                <w:tcPr>
                  <w:tcW w:w="2290" w:type="pct"/>
                  <w:shd w:val="clear" w:color="auto" w:fill="auto"/>
                  <w:noWrap w:val="0"/>
                  <w:vAlign w:val="center"/>
                </w:tcPr>
                <w:p>
                  <w:pPr>
                    <w:pStyle w:val="48"/>
                    <w:bidi w:val="0"/>
                    <w:spacing w:line="240" w:lineRule="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混合后排放至园区下水管网，进入园区污水处理厂深度处理</w:t>
                  </w:r>
                </w:p>
              </w:tc>
              <w:tc>
                <w:tcPr>
                  <w:tcW w:w="852" w:type="pct"/>
                  <w:shd w:val="clear" w:color="auto" w:fill="auto"/>
                  <w:noWrap w:val="0"/>
                  <w:vAlign w:val="center"/>
                </w:tcPr>
                <w:p>
                  <w:pPr>
                    <w:bidi w:val="0"/>
                    <w:spacing w:line="240" w:lineRule="auto"/>
                    <w:jc w:val="center"/>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40" w:type="pct"/>
                  <w:vMerge w:val="continue"/>
                  <w:noWrap w:val="0"/>
                  <w:vAlign w:val="center"/>
                </w:tcPr>
                <w:p>
                  <w:pPr>
                    <w:pStyle w:val="48"/>
                    <w:bidi w:val="0"/>
                    <w:spacing w:line="240" w:lineRule="auto"/>
                    <w:rPr>
                      <w:rFonts w:hint="default" w:ascii="Times New Roman" w:hAnsi="Times New Roman" w:cs="Times New Roman"/>
                      <w:color w:val="auto"/>
                      <w:sz w:val="21"/>
                      <w:szCs w:val="21"/>
                      <w:highlight w:val="none"/>
                    </w:rPr>
                  </w:pPr>
                </w:p>
              </w:tc>
              <w:tc>
                <w:tcPr>
                  <w:tcW w:w="427" w:type="pct"/>
                  <w:vMerge w:val="restart"/>
                  <w:noWrap w:val="0"/>
                  <w:vAlign w:val="center"/>
                </w:tcPr>
                <w:p>
                  <w:pPr>
                    <w:pStyle w:val="48"/>
                    <w:bidi w:val="0"/>
                    <w:spacing w:line="240" w:lineRule="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固废治理</w:t>
                  </w:r>
                </w:p>
              </w:tc>
              <w:tc>
                <w:tcPr>
                  <w:tcW w:w="989" w:type="pct"/>
                  <w:noWrap w:val="0"/>
                  <w:vAlign w:val="center"/>
                </w:tcPr>
                <w:p>
                  <w:pPr>
                    <w:pStyle w:val="48"/>
                    <w:bidi w:val="0"/>
                    <w:spacing w:line="240" w:lineRule="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生活垃圾</w:t>
                  </w:r>
                </w:p>
              </w:tc>
              <w:tc>
                <w:tcPr>
                  <w:tcW w:w="2290" w:type="pct"/>
                  <w:noWrap w:val="0"/>
                  <w:vAlign w:val="center"/>
                </w:tcPr>
                <w:p>
                  <w:pPr>
                    <w:pStyle w:val="48"/>
                    <w:bidi w:val="0"/>
                    <w:spacing w:line="240" w:lineRule="auto"/>
                    <w:rPr>
                      <w:rFonts w:hint="default" w:ascii="Times New Roman" w:hAnsi="Times New Roman"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垃圾桶若干</w:t>
                  </w:r>
                </w:p>
              </w:tc>
              <w:tc>
                <w:tcPr>
                  <w:tcW w:w="852" w:type="pct"/>
                  <w:noWrap w:val="0"/>
                  <w:vAlign w:val="center"/>
                </w:tcPr>
                <w:p>
                  <w:pPr>
                    <w:pStyle w:val="48"/>
                    <w:bidi w:val="0"/>
                    <w:spacing w:line="240" w:lineRule="auto"/>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40" w:type="pct"/>
                  <w:vMerge w:val="continue"/>
                  <w:noWrap w:val="0"/>
                  <w:vAlign w:val="center"/>
                </w:tcPr>
                <w:p>
                  <w:pPr>
                    <w:pStyle w:val="48"/>
                    <w:bidi w:val="0"/>
                    <w:spacing w:line="240" w:lineRule="auto"/>
                    <w:rPr>
                      <w:rFonts w:hint="default" w:ascii="Times New Roman" w:hAnsi="Times New Roman" w:cs="Times New Roman"/>
                      <w:color w:val="auto"/>
                      <w:sz w:val="21"/>
                      <w:szCs w:val="21"/>
                      <w:highlight w:val="none"/>
                    </w:rPr>
                  </w:pPr>
                </w:p>
              </w:tc>
              <w:tc>
                <w:tcPr>
                  <w:tcW w:w="427" w:type="pct"/>
                  <w:vMerge w:val="continue"/>
                  <w:noWrap w:val="0"/>
                  <w:vAlign w:val="center"/>
                </w:tcPr>
                <w:p>
                  <w:pPr>
                    <w:pStyle w:val="48"/>
                    <w:bidi w:val="0"/>
                    <w:spacing w:line="240" w:lineRule="auto"/>
                    <w:rPr>
                      <w:rFonts w:hint="default" w:ascii="Times New Roman" w:hAnsi="Times New Roman" w:cs="Times New Roman"/>
                      <w:color w:val="auto"/>
                      <w:sz w:val="21"/>
                      <w:szCs w:val="21"/>
                      <w:highlight w:val="none"/>
                    </w:rPr>
                  </w:pPr>
                </w:p>
              </w:tc>
              <w:tc>
                <w:tcPr>
                  <w:tcW w:w="989" w:type="pct"/>
                  <w:noWrap w:val="0"/>
                  <w:vAlign w:val="center"/>
                </w:tcPr>
                <w:p>
                  <w:pPr>
                    <w:pStyle w:val="48"/>
                    <w:bidi w:val="0"/>
                    <w:spacing w:line="240" w:lineRule="auto"/>
                    <w:rPr>
                      <w:rFonts w:hint="default" w:ascii="Times New Roman" w:hAnsi="Times New Roman" w:cs="Times New Roman"/>
                      <w:color w:val="auto"/>
                      <w:sz w:val="21"/>
                      <w:szCs w:val="21"/>
                      <w:highlight w:val="none"/>
                      <w:lang w:val="en-US"/>
                    </w:rPr>
                  </w:pPr>
                  <w:r>
                    <w:rPr>
                      <w:rFonts w:hint="eastAsia" w:ascii="Times New Roman" w:cs="Times New Roman"/>
                      <w:color w:val="auto"/>
                      <w:sz w:val="21"/>
                      <w:szCs w:val="21"/>
                      <w:highlight w:val="none"/>
                      <w:lang w:val="en-US" w:eastAsia="zh-CN"/>
                    </w:rPr>
                    <w:t>废包装材料、废过滤材料、废塑封边角料、废污水站污泥</w:t>
                  </w:r>
                </w:p>
              </w:tc>
              <w:tc>
                <w:tcPr>
                  <w:tcW w:w="2290" w:type="pct"/>
                  <w:noWrap w:val="0"/>
                  <w:vAlign w:val="center"/>
                </w:tcPr>
                <w:p>
                  <w:pPr>
                    <w:pStyle w:val="48"/>
                    <w:bidi w:val="0"/>
                    <w:spacing w:line="240" w:lineRule="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一般固废暂存间</w:t>
                  </w:r>
                </w:p>
              </w:tc>
              <w:tc>
                <w:tcPr>
                  <w:tcW w:w="852" w:type="pct"/>
                  <w:noWrap w:val="0"/>
                  <w:vAlign w:val="center"/>
                </w:tcPr>
                <w:p>
                  <w:pPr>
                    <w:pStyle w:val="48"/>
                    <w:bidi w:val="0"/>
                    <w:spacing w:line="240" w:lineRule="auto"/>
                    <w:rPr>
                      <w:rFonts w:hint="default" w:ascii="Times New Roman" w:hAnsi="Times New Roman"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40" w:type="pct"/>
                  <w:vMerge w:val="continue"/>
                  <w:noWrap w:val="0"/>
                  <w:vAlign w:val="center"/>
                </w:tcPr>
                <w:p>
                  <w:pPr>
                    <w:pStyle w:val="48"/>
                    <w:bidi w:val="0"/>
                    <w:spacing w:line="240" w:lineRule="auto"/>
                    <w:rPr>
                      <w:rFonts w:hint="default" w:ascii="Times New Roman" w:hAnsi="Times New Roman" w:cs="Times New Roman"/>
                      <w:color w:val="auto"/>
                      <w:sz w:val="21"/>
                      <w:szCs w:val="21"/>
                      <w:highlight w:val="none"/>
                    </w:rPr>
                  </w:pPr>
                </w:p>
              </w:tc>
              <w:tc>
                <w:tcPr>
                  <w:tcW w:w="427" w:type="pct"/>
                  <w:vMerge w:val="continue"/>
                  <w:noWrap w:val="0"/>
                  <w:vAlign w:val="center"/>
                </w:tcPr>
                <w:p>
                  <w:pPr>
                    <w:pStyle w:val="48"/>
                    <w:bidi w:val="0"/>
                    <w:spacing w:line="240" w:lineRule="auto"/>
                    <w:rPr>
                      <w:rFonts w:hint="default" w:ascii="Times New Roman" w:hAnsi="Times New Roman" w:cs="Times New Roman"/>
                      <w:color w:val="auto"/>
                      <w:sz w:val="21"/>
                      <w:szCs w:val="21"/>
                      <w:highlight w:val="none"/>
                    </w:rPr>
                  </w:pPr>
                </w:p>
              </w:tc>
              <w:tc>
                <w:tcPr>
                  <w:tcW w:w="989" w:type="pct"/>
                  <w:noWrap w:val="0"/>
                  <w:vAlign w:val="center"/>
                </w:tcPr>
                <w:p>
                  <w:pPr>
                    <w:pStyle w:val="48"/>
                    <w:bidi w:val="0"/>
                    <w:spacing w:line="240" w:lineRule="auto"/>
                    <w:rPr>
                      <w:rFonts w:hint="default" w:ascii="Times New Roman" w:hAnsi="Times New Roman"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坏果及果渣</w:t>
                  </w:r>
                </w:p>
              </w:tc>
              <w:tc>
                <w:tcPr>
                  <w:tcW w:w="2290" w:type="pct"/>
                  <w:noWrap w:val="0"/>
                  <w:vAlign w:val="center"/>
                </w:tcPr>
                <w:p>
                  <w:pPr>
                    <w:pStyle w:val="48"/>
                    <w:bidi w:val="0"/>
                    <w:spacing w:line="240" w:lineRule="auto"/>
                    <w:rPr>
                      <w:rFonts w:hint="default" w:ascii="Times New Roman" w:hAnsi="Times New Roman"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专用贮存点，密闭贮存，日产日清，外售综合利用</w:t>
                  </w:r>
                </w:p>
              </w:tc>
              <w:tc>
                <w:tcPr>
                  <w:tcW w:w="852" w:type="pct"/>
                  <w:noWrap w:val="0"/>
                  <w:vAlign w:val="center"/>
                </w:tcPr>
                <w:p>
                  <w:pPr>
                    <w:pStyle w:val="48"/>
                    <w:bidi w:val="0"/>
                    <w:spacing w:line="240" w:lineRule="auto"/>
                    <w:rPr>
                      <w:rFonts w:hint="default" w:ascii="Times New Roman" w:hAnsi="Times New Roman"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440" w:type="pct"/>
                  <w:vMerge w:val="continue"/>
                  <w:noWrap w:val="0"/>
                  <w:vAlign w:val="center"/>
                </w:tcPr>
                <w:p>
                  <w:pPr>
                    <w:pStyle w:val="48"/>
                    <w:bidi w:val="0"/>
                    <w:spacing w:line="240" w:lineRule="auto"/>
                    <w:rPr>
                      <w:rFonts w:hint="default" w:ascii="Times New Roman" w:hAnsi="Times New Roman" w:cs="Times New Roman"/>
                      <w:color w:val="auto"/>
                      <w:sz w:val="21"/>
                      <w:szCs w:val="21"/>
                      <w:highlight w:val="none"/>
                    </w:rPr>
                  </w:pPr>
                </w:p>
              </w:tc>
              <w:tc>
                <w:tcPr>
                  <w:tcW w:w="427" w:type="pct"/>
                  <w:vMerge w:val="continue"/>
                  <w:noWrap w:val="0"/>
                  <w:vAlign w:val="center"/>
                </w:tcPr>
                <w:p>
                  <w:pPr>
                    <w:pStyle w:val="48"/>
                    <w:bidi w:val="0"/>
                    <w:spacing w:line="240" w:lineRule="auto"/>
                    <w:rPr>
                      <w:rFonts w:hint="default" w:ascii="Times New Roman" w:hAnsi="Times New Roman" w:cs="Times New Roman"/>
                      <w:color w:val="auto"/>
                      <w:sz w:val="21"/>
                      <w:szCs w:val="21"/>
                      <w:highlight w:val="none"/>
                    </w:rPr>
                  </w:pPr>
                </w:p>
              </w:tc>
              <w:tc>
                <w:tcPr>
                  <w:tcW w:w="989" w:type="pct"/>
                  <w:noWrap w:val="0"/>
                  <w:vAlign w:val="center"/>
                </w:tcPr>
                <w:p>
                  <w:pPr>
                    <w:pStyle w:val="48"/>
                    <w:bidi w:val="0"/>
                    <w:spacing w:line="240" w:lineRule="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危险废物</w:t>
                  </w:r>
                </w:p>
              </w:tc>
              <w:tc>
                <w:tcPr>
                  <w:tcW w:w="2290" w:type="pct"/>
                  <w:noWrap w:val="0"/>
                  <w:vAlign w:val="center"/>
                </w:tcPr>
                <w:p>
                  <w:pPr>
                    <w:pStyle w:val="48"/>
                    <w:bidi w:val="0"/>
                    <w:spacing w:line="240" w:lineRule="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危废贮存点</w:t>
                  </w:r>
                </w:p>
              </w:tc>
              <w:tc>
                <w:tcPr>
                  <w:tcW w:w="852" w:type="pct"/>
                  <w:noWrap w:val="0"/>
                  <w:vAlign w:val="center"/>
                </w:tcPr>
                <w:p>
                  <w:pPr>
                    <w:pStyle w:val="48"/>
                    <w:bidi w:val="0"/>
                    <w:spacing w:line="240" w:lineRule="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0" w:hRule="atLeast"/>
                <w:jc w:val="center"/>
              </w:trPr>
              <w:tc>
                <w:tcPr>
                  <w:tcW w:w="440" w:type="pct"/>
                  <w:vMerge w:val="continue"/>
                  <w:noWrap w:val="0"/>
                  <w:vAlign w:val="center"/>
                </w:tcPr>
                <w:p>
                  <w:pPr>
                    <w:pStyle w:val="48"/>
                    <w:bidi w:val="0"/>
                    <w:spacing w:line="240" w:lineRule="auto"/>
                    <w:rPr>
                      <w:rFonts w:hint="default" w:ascii="Times New Roman" w:hAnsi="Times New Roman" w:cs="Times New Roman"/>
                      <w:color w:val="auto"/>
                      <w:sz w:val="21"/>
                      <w:szCs w:val="21"/>
                      <w:highlight w:val="none"/>
                    </w:rPr>
                  </w:pPr>
                </w:p>
              </w:tc>
              <w:tc>
                <w:tcPr>
                  <w:tcW w:w="3707" w:type="pct"/>
                  <w:gridSpan w:val="3"/>
                  <w:noWrap w:val="0"/>
                  <w:vAlign w:val="center"/>
                </w:tcPr>
                <w:p>
                  <w:pPr>
                    <w:pStyle w:val="48"/>
                    <w:bidi w:val="0"/>
                    <w:spacing w:line="240" w:lineRule="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小计</w:t>
                  </w:r>
                </w:p>
              </w:tc>
              <w:tc>
                <w:tcPr>
                  <w:tcW w:w="852" w:type="pct"/>
                  <w:noWrap w:val="0"/>
                  <w:vAlign w:val="center"/>
                </w:tcPr>
                <w:p>
                  <w:pPr>
                    <w:pStyle w:val="48"/>
                    <w:bidi w:val="0"/>
                    <w:spacing w:line="240" w:lineRule="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100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4147" w:type="pct"/>
                  <w:gridSpan w:val="4"/>
                  <w:noWrap w:val="0"/>
                  <w:vAlign w:val="center"/>
                </w:tcPr>
                <w:p>
                  <w:pPr>
                    <w:pStyle w:val="48"/>
                    <w:bidi w:val="0"/>
                    <w:spacing w:line="240" w:lineRule="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合计</w:t>
                  </w:r>
                </w:p>
              </w:tc>
              <w:tc>
                <w:tcPr>
                  <w:tcW w:w="852" w:type="pct"/>
                  <w:noWrap w:val="0"/>
                  <w:vAlign w:val="center"/>
                </w:tcPr>
                <w:p>
                  <w:pPr>
                    <w:pStyle w:val="48"/>
                    <w:bidi w:val="0"/>
                    <w:spacing w:line="240" w:lineRule="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114</w:t>
                  </w:r>
                </w:p>
              </w:tc>
            </w:tr>
          </w:tbl>
          <w:p>
            <w:pPr>
              <w:adjustRightInd w:val="0"/>
              <w:snapToGrid w:val="0"/>
              <w:jc w:val="center"/>
              <w:rPr>
                <w:rFonts w:hint="default" w:ascii="Times New Roman" w:hAnsi="Times New Roman" w:cs="Times New Roman"/>
                <w:bCs/>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581" w:hRule="atLeast"/>
          <w:jc w:val="center"/>
        </w:trPr>
        <w:tc>
          <w:tcPr>
            <w:tcW w:w="729" w:type="dxa"/>
            <w:noWrap w:val="0"/>
            <w:vAlign w:val="center"/>
          </w:tcPr>
          <w:p>
            <w:pPr>
              <w:pStyle w:val="18"/>
              <w:adjustRightInd w:val="0"/>
              <w:snapToGrid w:val="0"/>
              <w:spacing w:before="0" w:beforeAutospacing="0" w:after="0" w:afterAutospacing="0"/>
              <w:jc w:val="center"/>
              <w:rPr>
                <w:rFonts w:cs="宋体"/>
                <w:color w:val="auto"/>
                <w:sz w:val="21"/>
                <w:szCs w:val="21"/>
                <w:highlight w:val="none"/>
              </w:rPr>
            </w:pPr>
            <w:r>
              <w:rPr>
                <w:rFonts w:hint="eastAsia" w:cs="宋体"/>
                <w:color w:val="auto"/>
                <w:sz w:val="21"/>
                <w:szCs w:val="21"/>
                <w:highlight w:val="none"/>
              </w:rPr>
              <w:t>工艺流程和产排污环节</w:t>
            </w:r>
          </w:p>
        </w:tc>
        <w:tc>
          <w:tcPr>
            <w:tcW w:w="8331" w:type="dxa"/>
            <w:noWrap w:val="0"/>
            <w:vAlign w:val="top"/>
          </w:tcPr>
          <w:p>
            <w:pPr>
              <w:keepNext w:val="0"/>
              <w:keepLines w:val="0"/>
              <w:pageBreakBefore w:val="0"/>
              <w:widowControl w:val="0"/>
              <w:kinsoku/>
              <w:wordWrap/>
              <w:overflowPunct/>
              <w:topLinePunct w:val="0"/>
              <w:autoSpaceDE/>
              <w:autoSpaceDN/>
              <w:bidi w:val="0"/>
              <w:adjustRightInd/>
              <w:snapToGrid/>
              <w:spacing w:line="360" w:lineRule="auto"/>
              <w:ind w:firstLine="422" w:firstLineChars="200"/>
              <w:textAlignment w:val="auto"/>
              <w:rPr>
                <w:rFonts w:hint="eastAsia" w:ascii="Times New Roman" w:hAnsi="Times New Roman" w:eastAsia="宋体" w:cs="Times New Roman"/>
                <w:b/>
                <w:bCs/>
                <w:color w:val="auto"/>
                <w:sz w:val="21"/>
                <w:szCs w:val="21"/>
                <w:highlight w:val="none"/>
                <w:lang w:eastAsia="zh-CN"/>
              </w:rPr>
            </w:pPr>
            <w:r>
              <w:rPr>
                <w:rFonts w:hint="default" w:ascii="Times New Roman" w:hAnsi="Times New Roman" w:eastAsia="宋体" w:cs="Times New Roman"/>
                <w:b/>
                <w:bCs/>
                <w:color w:val="auto"/>
                <w:sz w:val="21"/>
                <w:szCs w:val="21"/>
                <w:highlight w:val="none"/>
              </w:rPr>
              <w:t>施工期</w:t>
            </w:r>
            <w:r>
              <w:rPr>
                <w:rFonts w:hint="eastAsia" w:ascii="Times New Roman" w:hAnsi="Times New Roman" w:eastAsia="宋体" w:cs="Times New Roman"/>
                <w:b/>
                <w:bCs/>
                <w:color w:val="auto"/>
                <w:sz w:val="21"/>
                <w:szCs w:val="21"/>
                <w:highlight w:val="none"/>
                <w:lang w:eastAsia="zh-CN"/>
              </w:rPr>
              <w:t>：</w:t>
            </w:r>
          </w:p>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eastAsia="宋体" w:cs="Times New Roman"/>
                <w:b/>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drawing>
                <wp:inline distT="0" distB="0" distL="114300" distR="114300">
                  <wp:extent cx="4970145" cy="1273175"/>
                  <wp:effectExtent l="0" t="0" r="1905" b="3175"/>
                  <wp:docPr id="1"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pic:cNvPicPr>
                            <a:picLocks noChangeAspect="1"/>
                          </pic:cNvPicPr>
                        </pic:nvPicPr>
                        <pic:blipFill>
                          <a:blip r:embed="rId10"/>
                          <a:stretch>
                            <a:fillRect/>
                          </a:stretch>
                        </pic:blipFill>
                        <pic:spPr>
                          <a:xfrm>
                            <a:off x="0" y="0"/>
                            <a:ext cx="4970145" cy="1273175"/>
                          </a:xfrm>
                          <a:prstGeom prst="rect">
                            <a:avLst/>
                          </a:prstGeom>
                          <a:noFill/>
                          <a:ln>
                            <a:noFill/>
                          </a:ln>
                        </pic:spPr>
                      </pic:pic>
                    </a:graphicData>
                  </a:graphic>
                </wp:inline>
              </w:drawing>
            </w:r>
          </w:p>
          <w:p>
            <w:pPr>
              <w:widowControl w:val="0"/>
              <w:bidi w:val="0"/>
              <w:adjustRightInd w:val="0"/>
              <w:snapToGrid w:val="0"/>
              <w:spacing w:line="360" w:lineRule="auto"/>
              <w:jc w:val="center"/>
              <w:rPr>
                <w:rFonts w:hint="default" w:ascii="Times New Roman" w:hAnsi="Times New Roman" w:eastAsia="宋体" w:cs="Times New Roman"/>
                <w:b/>
                <w:color w:val="auto"/>
                <w:kern w:val="2"/>
                <w:sz w:val="21"/>
                <w:szCs w:val="21"/>
                <w:highlight w:val="none"/>
                <w:lang w:val="en-US" w:eastAsia="zh-CN" w:bidi="ar-SA"/>
              </w:rPr>
            </w:pPr>
            <w:r>
              <w:rPr>
                <w:rFonts w:hint="default" w:ascii="Times New Roman" w:hAnsi="Times New Roman" w:eastAsia="宋体" w:cs="Times New Roman"/>
                <w:b/>
                <w:color w:val="auto"/>
                <w:kern w:val="2"/>
                <w:sz w:val="21"/>
                <w:szCs w:val="21"/>
                <w:highlight w:val="none"/>
                <w:lang w:val="en-US" w:eastAsia="zh-CN" w:bidi="ar-SA"/>
              </w:rPr>
              <w:t>图2-</w:t>
            </w:r>
            <w:r>
              <w:rPr>
                <w:rFonts w:hint="eastAsia" w:ascii="Times New Roman" w:hAnsi="Times New Roman" w:eastAsia="宋体" w:cs="Times New Roman"/>
                <w:b/>
                <w:color w:val="auto"/>
                <w:kern w:val="2"/>
                <w:sz w:val="21"/>
                <w:szCs w:val="21"/>
                <w:highlight w:val="none"/>
                <w:lang w:val="en-US" w:eastAsia="zh-CN" w:bidi="ar-SA"/>
              </w:rPr>
              <w:t>2</w:t>
            </w:r>
            <w:r>
              <w:rPr>
                <w:rFonts w:hint="default" w:ascii="Times New Roman" w:hAnsi="Times New Roman" w:eastAsia="宋体" w:cs="Times New Roman"/>
                <w:b/>
                <w:color w:val="auto"/>
                <w:kern w:val="2"/>
                <w:sz w:val="21"/>
                <w:szCs w:val="21"/>
                <w:highlight w:val="none"/>
                <w:lang w:val="en-US" w:eastAsia="zh-CN" w:bidi="ar-SA"/>
              </w:rPr>
              <w:t xml:space="preserve"> 施工期工艺流程图</w:t>
            </w:r>
          </w:p>
          <w:p>
            <w:pPr>
              <w:spacing w:line="360" w:lineRule="auto"/>
              <w:ind w:firstLine="420" w:firstLineChars="200"/>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工程施工期间的施工准备、土方工程、景观绿化、围挡护栏拆除等建筑工序会产生噪声、扬尘、固体废物、生活污水、设备废气等污染物。</w:t>
            </w:r>
          </w:p>
          <w:p>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textAlignment w:val="auto"/>
              <w:rPr>
                <w:rFonts w:hint="eastAsia" w:ascii="Times New Roman" w:hAnsi="Times New Roman" w:cs="Times New Roman"/>
                <w:b/>
                <w:bCs w:val="0"/>
                <w:color w:val="auto"/>
                <w:sz w:val="21"/>
                <w:szCs w:val="21"/>
                <w:highlight w:val="none"/>
                <w:lang w:val="en-US" w:eastAsia="zh-CN"/>
              </w:rPr>
            </w:pPr>
            <w:r>
              <w:rPr>
                <w:rFonts w:hint="eastAsia" w:ascii="Times New Roman" w:hAnsi="Times New Roman" w:cs="Times New Roman"/>
                <w:b/>
                <w:bCs w:val="0"/>
                <w:color w:val="auto"/>
                <w:sz w:val="21"/>
                <w:szCs w:val="21"/>
                <w:highlight w:val="none"/>
                <w:lang w:val="en-US" w:eastAsia="zh-CN"/>
              </w:rPr>
              <w:t>运营期：</w:t>
            </w:r>
          </w:p>
          <w:p>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textAlignment w:val="auto"/>
              <w:rPr>
                <w:rFonts w:hint="default" w:ascii="Times New Roman" w:hAnsi="Times New Roman" w:cs="Times New Roman"/>
                <w:b/>
                <w:bCs w:val="0"/>
                <w:color w:val="auto"/>
                <w:sz w:val="21"/>
                <w:szCs w:val="21"/>
                <w:highlight w:val="none"/>
                <w:lang w:val="en-US" w:eastAsia="zh-CN"/>
              </w:rPr>
            </w:pPr>
            <w:r>
              <w:rPr>
                <w:rFonts w:hint="eastAsia" w:cs="Times New Roman"/>
                <w:b/>
                <w:bCs w:val="0"/>
                <w:color w:val="auto"/>
                <w:sz w:val="21"/>
                <w:szCs w:val="21"/>
                <w:highlight w:val="none"/>
                <w:lang w:val="en-US" w:eastAsia="zh-CN"/>
              </w:rPr>
              <w:t>1、生产工艺流程</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cs="Times New Roman"/>
                <w:b w:val="0"/>
                <w:bCs/>
                <w:color w:val="auto"/>
                <w:sz w:val="21"/>
                <w:szCs w:val="21"/>
                <w:highlight w:val="none"/>
                <w:lang w:val="en-US" w:eastAsia="zh-CN"/>
              </w:rPr>
            </w:pPr>
            <w:r>
              <w:rPr>
                <w:rFonts w:hint="eastAsia" w:ascii="Times New Roman" w:hAnsi="Times New Roman" w:cs="Times New Roman"/>
                <w:b w:val="0"/>
                <w:bCs/>
                <w:color w:val="auto"/>
                <w:sz w:val="21"/>
                <w:szCs w:val="21"/>
                <w:highlight w:val="none"/>
                <w:lang w:val="en-US" w:eastAsia="zh-CN"/>
              </w:rPr>
              <w:t>本项目产品包括高端鲜榨果汁饮料、普通果汁饮料、碳酸饮料及包装饮用水</w:t>
            </w:r>
            <w:r>
              <w:rPr>
                <w:rFonts w:hint="eastAsia" w:cs="Times New Roman"/>
                <w:b w:val="0"/>
                <w:bCs/>
                <w:color w:val="auto"/>
                <w:sz w:val="21"/>
                <w:szCs w:val="21"/>
                <w:highlight w:val="none"/>
                <w:lang w:val="en-US" w:eastAsia="zh-CN"/>
              </w:rPr>
              <w:t>等不同产品类型</w:t>
            </w:r>
            <w:r>
              <w:rPr>
                <w:rFonts w:hint="eastAsia" w:ascii="Times New Roman" w:hAnsi="Times New Roman" w:cs="Times New Roman"/>
                <w:b w:val="0"/>
                <w:bCs/>
                <w:color w:val="auto"/>
                <w:sz w:val="21"/>
                <w:szCs w:val="21"/>
                <w:highlight w:val="none"/>
                <w:lang w:val="en-US" w:eastAsia="zh-CN"/>
              </w:rPr>
              <w:t>，均使用由企业PET瓶吹塑线生产的PET瓶进行灌装。本次评价按照产品生产线不同分别介绍其生产流程及产污环节。</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2" w:firstLineChars="200"/>
              <w:textAlignment w:val="auto"/>
              <w:rPr>
                <w:rFonts w:hint="eastAsia" w:ascii="Times New Roman" w:hAnsi="Times New Roman" w:cs="Times New Roman"/>
                <w:b/>
                <w:bCs w:val="0"/>
                <w:color w:val="auto"/>
                <w:sz w:val="21"/>
                <w:szCs w:val="21"/>
                <w:highlight w:val="none"/>
                <w:lang w:val="en-US" w:eastAsia="zh-CN"/>
              </w:rPr>
            </w:pPr>
            <w:r>
              <w:rPr>
                <w:rFonts w:hint="eastAsia" w:ascii="Times New Roman" w:hAnsi="Times New Roman" w:eastAsia="宋体" w:cs="Times New Roman"/>
                <w:b/>
                <w:bCs w:val="0"/>
                <w:color w:val="auto"/>
                <w:kern w:val="2"/>
                <w:sz w:val="21"/>
                <w:szCs w:val="21"/>
                <w:lang w:val="en-US" w:eastAsia="zh-CN" w:bidi="ar-SA"/>
              </w:rPr>
              <w:t>（1）</w:t>
            </w:r>
            <w:r>
              <w:rPr>
                <w:rFonts w:hint="eastAsia" w:ascii="Times New Roman" w:hAnsi="Times New Roman" w:cs="Times New Roman"/>
                <w:b/>
                <w:bCs w:val="0"/>
                <w:color w:val="auto"/>
                <w:sz w:val="21"/>
                <w:szCs w:val="21"/>
                <w:highlight w:val="none"/>
                <w:lang w:val="en-US" w:eastAsia="zh-CN"/>
              </w:rPr>
              <w:t>高端鲜榨果汁饮料</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jc w:val="center"/>
              <w:textAlignment w:val="auto"/>
              <w:rPr>
                <w:rFonts w:hint="eastAsia" w:ascii="Times New Roman" w:hAnsi="Times New Roman" w:cs="Times New Roman"/>
                <w:b/>
                <w:bCs w:val="0"/>
                <w:color w:val="auto"/>
                <w:sz w:val="21"/>
                <w:szCs w:val="21"/>
                <w:highlight w:val="none"/>
                <w:lang w:val="en-US" w:eastAsia="zh-CN"/>
              </w:rPr>
            </w:pPr>
            <w:r>
              <w:rPr>
                <w:rFonts w:hint="eastAsia" w:ascii="Times New Roman" w:hAnsi="Times New Roman" w:cs="Times New Roman"/>
                <w:b/>
                <w:bCs w:val="0"/>
                <w:color w:val="auto"/>
                <w:sz w:val="21"/>
                <w:szCs w:val="21"/>
                <w:highlight w:val="none"/>
                <w:lang w:val="en-US" w:eastAsia="zh-CN"/>
              </w:rPr>
              <w:object>
                <v:shape id="_x0000_i1026" o:spt="75" type="#_x0000_t75" style="height:290.5pt;width:411.55pt;" o:ole="t" filled="f" o:preferrelative="t" stroked="f" coordsize="21600,21600">
                  <v:path/>
                  <v:fill on="f" focussize="0,0"/>
                  <v:stroke on="f"/>
                  <v:imagedata r:id="rId12" o:title=""/>
                  <o:lock v:ext="edit" aspectratio="t"/>
                  <w10:wrap type="none"/>
                  <w10:anchorlock/>
                </v:shape>
                <o:OLEObject Type="Embed" ProgID="Visio.Drawing.11" ShapeID="_x0000_i1026" DrawAspect="Content" ObjectID="_1468075726" r:id="rId11">
                  <o:LockedField>false</o:LockedField>
                </o:OLEObject>
              </w:object>
            </w:r>
            <w:r>
              <w:rPr>
                <w:rFonts w:hint="eastAsia" w:ascii="Times New Roman" w:hAnsi="Times New Roman" w:cs="Times New Roman"/>
                <w:b/>
                <w:bCs w:val="0"/>
                <w:color w:val="auto"/>
                <w:sz w:val="21"/>
                <w:szCs w:val="21"/>
                <w:highlight w:val="none"/>
                <w:lang w:val="en-US" w:eastAsia="zh-CN"/>
              </w:rPr>
              <w:t xml:space="preserve">图2-3 </w:t>
            </w:r>
            <w:r>
              <w:rPr>
                <w:rFonts w:hint="eastAsia" w:cs="Times New Roman"/>
                <w:b/>
                <w:bCs w:val="0"/>
                <w:color w:val="auto"/>
                <w:sz w:val="21"/>
                <w:szCs w:val="21"/>
                <w:highlight w:val="none"/>
                <w:lang w:val="en-US" w:eastAsia="zh-CN"/>
              </w:rPr>
              <w:t>本项目</w:t>
            </w:r>
            <w:r>
              <w:rPr>
                <w:rFonts w:hint="eastAsia" w:ascii="Times New Roman" w:hAnsi="Times New Roman" w:cs="Times New Roman"/>
                <w:b/>
                <w:bCs w:val="0"/>
                <w:color w:val="auto"/>
                <w:sz w:val="21"/>
                <w:szCs w:val="21"/>
                <w:highlight w:val="none"/>
                <w:lang w:val="en-US" w:eastAsia="zh-CN"/>
              </w:rPr>
              <w:t>高端鲜榨果汁饮料生产工艺流程及产污环节图</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jc w:val="both"/>
              <w:textAlignment w:val="auto"/>
              <w:rPr>
                <w:rFonts w:hint="eastAsia" w:ascii="Times New Roman" w:hAnsi="Times New Roman"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本项目</w:t>
            </w:r>
            <w:r>
              <w:rPr>
                <w:rFonts w:hint="eastAsia" w:ascii="Times New Roman" w:hAnsi="Times New Roman" w:cs="Times New Roman"/>
                <w:b w:val="0"/>
                <w:bCs/>
                <w:color w:val="auto"/>
                <w:sz w:val="21"/>
                <w:szCs w:val="21"/>
                <w:highlight w:val="none"/>
                <w:lang w:val="en-US" w:eastAsia="zh-CN"/>
              </w:rPr>
              <w:t>香梨NFC鲜榨果汁选用新鲜绿色无污染的库尔勒香梨，</w:t>
            </w:r>
            <w:r>
              <w:rPr>
                <w:rFonts w:hint="eastAsia" w:cs="Times New Roman"/>
                <w:b w:val="0"/>
                <w:bCs/>
                <w:color w:val="auto"/>
                <w:sz w:val="21"/>
                <w:szCs w:val="21"/>
                <w:highlight w:val="none"/>
                <w:lang w:val="en-US" w:eastAsia="zh-CN"/>
              </w:rPr>
              <w:t>先后</w:t>
            </w:r>
            <w:r>
              <w:rPr>
                <w:rFonts w:hint="eastAsia" w:ascii="Times New Roman" w:hAnsi="Times New Roman" w:cs="Times New Roman"/>
                <w:b w:val="0"/>
                <w:bCs/>
                <w:color w:val="auto"/>
                <w:sz w:val="21"/>
                <w:szCs w:val="21"/>
                <w:highlight w:val="none"/>
                <w:lang w:val="en-US" w:eastAsia="zh-CN"/>
              </w:rPr>
              <w:t>经过清洗、破碎、双道打浆</w:t>
            </w:r>
            <w:r>
              <w:rPr>
                <w:rFonts w:hint="eastAsia" w:cs="Times New Roman"/>
                <w:b w:val="0"/>
                <w:bCs/>
                <w:color w:val="auto"/>
                <w:sz w:val="21"/>
                <w:szCs w:val="21"/>
                <w:highlight w:val="none"/>
                <w:lang w:val="en-US" w:eastAsia="zh-CN"/>
              </w:rPr>
              <w:t>、</w:t>
            </w:r>
            <w:r>
              <w:rPr>
                <w:rFonts w:hint="eastAsia" w:ascii="Times New Roman" w:hAnsi="Times New Roman" w:cs="Times New Roman"/>
                <w:b w:val="0"/>
                <w:bCs/>
                <w:color w:val="auto"/>
                <w:sz w:val="21"/>
                <w:szCs w:val="21"/>
                <w:highlight w:val="none"/>
                <w:lang w:val="en-US" w:eastAsia="zh-CN"/>
              </w:rPr>
              <w:t>杀菌等工艺制成。生产全过程不采用高温蒸发浓缩，很好地保存了库尔勒香梨中的营养物质和风味。具体工艺流程说明如下：</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jc w:val="both"/>
              <w:textAlignment w:val="auto"/>
              <w:rPr>
                <w:rFonts w:hint="eastAsia" w:cs="Times New Roman"/>
                <w:b w:val="0"/>
                <w:bCs/>
                <w:color w:val="auto"/>
                <w:sz w:val="21"/>
                <w:szCs w:val="21"/>
                <w:highlight w:val="none"/>
                <w:lang w:val="en-US" w:eastAsia="zh-CN"/>
              </w:rPr>
            </w:pPr>
            <w:r>
              <w:rPr>
                <w:rFonts w:hint="eastAsia" w:ascii="Times New Roman" w:hAnsi="Times New Roman" w:cs="Times New Roman"/>
                <w:b w:val="0"/>
                <w:bCs/>
                <w:color w:val="auto"/>
                <w:sz w:val="21"/>
                <w:szCs w:val="21"/>
                <w:highlight w:val="none"/>
                <w:lang w:val="en-US" w:eastAsia="zh-CN"/>
              </w:rPr>
              <w:t>①清洗</w:t>
            </w:r>
            <w:r>
              <w:rPr>
                <w:rFonts w:hint="eastAsia" w:cs="Times New Roman"/>
                <w:b w:val="0"/>
                <w:bCs/>
                <w:color w:val="auto"/>
                <w:sz w:val="21"/>
                <w:szCs w:val="21"/>
                <w:highlight w:val="none"/>
                <w:lang w:val="en-US" w:eastAsia="zh-CN"/>
              </w:rPr>
              <w:t>、拣选</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jc w:val="both"/>
              <w:textAlignment w:val="auto"/>
              <w:rPr>
                <w:rFonts w:hint="eastAsia" w:ascii="Times New Roman" w:hAnsi="Times New Roman" w:cs="Times New Roman"/>
                <w:b w:val="0"/>
                <w:bCs/>
                <w:color w:val="auto"/>
                <w:sz w:val="21"/>
                <w:szCs w:val="21"/>
                <w:highlight w:val="none"/>
                <w:lang w:val="en-US" w:eastAsia="zh-CN"/>
              </w:rPr>
            </w:pPr>
            <w:r>
              <w:rPr>
                <w:rFonts w:hint="eastAsia" w:ascii="Times New Roman" w:hAnsi="Times New Roman" w:cs="Times New Roman"/>
                <w:b w:val="0"/>
                <w:bCs/>
                <w:color w:val="auto"/>
                <w:sz w:val="21"/>
                <w:szCs w:val="21"/>
                <w:highlight w:val="none"/>
                <w:lang w:val="en-US" w:eastAsia="zh-CN"/>
              </w:rPr>
              <w:t>香梨经传送带送入</w:t>
            </w:r>
            <w:r>
              <w:rPr>
                <w:rFonts w:hint="eastAsia" w:cs="Times New Roman"/>
                <w:b w:val="0"/>
                <w:bCs/>
                <w:color w:val="auto"/>
                <w:sz w:val="21"/>
                <w:szCs w:val="21"/>
                <w:highlight w:val="none"/>
                <w:lang w:val="en-US" w:eastAsia="zh-CN"/>
              </w:rPr>
              <w:t>鼓泡清洗机内</w:t>
            </w:r>
            <w:r>
              <w:rPr>
                <w:rFonts w:hint="eastAsia" w:ascii="Times New Roman" w:hAnsi="Times New Roman" w:cs="Times New Roman"/>
                <w:b w:val="0"/>
                <w:bCs/>
                <w:color w:val="auto"/>
                <w:sz w:val="21"/>
                <w:szCs w:val="21"/>
                <w:highlight w:val="none"/>
                <w:lang w:val="en-US" w:eastAsia="zh-CN"/>
              </w:rPr>
              <w:t>进行第一次清洗，清洗不添加清洗剂。在气泡、毛刷作用下，可有效去除水果表面的泥沙、灰尘、农药残留、微生物等。清洗后通过人工挑拣除去腐烂、发霉等不良的原料。然后用</w:t>
            </w:r>
            <w:r>
              <w:rPr>
                <w:rFonts w:hint="eastAsia" w:cs="Times New Roman"/>
                <w:b w:val="0"/>
                <w:bCs/>
                <w:color w:val="auto"/>
                <w:sz w:val="21"/>
                <w:szCs w:val="21"/>
                <w:highlight w:val="none"/>
                <w:lang w:val="en-US" w:eastAsia="zh-CN"/>
              </w:rPr>
              <w:t>纯水</w:t>
            </w:r>
            <w:r>
              <w:rPr>
                <w:rFonts w:hint="eastAsia" w:ascii="Times New Roman" w:hAnsi="Times New Roman" w:cs="Times New Roman"/>
                <w:b w:val="0"/>
                <w:bCs/>
                <w:color w:val="auto"/>
                <w:sz w:val="21"/>
                <w:szCs w:val="21"/>
                <w:highlight w:val="none"/>
                <w:lang w:val="en-US" w:eastAsia="zh-CN"/>
              </w:rPr>
              <w:t>对水果进行二次清洗。</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2" w:firstLineChars="200"/>
              <w:jc w:val="both"/>
              <w:textAlignment w:val="auto"/>
              <w:rPr>
                <w:rFonts w:hint="default" w:ascii="Times New Roman" w:hAnsi="Times New Roman" w:cs="Times New Roman"/>
                <w:b/>
                <w:bCs w:val="0"/>
                <w:color w:val="auto"/>
                <w:sz w:val="21"/>
                <w:szCs w:val="21"/>
                <w:highlight w:val="none"/>
                <w:lang w:val="en-US" w:eastAsia="zh-CN"/>
              </w:rPr>
            </w:pPr>
            <w:r>
              <w:rPr>
                <w:rFonts w:hint="eastAsia" w:ascii="Times New Roman" w:hAnsi="Times New Roman" w:cs="Times New Roman"/>
                <w:b/>
                <w:bCs w:val="0"/>
                <w:color w:val="auto"/>
                <w:sz w:val="21"/>
                <w:szCs w:val="21"/>
                <w:highlight w:val="none"/>
                <w:lang w:val="en-US" w:eastAsia="zh-CN"/>
              </w:rPr>
              <w:t>产污环节：清洗过程产生清洗废水</w:t>
            </w:r>
            <w:r>
              <w:rPr>
                <w:rFonts w:hint="eastAsia" w:cs="Times New Roman"/>
                <w:b/>
                <w:bCs w:val="0"/>
                <w:color w:val="auto"/>
                <w:sz w:val="21"/>
                <w:szCs w:val="21"/>
                <w:highlight w:val="none"/>
                <w:lang w:val="en-US" w:eastAsia="zh-CN"/>
              </w:rPr>
              <w:t>，排入厂区污水处理站进行处理</w:t>
            </w:r>
            <w:r>
              <w:rPr>
                <w:rFonts w:hint="eastAsia" w:ascii="Times New Roman" w:hAnsi="Times New Roman" w:cs="Times New Roman"/>
                <w:b/>
                <w:bCs w:val="0"/>
                <w:color w:val="auto"/>
                <w:sz w:val="21"/>
                <w:szCs w:val="21"/>
                <w:highlight w:val="none"/>
                <w:lang w:val="en-US" w:eastAsia="zh-CN"/>
              </w:rPr>
              <w:t>；挑拣过程产生坏果</w:t>
            </w:r>
            <w:r>
              <w:rPr>
                <w:rFonts w:hint="eastAsia" w:cs="Times New Roman"/>
                <w:b/>
                <w:bCs w:val="0"/>
                <w:color w:val="auto"/>
                <w:sz w:val="21"/>
                <w:szCs w:val="21"/>
                <w:highlight w:val="none"/>
                <w:lang w:val="en-US" w:eastAsia="zh-CN"/>
              </w:rPr>
              <w:t>，收集后存放于专用贮存点密闭收集桶内，日产日清</w:t>
            </w:r>
            <w:r>
              <w:rPr>
                <w:rFonts w:hint="eastAsia" w:ascii="Times New Roman" w:hAnsi="Times New Roman" w:cs="Times New Roman"/>
                <w:b/>
                <w:bCs w:val="0"/>
                <w:color w:val="auto"/>
                <w:sz w:val="21"/>
                <w:szCs w:val="21"/>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jc w:val="both"/>
              <w:textAlignment w:val="auto"/>
              <w:rPr>
                <w:rFonts w:hint="eastAsia" w:ascii="Times New Roman" w:hAnsi="Times New Roman" w:cs="Times New Roman"/>
                <w:b w:val="0"/>
                <w:bCs/>
                <w:color w:val="auto"/>
                <w:sz w:val="21"/>
                <w:szCs w:val="21"/>
                <w:highlight w:val="none"/>
                <w:lang w:val="en-US" w:eastAsia="zh-CN"/>
              </w:rPr>
            </w:pPr>
            <w:r>
              <w:rPr>
                <w:rFonts w:hint="eastAsia" w:ascii="Times New Roman" w:hAnsi="Times New Roman" w:cs="Times New Roman"/>
                <w:b w:val="0"/>
                <w:bCs/>
                <w:color w:val="auto"/>
                <w:sz w:val="21"/>
                <w:szCs w:val="21"/>
                <w:highlight w:val="none"/>
                <w:lang w:val="en-US" w:eastAsia="zh-CN"/>
              </w:rPr>
              <w:t>②破碎</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jc w:val="both"/>
              <w:textAlignment w:val="auto"/>
              <w:rPr>
                <w:rFonts w:hint="eastAsia" w:cs="Times New Roman"/>
                <w:b w:val="0"/>
                <w:bCs/>
                <w:color w:val="auto"/>
                <w:sz w:val="21"/>
                <w:szCs w:val="21"/>
                <w:highlight w:val="none"/>
                <w:lang w:val="en-US" w:eastAsia="zh-CN"/>
              </w:rPr>
            </w:pPr>
            <w:r>
              <w:rPr>
                <w:rFonts w:hint="eastAsia" w:ascii="Times New Roman" w:hAnsi="Times New Roman" w:cs="Times New Roman"/>
                <w:b w:val="0"/>
                <w:bCs/>
                <w:color w:val="auto"/>
                <w:sz w:val="21"/>
                <w:szCs w:val="21"/>
                <w:highlight w:val="none"/>
                <w:lang w:val="en-US" w:eastAsia="zh-CN"/>
              </w:rPr>
              <w:t>清洗后的水果不需要去核，直接进入破碎机。将完整水果破碎成均匀的小块，破坏细胞壁结构，便于打浆时充分释放果汁和果肉。</w:t>
            </w:r>
            <w:r>
              <w:rPr>
                <w:rFonts w:hint="eastAsia" w:cs="Times New Roman"/>
                <w:b w:val="0"/>
                <w:bCs/>
                <w:color w:val="auto"/>
                <w:sz w:val="21"/>
                <w:szCs w:val="21"/>
                <w:highlight w:val="none"/>
                <w:lang w:val="en-US" w:eastAsia="zh-CN"/>
              </w:rPr>
              <w:t>该过程无污染物产生。</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jc w:val="both"/>
              <w:textAlignment w:val="auto"/>
              <w:rPr>
                <w:rFonts w:hint="eastAsia"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③双道打浆</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jc w:val="both"/>
              <w:textAlignment w:val="auto"/>
              <w:rPr>
                <w:rFonts w:hint="eastAsia"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破碎后小块香梨水果进入头道打浆，通过螺旋送料，在高速打浆棒作用下进一步对水果进行破碎，果核、果梗、果皮被分离排出，梨肉和汁液通过筛网形成粗梨浆进入二道打浆；粗梨浆进一步被打浆棒研磨细化，细小果皮、粗纤维等被截留分离，梨汁和细腻果肉通过筛网，得到NFC梨原浆。</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2" w:firstLineChars="200"/>
              <w:jc w:val="both"/>
              <w:textAlignment w:val="auto"/>
              <w:rPr>
                <w:rFonts w:hint="default" w:cs="Times New Roman"/>
                <w:b/>
                <w:bCs w:val="0"/>
                <w:color w:val="auto"/>
                <w:sz w:val="21"/>
                <w:szCs w:val="21"/>
                <w:highlight w:val="none"/>
                <w:lang w:val="en-US" w:eastAsia="zh-CN"/>
              </w:rPr>
            </w:pPr>
            <w:r>
              <w:rPr>
                <w:rFonts w:hint="eastAsia" w:cs="Times New Roman"/>
                <w:b/>
                <w:bCs w:val="0"/>
                <w:color w:val="auto"/>
                <w:sz w:val="21"/>
                <w:szCs w:val="21"/>
                <w:highlight w:val="none"/>
                <w:lang w:val="en-US" w:eastAsia="zh-CN"/>
              </w:rPr>
              <w:t>产污环节：双道打浆过程中产生果渣（含果核、果梗、果皮、粗纤维等，统一称为果渣），收集后存放于专用贮存点密闭收集桶内，日产日清。</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jc w:val="both"/>
              <w:textAlignment w:val="auto"/>
              <w:rPr>
                <w:rFonts w:hint="default" w:ascii="Times New Roman" w:hAnsi="Times New Roman" w:cs="Times New Roman"/>
                <w:b w:val="0"/>
                <w:bCs/>
                <w:color w:val="auto"/>
                <w:sz w:val="21"/>
                <w:szCs w:val="21"/>
                <w:highlight w:val="none"/>
                <w:lang w:val="en-US" w:eastAsia="zh-CN"/>
              </w:rPr>
            </w:pPr>
            <w:r>
              <w:rPr>
                <w:rFonts w:hint="default" w:ascii="Times New Roman" w:hAnsi="Times New Roman" w:cs="Times New Roman"/>
                <w:b w:val="0"/>
                <w:bCs/>
                <w:color w:val="auto"/>
                <w:sz w:val="21"/>
                <w:szCs w:val="21"/>
                <w:highlight w:val="none"/>
                <w:lang w:val="en-US" w:eastAsia="zh-CN"/>
              </w:rPr>
              <w:t>④杀菌灭酶</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jc w:val="both"/>
              <w:textAlignment w:val="auto"/>
              <w:rPr>
                <w:rFonts w:hint="eastAsia" w:ascii="Times New Roman" w:hAnsi="Times New Roman" w:cs="Times New Roman"/>
                <w:b w:val="0"/>
                <w:bCs/>
                <w:color w:val="auto"/>
                <w:sz w:val="21"/>
                <w:szCs w:val="21"/>
                <w:highlight w:val="none"/>
                <w:lang w:val="en-US" w:eastAsia="zh-CN"/>
              </w:rPr>
            </w:pPr>
            <w:r>
              <w:rPr>
                <w:rFonts w:hint="eastAsia" w:ascii="Times New Roman" w:hAnsi="Times New Roman" w:cs="Times New Roman"/>
                <w:b w:val="0"/>
                <w:bCs/>
                <w:color w:val="auto"/>
                <w:sz w:val="21"/>
                <w:szCs w:val="21"/>
                <w:highlight w:val="none"/>
                <w:lang w:val="en-US" w:eastAsia="zh-CN"/>
              </w:rPr>
              <w:t>对</w:t>
            </w:r>
            <w:r>
              <w:rPr>
                <w:rFonts w:hint="default" w:ascii="Times New Roman" w:hAnsi="Times New Roman" w:cs="Times New Roman"/>
                <w:b w:val="0"/>
                <w:bCs/>
                <w:color w:val="auto"/>
                <w:sz w:val="21"/>
                <w:szCs w:val="21"/>
                <w:highlight w:val="none"/>
                <w:lang w:val="en-US" w:eastAsia="zh-CN"/>
              </w:rPr>
              <w:t>NFC</w:t>
            </w:r>
            <w:r>
              <w:rPr>
                <w:rFonts w:hint="eastAsia" w:ascii="Times New Roman" w:hAnsi="Times New Roman" w:cs="Times New Roman"/>
                <w:b w:val="0"/>
                <w:bCs/>
                <w:color w:val="auto"/>
                <w:sz w:val="21"/>
                <w:szCs w:val="21"/>
                <w:highlight w:val="none"/>
                <w:lang w:val="en-US" w:eastAsia="zh-CN"/>
              </w:rPr>
              <w:t>梨</w:t>
            </w:r>
            <w:r>
              <w:rPr>
                <w:rFonts w:hint="default" w:ascii="Times New Roman" w:hAnsi="Times New Roman" w:cs="Times New Roman"/>
                <w:b w:val="0"/>
                <w:bCs/>
                <w:color w:val="auto"/>
                <w:sz w:val="21"/>
                <w:szCs w:val="21"/>
                <w:highlight w:val="none"/>
                <w:lang w:val="en-US" w:eastAsia="zh-CN"/>
              </w:rPr>
              <w:t>原浆</w:t>
            </w:r>
            <w:r>
              <w:rPr>
                <w:rFonts w:hint="eastAsia" w:ascii="Times New Roman" w:hAnsi="Times New Roman" w:cs="Times New Roman"/>
                <w:b w:val="0"/>
                <w:bCs/>
                <w:color w:val="auto"/>
                <w:sz w:val="21"/>
                <w:szCs w:val="21"/>
                <w:highlight w:val="none"/>
                <w:lang w:val="en-US" w:eastAsia="zh-CN"/>
              </w:rPr>
              <w:t>进行杀菌灭酶</w:t>
            </w:r>
            <w:r>
              <w:rPr>
                <w:rFonts w:hint="default" w:ascii="Times New Roman" w:hAnsi="Times New Roman" w:cs="Times New Roman"/>
                <w:b w:val="0"/>
                <w:bCs/>
                <w:color w:val="auto"/>
                <w:sz w:val="21"/>
                <w:szCs w:val="21"/>
                <w:highlight w:val="none"/>
                <w:lang w:val="en-US" w:eastAsia="zh-CN"/>
              </w:rPr>
              <w:t>，采用预热灭酶与巴氏杀菌相结合的方式，将香梨原浆加热至85～95℃，保持10～30s，钝化原料中多酚氧化酶、果胶酶等内源酶类，防止原浆褐变、分层及风味劣变；同时杀灭原料中自然存在的杂菌、霉菌及酵母菌等有害微生物。</w:t>
            </w:r>
            <w:r>
              <w:rPr>
                <w:rFonts w:hint="eastAsia" w:ascii="Times New Roman" w:hAnsi="Times New Roman" w:cs="Times New Roman"/>
                <w:b w:val="0"/>
                <w:bCs/>
                <w:color w:val="auto"/>
                <w:sz w:val="21"/>
                <w:szCs w:val="21"/>
                <w:highlight w:val="none"/>
                <w:lang w:val="en-US" w:eastAsia="zh-CN"/>
              </w:rPr>
              <w:t>经杀菌灭酶后果浆经循环水迅速冷却至适宜温度。该过程使用蒸汽间接加热，无污染物产生。</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jc w:val="both"/>
              <w:textAlignment w:val="auto"/>
              <w:rPr>
                <w:rFonts w:hint="eastAsia" w:ascii="Times New Roman" w:hAnsi="Times New Roman" w:cs="Times New Roman"/>
                <w:b w:val="0"/>
                <w:bCs/>
                <w:color w:val="auto"/>
                <w:sz w:val="21"/>
                <w:szCs w:val="21"/>
                <w:highlight w:val="none"/>
                <w:lang w:val="en-US" w:eastAsia="zh-CN"/>
              </w:rPr>
            </w:pPr>
            <w:r>
              <w:rPr>
                <w:rFonts w:hint="eastAsia" w:ascii="Times New Roman" w:hAnsi="Times New Roman" w:cs="Times New Roman"/>
                <w:b w:val="0"/>
                <w:bCs/>
                <w:color w:val="auto"/>
                <w:sz w:val="21"/>
                <w:szCs w:val="21"/>
                <w:highlight w:val="none"/>
                <w:lang w:val="en-US" w:eastAsia="zh-CN"/>
              </w:rPr>
              <w:t>根据产品不同风味要求，经杀菌灭酶后50%果浆直接进入调配工序，另外50%果浆则进入接种发酵工序。</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jc w:val="both"/>
              <w:textAlignment w:val="auto"/>
              <w:rPr>
                <w:rFonts w:hint="eastAsia" w:ascii="Times New Roman" w:hAnsi="Times New Roman" w:cs="Times New Roman"/>
                <w:b w:val="0"/>
                <w:bCs/>
                <w:color w:val="auto"/>
                <w:sz w:val="21"/>
                <w:szCs w:val="21"/>
                <w:highlight w:val="none"/>
                <w:lang w:val="en-US" w:eastAsia="zh-CN"/>
              </w:rPr>
            </w:pPr>
            <w:r>
              <w:rPr>
                <w:rFonts w:hint="eastAsia" w:ascii="Times New Roman" w:hAnsi="Times New Roman" w:cs="Times New Roman"/>
                <w:b w:val="0"/>
                <w:bCs/>
                <w:color w:val="auto"/>
                <w:sz w:val="21"/>
                <w:szCs w:val="21"/>
                <w:highlight w:val="none"/>
                <w:lang w:val="en-US" w:eastAsia="zh-CN"/>
              </w:rPr>
              <w:t>⑤接种发酵</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jc w:val="both"/>
              <w:textAlignment w:val="auto"/>
              <w:rPr>
                <w:rFonts w:hint="eastAsia" w:ascii="Times New Roman" w:hAnsi="Times New Roman" w:cs="Times New Roman"/>
                <w:b w:val="0"/>
                <w:bCs/>
                <w:color w:val="auto"/>
                <w:sz w:val="21"/>
                <w:szCs w:val="21"/>
                <w:highlight w:val="none"/>
                <w:lang w:val="en-US" w:eastAsia="zh-CN"/>
              </w:rPr>
            </w:pPr>
            <w:r>
              <w:rPr>
                <w:rFonts w:hint="eastAsia" w:ascii="Times New Roman" w:hAnsi="Times New Roman" w:cs="Times New Roman"/>
                <w:b w:val="0"/>
                <w:bCs/>
                <w:color w:val="auto"/>
                <w:sz w:val="21"/>
                <w:szCs w:val="21"/>
                <w:highlight w:val="none"/>
                <w:lang w:val="en-US" w:eastAsia="zh-CN"/>
              </w:rPr>
              <w:t>经预热杀菌灭酶并冷却至适宜温度的NFC香梨原浆，在密闭发酵罐中接入食品用乳酸菌发酵剂，在恒温、密闭、无菌条件下进行可控生物发酵，通过乳酸菌代谢产生乳酸、有机酸及芳香物质，改善香梨原浆的风味、口感与稳定性，提升产品品质。发酵过程中每4h搅拌30min，8h后每4h取样测酸度，达到指标后发酵结束。接种发酵在密闭发酵罐内进行，乳酸菌为厌氧/兼性厌氧发酵，不产生硫化氢、氨、恶臭气体及有机废气，仅代谢产生极微量二氧化碳，无组织逸散极少，不构成工艺废气污染源，因此本项目接种发酵过程中无污染物产生。</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jc w:val="both"/>
              <w:textAlignment w:val="auto"/>
              <w:rPr>
                <w:rFonts w:hint="default" w:ascii="Times New Roman" w:hAnsi="Times New Roman" w:cs="Times New Roman"/>
                <w:b w:val="0"/>
                <w:bCs/>
                <w:color w:val="auto"/>
                <w:sz w:val="21"/>
                <w:szCs w:val="21"/>
                <w:highlight w:val="none"/>
                <w:lang w:val="en-US" w:eastAsia="zh-CN"/>
              </w:rPr>
            </w:pPr>
            <w:r>
              <w:rPr>
                <w:rFonts w:hint="default" w:ascii="Times New Roman" w:hAnsi="Times New Roman" w:cs="Times New Roman"/>
                <w:b w:val="0"/>
                <w:bCs/>
                <w:color w:val="auto"/>
                <w:sz w:val="21"/>
                <w:szCs w:val="21"/>
                <w:highlight w:val="none"/>
                <w:lang w:val="en-US" w:eastAsia="zh-CN"/>
              </w:rPr>
              <w:t>⑥调配</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jc w:val="both"/>
              <w:textAlignment w:val="auto"/>
              <w:rPr>
                <w:rFonts w:hint="eastAsia" w:ascii="Times New Roman" w:hAnsi="Times New Roman" w:cs="Times New Roman"/>
                <w:b w:val="0"/>
                <w:bCs/>
                <w:color w:val="auto"/>
                <w:sz w:val="21"/>
                <w:szCs w:val="21"/>
                <w:highlight w:val="none"/>
                <w:lang w:val="en-US" w:eastAsia="zh-CN"/>
              </w:rPr>
            </w:pPr>
            <w:r>
              <w:rPr>
                <w:rFonts w:hint="default" w:ascii="Times New Roman" w:hAnsi="Times New Roman" w:cs="Times New Roman"/>
                <w:b w:val="0"/>
                <w:bCs/>
                <w:color w:val="auto"/>
                <w:sz w:val="21"/>
                <w:szCs w:val="21"/>
                <w:highlight w:val="none"/>
                <w:lang w:val="en-US" w:eastAsia="zh-CN"/>
              </w:rPr>
              <w:t>将完成发酵的及不发酵的NFC香梨原浆分别输送至密闭调配罐中，维持罐内温和搅拌状态，按照工艺标准精准添加食品级添加剂—维生素C（添加比例0.015%）、柠檬酸（添加比例0.12%），同时采用低温加热方式，确保添加剂快速、均匀溶解于原浆中</w:t>
            </w:r>
            <w:r>
              <w:rPr>
                <w:rFonts w:hint="eastAsia" w:ascii="Times New Roman" w:hAnsi="Times New Roman" w:cs="Times New Roman"/>
                <w:b w:val="0"/>
                <w:bCs/>
                <w:color w:val="auto"/>
                <w:sz w:val="21"/>
                <w:szCs w:val="21"/>
                <w:highlight w:val="none"/>
                <w:lang w:val="en-US" w:eastAsia="zh-CN"/>
              </w:rPr>
              <w:t>，搅拌至体系均一后，取样检测酸度、色泽、风味，达标后转入下道工序。调配工序通过添加维生素C（抗氧化剂）可抑制果汁褐变、稳定色泽、补充营养；通过添加柠檬酸（酸度调节剂）可调节果汁pH值，平衡酸甜风味，增强体系稳定性，同时延长产品货架期，确保成品感官与质量均一达标。本项目采用密闭式调配罐，配套低速搅拌装置，全程管道密闭输送，生产环境保持清洁、低温，可避免杂菌污染与风味流失，该过程无污染物产生。</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jc w:val="both"/>
              <w:textAlignment w:val="auto"/>
              <w:rPr>
                <w:rFonts w:hint="eastAsia" w:ascii="Times New Roman" w:hAnsi="Times New Roman" w:cs="Times New Roman"/>
                <w:b w:val="0"/>
                <w:bCs/>
                <w:color w:val="auto"/>
                <w:sz w:val="21"/>
                <w:szCs w:val="21"/>
                <w:highlight w:val="none"/>
                <w:lang w:val="en-US" w:eastAsia="zh-CN"/>
              </w:rPr>
            </w:pPr>
            <w:r>
              <w:rPr>
                <w:rFonts w:hint="eastAsia" w:ascii="Times New Roman" w:hAnsi="Times New Roman" w:cs="Times New Roman"/>
                <w:b w:val="0"/>
                <w:bCs/>
                <w:color w:val="auto"/>
                <w:sz w:val="21"/>
                <w:szCs w:val="21"/>
                <w:highlight w:val="none"/>
                <w:lang w:val="en-US" w:eastAsia="zh-CN"/>
              </w:rPr>
              <w:t>⑦脱气、均质</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jc w:val="both"/>
              <w:textAlignment w:val="auto"/>
              <w:rPr>
                <w:rFonts w:hint="default" w:ascii="Times New Roman" w:hAnsi="Times New Roman" w:cs="Times New Roman"/>
                <w:b w:val="0"/>
                <w:bCs/>
                <w:color w:val="auto"/>
                <w:sz w:val="21"/>
                <w:szCs w:val="21"/>
                <w:highlight w:val="none"/>
                <w:lang w:val="en-US" w:eastAsia="zh-CN"/>
              </w:rPr>
            </w:pPr>
            <w:r>
              <w:rPr>
                <w:rFonts w:hint="eastAsia" w:ascii="Times New Roman" w:hAnsi="Times New Roman" w:cs="Times New Roman"/>
                <w:b w:val="0"/>
                <w:bCs/>
                <w:color w:val="auto"/>
                <w:sz w:val="21"/>
                <w:szCs w:val="21"/>
                <w:highlight w:val="none"/>
                <w:lang w:val="en-US" w:eastAsia="zh-CN"/>
              </w:rPr>
              <w:t>调配合格的香梨果浆在-0.06MPa（表压）条件下进行脱气，在真空环境下，果汁中溶解的氧气、生产过程中夹带的空气等快速从液相逸出。该过程可避免香梨果汁中多酚、维生素C等营养物质氧化，防止果汁褐变及风味流失。</w:t>
            </w:r>
            <w:r>
              <w:rPr>
                <w:rFonts w:hint="eastAsia" w:cs="Times New Roman"/>
                <w:b w:val="0"/>
                <w:bCs/>
                <w:color w:val="auto"/>
                <w:sz w:val="21"/>
                <w:szCs w:val="21"/>
                <w:highlight w:val="none"/>
                <w:lang w:val="en-US" w:eastAsia="zh-CN"/>
              </w:rPr>
              <w:t>本项目采用真空脱气法进行脱气，调配后果汁由泵密闭送入真空脱气罐内，罐内通过真空泵形成负压真空环境。</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jc w:val="both"/>
              <w:textAlignment w:val="auto"/>
              <w:rPr>
                <w:rFonts w:hint="eastAsia" w:ascii="Times New Roman" w:hAnsi="Times New Roman" w:cs="Times New Roman"/>
                <w:b w:val="0"/>
                <w:bCs/>
                <w:color w:val="auto"/>
                <w:sz w:val="21"/>
                <w:szCs w:val="21"/>
                <w:highlight w:val="none"/>
                <w:lang w:val="en-US" w:eastAsia="zh-CN"/>
              </w:rPr>
            </w:pPr>
            <w:r>
              <w:rPr>
                <w:rFonts w:hint="default" w:ascii="Times New Roman" w:hAnsi="Times New Roman" w:cs="Times New Roman"/>
                <w:b w:val="0"/>
                <w:bCs/>
                <w:color w:val="auto"/>
                <w:sz w:val="21"/>
                <w:szCs w:val="21"/>
                <w:highlight w:val="none"/>
                <w:lang w:val="en-US" w:eastAsia="zh-CN"/>
              </w:rPr>
              <w:t>脱气后的香梨果浆经密闭管道</w:t>
            </w:r>
            <w:r>
              <w:rPr>
                <w:rFonts w:hint="eastAsia" w:ascii="Times New Roman" w:hAnsi="Times New Roman" w:cs="Times New Roman"/>
                <w:b w:val="0"/>
                <w:bCs/>
                <w:color w:val="auto"/>
                <w:sz w:val="21"/>
                <w:szCs w:val="21"/>
                <w:highlight w:val="none"/>
                <w:lang w:val="en-US" w:eastAsia="zh-CN"/>
              </w:rPr>
              <w:t>输送</w:t>
            </w:r>
            <w:r>
              <w:rPr>
                <w:rFonts w:hint="default" w:ascii="Times New Roman" w:hAnsi="Times New Roman" w:cs="Times New Roman"/>
                <w:b w:val="0"/>
                <w:bCs/>
                <w:color w:val="auto"/>
                <w:sz w:val="21"/>
                <w:szCs w:val="21"/>
                <w:highlight w:val="none"/>
                <w:lang w:val="en-US" w:eastAsia="zh-CN"/>
              </w:rPr>
              <w:t>进入均质工序，在20～25MPa的高压作用下，果汁以高速通过均质阀的狭窄缝隙，瞬间经历高压剪切、颗粒撞击、空化效应及涡流扰动等多重物理作用，将果汁中存在的香梨果肉纤维、果胶颗粒、固形物团块等破碎至微米级，使各类颗粒均匀分散在果汁液相中，形成高度稳定、质地均匀细腻的果汁均质液，彻底消除果汁的粗涩感。均质过程无额外添加试剂，全程密闭、低温，</w:t>
            </w:r>
            <w:r>
              <w:rPr>
                <w:rFonts w:hint="eastAsia" w:ascii="Times New Roman" w:hAnsi="Times New Roman" w:cs="Times New Roman"/>
                <w:b w:val="0"/>
                <w:bCs/>
                <w:color w:val="auto"/>
                <w:sz w:val="21"/>
                <w:szCs w:val="21"/>
                <w:highlight w:val="none"/>
                <w:lang w:val="en-US" w:eastAsia="zh-CN"/>
              </w:rPr>
              <w:t>可</w:t>
            </w:r>
            <w:r>
              <w:rPr>
                <w:rFonts w:hint="default" w:ascii="Times New Roman" w:hAnsi="Times New Roman" w:cs="Times New Roman"/>
                <w:b w:val="0"/>
                <w:bCs/>
                <w:color w:val="auto"/>
                <w:sz w:val="21"/>
                <w:szCs w:val="21"/>
                <w:highlight w:val="none"/>
                <w:lang w:val="en-US" w:eastAsia="zh-CN"/>
              </w:rPr>
              <w:t>避免果汁二次污染及风味损失；均质合格后的果汁经密闭管道直接输送至后续UHT杀菌工段，进入下一步处理。</w:t>
            </w:r>
            <w:r>
              <w:rPr>
                <w:rFonts w:hint="eastAsia" w:ascii="Times New Roman" w:hAnsi="Times New Roman" w:cs="Times New Roman"/>
                <w:b w:val="0"/>
                <w:bCs/>
                <w:color w:val="auto"/>
                <w:sz w:val="21"/>
                <w:szCs w:val="21"/>
                <w:highlight w:val="none"/>
                <w:lang w:val="en-US" w:eastAsia="zh-CN"/>
              </w:rPr>
              <w:t>脱气、均质过程中无污染物产生。</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jc w:val="both"/>
              <w:textAlignment w:val="auto"/>
              <w:rPr>
                <w:rFonts w:hint="default" w:ascii="Times New Roman" w:hAnsi="Times New Roman" w:cs="Times New Roman"/>
                <w:b w:val="0"/>
                <w:bCs/>
                <w:color w:val="auto"/>
                <w:sz w:val="21"/>
                <w:szCs w:val="21"/>
                <w:highlight w:val="none"/>
                <w:lang w:val="en-US" w:eastAsia="zh-CN"/>
              </w:rPr>
            </w:pPr>
            <w:r>
              <w:rPr>
                <w:rFonts w:hint="default" w:ascii="Times New Roman" w:hAnsi="Times New Roman" w:cs="Times New Roman"/>
                <w:b w:val="0"/>
                <w:bCs/>
                <w:color w:val="auto"/>
                <w:sz w:val="21"/>
                <w:szCs w:val="21"/>
                <w:highlight w:val="none"/>
                <w:lang w:val="en-US" w:eastAsia="zh-CN"/>
              </w:rPr>
              <w:t>⑧UHT灭菌</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jc w:val="both"/>
              <w:textAlignment w:val="auto"/>
              <w:rPr>
                <w:rFonts w:hint="eastAsia" w:ascii="Times New Roman" w:hAnsi="Times New Roman" w:cs="Times New Roman"/>
                <w:b w:val="0"/>
                <w:bCs/>
                <w:color w:val="auto"/>
                <w:sz w:val="21"/>
                <w:szCs w:val="21"/>
                <w:highlight w:val="none"/>
                <w:lang w:val="en-US" w:eastAsia="zh-CN"/>
              </w:rPr>
            </w:pPr>
            <w:r>
              <w:rPr>
                <w:rFonts w:hint="default" w:ascii="Times New Roman" w:hAnsi="Times New Roman" w:cs="Times New Roman"/>
                <w:b w:val="0"/>
                <w:bCs/>
                <w:color w:val="auto"/>
                <w:sz w:val="21"/>
                <w:szCs w:val="21"/>
                <w:highlight w:val="none"/>
                <w:lang w:val="en-US" w:eastAsia="zh-CN"/>
              </w:rPr>
              <w:t>通过超高温瞬时灭菌机（UHT）彻底杀灭果汁中的致病菌、腐败菌及酶类，确保产品在保质期内安全稳定。UHT杀菌指超高温瞬时杀菌，是把加热温度设为135-150℃、加热时间为2-8s、加热后产品达到商业无菌要求的杀菌过程</w:t>
            </w:r>
            <w:r>
              <w:rPr>
                <w:rFonts w:hint="eastAsia" w:ascii="Times New Roman" w:hAnsi="Times New Roman" w:cs="Times New Roman"/>
                <w:b w:val="0"/>
                <w:bCs/>
                <w:color w:val="auto"/>
                <w:sz w:val="21"/>
                <w:szCs w:val="21"/>
                <w:highlight w:val="none"/>
                <w:lang w:val="en-US" w:eastAsia="zh-CN"/>
              </w:rPr>
              <w:t>。UHT杀菌为蒸汽间接加热，采用板式或管式换热器，蒸汽热量经换热器迅速传递给加热杀菌物料达到杀菌目的，杀菌后物料经循环冷却水迅速冷却至室温。该过程无污染物产生。</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jc w:val="both"/>
              <w:textAlignment w:val="auto"/>
              <w:rPr>
                <w:rFonts w:hint="eastAsia" w:ascii="Times New Roman" w:hAnsi="Times New Roman" w:cs="Times New Roman"/>
                <w:b w:val="0"/>
                <w:bCs/>
                <w:color w:val="auto"/>
                <w:sz w:val="21"/>
                <w:szCs w:val="21"/>
                <w:highlight w:val="none"/>
                <w:lang w:val="en-US" w:eastAsia="zh-CN"/>
              </w:rPr>
            </w:pPr>
            <w:r>
              <w:rPr>
                <w:rFonts w:hint="eastAsia" w:ascii="Times New Roman" w:hAnsi="Times New Roman" w:cs="Times New Roman"/>
                <w:b w:val="0"/>
                <w:bCs/>
                <w:color w:val="auto"/>
                <w:sz w:val="21"/>
                <w:szCs w:val="21"/>
                <w:highlight w:val="none"/>
                <w:lang w:val="en-US" w:eastAsia="zh-CN"/>
              </w:rPr>
              <w:t>⑨灌装</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jc w:val="both"/>
              <w:textAlignment w:val="auto"/>
              <w:rPr>
                <w:rFonts w:hint="default" w:ascii="Times New Roman" w:hAnsi="Times New Roman" w:cs="Times New Roman"/>
                <w:b w:val="0"/>
                <w:bCs/>
                <w:color w:val="auto"/>
                <w:sz w:val="21"/>
                <w:szCs w:val="21"/>
                <w:highlight w:val="none"/>
                <w:lang w:val="en-US" w:eastAsia="zh-CN"/>
              </w:rPr>
            </w:pPr>
            <w:r>
              <w:rPr>
                <w:rFonts w:hint="eastAsia" w:ascii="Times New Roman" w:hAnsi="Times New Roman" w:cs="Times New Roman"/>
                <w:b w:val="0"/>
                <w:bCs/>
                <w:color w:val="auto"/>
                <w:sz w:val="21"/>
                <w:szCs w:val="21"/>
                <w:highlight w:val="none"/>
                <w:lang w:val="en-US" w:eastAsia="zh-CN"/>
              </w:rPr>
              <w:t>项目灌装工序采用无菌灌装模式，使用自制PET瓶进行灌装。灭菌后冷却至常温的香梨果汁经无菌密闭管道输送至无菌灌装机进料端，灌装机根据产品预设规格自动调整灌装参数，通过定量灌装阀将果汁精准注入空瓶内，灌装过程控制灌装速度均匀（避免产生泡沫导致充装量偏差），确保每瓶饮料充装量误差控制在±2%以内，充装量均匀准确。灌装完成后，空瓶立即进入旋盖工位，由自动旋盖机将无菌瓶盖旋紧，旋盖扭矩自动校准，确保密封严密，防止产品储存过程中漏气、变质；旋盖完成后，经输送线送入下一品检工序。灌装过程无污染物产生。</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jc w:val="both"/>
              <w:textAlignment w:val="auto"/>
              <w:rPr>
                <w:rFonts w:hint="eastAsia" w:ascii="Times New Roman" w:hAnsi="Times New Roman" w:cs="Times New Roman"/>
                <w:b w:val="0"/>
                <w:bCs/>
                <w:color w:val="auto"/>
                <w:sz w:val="21"/>
                <w:szCs w:val="21"/>
                <w:highlight w:val="none"/>
                <w:lang w:val="en-US" w:eastAsia="zh-CN"/>
              </w:rPr>
            </w:pPr>
            <w:r>
              <w:rPr>
                <w:rFonts w:hint="eastAsia" w:ascii="Times New Roman" w:hAnsi="Times New Roman" w:cs="Times New Roman"/>
                <w:b w:val="0"/>
                <w:bCs/>
                <w:color w:val="auto"/>
                <w:sz w:val="21"/>
                <w:szCs w:val="21"/>
                <w:highlight w:val="none"/>
                <w:lang w:val="en-US" w:eastAsia="zh-CN"/>
              </w:rPr>
              <w:t>⑩品检</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jc w:val="both"/>
              <w:textAlignment w:val="auto"/>
              <w:rPr>
                <w:rFonts w:hint="eastAsia" w:ascii="Times New Roman" w:hAnsi="Times New Roman" w:cs="Times New Roman"/>
                <w:b w:val="0"/>
                <w:bCs/>
                <w:color w:val="auto"/>
                <w:sz w:val="21"/>
                <w:szCs w:val="21"/>
                <w:highlight w:val="none"/>
                <w:lang w:val="en-US" w:eastAsia="zh-CN"/>
              </w:rPr>
            </w:pPr>
            <w:r>
              <w:rPr>
                <w:rFonts w:hint="eastAsia" w:ascii="Times New Roman" w:hAnsi="Times New Roman" w:cs="Times New Roman"/>
                <w:b w:val="0"/>
                <w:bCs/>
                <w:color w:val="auto"/>
                <w:sz w:val="21"/>
                <w:szCs w:val="21"/>
                <w:highlight w:val="none"/>
                <w:lang w:val="en-US" w:eastAsia="zh-CN"/>
              </w:rPr>
              <w:t>经灌装、旋盖后的果汁瓶，由输送线连续送入视觉检测机，检测机通过高清摄像头捕捉瓶身、瓶盖及瓶内果汁的图像信息，自动识别不合格产品，具体检测指标包括：灌装量偏差超标、瓶盖未旋紧、瓶盖歪斜、瓶内有明显气泡（影响产品稳定性）等；对于视觉检测机识别的不合格产品，设备自动触发剔除装置，将其推送至不合格品收集箱，进行单独存放。</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2" w:firstLineChars="200"/>
              <w:jc w:val="both"/>
              <w:textAlignment w:val="auto"/>
              <w:rPr>
                <w:rFonts w:hint="default" w:ascii="Times New Roman" w:hAnsi="Times New Roman" w:cs="Times New Roman"/>
                <w:b/>
                <w:bCs w:val="0"/>
                <w:color w:val="auto"/>
                <w:sz w:val="21"/>
                <w:szCs w:val="21"/>
                <w:highlight w:val="none"/>
                <w:lang w:val="en-US" w:eastAsia="zh-CN"/>
              </w:rPr>
            </w:pPr>
            <w:r>
              <w:rPr>
                <w:rFonts w:hint="eastAsia" w:ascii="Times New Roman" w:hAnsi="Times New Roman" w:cs="Times New Roman"/>
                <w:b/>
                <w:bCs w:val="0"/>
                <w:color w:val="auto"/>
                <w:sz w:val="21"/>
                <w:szCs w:val="21"/>
                <w:highlight w:val="none"/>
                <w:lang w:val="en-US" w:eastAsia="zh-CN"/>
              </w:rPr>
              <w:t>产污环节：品检过程产生不合格品</w:t>
            </w:r>
            <w:r>
              <w:rPr>
                <w:rFonts w:hint="eastAsia" w:cs="Times New Roman"/>
                <w:b/>
                <w:bCs w:val="0"/>
                <w:color w:val="auto"/>
                <w:sz w:val="21"/>
                <w:szCs w:val="21"/>
                <w:highlight w:val="none"/>
                <w:lang w:val="en-US" w:eastAsia="zh-CN"/>
              </w:rPr>
              <w:t>，不合格品经过滤后消毒杀菌重新灌装，不外排</w:t>
            </w:r>
            <w:r>
              <w:rPr>
                <w:rFonts w:hint="eastAsia" w:ascii="Times New Roman" w:hAnsi="Times New Roman" w:cs="Times New Roman"/>
                <w:b/>
                <w:bCs w:val="0"/>
                <w:color w:val="auto"/>
                <w:sz w:val="21"/>
                <w:szCs w:val="21"/>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jc w:val="both"/>
              <w:textAlignment w:val="auto"/>
              <w:rPr>
                <w:rFonts w:hint="eastAsia" w:ascii="Times New Roman" w:hAnsi="Times New Roman" w:cs="Times New Roman"/>
                <w:b w:val="0"/>
                <w:bCs/>
                <w:color w:val="auto"/>
                <w:sz w:val="21"/>
                <w:szCs w:val="21"/>
                <w:highlight w:val="none"/>
                <w:lang w:val="en-US" w:eastAsia="zh-CN"/>
              </w:rPr>
            </w:pPr>
            <w:r>
              <w:rPr>
                <w:rFonts w:hint="eastAsia" w:ascii="Times New Roman" w:hAnsi="Times New Roman" w:cs="Times New Roman"/>
                <w:b w:val="0"/>
                <w:bCs/>
                <w:color w:val="auto"/>
                <w:sz w:val="21"/>
                <w:szCs w:val="21"/>
                <w:highlight w:val="none"/>
                <w:lang w:val="en-US" w:eastAsia="zh-CN"/>
              </w:rPr>
              <w:t>⑪激光喷码、贴标</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jc w:val="both"/>
              <w:textAlignment w:val="auto"/>
              <w:rPr>
                <w:rFonts w:hint="default" w:ascii="Times New Roman" w:hAnsi="Times New Roman" w:cs="Times New Roman"/>
                <w:b w:val="0"/>
                <w:bCs/>
                <w:color w:val="auto"/>
                <w:sz w:val="21"/>
                <w:szCs w:val="21"/>
                <w:highlight w:val="none"/>
                <w:lang w:val="en-US" w:eastAsia="zh-CN"/>
              </w:rPr>
            </w:pPr>
            <w:r>
              <w:rPr>
                <w:rFonts w:hint="default" w:ascii="Times New Roman" w:hAnsi="Times New Roman" w:cs="Times New Roman"/>
                <w:b w:val="0"/>
                <w:bCs/>
                <w:color w:val="auto"/>
                <w:sz w:val="21"/>
                <w:szCs w:val="21"/>
                <w:highlight w:val="none"/>
                <w:lang w:val="en-US" w:eastAsia="zh-CN"/>
              </w:rPr>
              <w:t>经品检合格的果汁瓶，由输送线匀速送入激光喷码机工位，输送线速度与喷码机喷码速度自动同步，确保喷码位置准确。喷码前，喷码机自动调试喷码清晰度、字体大小，确认无误后，利用激光的高温灼烧效应，在瓶身/瓶盖表面形成清晰、永久的喷码标识，喷码无模糊、无漏喷、无错喷，喷码完成后，通过输送线送入下一道贴标工序。</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jc w:val="both"/>
              <w:textAlignment w:val="auto"/>
              <w:rPr>
                <w:rFonts w:hint="default" w:ascii="Times New Roman" w:hAnsi="Times New Roman" w:cs="Times New Roman"/>
                <w:b w:val="0"/>
                <w:bCs/>
                <w:color w:val="auto"/>
                <w:sz w:val="21"/>
                <w:szCs w:val="21"/>
                <w:highlight w:val="none"/>
                <w:lang w:val="en-US" w:eastAsia="zh-CN"/>
              </w:rPr>
            </w:pPr>
            <w:r>
              <w:rPr>
                <w:rFonts w:hint="default" w:ascii="Times New Roman" w:hAnsi="Times New Roman" w:cs="Times New Roman"/>
                <w:b w:val="0"/>
                <w:bCs/>
                <w:color w:val="auto"/>
                <w:sz w:val="21"/>
                <w:szCs w:val="21"/>
                <w:highlight w:val="none"/>
                <w:lang w:val="en-US" w:eastAsia="zh-CN"/>
              </w:rPr>
              <w:t>经激光喷码的果汁瓶，由输送线送入套标机工位，套标机自动将标签从标签仓拉出，套在瓶身指定位置，套标完成后，果汁瓶进入热收缩通道。</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jc w:val="both"/>
              <w:textAlignment w:val="auto"/>
              <w:rPr>
                <w:rFonts w:hint="default" w:ascii="Times New Roman" w:hAnsi="Times New Roman" w:cs="Times New Roman"/>
                <w:b w:val="0"/>
                <w:bCs/>
                <w:color w:val="auto"/>
                <w:sz w:val="21"/>
                <w:szCs w:val="21"/>
                <w:highlight w:val="none"/>
                <w:lang w:val="en-US" w:eastAsia="zh-CN"/>
              </w:rPr>
            </w:pPr>
            <w:r>
              <w:rPr>
                <w:rFonts w:hint="default" w:ascii="Times New Roman" w:hAnsi="Times New Roman" w:cs="Times New Roman"/>
                <w:b w:val="0"/>
                <w:bCs/>
                <w:color w:val="auto"/>
                <w:sz w:val="21"/>
                <w:szCs w:val="21"/>
                <w:highlight w:val="none"/>
                <w:lang w:val="en-US" w:eastAsia="zh-CN"/>
              </w:rPr>
              <w:t>热收缩通道采用电加热方式，预设热收缩温度为80～100℃，果汁瓶匀速通过热收缩通道，标签在高温作用下快速收缩，紧密贴合在瓶身表面，确保标签规整、无气泡、无褶皱、不易脱落</w:t>
            </w:r>
            <w:r>
              <w:rPr>
                <w:rFonts w:hint="eastAsia" w:ascii="Times New Roman" w:hAnsi="Times New Roman" w:cs="Times New Roman"/>
                <w:b w:val="0"/>
                <w:bCs/>
                <w:color w:val="auto"/>
                <w:sz w:val="21"/>
                <w:szCs w:val="21"/>
                <w:highlight w:val="none"/>
                <w:lang w:val="en-US" w:eastAsia="zh-CN"/>
              </w:rPr>
              <w:t>，贴标后产品下一道灯检工序</w:t>
            </w:r>
            <w:r>
              <w:rPr>
                <w:rFonts w:hint="default" w:ascii="Times New Roman" w:hAnsi="Times New Roman" w:cs="Times New Roman"/>
                <w:b w:val="0"/>
                <w:bCs/>
                <w:color w:val="auto"/>
                <w:sz w:val="21"/>
                <w:szCs w:val="21"/>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jc w:val="both"/>
              <w:textAlignment w:val="auto"/>
              <w:rPr>
                <w:rFonts w:hint="eastAsia" w:ascii="Times New Roman" w:hAnsi="Times New Roman" w:cs="Times New Roman"/>
                <w:b w:val="0"/>
                <w:bCs/>
                <w:color w:val="auto"/>
                <w:sz w:val="21"/>
                <w:szCs w:val="21"/>
                <w:highlight w:val="none"/>
                <w:lang w:val="en-US" w:eastAsia="zh-CN"/>
              </w:rPr>
            </w:pPr>
            <w:r>
              <w:rPr>
                <w:rFonts w:hint="default" w:ascii="Times New Roman" w:hAnsi="Times New Roman" w:cs="Times New Roman"/>
                <w:b w:val="0"/>
                <w:bCs/>
                <w:color w:val="auto"/>
                <w:sz w:val="21"/>
                <w:szCs w:val="21"/>
                <w:highlight w:val="none"/>
                <w:lang w:val="en-US" w:eastAsia="zh-CN"/>
              </w:rPr>
              <w:t>⑫</w:t>
            </w:r>
            <w:r>
              <w:rPr>
                <w:rFonts w:hint="eastAsia" w:ascii="Times New Roman" w:hAnsi="Times New Roman" w:cs="Times New Roman"/>
                <w:b w:val="0"/>
                <w:bCs/>
                <w:color w:val="auto"/>
                <w:sz w:val="21"/>
                <w:szCs w:val="21"/>
                <w:highlight w:val="none"/>
                <w:lang w:val="en-US" w:eastAsia="zh-CN"/>
              </w:rPr>
              <w:t>灯检</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jc w:val="both"/>
              <w:textAlignment w:val="auto"/>
              <w:rPr>
                <w:rFonts w:hint="eastAsia" w:ascii="Times New Roman" w:hAnsi="Times New Roman" w:cs="Times New Roman"/>
                <w:b w:val="0"/>
                <w:bCs/>
                <w:color w:val="auto"/>
                <w:sz w:val="21"/>
                <w:szCs w:val="21"/>
                <w:highlight w:val="none"/>
                <w:lang w:val="en-US" w:eastAsia="zh-CN"/>
              </w:rPr>
            </w:pPr>
            <w:r>
              <w:rPr>
                <w:rFonts w:hint="default" w:ascii="Times New Roman" w:hAnsi="Times New Roman" w:cs="Times New Roman"/>
                <w:b w:val="0"/>
                <w:bCs/>
                <w:color w:val="auto"/>
                <w:sz w:val="21"/>
                <w:szCs w:val="21"/>
                <w:highlight w:val="none"/>
                <w:lang w:val="en-US" w:eastAsia="zh-CN"/>
              </w:rPr>
              <w:t>经贴标果汁瓶由输送线送入灯检工位，操作人员坐在灯检台前，逐一对每瓶果汁进行人工检测，具体检测指标包括：瓶内果汁液位是否准确（符合灌装规格）、瓶内是否存在异物（如微小杂质、毛发、沉淀等）、瓶身喷码是否完整清晰（无漏喷、错喷、模糊）、瓶身标签是否规整牢固（无褶皱、脱落、歪斜）、瓶身及瓶盖是否破损、密封是否严密等。</w:t>
            </w:r>
            <w:r>
              <w:rPr>
                <w:rFonts w:hint="eastAsia" w:ascii="Times New Roman" w:hAnsi="Times New Roman" w:cs="Times New Roman"/>
                <w:b w:val="0"/>
                <w:bCs/>
                <w:color w:val="auto"/>
                <w:sz w:val="21"/>
                <w:szCs w:val="21"/>
                <w:highlight w:val="none"/>
                <w:lang w:val="en-US" w:eastAsia="zh-CN"/>
              </w:rPr>
              <w:t>检测过程中，发现不合格产品，立即将其从输送线上取出，送入不合格品收集箱，进行集中处置；合格产品则放入合格产品输送线，送入下一道包装工序。</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2" w:firstLineChars="200"/>
              <w:jc w:val="both"/>
              <w:textAlignment w:val="auto"/>
              <w:rPr>
                <w:rFonts w:hint="eastAsia" w:ascii="Times New Roman" w:hAnsi="Times New Roman" w:cs="Times New Roman"/>
                <w:b w:val="0"/>
                <w:bCs/>
                <w:color w:val="auto"/>
                <w:sz w:val="21"/>
                <w:szCs w:val="21"/>
                <w:highlight w:val="none"/>
                <w:lang w:val="en-US" w:eastAsia="zh-CN"/>
              </w:rPr>
            </w:pPr>
            <w:r>
              <w:rPr>
                <w:rFonts w:hint="eastAsia" w:ascii="Times New Roman" w:hAnsi="Times New Roman" w:cs="Times New Roman"/>
                <w:b/>
                <w:bCs w:val="0"/>
                <w:color w:val="auto"/>
                <w:sz w:val="21"/>
                <w:szCs w:val="21"/>
                <w:highlight w:val="none"/>
                <w:lang w:val="en-US" w:eastAsia="zh-CN"/>
              </w:rPr>
              <w:t>产污环节：灯检过程产生不合格品</w:t>
            </w:r>
            <w:r>
              <w:rPr>
                <w:rFonts w:hint="eastAsia" w:cs="Times New Roman"/>
                <w:b/>
                <w:bCs w:val="0"/>
                <w:color w:val="auto"/>
                <w:sz w:val="21"/>
                <w:szCs w:val="21"/>
                <w:highlight w:val="none"/>
                <w:lang w:val="en-US" w:eastAsia="zh-CN"/>
              </w:rPr>
              <w:t>，不合格品经过滤后消毒杀菌重新灌装，不外排</w:t>
            </w:r>
            <w:r>
              <w:rPr>
                <w:rFonts w:hint="eastAsia" w:ascii="Times New Roman" w:hAnsi="Times New Roman" w:cs="Times New Roman"/>
                <w:b/>
                <w:bCs w:val="0"/>
                <w:color w:val="auto"/>
                <w:sz w:val="21"/>
                <w:szCs w:val="21"/>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jc w:val="both"/>
              <w:textAlignment w:val="auto"/>
              <w:rPr>
                <w:rFonts w:hint="eastAsia" w:ascii="Times New Roman" w:hAnsi="Times New Roman" w:cs="Times New Roman"/>
                <w:b w:val="0"/>
                <w:bCs/>
                <w:color w:val="auto"/>
                <w:sz w:val="21"/>
                <w:szCs w:val="21"/>
                <w:highlight w:val="none"/>
                <w:lang w:val="en-US" w:eastAsia="zh-CN"/>
              </w:rPr>
            </w:pPr>
            <w:r>
              <w:rPr>
                <w:rFonts w:hint="default" w:ascii="Times New Roman" w:hAnsi="Times New Roman" w:cs="Times New Roman"/>
                <w:b w:val="0"/>
                <w:bCs/>
                <w:color w:val="auto"/>
                <w:sz w:val="21"/>
                <w:szCs w:val="21"/>
                <w:highlight w:val="none"/>
                <w:lang w:val="en-US" w:eastAsia="zh-CN"/>
              </w:rPr>
              <w:t>⑬</w:t>
            </w:r>
            <w:r>
              <w:rPr>
                <w:rFonts w:hint="eastAsia" w:ascii="Times New Roman" w:hAnsi="Times New Roman" w:cs="Times New Roman"/>
                <w:b w:val="0"/>
                <w:bCs/>
                <w:color w:val="auto"/>
                <w:sz w:val="21"/>
                <w:szCs w:val="21"/>
                <w:highlight w:val="none"/>
                <w:lang w:val="en-US" w:eastAsia="zh-CN"/>
              </w:rPr>
              <w:t>包装</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jc w:val="both"/>
              <w:textAlignment w:val="auto"/>
              <w:rPr>
                <w:rFonts w:hint="default" w:ascii="Times New Roman" w:hAnsi="Times New Roman" w:cs="Times New Roman"/>
                <w:b w:val="0"/>
                <w:bCs/>
                <w:color w:val="auto"/>
                <w:sz w:val="21"/>
                <w:szCs w:val="21"/>
                <w:highlight w:val="none"/>
                <w:lang w:val="en-US" w:eastAsia="zh-CN"/>
              </w:rPr>
            </w:pPr>
            <w:r>
              <w:rPr>
                <w:rFonts w:hint="default" w:ascii="Times New Roman" w:hAnsi="Times New Roman" w:cs="Times New Roman"/>
                <w:b w:val="0"/>
                <w:bCs/>
                <w:color w:val="auto"/>
                <w:sz w:val="21"/>
                <w:szCs w:val="21"/>
                <w:highlight w:val="none"/>
                <w:lang w:val="en-US" w:eastAsia="zh-CN"/>
              </w:rPr>
              <w:t>经灯检合格的成品果汁瓶，由输送线送入包装机工位，包装机根据预设规格，自动将塑封膜拉伸、包裹在成品果汁瓶表面，形成完整的包装膜套。包裹塑封膜后的成品，送入包装机的热收缩区域，通过电加热方式对塑封膜进行加热，塑封膜在高温作用下快速收缩，紧紧包裹在成品表面，形成平整、牢固、密封的包装，确保包装后产品不易破损、不易受潮；热收缩完成后，包装机自动裁剪多余的塑封膜边角料，成品经输送线送出，人工将包装好的产品整理、码放至托盘，送入成品仓库储存</w:t>
            </w:r>
            <w:r>
              <w:rPr>
                <w:rFonts w:hint="eastAsia" w:ascii="Times New Roman" w:hAnsi="Times New Roman" w:cs="Times New Roman"/>
                <w:b w:val="0"/>
                <w:bCs/>
                <w:color w:val="auto"/>
                <w:sz w:val="21"/>
                <w:szCs w:val="21"/>
                <w:highlight w:val="none"/>
                <w:lang w:val="en-US" w:eastAsia="zh-CN"/>
              </w:rPr>
              <w:t>待售</w:t>
            </w:r>
            <w:r>
              <w:rPr>
                <w:rFonts w:hint="default" w:ascii="Times New Roman" w:hAnsi="Times New Roman" w:cs="Times New Roman"/>
                <w:b w:val="0"/>
                <w:bCs/>
                <w:color w:val="auto"/>
                <w:sz w:val="21"/>
                <w:szCs w:val="21"/>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2" w:firstLineChars="200"/>
              <w:jc w:val="both"/>
              <w:textAlignment w:val="auto"/>
              <w:rPr>
                <w:rFonts w:hint="eastAsia" w:ascii="Times New Roman" w:hAnsi="Times New Roman" w:cs="Times New Roman"/>
                <w:b/>
                <w:bCs w:val="0"/>
                <w:color w:val="auto"/>
                <w:sz w:val="21"/>
                <w:szCs w:val="21"/>
                <w:highlight w:val="none"/>
                <w:lang w:val="en-US" w:eastAsia="zh-CN"/>
              </w:rPr>
            </w:pPr>
            <w:r>
              <w:rPr>
                <w:rFonts w:hint="eastAsia" w:ascii="Times New Roman" w:hAnsi="Times New Roman" w:cs="Times New Roman"/>
                <w:b/>
                <w:bCs w:val="0"/>
                <w:color w:val="auto"/>
                <w:sz w:val="21"/>
                <w:szCs w:val="21"/>
                <w:highlight w:val="none"/>
                <w:lang w:val="en-US" w:eastAsia="zh-CN"/>
              </w:rPr>
              <w:t>产污环节：包装过程中产生包装</w:t>
            </w:r>
            <w:r>
              <w:rPr>
                <w:rFonts w:hint="eastAsia" w:cs="Times New Roman"/>
                <w:b/>
                <w:bCs w:val="0"/>
                <w:color w:val="auto"/>
                <w:sz w:val="21"/>
                <w:szCs w:val="21"/>
                <w:highlight w:val="none"/>
                <w:lang w:val="en-US" w:eastAsia="zh-CN"/>
              </w:rPr>
              <w:t>缩膜</w:t>
            </w:r>
            <w:r>
              <w:rPr>
                <w:rFonts w:hint="eastAsia" w:ascii="Times New Roman" w:hAnsi="Times New Roman" w:cs="Times New Roman"/>
                <w:b/>
                <w:bCs w:val="0"/>
                <w:color w:val="auto"/>
                <w:sz w:val="21"/>
                <w:szCs w:val="21"/>
                <w:highlight w:val="none"/>
                <w:lang w:val="en-US" w:eastAsia="zh-CN"/>
              </w:rPr>
              <w:t>废气，</w:t>
            </w:r>
            <w:r>
              <w:rPr>
                <w:rFonts w:hint="eastAsia" w:cs="Times New Roman"/>
                <w:b/>
                <w:bCs w:val="0"/>
                <w:color w:val="auto"/>
                <w:sz w:val="21"/>
                <w:szCs w:val="21"/>
                <w:highlight w:val="none"/>
                <w:lang w:val="en-US" w:eastAsia="zh-CN"/>
              </w:rPr>
              <w:t>经设备上方集气罩收集后经二级活性炭吸附装置处理后经15m排气筒排放；</w:t>
            </w:r>
            <w:r>
              <w:rPr>
                <w:rFonts w:hint="eastAsia" w:ascii="Times New Roman" w:hAnsi="Times New Roman" w:cs="Times New Roman"/>
                <w:b/>
                <w:bCs w:val="0"/>
                <w:color w:val="auto"/>
                <w:sz w:val="21"/>
                <w:szCs w:val="21"/>
                <w:highlight w:val="none"/>
                <w:lang w:val="en-US" w:eastAsia="zh-CN"/>
              </w:rPr>
              <w:t>塑封膜裁剪过程中产生废塑封膜边角料</w:t>
            </w:r>
            <w:r>
              <w:rPr>
                <w:rFonts w:hint="eastAsia" w:cs="Times New Roman"/>
                <w:b/>
                <w:bCs w:val="0"/>
                <w:color w:val="auto"/>
                <w:sz w:val="21"/>
                <w:szCs w:val="21"/>
                <w:highlight w:val="none"/>
                <w:lang w:val="en-US" w:eastAsia="zh-CN"/>
              </w:rPr>
              <w:t>，收集后定期外售至物资回收公司回收利用</w:t>
            </w:r>
            <w:r>
              <w:rPr>
                <w:rFonts w:hint="eastAsia" w:ascii="Times New Roman" w:hAnsi="Times New Roman" w:cs="Times New Roman"/>
                <w:b/>
                <w:bCs w:val="0"/>
                <w:color w:val="auto"/>
                <w:sz w:val="21"/>
                <w:szCs w:val="21"/>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2" w:firstLineChars="200"/>
              <w:jc w:val="both"/>
              <w:textAlignment w:val="auto"/>
              <w:rPr>
                <w:rFonts w:hint="default" w:ascii="Times New Roman" w:hAnsi="Times New Roman" w:cs="Times New Roman"/>
                <w:b/>
                <w:bCs w:val="0"/>
                <w:color w:val="auto"/>
                <w:sz w:val="21"/>
                <w:szCs w:val="21"/>
                <w:highlight w:val="none"/>
                <w:lang w:val="en-US" w:eastAsia="zh-CN"/>
              </w:rPr>
            </w:pPr>
            <w:r>
              <w:rPr>
                <w:rFonts w:hint="eastAsia" w:ascii="Times New Roman" w:hAnsi="Times New Roman" w:cs="Times New Roman"/>
                <w:b/>
                <w:bCs w:val="0"/>
                <w:color w:val="auto"/>
                <w:sz w:val="21"/>
                <w:szCs w:val="21"/>
                <w:highlight w:val="none"/>
                <w:lang w:val="en-US" w:eastAsia="zh-CN"/>
              </w:rPr>
              <w:t>（2）普通果汁饮料</w:t>
            </w:r>
          </w:p>
          <w:p>
            <w:pPr>
              <w:pStyle w:val="16"/>
              <w:spacing w:line="360" w:lineRule="auto"/>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b/>
                <w:bCs w:val="0"/>
                <w:color w:val="auto"/>
                <w:sz w:val="21"/>
                <w:szCs w:val="21"/>
                <w:highlight w:val="none"/>
                <w:lang w:val="en-US" w:eastAsia="zh-CN"/>
              </w:rPr>
              <w:object>
                <v:shape id="_x0000_i1027" o:spt="75" type="#_x0000_t75" style="height:283.95pt;width:404.35pt;" o:ole="t" filled="f" o:preferrelative="t" stroked="f" coordsize="21600,21600">
                  <v:path/>
                  <v:fill on="f" focussize="0,0"/>
                  <v:stroke on="f"/>
                  <v:imagedata r:id="rId14" o:title=""/>
                  <o:lock v:ext="edit" aspectratio="t"/>
                  <w10:wrap type="none"/>
                  <w10:anchorlock/>
                </v:shape>
                <o:OLEObject Type="Embed" ProgID="Visio.Drawing.11" ShapeID="_x0000_i1027" DrawAspect="Content" ObjectID="_1468075727" r:id="rId13">
                  <o:LockedField>false</o:LockedField>
                </o:OLEObject>
              </w:object>
            </w:r>
          </w:p>
          <w:p>
            <w:pPr>
              <w:keepNext w:val="0"/>
              <w:keepLines w:val="0"/>
              <w:pageBreakBefore w:val="0"/>
              <w:widowControl w:val="0"/>
              <w:kinsoku/>
              <w:wordWrap/>
              <w:overflowPunct/>
              <w:topLinePunct w:val="0"/>
              <w:autoSpaceDE/>
              <w:autoSpaceDN/>
              <w:bidi w:val="0"/>
              <w:adjustRightInd w:val="0"/>
              <w:snapToGrid w:val="0"/>
              <w:spacing w:line="360" w:lineRule="auto"/>
              <w:jc w:val="center"/>
              <w:textAlignment w:val="auto"/>
              <w:rPr>
                <w:rFonts w:hint="default" w:ascii="Times New Roman" w:hAnsi="Times New Roman" w:cs="Times New Roman"/>
                <w:b/>
                <w:bCs w:val="0"/>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图2-</w:t>
            </w:r>
            <w:r>
              <w:rPr>
                <w:rFonts w:hint="eastAsia" w:cs="Times New Roman"/>
                <w:b/>
                <w:bCs/>
                <w:color w:val="auto"/>
                <w:sz w:val="21"/>
                <w:szCs w:val="21"/>
                <w:highlight w:val="none"/>
                <w:lang w:val="en-US" w:eastAsia="zh-CN"/>
              </w:rPr>
              <w:t>3</w:t>
            </w:r>
            <w:r>
              <w:rPr>
                <w:rFonts w:hint="default" w:ascii="Times New Roman" w:hAnsi="Times New Roman" w:cs="Times New Roman"/>
                <w:b/>
                <w:bCs/>
                <w:color w:val="auto"/>
                <w:sz w:val="21"/>
                <w:szCs w:val="21"/>
                <w:highlight w:val="none"/>
                <w:lang w:val="en-US" w:eastAsia="zh-CN"/>
              </w:rPr>
              <w:t xml:space="preserve"> </w:t>
            </w:r>
            <w:r>
              <w:rPr>
                <w:rFonts w:hint="eastAsia" w:cs="Times New Roman"/>
                <w:b/>
                <w:bCs/>
                <w:color w:val="auto"/>
                <w:sz w:val="21"/>
                <w:szCs w:val="21"/>
                <w:highlight w:val="none"/>
                <w:lang w:val="en-US" w:eastAsia="zh-CN"/>
              </w:rPr>
              <w:t>本项目普通果汁饮料</w:t>
            </w:r>
            <w:r>
              <w:rPr>
                <w:rFonts w:hint="default" w:ascii="Times New Roman" w:hAnsi="Times New Roman" w:cs="Times New Roman"/>
                <w:b/>
                <w:bCs/>
                <w:color w:val="auto"/>
                <w:sz w:val="21"/>
                <w:szCs w:val="21"/>
                <w:highlight w:val="none"/>
                <w:lang w:val="en-US" w:eastAsia="zh-CN"/>
              </w:rPr>
              <w:t>生产工艺流程</w:t>
            </w:r>
            <w:r>
              <w:rPr>
                <w:rFonts w:hint="eastAsia" w:cs="Times New Roman"/>
                <w:b/>
                <w:bCs/>
                <w:color w:val="auto"/>
                <w:sz w:val="21"/>
                <w:szCs w:val="21"/>
                <w:highlight w:val="none"/>
                <w:lang w:val="en-US" w:eastAsia="zh-CN"/>
              </w:rPr>
              <w:t>及产污环节</w:t>
            </w:r>
            <w:r>
              <w:rPr>
                <w:rFonts w:hint="default" w:ascii="Times New Roman" w:hAnsi="Times New Roman" w:cs="Times New Roman"/>
                <w:b/>
                <w:bCs/>
                <w:color w:val="auto"/>
                <w:sz w:val="21"/>
                <w:szCs w:val="21"/>
                <w:highlight w:val="none"/>
                <w:lang w:val="en-US" w:eastAsia="zh-CN"/>
              </w:rPr>
              <w:t>图</w:t>
            </w:r>
          </w:p>
          <w:p>
            <w:pPr>
              <w:keepNext w:val="0"/>
              <w:keepLines w:val="0"/>
              <w:suppressLineNumbers w:val="0"/>
              <w:spacing w:before="0" w:beforeAutospacing="0" w:after="0" w:afterAutospacing="0" w:line="360" w:lineRule="auto"/>
              <w:ind w:left="0" w:right="0" w:firstLine="420" w:firstLineChars="20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本项目普通果汁饮料生产以自来水为基础水源，经过滤、反渗透等深度处理制成纯水，再与水果原浆（或浓缩果汁）、果葡糖浆、柠檬水、苹果酸等原料按预设配方调配，随后依次经过</w:t>
            </w:r>
            <w:r>
              <w:rPr>
                <w:rFonts w:hint="eastAsia" w:cs="Times New Roman"/>
                <w:color w:val="auto"/>
                <w:sz w:val="21"/>
                <w:szCs w:val="21"/>
                <w:highlight w:val="none"/>
                <w:lang w:val="en-US" w:eastAsia="zh-CN"/>
              </w:rPr>
              <w:t>过滤、</w:t>
            </w:r>
            <w:r>
              <w:rPr>
                <w:rFonts w:hint="default" w:ascii="Times New Roman" w:hAnsi="Times New Roman" w:eastAsia="宋体" w:cs="Times New Roman"/>
                <w:color w:val="auto"/>
                <w:sz w:val="21"/>
                <w:szCs w:val="21"/>
                <w:highlight w:val="none"/>
                <w:lang w:val="en-US" w:eastAsia="zh-CN"/>
              </w:rPr>
              <w:t>脱气、均质、UHT灭菌、灌装、品检、激光喷码、贴标、灯检、包装等工序</w:t>
            </w:r>
            <w:r>
              <w:rPr>
                <w:rFonts w:hint="eastAsia" w:cs="Times New Roman"/>
                <w:color w:val="auto"/>
                <w:sz w:val="21"/>
                <w:szCs w:val="21"/>
                <w:highlight w:val="none"/>
                <w:lang w:val="en-US" w:eastAsia="zh-CN"/>
              </w:rPr>
              <w:t>进行生产</w:t>
            </w:r>
            <w:r>
              <w:rPr>
                <w:rFonts w:hint="default" w:ascii="Times New Roman" w:hAnsi="Times New Roman" w:eastAsia="宋体" w:cs="Times New Roman"/>
                <w:color w:val="auto"/>
                <w:sz w:val="21"/>
                <w:szCs w:val="21"/>
                <w:highlight w:val="none"/>
                <w:lang w:val="en-US" w:eastAsia="zh-CN"/>
              </w:rPr>
              <w:t>，最终制成合格产品入库待售。全生产流程以物理处理、原料调配为主</w:t>
            </w:r>
            <w:r>
              <w:rPr>
                <w:rFonts w:hint="eastAsia" w:cs="Times New Roman"/>
                <w:color w:val="auto"/>
                <w:sz w:val="21"/>
                <w:szCs w:val="21"/>
                <w:highlight w:val="none"/>
                <w:lang w:val="en-US" w:eastAsia="zh-CN"/>
              </w:rPr>
              <w:t>，具体工艺流程说明如下：</w:t>
            </w:r>
          </w:p>
          <w:p>
            <w:pPr>
              <w:keepNext w:val="0"/>
              <w:keepLines w:val="0"/>
              <w:suppressLineNumbers w:val="0"/>
              <w:spacing w:before="0" w:beforeAutospacing="0" w:after="0" w:afterAutospacing="0" w:line="360" w:lineRule="auto"/>
              <w:ind w:left="0" w:right="0" w:firstLine="420" w:firstLineChars="200"/>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①</w:t>
            </w:r>
            <w:r>
              <w:rPr>
                <w:rFonts w:hint="default" w:ascii="Times New Roman" w:hAnsi="Times New Roman" w:eastAsia="宋体" w:cs="Times New Roman"/>
                <w:color w:val="auto"/>
                <w:sz w:val="21"/>
                <w:szCs w:val="21"/>
                <w:highlight w:val="none"/>
                <w:lang w:val="en-US" w:eastAsia="zh-CN"/>
              </w:rPr>
              <w:t>水处理</w:t>
            </w:r>
            <w:r>
              <w:rPr>
                <w:rFonts w:hint="eastAsia" w:cs="Times New Roman"/>
                <w:color w:val="auto"/>
                <w:sz w:val="21"/>
                <w:szCs w:val="21"/>
                <w:highlight w:val="none"/>
                <w:lang w:val="en-US" w:eastAsia="zh-CN"/>
              </w:rPr>
              <w:t>（过滤+反渗透）</w:t>
            </w:r>
          </w:p>
          <w:p>
            <w:pPr>
              <w:keepNext w:val="0"/>
              <w:keepLines w:val="0"/>
              <w:suppressLineNumbers w:val="0"/>
              <w:spacing w:before="0" w:beforeAutospacing="0" w:after="0" w:afterAutospacing="0" w:line="360" w:lineRule="auto"/>
              <w:ind w:left="0" w:right="0" w:firstLine="420" w:firstLineChars="200"/>
              <w:rPr>
                <w:rFonts w:hint="eastAsia"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自来水经市政供水管网输送至厂区原水箱，储存后由输送泵送入多介质过滤器（滤料为石英砂、活性炭），采用自上而下的过滤方式，去除自来水中的大颗粒悬浮物、泥沙、胶体、异味及部分有机物；过滤合格后的水送入精密过滤器，进一步去除水中的细小杂质（粒径≤5μm），避免杂质堵塞后续反渗透膜</w:t>
            </w:r>
            <w:r>
              <w:rPr>
                <w:rFonts w:hint="eastAsia" w:cs="Times New Roman"/>
                <w:color w:val="auto"/>
                <w:sz w:val="21"/>
                <w:szCs w:val="21"/>
                <w:highlight w:val="none"/>
                <w:lang w:val="en-US" w:eastAsia="zh-CN"/>
              </w:rPr>
              <w:t>。</w:t>
            </w:r>
          </w:p>
          <w:p>
            <w:pPr>
              <w:keepNext w:val="0"/>
              <w:keepLines w:val="0"/>
              <w:suppressLineNumbers w:val="0"/>
              <w:spacing w:before="0" w:beforeAutospacing="0" w:after="0" w:afterAutospacing="0" w:line="360" w:lineRule="auto"/>
              <w:ind w:left="0" w:right="0" w:firstLine="420" w:firstLineChars="200"/>
              <w:rPr>
                <w:rFonts w:hint="default" w:cs="Times New Roman"/>
                <w:color w:val="auto"/>
                <w:sz w:val="21"/>
                <w:szCs w:val="21"/>
                <w:highlight w:val="none"/>
                <w:lang w:val="en-US" w:eastAsia="zh-CN"/>
              </w:rPr>
            </w:pPr>
            <w:r>
              <w:rPr>
                <w:rFonts w:hint="default" w:cs="Times New Roman"/>
                <w:color w:val="auto"/>
                <w:sz w:val="21"/>
                <w:szCs w:val="21"/>
                <w:highlight w:val="none"/>
                <w:lang w:val="en-US" w:eastAsia="zh-CN"/>
              </w:rPr>
              <w:t>经精密过滤合格的水，送入反渗透设备，在高压作用下，水通过反渗透膜，实现水与水中杂质（重金属离子、可溶性盐、残留微生物、小分子有机物等）的分离，透过膜的水即为纯水，送入纯水箱储存，用于后续原料调配；未透过膜的浓水，经管道排放至反冲洗废水收集系统，一并送入污水处理站处理。</w:t>
            </w:r>
          </w:p>
          <w:p>
            <w:pPr>
              <w:keepNext w:val="0"/>
              <w:keepLines w:val="0"/>
              <w:suppressLineNumbers w:val="0"/>
              <w:spacing w:before="0" w:beforeAutospacing="0" w:after="0" w:afterAutospacing="0" w:line="360" w:lineRule="auto"/>
              <w:ind w:left="0" w:right="0" w:firstLine="422" w:firstLineChars="200"/>
              <w:rPr>
                <w:rFonts w:hint="default" w:ascii="Times New Roman" w:hAnsi="Times New Roman" w:eastAsia="宋体" w:cs="Times New Roman"/>
                <w:b/>
                <w:bCs/>
                <w:color w:val="auto"/>
                <w:sz w:val="21"/>
                <w:szCs w:val="21"/>
                <w:highlight w:val="none"/>
                <w:lang w:val="en-US" w:eastAsia="zh-CN"/>
              </w:rPr>
            </w:pPr>
            <w:r>
              <w:rPr>
                <w:rFonts w:hint="eastAsia" w:cs="Times New Roman"/>
                <w:b/>
                <w:bCs/>
                <w:color w:val="auto"/>
                <w:sz w:val="21"/>
                <w:szCs w:val="21"/>
                <w:highlight w:val="none"/>
                <w:lang w:val="en-US" w:eastAsia="zh-CN"/>
              </w:rPr>
              <w:t>产污环节：水处理过程中产生反渗透浓水；过滤材料定期更换产生废过滤材料（含废石英砂、废活性炭、废反渗透膜等，统一称为废过滤材料），收集后暂存在厂内一般固废暂存间内，定期交由设备厂家回收处置。</w:t>
            </w:r>
          </w:p>
          <w:p>
            <w:pPr>
              <w:keepNext w:val="0"/>
              <w:keepLines w:val="0"/>
              <w:suppressLineNumbers w:val="0"/>
              <w:spacing w:before="0" w:beforeAutospacing="0" w:after="0" w:afterAutospacing="0" w:line="360" w:lineRule="auto"/>
              <w:ind w:left="0" w:right="0" w:firstLine="420" w:firstLineChars="200"/>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②</w:t>
            </w:r>
            <w:r>
              <w:rPr>
                <w:rFonts w:hint="default" w:ascii="Times New Roman" w:hAnsi="Times New Roman" w:eastAsia="宋体" w:cs="Times New Roman"/>
                <w:color w:val="auto"/>
                <w:sz w:val="21"/>
                <w:szCs w:val="21"/>
                <w:highlight w:val="none"/>
                <w:lang w:val="en-US" w:eastAsia="zh-CN"/>
              </w:rPr>
              <w:t>调配</w:t>
            </w:r>
          </w:p>
          <w:p>
            <w:pPr>
              <w:keepNext w:val="0"/>
              <w:keepLines w:val="0"/>
              <w:suppressLineNumbers w:val="0"/>
              <w:spacing w:before="0" w:beforeAutospacing="0" w:after="0" w:afterAutospacing="0" w:line="360" w:lineRule="auto"/>
              <w:ind w:left="0" w:right="0" w:firstLine="420" w:firstLineChars="20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将纯水与水果原浆（或浓缩果汁）、果葡糖浆、柠檬水、苹果酸等原料，按预设配方比例混合调配，调整饮料的糖度、酸度、口感及风味，确保产品品质均匀一致。本工序添加的所有原料均为食品级，符合食品安全标准，无有毒有害辅料</w:t>
            </w:r>
            <w:r>
              <w:rPr>
                <w:rFonts w:hint="eastAsia" w:cs="Times New Roman"/>
                <w:color w:val="auto"/>
                <w:sz w:val="21"/>
                <w:szCs w:val="21"/>
                <w:highlight w:val="none"/>
                <w:lang w:val="en-US" w:eastAsia="zh-CN"/>
              </w:rPr>
              <w:t>。该过程无污染物产生。</w:t>
            </w:r>
          </w:p>
          <w:p>
            <w:pPr>
              <w:keepNext w:val="0"/>
              <w:keepLines w:val="0"/>
              <w:suppressLineNumbers w:val="0"/>
              <w:spacing w:before="0" w:beforeAutospacing="0" w:after="0" w:afterAutospacing="0" w:line="360" w:lineRule="auto"/>
              <w:ind w:left="0" w:right="0" w:firstLine="420" w:firstLineChars="200"/>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③</w:t>
            </w:r>
            <w:r>
              <w:rPr>
                <w:rFonts w:hint="default" w:ascii="Times New Roman" w:hAnsi="Times New Roman" w:cs="Times New Roman"/>
                <w:color w:val="auto"/>
                <w:sz w:val="21"/>
                <w:szCs w:val="21"/>
                <w:highlight w:val="none"/>
                <w:lang w:val="en-US" w:eastAsia="zh-CN"/>
              </w:rPr>
              <w:t>过滤</w:t>
            </w:r>
          </w:p>
          <w:p>
            <w:pPr>
              <w:keepNext w:val="0"/>
              <w:keepLines w:val="0"/>
              <w:suppressLineNumbers w:val="0"/>
              <w:spacing w:before="0" w:beforeAutospacing="0" w:after="0" w:afterAutospacing="0" w:line="360" w:lineRule="auto"/>
              <w:ind w:left="0" w:right="0" w:firstLine="420" w:firstLineChars="200"/>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调</w:t>
            </w:r>
            <w:r>
              <w:rPr>
                <w:rFonts w:hint="default" w:ascii="Times New Roman" w:hAnsi="Times New Roman" w:eastAsia="宋体" w:cs="Times New Roman"/>
                <w:color w:val="auto"/>
                <w:sz w:val="21"/>
                <w:szCs w:val="21"/>
                <w:highlight w:val="none"/>
                <w:lang w:val="en-US" w:eastAsia="zh-CN"/>
              </w:rPr>
              <w:t>配合格后的果汁料液由输送泵送入硅藻土过滤器，在压力作用下通过预涂好硅藻土的过滤介质，利用硅藻土多孔吸附与筛分作用，截留料液中的果肉微粒、果胶、胶体、纤维及细小悬浮杂质，使果汁得到澄清、过滤。过滤过程连续稳定运行，过滤后的清液通过管道输送至下一工序。</w:t>
            </w:r>
          </w:p>
          <w:p>
            <w:pPr>
              <w:keepNext w:val="0"/>
              <w:keepLines w:val="0"/>
              <w:suppressLineNumbers w:val="0"/>
              <w:spacing w:before="0" w:beforeAutospacing="0" w:after="0" w:afterAutospacing="0" w:line="360" w:lineRule="auto"/>
              <w:ind w:left="0" w:right="0" w:firstLine="422" w:firstLineChars="200"/>
              <w:rPr>
                <w:rFonts w:hint="default" w:ascii="Times New Roman" w:hAnsi="Times New Roman" w:eastAsia="宋体" w:cs="Times New Roman"/>
                <w:b/>
                <w:bCs/>
                <w:color w:val="auto"/>
                <w:sz w:val="21"/>
                <w:szCs w:val="21"/>
                <w:highlight w:val="none"/>
                <w:lang w:val="en-US" w:eastAsia="zh-CN"/>
              </w:rPr>
            </w:pPr>
            <w:r>
              <w:rPr>
                <w:rFonts w:hint="eastAsia" w:cs="Times New Roman"/>
                <w:b/>
                <w:bCs/>
                <w:color w:val="auto"/>
                <w:sz w:val="21"/>
                <w:szCs w:val="21"/>
                <w:highlight w:val="none"/>
                <w:lang w:val="en-US" w:eastAsia="zh-CN"/>
              </w:rPr>
              <w:t>产污环节：滤料更换产生废硅藻土，收集后暂存在厂内一般固废暂存间内，定期交由设备厂家回收处置。</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jc w:val="both"/>
              <w:textAlignment w:val="auto"/>
              <w:rPr>
                <w:rFonts w:hint="eastAsia" w:ascii="Times New Roman" w:hAnsi="Times New Roman" w:cs="Times New Roman"/>
                <w:b w:val="0"/>
                <w:bCs/>
                <w:color w:val="auto"/>
                <w:sz w:val="21"/>
                <w:szCs w:val="21"/>
                <w:highlight w:val="none"/>
                <w:lang w:val="en-US" w:eastAsia="zh-CN"/>
              </w:rPr>
            </w:pPr>
            <w:r>
              <w:rPr>
                <w:rFonts w:hint="eastAsia" w:ascii="Times New Roman" w:hAnsi="Times New Roman" w:cs="Times New Roman"/>
                <w:b w:val="0"/>
                <w:bCs/>
                <w:color w:val="auto"/>
                <w:sz w:val="21"/>
                <w:szCs w:val="21"/>
                <w:highlight w:val="none"/>
                <w:lang w:val="en-US" w:eastAsia="zh-CN"/>
              </w:rPr>
              <w:t>④脱气、均质</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jc w:val="both"/>
              <w:textAlignment w:val="auto"/>
              <w:rPr>
                <w:rFonts w:hint="default" w:ascii="Times New Roman" w:hAnsi="Times New Roman" w:cs="Times New Roman"/>
                <w:b w:val="0"/>
                <w:bCs/>
                <w:color w:val="auto"/>
                <w:sz w:val="21"/>
                <w:szCs w:val="21"/>
                <w:highlight w:val="none"/>
                <w:lang w:val="en-US" w:eastAsia="zh-CN"/>
              </w:rPr>
            </w:pPr>
            <w:r>
              <w:rPr>
                <w:rFonts w:hint="eastAsia" w:ascii="Times New Roman" w:hAnsi="Times New Roman" w:cs="Times New Roman"/>
                <w:b w:val="0"/>
                <w:bCs/>
                <w:color w:val="auto"/>
                <w:sz w:val="21"/>
                <w:szCs w:val="21"/>
                <w:highlight w:val="none"/>
                <w:lang w:val="en-US" w:eastAsia="zh-CN"/>
              </w:rPr>
              <w:t>经硅藻土过滤处理的果汁料液在-0.06MPa（表压）条件下进行脱气，在真空环境下，料液中溶解的氧气、生产过程中夹带的空气等快速从液相逸出。</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jc w:val="both"/>
              <w:textAlignment w:val="auto"/>
              <w:rPr>
                <w:rFonts w:hint="eastAsia" w:ascii="Times New Roman" w:hAnsi="Times New Roman" w:cs="Times New Roman"/>
                <w:b w:val="0"/>
                <w:bCs/>
                <w:color w:val="auto"/>
                <w:sz w:val="21"/>
                <w:szCs w:val="21"/>
                <w:highlight w:val="none"/>
                <w:lang w:val="en-US" w:eastAsia="zh-CN"/>
              </w:rPr>
            </w:pPr>
            <w:r>
              <w:rPr>
                <w:rFonts w:hint="default" w:ascii="Times New Roman" w:hAnsi="Times New Roman" w:cs="Times New Roman"/>
                <w:b w:val="0"/>
                <w:bCs/>
                <w:color w:val="auto"/>
                <w:sz w:val="21"/>
                <w:szCs w:val="21"/>
                <w:highlight w:val="none"/>
                <w:lang w:val="en-US" w:eastAsia="zh-CN"/>
              </w:rPr>
              <w:t>脱气后的</w:t>
            </w:r>
            <w:r>
              <w:rPr>
                <w:rFonts w:hint="eastAsia" w:ascii="Times New Roman" w:hAnsi="Times New Roman" w:cs="Times New Roman"/>
                <w:b w:val="0"/>
                <w:bCs/>
                <w:color w:val="auto"/>
                <w:sz w:val="21"/>
                <w:szCs w:val="21"/>
                <w:highlight w:val="none"/>
                <w:lang w:val="en-US" w:eastAsia="zh-CN"/>
              </w:rPr>
              <w:t>果汁料液</w:t>
            </w:r>
            <w:r>
              <w:rPr>
                <w:rFonts w:hint="default" w:ascii="Times New Roman" w:hAnsi="Times New Roman" w:cs="Times New Roman"/>
                <w:b w:val="0"/>
                <w:bCs/>
                <w:color w:val="auto"/>
                <w:sz w:val="21"/>
                <w:szCs w:val="21"/>
                <w:highlight w:val="none"/>
                <w:lang w:val="en-US" w:eastAsia="zh-CN"/>
              </w:rPr>
              <w:t>经密闭管道</w:t>
            </w:r>
            <w:r>
              <w:rPr>
                <w:rFonts w:hint="eastAsia" w:ascii="Times New Roman" w:hAnsi="Times New Roman" w:cs="Times New Roman"/>
                <w:b w:val="0"/>
                <w:bCs/>
                <w:color w:val="auto"/>
                <w:sz w:val="21"/>
                <w:szCs w:val="21"/>
                <w:highlight w:val="none"/>
                <w:lang w:val="en-US" w:eastAsia="zh-CN"/>
              </w:rPr>
              <w:t>输送</w:t>
            </w:r>
            <w:r>
              <w:rPr>
                <w:rFonts w:hint="default" w:ascii="Times New Roman" w:hAnsi="Times New Roman" w:cs="Times New Roman"/>
                <w:b w:val="0"/>
                <w:bCs/>
                <w:color w:val="auto"/>
                <w:sz w:val="21"/>
                <w:szCs w:val="21"/>
                <w:highlight w:val="none"/>
                <w:lang w:val="en-US" w:eastAsia="zh-CN"/>
              </w:rPr>
              <w:t>进入均质工序，在20～25MPa的高压作用下，</w:t>
            </w:r>
            <w:r>
              <w:rPr>
                <w:rFonts w:hint="eastAsia" w:ascii="Times New Roman" w:hAnsi="Times New Roman" w:cs="Times New Roman"/>
                <w:b w:val="0"/>
                <w:bCs/>
                <w:color w:val="auto"/>
                <w:sz w:val="21"/>
                <w:szCs w:val="21"/>
                <w:highlight w:val="none"/>
                <w:lang w:val="en-US" w:eastAsia="zh-CN"/>
              </w:rPr>
              <w:t>料液</w:t>
            </w:r>
            <w:r>
              <w:rPr>
                <w:rFonts w:hint="default" w:ascii="Times New Roman" w:hAnsi="Times New Roman" w:cs="Times New Roman"/>
                <w:b w:val="0"/>
                <w:bCs/>
                <w:color w:val="auto"/>
                <w:sz w:val="21"/>
                <w:szCs w:val="21"/>
                <w:highlight w:val="none"/>
                <w:lang w:val="en-US" w:eastAsia="zh-CN"/>
              </w:rPr>
              <w:t>以高速通过均质阀的狭窄缝隙，瞬间经历高压剪切、颗粒撞击、空化效应及涡流扰动等多重物理作用，将</w:t>
            </w:r>
            <w:r>
              <w:rPr>
                <w:rFonts w:hint="eastAsia" w:ascii="Times New Roman" w:hAnsi="Times New Roman" w:cs="Times New Roman"/>
                <w:b w:val="0"/>
                <w:bCs/>
                <w:color w:val="auto"/>
                <w:sz w:val="21"/>
                <w:szCs w:val="21"/>
                <w:highlight w:val="none"/>
                <w:lang w:val="en-US" w:eastAsia="zh-CN"/>
              </w:rPr>
              <w:t>料液中存在的</w:t>
            </w:r>
            <w:r>
              <w:rPr>
                <w:rFonts w:hint="default" w:ascii="Times New Roman" w:hAnsi="Times New Roman" w:cs="Times New Roman"/>
                <w:b w:val="0"/>
                <w:bCs/>
                <w:color w:val="auto"/>
                <w:sz w:val="21"/>
                <w:szCs w:val="21"/>
                <w:highlight w:val="none"/>
                <w:lang w:val="en-US" w:eastAsia="zh-CN"/>
              </w:rPr>
              <w:t>果肉纤维、果胶颗粒、</w:t>
            </w:r>
            <w:r>
              <w:rPr>
                <w:rFonts w:hint="eastAsia" w:ascii="Times New Roman" w:hAnsi="Times New Roman" w:cs="Times New Roman"/>
                <w:b w:val="0"/>
                <w:bCs/>
                <w:color w:val="auto"/>
                <w:sz w:val="21"/>
                <w:szCs w:val="21"/>
                <w:highlight w:val="none"/>
                <w:lang w:val="en-US" w:eastAsia="zh-CN"/>
              </w:rPr>
              <w:t>原料混合</w:t>
            </w:r>
            <w:r>
              <w:rPr>
                <w:rFonts w:hint="default" w:ascii="Times New Roman" w:hAnsi="Times New Roman" w:cs="Times New Roman"/>
                <w:b w:val="0"/>
                <w:bCs/>
                <w:color w:val="auto"/>
                <w:sz w:val="21"/>
                <w:szCs w:val="21"/>
                <w:highlight w:val="none"/>
                <w:lang w:val="en-US" w:eastAsia="zh-CN"/>
              </w:rPr>
              <w:t>团块等破碎至微米级，使各类颗粒均匀分散在液相中，形成高度稳定、质地均匀细腻的</w:t>
            </w:r>
            <w:r>
              <w:rPr>
                <w:rFonts w:hint="eastAsia" w:ascii="Times New Roman" w:hAnsi="Times New Roman" w:cs="Times New Roman"/>
                <w:b w:val="0"/>
                <w:bCs/>
                <w:color w:val="auto"/>
                <w:sz w:val="21"/>
                <w:szCs w:val="21"/>
                <w:highlight w:val="none"/>
                <w:lang w:val="en-US" w:eastAsia="zh-CN"/>
              </w:rPr>
              <w:t>饮料体系</w:t>
            </w:r>
            <w:r>
              <w:rPr>
                <w:rFonts w:hint="default" w:ascii="Times New Roman" w:hAnsi="Times New Roman" w:cs="Times New Roman"/>
                <w:b w:val="0"/>
                <w:bCs/>
                <w:color w:val="auto"/>
                <w:sz w:val="21"/>
                <w:szCs w:val="21"/>
                <w:highlight w:val="none"/>
                <w:lang w:val="en-US" w:eastAsia="zh-CN"/>
              </w:rPr>
              <w:t>，彻底消除</w:t>
            </w:r>
            <w:r>
              <w:rPr>
                <w:rFonts w:hint="eastAsia" w:ascii="Times New Roman" w:hAnsi="Times New Roman" w:cs="Times New Roman"/>
                <w:b w:val="0"/>
                <w:bCs/>
                <w:color w:val="auto"/>
                <w:sz w:val="21"/>
                <w:szCs w:val="21"/>
                <w:highlight w:val="none"/>
                <w:lang w:val="en-US" w:eastAsia="zh-CN"/>
              </w:rPr>
              <w:t>饮料</w:t>
            </w:r>
            <w:r>
              <w:rPr>
                <w:rFonts w:hint="default" w:ascii="Times New Roman" w:hAnsi="Times New Roman" w:cs="Times New Roman"/>
                <w:b w:val="0"/>
                <w:bCs/>
                <w:color w:val="auto"/>
                <w:sz w:val="21"/>
                <w:szCs w:val="21"/>
                <w:highlight w:val="none"/>
                <w:lang w:val="en-US" w:eastAsia="zh-CN"/>
              </w:rPr>
              <w:t>的粗涩感。均质过程无额外添加试剂，全程密闭、低温，</w:t>
            </w:r>
            <w:r>
              <w:rPr>
                <w:rFonts w:hint="eastAsia" w:ascii="Times New Roman" w:hAnsi="Times New Roman" w:cs="Times New Roman"/>
                <w:b w:val="0"/>
                <w:bCs/>
                <w:color w:val="auto"/>
                <w:sz w:val="21"/>
                <w:szCs w:val="21"/>
                <w:highlight w:val="none"/>
                <w:lang w:val="en-US" w:eastAsia="zh-CN"/>
              </w:rPr>
              <w:t>可</w:t>
            </w:r>
            <w:r>
              <w:rPr>
                <w:rFonts w:hint="default" w:ascii="Times New Roman" w:hAnsi="Times New Roman" w:cs="Times New Roman"/>
                <w:b w:val="0"/>
                <w:bCs/>
                <w:color w:val="auto"/>
                <w:sz w:val="21"/>
                <w:szCs w:val="21"/>
                <w:highlight w:val="none"/>
                <w:lang w:val="en-US" w:eastAsia="zh-CN"/>
              </w:rPr>
              <w:t>避免</w:t>
            </w:r>
            <w:r>
              <w:rPr>
                <w:rFonts w:hint="eastAsia" w:ascii="Times New Roman" w:hAnsi="Times New Roman" w:cs="Times New Roman"/>
                <w:b w:val="0"/>
                <w:bCs/>
                <w:color w:val="auto"/>
                <w:sz w:val="21"/>
                <w:szCs w:val="21"/>
                <w:highlight w:val="none"/>
                <w:lang w:val="en-US" w:eastAsia="zh-CN"/>
              </w:rPr>
              <w:t>饮料</w:t>
            </w:r>
            <w:r>
              <w:rPr>
                <w:rFonts w:hint="default" w:ascii="Times New Roman" w:hAnsi="Times New Roman" w:cs="Times New Roman"/>
                <w:b w:val="0"/>
                <w:bCs/>
                <w:color w:val="auto"/>
                <w:sz w:val="21"/>
                <w:szCs w:val="21"/>
                <w:highlight w:val="none"/>
                <w:lang w:val="en-US" w:eastAsia="zh-CN"/>
              </w:rPr>
              <w:t>二次污染及风味损失；均质合格后的</w:t>
            </w:r>
            <w:r>
              <w:rPr>
                <w:rFonts w:hint="eastAsia" w:ascii="Times New Roman" w:hAnsi="Times New Roman" w:cs="Times New Roman"/>
                <w:b w:val="0"/>
                <w:bCs/>
                <w:color w:val="auto"/>
                <w:sz w:val="21"/>
                <w:szCs w:val="21"/>
                <w:highlight w:val="none"/>
                <w:lang w:val="en-US" w:eastAsia="zh-CN"/>
              </w:rPr>
              <w:t>饮料</w:t>
            </w:r>
            <w:r>
              <w:rPr>
                <w:rFonts w:hint="default" w:ascii="Times New Roman" w:hAnsi="Times New Roman" w:cs="Times New Roman"/>
                <w:b w:val="0"/>
                <w:bCs/>
                <w:color w:val="auto"/>
                <w:sz w:val="21"/>
                <w:szCs w:val="21"/>
                <w:highlight w:val="none"/>
                <w:lang w:val="en-US" w:eastAsia="zh-CN"/>
              </w:rPr>
              <w:t>经密闭管道输送至UHT杀菌</w:t>
            </w:r>
            <w:r>
              <w:rPr>
                <w:rFonts w:hint="eastAsia" w:ascii="Times New Roman" w:hAnsi="Times New Roman" w:cs="Times New Roman"/>
                <w:b w:val="0"/>
                <w:bCs/>
                <w:color w:val="auto"/>
                <w:sz w:val="21"/>
                <w:szCs w:val="21"/>
                <w:highlight w:val="none"/>
                <w:lang w:val="en-US" w:eastAsia="zh-CN"/>
              </w:rPr>
              <w:t>工序</w:t>
            </w:r>
            <w:r>
              <w:rPr>
                <w:rFonts w:hint="default" w:ascii="Times New Roman" w:hAnsi="Times New Roman" w:cs="Times New Roman"/>
                <w:b w:val="0"/>
                <w:bCs/>
                <w:color w:val="auto"/>
                <w:sz w:val="21"/>
                <w:szCs w:val="21"/>
                <w:highlight w:val="none"/>
                <w:lang w:val="en-US" w:eastAsia="zh-CN"/>
              </w:rPr>
              <w:t>。</w:t>
            </w:r>
            <w:r>
              <w:rPr>
                <w:rFonts w:hint="eastAsia" w:ascii="Times New Roman" w:hAnsi="Times New Roman" w:cs="Times New Roman"/>
                <w:b w:val="0"/>
                <w:bCs/>
                <w:color w:val="auto"/>
                <w:sz w:val="21"/>
                <w:szCs w:val="21"/>
                <w:highlight w:val="none"/>
                <w:lang w:val="en-US" w:eastAsia="zh-CN"/>
              </w:rPr>
              <w:t>脱气、均质过程中无污染物产生。</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jc w:val="both"/>
              <w:textAlignment w:val="auto"/>
              <w:rPr>
                <w:rFonts w:hint="default" w:ascii="Times New Roman" w:hAnsi="Times New Roman" w:cs="Times New Roman"/>
                <w:b w:val="0"/>
                <w:bCs/>
                <w:color w:val="auto"/>
                <w:sz w:val="21"/>
                <w:szCs w:val="21"/>
                <w:highlight w:val="none"/>
                <w:lang w:val="en-US" w:eastAsia="zh-CN"/>
              </w:rPr>
            </w:pPr>
            <w:r>
              <w:rPr>
                <w:rFonts w:hint="eastAsia" w:ascii="Times New Roman" w:hAnsi="Times New Roman" w:cs="Times New Roman"/>
                <w:b w:val="0"/>
                <w:bCs/>
                <w:color w:val="auto"/>
                <w:sz w:val="21"/>
                <w:szCs w:val="21"/>
                <w:highlight w:val="none"/>
                <w:lang w:val="en-US" w:eastAsia="zh-CN"/>
              </w:rPr>
              <w:t>⑤</w:t>
            </w:r>
            <w:r>
              <w:rPr>
                <w:rFonts w:hint="default" w:ascii="Times New Roman" w:hAnsi="Times New Roman" w:cs="Times New Roman"/>
                <w:b w:val="0"/>
                <w:bCs/>
                <w:color w:val="auto"/>
                <w:sz w:val="21"/>
                <w:szCs w:val="21"/>
                <w:highlight w:val="none"/>
                <w:lang w:val="en-US" w:eastAsia="zh-CN"/>
              </w:rPr>
              <w:t>UHT灭菌</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jc w:val="both"/>
              <w:textAlignment w:val="auto"/>
              <w:rPr>
                <w:rFonts w:hint="eastAsia" w:ascii="Times New Roman" w:hAnsi="Times New Roman" w:cs="Times New Roman"/>
                <w:b w:val="0"/>
                <w:bCs/>
                <w:color w:val="auto"/>
                <w:sz w:val="21"/>
                <w:szCs w:val="21"/>
                <w:highlight w:val="none"/>
                <w:lang w:val="en-US" w:eastAsia="zh-CN"/>
              </w:rPr>
            </w:pPr>
            <w:r>
              <w:rPr>
                <w:rFonts w:hint="default" w:ascii="Times New Roman" w:hAnsi="Times New Roman" w:cs="Times New Roman"/>
                <w:b w:val="0"/>
                <w:bCs/>
                <w:color w:val="auto"/>
                <w:sz w:val="21"/>
                <w:szCs w:val="21"/>
                <w:highlight w:val="none"/>
                <w:lang w:val="en-US" w:eastAsia="zh-CN"/>
              </w:rPr>
              <w:t>通过超高温瞬时灭菌机（UHT）彻底杀灭果汁</w:t>
            </w:r>
            <w:r>
              <w:rPr>
                <w:rFonts w:hint="eastAsia" w:ascii="Times New Roman" w:hAnsi="Times New Roman" w:cs="Times New Roman"/>
                <w:b w:val="0"/>
                <w:bCs/>
                <w:color w:val="auto"/>
                <w:sz w:val="21"/>
                <w:szCs w:val="21"/>
                <w:highlight w:val="none"/>
                <w:lang w:val="en-US" w:eastAsia="zh-CN"/>
              </w:rPr>
              <w:t>饮料</w:t>
            </w:r>
            <w:r>
              <w:rPr>
                <w:rFonts w:hint="default" w:ascii="Times New Roman" w:hAnsi="Times New Roman" w:cs="Times New Roman"/>
                <w:b w:val="0"/>
                <w:bCs/>
                <w:color w:val="auto"/>
                <w:sz w:val="21"/>
                <w:szCs w:val="21"/>
                <w:highlight w:val="none"/>
                <w:lang w:val="en-US" w:eastAsia="zh-CN"/>
              </w:rPr>
              <w:t>中的致病菌、腐败菌及酶类，确保产品在保质期内安全稳定。UHT杀菌指超高温瞬时杀菌，是把加热温度设为135-150℃、加热时间为2-8s、加热后产品达到商业无菌要求的杀菌过程</w:t>
            </w:r>
            <w:r>
              <w:rPr>
                <w:rFonts w:hint="eastAsia" w:ascii="Times New Roman" w:hAnsi="Times New Roman" w:cs="Times New Roman"/>
                <w:b w:val="0"/>
                <w:bCs/>
                <w:color w:val="auto"/>
                <w:sz w:val="21"/>
                <w:szCs w:val="21"/>
                <w:highlight w:val="none"/>
                <w:lang w:val="en-US" w:eastAsia="zh-CN"/>
              </w:rPr>
              <w:t>。UHT杀菌为蒸汽间接加热，采用板式或管式换热器，蒸汽热量经换热器迅速传递给加热杀菌物料达到杀菌目的，杀菌后物料经循环冷却水迅速冷却至室温。该过程无污染物产生。</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jc w:val="both"/>
              <w:textAlignment w:val="auto"/>
              <w:rPr>
                <w:rFonts w:hint="eastAsia" w:ascii="Times New Roman" w:hAnsi="Times New Roman" w:cs="Times New Roman"/>
                <w:b w:val="0"/>
                <w:bCs/>
                <w:color w:val="auto"/>
                <w:sz w:val="21"/>
                <w:szCs w:val="21"/>
                <w:highlight w:val="none"/>
                <w:lang w:val="en-US" w:eastAsia="zh-CN"/>
              </w:rPr>
            </w:pPr>
            <w:r>
              <w:rPr>
                <w:rFonts w:hint="eastAsia" w:ascii="Times New Roman" w:hAnsi="Times New Roman" w:cs="Times New Roman"/>
                <w:b w:val="0"/>
                <w:bCs/>
                <w:color w:val="auto"/>
                <w:sz w:val="21"/>
                <w:szCs w:val="21"/>
                <w:highlight w:val="none"/>
                <w:lang w:val="en-US" w:eastAsia="zh-CN"/>
              </w:rPr>
              <w:t>⑥灌装</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jc w:val="both"/>
              <w:textAlignment w:val="auto"/>
              <w:rPr>
                <w:rFonts w:hint="default" w:ascii="Times New Roman" w:hAnsi="Times New Roman" w:cs="Times New Roman"/>
                <w:b w:val="0"/>
                <w:bCs/>
                <w:color w:val="auto"/>
                <w:sz w:val="21"/>
                <w:szCs w:val="21"/>
                <w:highlight w:val="none"/>
                <w:lang w:val="en-US" w:eastAsia="zh-CN"/>
              </w:rPr>
            </w:pPr>
            <w:r>
              <w:rPr>
                <w:rFonts w:hint="eastAsia" w:ascii="Times New Roman" w:hAnsi="Times New Roman" w:cs="Times New Roman"/>
                <w:b w:val="0"/>
                <w:bCs/>
                <w:color w:val="auto"/>
                <w:sz w:val="21"/>
                <w:szCs w:val="21"/>
                <w:highlight w:val="none"/>
                <w:lang w:val="en-US" w:eastAsia="zh-CN"/>
              </w:rPr>
              <w:t>项目灌装工序采用无菌灌装模式，使用自制PET瓶进行灌装。灭菌后冷却至常温的果汁料液经无菌密闭管道输送至无菌灌装机进料端，灌装机根据产品预设规格自动调整灌装参数，通过定量灌装阀将果汁精准注入空瓶内，灌装过程控制灌装速度均匀（避免产生泡沫导致充装量偏差），确保每瓶饮料充装量误差控制在±2%以内，充装量均匀准确。灌装完成后，空瓶立即进入旋盖工位，由自动旋盖机将无菌瓶盖旋紧，旋盖扭矩自动校准，确保密封严密，防止产品储存过程中漏气、变质；旋盖完成后，经输送线送入下一品检工序。灌装过程无污染物产生。</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jc w:val="both"/>
              <w:textAlignment w:val="auto"/>
              <w:rPr>
                <w:rFonts w:hint="eastAsia" w:ascii="Times New Roman" w:hAnsi="Times New Roman" w:cs="Times New Roman"/>
                <w:b w:val="0"/>
                <w:bCs/>
                <w:color w:val="auto"/>
                <w:sz w:val="21"/>
                <w:szCs w:val="21"/>
                <w:highlight w:val="none"/>
                <w:lang w:val="en-US" w:eastAsia="zh-CN"/>
              </w:rPr>
            </w:pPr>
            <w:r>
              <w:rPr>
                <w:rFonts w:hint="eastAsia" w:ascii="Times New Roman" w:hAnsi="Times New Roman" w:cs="Times New Roman"/>
                <w:b w:val="0"/>
                <w:bCs/>
                <w:color w:val="auto"/>
                <w:sz w:val="21"/>
                <w:szCs w:val="21"/>
                <w:highlight w:val="none"/>
                <w:lang w:val="en-US" w:eastAsia="zh-CN"/>
              </w:rPr>
              <w:t>⑦品检</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jc w:val="both"/>
              <w:textAlignment w:val="auto"/>
              <w:rPr>
                <w:rFonts w:hint="eastAsia" w:ascii="Times New Roman" w:hAnsi="Times New Roman" w:cs="Times New Roman"/>
                <w:b w:val="0"/>
                <w:bCs/>
                <w:color w:val="auto"/>
                <w:sz w:val="21"/>
                <w:szCs w:val="21"/>
                <w:highlight w:val="none"/>
                <w:lang w:val="en-US" w:eastAsia="zh-CN"/>
              </w:rPr>
            </w:pPr>
            <w:r>
              <w:rPr>
                <w:rFonts w:hint="eastAsia" w:ascii="Times New Roman" w:hAnsi="Times New Roman" w:cs="Times New Roman"/>
                <w:b w:val="0"/>
                <w:bCs/>
                <w:color w:val="auto"/>
                <w:sz w:val="21"/>
                <w:szCs w:val="21"/>
                <w:highlight w:val="none"/>
                <w:lang w:val="en-US" w:eastAsia="zh-CN"/>
              </w:rPr>
              <w:t>经灌装、旋盖后的饮料瓶，由输送线连续送入视觉检测机，检测机通过高清摄像头捕捉瓶身、瓶盖及瓶内果汁的图像信息，自动识别不合格产品，具体检测指标包括：灌装量偏差超标、瓶盖未旋紧、瓶盖歪斜、瓶内有明显气泡（影响产品稳定性）等；对于视觉检测机识别的不合格产品，设备自动触发剔除装置，将其推送至不合格品收集箱，进行单独存放。</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2" w:firstLineChars="200"/>
              <w:jc w:val="both"/>
              <w:textAlignment w:val="auto"/>
              <w:rPr>
                <w:rFonts w:hint="default" w:ascii="Times New Roman" w:hAnsi="Times New Roman" w:cs="Times New Roman"/>
                <w:b/>
                <w:bCs w:val="0"/>
                <w:color w:val="auto"/>
                <w:sz w:val="21"/>
                <w:szCs w:val="21"/>
                <w:highlight w:val="none"/>
                <w:lang w:val="en-US" w:eastAsia="zh-CN"/>
              </w:rPr>
            </w:pPr>
            <w:r>
              <w:rPr>
                <w:rFonts w:hint="eastAsia" w:ascii="Times New Roman" w:hAnsi="Times New Roman" w:cs="Times New Roman"/>
                <w:b/>
                <w:bCs w:val="0"/>
                <w:color w:val="auto"/>
                <w:sz w:val="21"/>
                <w:szCs w:val="21"/>
                <w:highlight w:val="none"/>
                <w:lang w:val="en-US" w:eastAsia="zh-CN"/>
              </w:rPr>
              <w:t>产污环节：品检过程产生不合格品</w:t>
            </w:r>
            <w:r>
              <w:rPr>
                <w:rFonts w:hint="eastAsia" w:cs="Times New Roman"/>
                <w:b/>
                <w:bCs w:val="0"/>
                <w:color w:val="auto"/>
                <w:sz w:val="21"/>
                <w:szCs w:val="21"/>
                <w:highlight w:val="none"/>
                <w:lang w:val="en-US" w:eastAsia="zh-CN"/>
              </w:rPr>
              <w:t>，不合格品经过滤后消毒杀菌重新灌装，不外排</w:t>
            </w:r>
            <w:r>
              <w:rPr>
                <w:rFonts w:hint="eastAsia" w:ascii="Times New Roman" w:hAnsi="Times New Roman" w:cs="Times New Roman"/>
                <w:b/>
                <w:bCs w:val="0"/>
                <w:color w:val="auto"/>
                <w:sz w:val="21"/>
                <w:szCs w:val="21"/>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jc w:val="both"/>
              <w:textAlignment w:val="auto"/>
              <w:rPr>
                <w:rFonts w:hint="eastAsia" w:ascii="Times New Roman" w:hAnsi="Times New Roman" w:cs="Times New Roman"/>
                <w:b w:val="0"/>
                <w:bCs/>
                <w:color w:val="auto"/>
                <w:sz w:val="21"/>
                <w:szCs w:val="21"/>
                <w:highlight w:val="none"/>
                <w:lang w:val="en-US" w:eastAsia="zh-CN"/>
              </w:rPr>
            </w:pPr>
            <w:r>
              <w:rPr>
                <w:rFonts w:hint="eastAsia" w:ascii="Times New Roman" w:hAnsi="Times New Roman" w:cs="Times New Roman"/>
                <w:b w:val="0"/>
                <w:bCs/>
                <w:color w:val="auto"/>
                <w:sz w:val="21"/>
                <w:szCs w:val="21"/>
                <w:highlight w:val="none"/>
                <w:lang w:val="en-US" w:eastAsia="zh-CN"/>
              </w:rPr>
              <w:t>⑧激光喷码、贴标</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jc w:val="both"/>
              <w:textAlignment w:val="auto"/>
              <w:rPr>
                <w:rFonts w:hint="default" w:ascii="Times New Roman" w:hAnsi="Times New Roman" w:cs="Times New Roman"/>
                <w:b w:val="0"/>
                <w:bCs/>
                <w:color w:val="auto"/>
                <w:sz w:val="21"/>
                <w:szCs w:val="21"/>
                <w:highlight w:val="none"/>
                <w:lang w:val="en-US" w:eastAsia="zh-CN"/>
              </w:rPr>
            </w:pPr>
            <w:r>
              <w:rPr>
                <w:rFonts w:hint="default" w:ascii="Times New Roman" w:hAnsi="Times New Roman" w:cs="Times New Roman"/>
                <w:b w:val="0"/>
                <w:bCs/>
                <w:color w:val="auto"/>
                <w:sz w:val="21"/>
                <w:szCs w:val="21"/>
                <w:highlight w:val="none"/>
                <w:lang w:val="en-US" w:eastAsia="zh-CN"/>
              </w:rPr>
              <w:t>经品检合格的</w:t>
            </w:r>
            <w:r>
              <w:rPr>
                <w:rFonts w:hint="eastAsia" w:ascii="Times New Roman" w:hAnsi="Times New Roman" w:cs="Times New Roman"/>
                <w:b w:val="0"/>
                <w:bCs/>
                <w:color w:val="auto"/>
                <w:sz w:val="21"/>
                <w:szCs w:val="21"/>
                <w:highlight w:val="none"/>
                <w:lang w:val="en-US" w:eastAsia="zh-CN"/>
              </w:rPr>
              <w:t>饮料</w:t>
            </w:r>
            <w:r>
              <w:rPr>
                <w:rFonts w:hint="default" w:ascii="Times New Roman" w:hAnsi="Times New Roman" w:cs="Times New Roman"/>
                <w:b w:val="0"/>
                <w:bCs/>
                <w:color w:val="auto"/>
                <w:sz w:val="21"/>
                <w:szCs w:val="21"/>
                <w:highlight w:val="none"/>
                <w:lang w:val="en-US" w:eastAsia="zh-CN"/>
              </w:rPr>
              <w:t>瓶，由输送线匀速送入激光喷码机工位，输送线速度与喷码机喷码速度自动同步，确保喷码位置准确。喷码前，喷码机自动调试喷码清晰度、字体大小，确认无误后，利用激光的高温灼烧效应，在瓶身/瓶盖表面形成清晰、永久的喷码标识，喷码无模糊、无漏喷、无错喷，喷码完成后，通过输送线送入下一道贴标工序。</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jc w:val="both"/>
              <w:textAlignment w:val="auto"/>
              <w:rPr>
                <w:rFonts w:hint="default" w:ascii="Times New Roman" w:hAnsi="Times New Roman" w:cs="Times New Roman"/>
                <w:b w:val="0"/>
                <w:bCs/>
                <w:color w:val="auto"/>
                <w:sz w:val="21"/>
                <w:szCs w:val="21"/>
                <w:highlight w:val="none"/>
                <w:lang w:val="en-US" w:eastAsia="zh-CN"/>
              </w:rPr>
            </w:pPr>
            <w:r>
              <w:rPr>
                <w:rFonts w:hint="default" w:ascii="Times New Roman" w:hAnsi="Times New Roman" w:cs="Times New Roman"/>
                <w:b w:val="0"/>
                <w:bCs/>
                <w:color w:val="auto"/>
                <w:sz w:val="21"/>
                <w:szCs w:val="21"/>
                <w:highlight w:val="none"/>
                <w:lang w:val="en-US" w:eastAsia="zh-CN"/>
              </w:rPr>
              <w:t>经激光喷码的</w:t>
            </w:r>
            <w:r>
              <w:rPr>
                <w:rFonts w:hint="eastAsia" w:ascii="Times New Roman" w:hAnsi="Times New Roman" w:cs="Times New Roman"/>
                <w:b w:val="0"/>
                <w:bCs/>
                <w:color w:val="auto"/>
                <w:sz w:val="21"/>
                <w:szCs w:val="21"/>
                <w:highlight w:val="none"/>
                <w:lang w:val="en-US" w:eastAsia="zh-CN"/>
              </w:rPr>
              <w:t>饮料</w:t>
            </w:r>
            <w:r>
              <w:rPr>
                <w:rFonts w:hint="default" w:ascii="Times New Roman" w:hAnsi="Times New Roman" w:cs="Times New Roman"/>
                <w:b w:val="0"/>
                <w:bCs/>
                <w:color w:val="auto"/>
                <w:sz w:val="21"/>
                <w:szCs w:val="21"/>
                <w:highlight w:val="none"/>
                <w:lang w:val="en-US" w:eastAsia="zh-CN"/>
              </w:rPr>
              <w:t>瓶，由输送线送入套标机工位，套标机自动将标签从标签仓拉出，套在瓶身指定位置，套标完成后，</w:t>
            </w:r>
            <w:r>
              <w:rPr>
                <w:rFonts w:hint="eastAsia" w:ascii="Times New Roman" w:hAnsi="Times New Roman" w:cs="Times New Roman"/>
                <w:b w:val="0"/>
                <w:bCs/>
                <w:color w:val="auto"/>
                <w:sz w:val="21"/>
                <w:szCs w:val="21"/>
                <w:highlight w:val="none"/>
                <w:lang w:val="en-US" w:eastAsia="zh-CN"/>
              </w:rPr>
              <w:t>饮料</w:t>
            </w:r>
            <w:r>
              <w:rPr>
                <w:rFonts w:hint="default" w:ascii="Times New Roman" w:hAnsi="Times New Roman" w:cs="Times New Roman"/>
                <w:b w:val="0"/>
                <w:bCs/>
                <w:color w:val="auto"/>
                <w:sz w:val="21"/>
                <w:szCs w:val="21"/>
                <w:highlight w:val="none"/>
                <w:lang w:val="en-US" w:eastAsia="zh-CN"/>
              </w:rPr>
              <w:t>瓶进入热收缩通道。</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jc w:val="both"/>
              <w:textAlignment w:val="auto"/>
              <w:rPr>
                <w:rFonts w:hint="default" w:ascii="Times New Roman" w:hAnsi="Times New Roman" w:cs="Times New Roman"/>
                <w:b w:val="0"/>
                <w:bCs/>
                <w:color w:val="auto"/>
                <w:sz w:val="21"/>
                <w:szCs w:val="21"/>
                <w:highlight w:val="none"/>
                <w:lang w:val="en-US" w:eastAsia="zh-CN"/>
              </w:rPr>
            </w:pPr>
            <w:r>
              <w:rPr>
                <w:rFonts w:hint="default" w:ascii="Times New Roman" w:hAnsi="Times New Roman" w:cs="Times New Roman"/>
                <w:b w:val="0"/>
                <w:bCs/>
                <w:color w:val="auto"/>
                <w:sz w:val="21"/>
                <w:szCs w:val="21"/>
                <w:highlight w:val="none"/>
                <w:lang w:val="en-US" w:eastAsia="zh-CN"/>
              </w:rPr>
              <w:t>热收缩通道采用电加热方式，预设热收缩温度为80～100℃，</w:t>
            </w:r>
            <w:r>
              <w:rPr>
                <w:rFonts w:hint="eastAsia" w:ascii="Times New Roman" w:hAnsi="Times New Roman" w:cs="Times New Roman"/>
                <w:b w:val="0"/>
                <w:bCs/>
                <w:color w:val="auto"/>
                <w:sz w:val="21"/>
                <w:szCs w:val="21"/>
                <w:highlight w:val="none"/>
                <w:lang w:val="en-US" w:eastAsia="zh-CN"/>
              </w:rPr>
              <w:t>饮料</w:t>
            </w:r>
            <w:r>
              <w:rPr>
                <w:rFonts w:hint="default" w:ascii="Times New Roman" w:hAnsi="Times New Roman" w:cs="Times New Roman"/>
                <w:b w:val="0"/>
                <w:bCs/>
                <w:color w:val="auto"/>
                <w:sz w:val="21"/>
                <w:szCs w:val="21"/>
                <w:highlight w:val="none"/>
                <w:lang w:val="en-US" w:eastAsia="zh-CN"/>
              </w:rPr>
              <w:t>瓶匀速通过热收缩通道，标签在高温作用下快速收缩，紧密贴合在瓶身表面，确保标签规整、无气泡、无褶皱、不易脱落</w:t>
            </w:r>
            <w:r>
              <w:rPr>
                <w:rFonts w:hint="eastAsia" w:ascii="Times New Roman" w:hAnsi="Times New Roman" w:cs="Times New Roman"/>
                <w:b w:val="0"/>
                <w:bCs/>
                <w:color w:val="auto"/>
                <w:sz w:val="21"/>
                <w:szCs w:val="21"/>
                <w:highlight w:val="none"/>
                <w:lang w:val="en-US" w:eastAsia="zh-CN"/>
              </w:rPr>
              <w:t>，贴标后产品下一道灯检工序</w:t>
            </w:r>
            <w:r>
              <w:rPr>
                <w:rFonts w:hint="default" w:ascii="Times New Roman" w:hAnsi="Times New Roman" w:cs="Times New Roman"/>
                <w:b w:val="0"/>
                <w:bCs/>
                <w:color w:val="auto"/>
                <w:sz w:val="21"/>
                <w:szCs w:val="21"/>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jc w:val="both"/>
              <w:textAlignment w:val="auto"/>
              <w:rPr>
                <w:rFonts w:hint="eastAsia" w:ascii="Times New Roman" w:hAnsi="Times New Roman" w:cs="Times New Roman"/>
                <w:b w:val="0"/>
                <w:bCs/>
                <w:color w:val="auto"/>
                <w:sz w:val="21"/>
                <w:szCs w:val="21"/>
                <w:highlight w:val="none"/>
                <w:lang w:val="en-US" w:eastAsia="zh-CN"/>
              </w:rPr>
            </w:pPr>
            <w:r>
              <w:rPr>
                <w:rFonts w:hint="eastAsia" w:ascii="Times New Roman" w:hAnsi="Times New Roman" w:cs="Times New Roman"/>
                <w:b w:val="0"/>
                <w:bCs/>
                <w:color w:val="auto"/>
                <w:sz w:val="21"/>
                <w:szCs w:val="21"/>
                <w:highlight w:val="none"/>
                <w:lang w:val="en-US" w:eastAsia="zh-CN"/>
              </w:rPr>
              <w:t>⑨灯检</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jc w:val="both"/>
              <w:textAlignment w:val="auto"/>
              <w:rPr>
                <w:rFonts w:hint="eastAsia" w:ascii="Times New Roman" w:hAnsi="Times New Roman" w:cs="Times New Roman"/>
                <w:b w:val="0"/>
                <w:bCs/>
                <w:color w:val="auto"/>
                <w:sz w:val="21"/>
                <w:szCs w:val="21"/>
                <w:highlight w:val="none"/>
                <w:lang w:val="en-US" w:eastAsia="zh-CN"/>
              </w:rPr>
            </w:pPr>
            <w:r>
              <w:rPr>
                <w:rFonts w:hint="default" w:ascii="Times New Roman" w:hAnsi="Times New Roman" w:cs="Times New Roman"/>
                <w:b w:val="0"/>
                <w:bCs/>
                <w:color w:val="auto"/>
                <w:sz w:val="21"/>
                <w:szCs w:val="21"/>
                <w:highlight w:val="none"/>
                <w:lang w:val="en-US" w:eastAsia="zh-CN"/>
              </w:rPr>
              <w:t>经贴标</w:t>
            </w:r>
            <w:r>
              <w:rPr>
                <w:rFonts w:hint="eastAsia" w:ascii="Times New Roman" w:hAnsi="Times New Roman" w:cs="Times New Roman"/>
                <w:b w:val="0"/>
                <w:bCs/>
                <w:color w:val="auto"/>
                <w:sz w:val="21"/>
                <w:szCs w:val="21"/>
                <w:highlight w:val="none"/>
                <w:lang w:val="en-US" w:eastAsia="zh-CN"/>
              </w:rPr>
              <w:t>饮料</w:t>
            </w:r>
            <w:r>
              <w:rPr>
                <w:rFonts w:hint="default" w:ascii="Times New Roman" w:hAnsi="Times New Roman" w:cs="Times New Roman"/>
                <w:b w:val="0"/>
                <w:bCs/>
                <w:color w:val="auto"/>
                <w:sz w:val="21"/>
                <w:szCs w:val="21"/>
                <w:highlight w:val="none"/>
                <w:lang w:val="en-US" w:eastAsia="zh-CN"/>
              </w:rPr>
              <w:t>瓶由输送线送入灯检工位，操作人员坐在灯检台前，逐一对每瓶</w:t>
            </w:r>
            <w:r>
              <w:rPr>
                <w:rFonts w:hint="eastAsia" w:ascii="Times New Roman" w:hAnsi="Times New Roman" w:cs="Times New Roman"/>
                <w:b w:val="0"/>
                <w:bCs/>
                <w:color w:val="auto"/>
                <w:sz w:val="21"/>
                <w:szCs w:val="21"/>
                <w:highlight w:val="none"/>
                <w:lang w:val="en-US" w:eastAsia="zh-CN"/>
              </w:rPr>
              <w:t>饮料</w:t>
            </w:r>
            <w:r>
              <w:rPr>
                <w:rFonts w:hint="default" w:ascii="Times New Roman" w:hAnsi="Times New Roman" w:cs="Times New Roman"/>
                <w:b w:val="0"/>
                <w:bCs/>
                <w:color w:val="auto"/>
                <w:sz w:val="21"/>
                <w:szCs w:val="21"/>
                <w:highlight w:val="none"/>
                <w:lang w:val="en-US" w:eastAsia="zh-CN"/>
              </w:rPr>
              <w:t>进行人工检测，具体检测指标包括：瓶内</w:t>
            </w:r>
            <w:r>
              <w:rPr>
                <w:rFonts w:hint="eastAsia" w:ascii="Times New Roman" w:hAnsi="Times New Roman" w:cs="Times New Roman"/>
                <w:b w:val="0"/>
                <w:bCs/>
                <w:color w:val="auto"/>
                <w:sz w:val="21"/>
                <w:szCs w:val="21"/>
                <w:highlight w:val="none"/>
                <w:lang w:val="en-US" w:eastAsia="zh-CN"/>
              </w:rPr>
              <w:t>饮料</w:t>
            </w:r>
            <w:r>
              <w:rPr>
                <w:rFonts w:hint="default" w:ascii="Times New Roman" w:hAnsi="Times New Roman" w:cs="Times New Roman"/>
                <w:b w:val="0"/>
                <w:bCs/>
                <w:color w:val="auto"/>
                <w:sz w:val="21"/>
                <w:szCs w:val="21"/>
                <w:highlight w:val="none"/>
                <w:lang w:val="en-US" w:eastAsia="zh-CN"/>
              </w:rPr>
              <w:t>液位是否准确（符合灌装规格）、瓶内是否存在异物（如微小杂质、毛发、沉淀等）、瓶身喷码是否完整清晰（无漏喷、错喷、模糊）、瓶身标签是否规整牢固（无褶皱、脱落、歪斜）、瓶身及瓶盖是否破损、密封是否严密等。</w:t>
            </w:r>
            <w:r>
              <w:rPr>
                <w:rFonts w:hint="eastAsia" w:ascii="Times New Roman" w:hAnsi="Times New Roman" w:cs="Times New Roman"/>
                <w:b w:val="0"/>
                <w:bCs/>
                <w:color w:val="auto"/>
                <w:sz w:val="21"/>
                <w:szCs w:val="21"/>
                <w:highlight w:val="none"/>
                <w:lang w:val="en-US" w:eastAsia="zh-CN"/>
              </w:rPr>
              <w:t>检测过程中，发现不合格产品，立即将其从输送线上取出，送入不合格品收集箱，进行集中处置；合格产品则放入合格产品输送线，送入下一道包装工序。</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2" w:firstLineChars="200"/>
              <w:jc w:val="both"/>
              <w:textAlignment w:val="auto"/>
              <w:rPr>
                <w:rFonts w:hint="eastAsia" w:ascii="Times New Roman" w:hAnsi="Times New Roman" w:cs="Times New Roman"/>
                <w:b w:val="0"/>
                <w:bCs/>
                <w:color w:val="auto"/>
                <w:sz w:val="21"/>
                <w:szCs w:val="21"/>
                <w:highlight w:val="none"/>
                <w:lang w:val="en-US" w:eastAsia="zh-CN"/>
              </w:rPr>
            </w:pPr>
            <w:r>
              <w:rPr>
                <w:rFonts w:hint="eastAsia" w:ascii="Times New Roman" w:hAnsi="Times New Roman" w:cs="Times New Roman"/>
                <w:b/>
                <w:bCs w:val="0"/>
                <w:color w:val="auto"/>
                <w:sz w:val="21"/>
                <w:szCs w:val="21"/>
                <w:highlight w:val="none"/>
                <w:lang w:val="en-US" w:eastAsia="zh-CN"/>
              </w:rPr>
              <w:t>产污环节：灯检过程产生不合格品</w:t>
            </w:r>
            <w:r>
              <w:rPr>
                <w:rFonts w:hint="eastAsia" w:cs="Times New Roman"/>
                <w:b/>
                <w:bCs w:val="0"/>
                <w:color w:val="auto"/>
                <w:sz w:val="21"/>
                <w:szCs w:val="21"/>
                <w:highlight w:val="none"/>
                <w:lang w:val="en-US" w:eastAsia="zh-CN"/>
              </w:rPr>
              <w:t>，不合格品经过滤后消毒杀菌重新灌装，不外排</w:t>
            </w:r>
            <w:r>
              <w:rPr>
                <w:rFonts w:hint="eastAsia" w:ascii="Times New Roman" w:hAnsi="Times New Roman" w:cs="Times New Roman"/>
                <w:b/>
                <w:bCs w:val="0"/>
                <w:color w:val="auto"/>
                <w:sz w:val="21"/>
                <w:szCs w:val="21"/>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jc w:val="both"/>
              <w:textAlignment w:val="auto"/>
              <w:rPr>
                <w:rFonts w:hint="eastAsia" w:ascii="Times New Roman" w:hAnsi="Times New Roman" w:cs="Times New Roman"/>
                <w:b w:val="0"/>
                <w:bCs/>
                <w:color w:val="auto"/>
                <w:sz w:val="21"/>
                <w:szCs w:val="21"/>
                <w:highlight w:val="none"/>
                <w:lang w:val="en-US" w:eastAsia="zh-CN"/>
              </w:rPr>
            </w:pPr>
            <w:r>
              <w:rPr>
                <w:rFonts w:hint="eastAsia" w:ascii="Times New Roman" w:hAnsi="Times New Roman" w:cs="Times New Roman"/>
                <w:b w:val="0"/>
                <w:bCs/>
                <w:color w:val="auto"/>
                <w:sz w:val="21"/>
                <w:szCs w:val="21"/>
                <w:highlight w:val="none"/>
                <w:lang w:val="en-US" w:eastAsia="zh-CN"/>
              </w:rPr>
              <w:t>⑩包装</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jc w:val="both"/>
              <w:textAlignment w:val="auto"/>
              <w:rPr>
                <w:rFonts w:hint="default" w:ascii="Times New Roman" w:hAnsi="Times New Roman" w:cs="Times New Roman"/>
                <w:b w:val="0"/>
                <w:bCs/>
                <w:color w:val="auto"/>
                <w:sz w:val="21"/>
                <w:szCs w:val="21"/>
                <w:highlight w:val="none"/>
                <w:lang w:val="en-US" w:eastAsia="zh-CN"/>
              </w:rPr>
            </w:pPr>
            <w:r>
              <w:rPr>
                <w:rFonts w:hint="default" w:ascii="Times New Roman" w:hAnsi="Times New Roman" w:cs="Times New Roman"/>
                <w:b w:val="0"/>
                <w:bCs/>
                <w:color w:val="auto"/>
                <w:sz w:val="21"/>
                <w:szCs w:val="21"/>
                <w:highlight w:val="none"/>
                <w:lang w:val="en-US" w:eastAsia="zh-CN"/>
              </w:rPr>
              <w:t>经灯检合格的成品</w:t>
            </w:r>
            <w:r>
              <w:rPr>
                <w:rFonts w:hint="eastAsia" w:ascii="Times New Roman" w:hAnsi="Times New Roman" w:cs="Times New Roman"/>
                <w:b w:val="0"/>
                <w:bCs/>
                <w:color w:val="auto"/>
                <w:sz w:val="21"/>
                <w:szCs w:val="21"/>
                <w:highlight w:val="none"/>
                <w:lang w:val="en-US" w:eastAsia="zh-CN"/>
              </w:rPr>
              <w:t>饮料</w:t>
            </w:r>
            <w:r>
              <w:rPr>
                <w:rFonts w:hint="default" w:ascii="Times New Roman" w:hAnsi="Times New Roman" w:cs="Times New Roman"/>
                <w:b w:val="0"/>
                <w:bCs/>
                <w:color w:val="auto"/>
                <w:sz w:val="21"/>
                <w:szCs w:val="21"/>
                <w:highlight w:val="none"/>
                <w:lang w:val="en-US" w:eastAsia="zh-CN"/>
              </w:rPr>
              <w:t>瓶，由输送线送入包装机工位，包装机根据预设规格，自动将塑封膜拉伸、包裹在成品</w:t>
            </w:r>
            <w:r>
              <w:rPr>
                <w:rFonts w:hint="eastAsia" w:ascii="Times New Roman" w:hAnsi="Times New Roman" w:cs="Times New Roman"/>
                <w:b w:val="0"/>
                <w:bCs/>
                <w:color w:val="auto"/>
                <w:sz w:val="21"/>
                <w:szCs w:val="21"/>
                <w:highlight w:val="none"/>
                <w:lang w:val="en-US" w:eastAsia="zh-CN"/>
              </w:rPr>
              <w:t>饮料</w:t>
            </w:r>
            <w:r>
              <w:rPr>
                <w:rFonts w:hint="default" w:ascii="Times New Roman" w:hAnsi="Times New Roman" w:cs="Times New Roman"/>
                <w:b w:val="0"/>
                <w:bCs/>
                <w:color w:val="auto"/>
                <w:sz w:val="21"/>
                <w:szCs w:val="21"/>
                <w:highlight w:val="none"/>
                <w:lang w:val="en-US" w:eastAsia="zh-CN"/>
              </w:rPr>
              <w:t>瓶表面，形成完整的包装膜套。包裹塑封膜后的成品，送入包装机的热收缩区域，通过电加热方式对塑封膜进行加热，塑封膜在高温作用下快速收缩，紧紧包裹在成品表面，形成平整、牢固、密封的包装，确保包装后产品不易破损、不易受潮；热收缩完成后，包装机自动裁剪多余的塑封膜边角料，成品经输送线送出，人工将包装好的产品整理、码放至托盘，送入成品仓库储存</w:t>
            </w:r>
            <w:r>
              <w:rPr>
                <w:rFonts w:hint="eastAsia" w:ascii="Times New Roman" w:hAnsi="Times New Roman" w:cs="Times New Roman"/>
                <w:b w:val="0"/>
                <w:bCs/>
                <w:color w:val="auto"/>
                <w:sz w:val="21"/>
                <w:szCs w:val="21"/>
                <w:highlight w:val="none"/>
                <w:lang w:val="en-US" w:eastAsia="zh-CN"/>
              </w:rPr>
              <w:t>待售</w:t>
            </w:r>
            <w:r>
              <w:rPr>
                <w:rFonts w:hint="default" w:ascii="Times New Roman" w:hAnsi="Times New Roman" w:cs="Times New Roman"/>
                <w:b w:val="0"/>
                <w:bCs/>
                <w:color w:val="auto"/>
                <w:sz w:val="21"/>
                <w:szCs w:val="21"/>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2" w:firstLineChars="200"/>
              <w:jc w:val="both"/>
              <w:textAlignment w:val="auto"/>
              <w:rPr>
                <w:rFonts w:hint="eastAsia" w:ascii="Times New Roman" w:hAnsi="Times New Roman" w:cs="Times New Roman"/>
                <w:b/>
                <w:bCs w:val="0"/>
                <w:color w:val="auto"/>
                <w:sz w:val="21"/>
                <w:szCs w:val="21"/>
                <w:highlight w:val="none"/>
                <w:lang w:val="en-US" w:eastAsia="zh-CN"/>
              </w:rPr>
            </w:pPr>
            <w:r>
              <w:rPr>
                <w:rFonts w:hint="eastAsia" w:ascii="Times New Roman" w:hAnsi="Times New Roman" w:cs="Times New Roman"/>
                <w:b/>
                <w:bCs w:val="0"/>
                <w:color w:val="auto"/>
                <w:sz w:val="21"/>
                <w:szCs w:val="21"/>
                <w:highlight w:val="none"/>
                <w:lang w:val="en-US" w:eastAsia="zh-CN"/>
              </w:rPr>
              <w:t>产污环节：包装过程中产生包装</w:t>
            </w:r>
            <w:r>
              <w:rPr>
                <w:rFonts w:hint="eastAsia" w:cs="Times New Roman"/>
                <w:b/>
                <w:bCs w:val="0"/>
                <w:color w:val="auto"/>
                <w:sz w:val="21"/>
                <w:szCs w:val="21"/>
                <w:highlight w:val="none"/>
                <w:lang w:val="en-US" w:eastAsia="zh-CN"/>
              </w:rPr>
              <w:t>缩膜</w:t>
            </w:r>
            <w:r>
              <w:rPr>
                <w:rFonts w:hint="eastAsia" w:ascii="Times New Roman" w:hAnsi="Times New Roman" w:cs="Times New Roman"/>
                <w:b/>
                <w:bCs w:val="0"/>
                <w:color w:val="auto"/>
                <w:sz w:val="21"/>
                <w:szCs w:val="21"/>
                <w:highlight w:val="none"/>
                <w:lang w:val="en-US" w:eastAsia="zh-CN"/>
              </w:rPr>
              <w:t>废气，</w:t>
            </w:r>
            <w:r>
              <w:rPr>
                <w:rFonts w:hint="eastAsia" w:cs="Times New Roman"/>
                <w:b/>
                <w:bCs w:val="0"/>
                <w:color w:val="auto"/>
                <w:sz w:val="21"/>
                <w:szCs w:val="21"/>
                <w:highlight w:val="none"/>
                <w:lang w:val="en-US" w:eastAsia="zh-CN"/>
              </w:rPr>
              <w:t>经设备上方集气罩收集后经二级活性炭吸附装置处理后经15m排气筒排放；</w:t>
            </w:r>
            <w:r>
              <w:rPr>
                <w:rFonts w:hint="eastAsia" w:ascii="Times New Roman" w:hAnsi="Times New Roman" w:cs="Times New Roman"/>
                <w:b/>
                <w:bCs w:val="0"/>
                <w:color w:val="auto"/>
                <w:sz w:val="21"/>
                <w:szCs w:val="21"/>
                <w:highlight w:val="none"/>
                <w:lang w:val="en-US" w:eastAsia="zh-CN"/>
              </w:rPr>
              <w:t>塑封膜裁剪过程中产生废塑封膜边角料</w:t>
            </w:r>
            <w:r>
              <w:rPr>
                <w:rFonts w:hint="eastAsia" w:cs="Times New Roman"/>
                <w:b/>
                <w:bCs w:val="0"/>
                <w:color w:val="auto"/>
                <w:sz w:val="21"/>
                <w:szCs w:val="21"/>
                <w:highlight w:val="none"/>
                <w:lang w:val="en-US" w:eastAsia="zh-CN"/>
              </w:rPr>
              <w:t>，收集后定期外售至物资回收公司回收利用</w:t>
            </w:r>
            <w:r>
              <w:rPr>
                <w:rFonts w:hint="eastAsia" w:ascii="Times New Roman" w:hAnsi="Times New Roman" w:cs="Times New Roman"/>
                <w:b/>
                <w:bCs w:val="0"/>
                <w:color w:val="auto"/>
                <w:sz w:val="21"/>
                <w:szCs w:val="21"/>
                <w:highlight w:val="none"/>
                <w:lang w:val="en-US" w:eastAsia="zh-CN"/>
              </w:rPr>
              <w:t>。</w:t>
            </w:r>
          </w:p>
          <w:p>
            <w:pPr>
              <w:keepNext w:val="0"/>
              <w:keepLines w:val="0"/>
              <w:suppressLineNumbers w:val="0"/>
              <w:spacing w:before="0" w:beforeAutospacing="0" w:after="0" w:afterAutospacing="0" w:line="360" w:lineRule="auto"/>
              <w:ind w:left="0" w:right="0" w:firstLine="422" w:firstLineChars="200"/>
              <w:rPr>
                <w:rFonts w:hint="default" w:ascii="Times New Roman" w:hAnsi="Times New Roman" w:cs="Times New Roman"/>
                <w:b/>
                <w:bCs/>
                <w:color w:val="auto"/>
                <w:sz w:val="21"/>
                <w:szCs w:val="21"/>
                <w:highlight w:val="none"/>
                <w:lang w:val="en-US" w:eastAsia="zh-CN"/>
              </w:rPr>
            </w:pPr>
            <w:r>
              <w:rPr>
                <w:rFonts w:hint="eastAsia" w:cs="Times New Roman"/>
                <w:b/>
                <w:bCs/>
                <w:color w:val="auto"/>
                <w:sz w:val="21"/>
                <w:szCs w:val="21"/>
                <w:highlight w:val="none"/>
                <w:lang w:val="en-US" w:eastAsia="zh-CN"/>
              </w:rPr>
              <w:t>（3）</w:t>
            </w:r>
            <w:r>
              <w:rPr>
                <w:rFonts w:hint="default" w:ascii="Times New Roman" w:hAnsi="Times New Roman" w:cs="Times New Roman"/>
                <w:b/>
                <w:bCs/>
                <w:color w:val="auto"/>
                <w:sz w:val="21"/>
                <w:szCs w:val="21"/>
                <w:highlight w:val="none"/>
                <w:lang w:val="en-US" w:eastAsia="zh-CN"/>
              </w:rPr>
              <w:t>碳酸饮料</w:t>
            </w:r>
          </w:p>
          <w:p>
            <w:pPr>
              <w:pStyle w:val="16"/>
              <w:spacing w:line="360" w:lineRule="auto"/>
              <w:jc w:val="center"/>
              <w:rPr>
                <w:rFonts w:hint="default" w:ascii="Times New Roman" w:hAnsi="Times New Roman" w:cs="Times New Roman"/>
                <w:b/>
                <w:bCs w:val="0"/>
                <w:color w:val="auto"/>
                <w:sz w:val="21"/>
                <w:szCs w:val="21"/>
                <w:highlight w:val="none"/>
                <w:lang w:val="en-US" w:eastAsia="zh-CN"/>
              </w:rPr>
            </w:pPr>
            <w:r>
              <w:rPr>
                <w:rFonts w:hint="eastAsia" w:ascii="Times New Roman" w:hAnsi="Times New Roman" w:cs="Times New Roman"/>
                <w:b/>
                <w:bCs w:val="0"/>
                <w:color w:val="auto"/>
                <w:sz w:val="21"/>
                <w:szCs w:val="21"/>
                <w:highlight w:val="none"/>
                <w:lang w:val="en-US" w:eastAsia="zh-CN"/>
              </w:rPr>
              <w:object>
                <v:shape id="_x0000_i1028" o:spt="75" type="#_x0000_t75" style="height:266.45pt;width:419.7pt;" o:ole="t" filled="f" o:preferrelative="t" stroked="f" coordsize="21600,21600">
                  <v:path/>
                  <v:fill on="f" focussize="0,0"/>
                  <v:stroke on="f"/>
                  <v:imagedata r:id="rId16" o:title=""/>
                  <o:lock v:ext="edit" aspectratio="t"/>
                  <w10:wrap type="none"/>
                  <w10:anchorlock/>
                </v:shape>
                <o:OLEObject Type="Embed" ProgID="Visio.Drawing.11" ShapeID="_x0000_i1028" DrawAspect="Content" ObjectID="_1468075728" r:id="rId15">
                  <o:LockedField>false</o:LockedField>
                </o:OLEObject>
              </w:object>
            </w:r>
            <w:r>
              <w:rPr>
                <w:rFonts w:hint="default" w:ascii="Times New Roman" w:hAnsi="Times New Roman" w:cs="Times New Roman"/>
                <w:b/>
                <w:bCs/>
                <w:color w:val="auto"/>
                <w:sz w:val="21"/>
                <w:szCs w:val="21"/>
                <w:highlight w:val="none"/>
                <w:lang w:val="en-US" w:eastAsia="zh-CN"/>
              </w:rPr>
              <w:t>图2-</w:t>
            </w:r>
            <w:r>
              <w:rPr>
                <w:rFonts w:hint="eastAsia" w:cs="Times New Roman"/>
                <w:b/>
                <w:bCs/>
                <w:color w:val="auto"/>
                <w:sz w:val="21"/>
                <w:szCs w:val="21"/>
                <w:highlight w:val="none"/>
                <w:lang w:val="en-US" w:eastAsia="zh-CN"/>
              </w:rPr>
              <w:t>4</w:t>
            </w:r>
            <w:r>
              <w:rPr>
                <w:rFonts w:hint="default" w:ascii="Times New Roman" w:hAnsi="Times New Roman" w:cs="Times New Roman"/>
                <w:b/>
                <w:bCs/>
                <w:color w:val="auto"/>
                <w:sz w:val="21"/>
                <w:szCs w:val="21"/>
                <w:highlight w:val="none"/>
                <w:lang w:val="en-US" w:eastAsia="zh-CN"/>
              </w:rPr>
              <w:t xml:space="preserve"> </w:t>
            </w:r>
            <w:r>
              <w:rPr>
                <w:rFonts w:hint="eastAsia" w:cs="Times New Roman"/>
                <w:b/>
                <w:bCs/>
                <w:color w:val="auto"/>
                <w:sz w:val="21"/>
                <w:szCs w:val="21"/>
                <w:highlight w:val="none"/>
                <w:lang w:val="en-US" w:eastAsia="zh-CN"/>
              </w:rPr>
              <w:t>本项目</w:t>
            </w:r>
            <w:r>
              <w:rPr>
                <w:rFonts w:hint="default" w:ascii="Times New Roman" w:hAnsi="Times New Roman" w:cs="Times New Roman"/>
                <w:b/>
                <w:bCs w:val="0"/>
                <w:color w:val="auto"/>
                <w:sz w:val="21"/>
                <w:szCs w:val="21"/>
                <w:highlight w:val="none"/>
                <w:lang w:val="en-US" w:eastAsia="zh-CN"/>
              </w:rPr>
              <w:t>碳酸饮料</w:t>
            </w:r>
            <w:r>
              <w:rPr>
                <w:rFonts w:hint="default" w:ascii="Times New Roman" w:hAnsi="Times New Roman" w:cs="Times New Roman"/>
                <w:b/>
                <w:bCs/>
                <w:color w:val="auto"/>
                <w:sz w:val="21"/>
                <w:szCs w:val="21"/>
                <w:highlight w:val="none"/>
                <w:lang w:val="en-US" w:eastAsia="zh-CN"/>
              </w:rPr>
              <w:t>生产工艺流程</w:t>
            </w:r>
            <w:r>
              <w:rPr>
                <w:rFonts w:hint="eastAsia" w:cs="Times New Roman"/>
                <w:b/>
                <w:bCs/>
                <w:color w:val="auto"/>
                <w:sz w:val="21"/>
                <w:szCs w:val="21"/>
                <w:highlight w:val="none"/>
                <w:lang w:val="en-US" w:eastAsia="zh-CN"/>
              </w:rPr>
              <w:t>及产污环节</w:t>
            </w:r>
            <w:r>
              <w:rPr>
                <w:rFonts w:hint="default" w:ascii="Times New Roman" w:hAnsi="Times New Roman" w:cs="Times New Roman"/>
                <w:b/>
                <w:bCs/>
                <w:color w:val="auto"/>
                <w:sz w:val="21"/>
                <w:szCs w:val="21"/>
                <w:highlight w:val="none"/>
                <w:lang w:val="en-US" w:eastAsia="zh-CN"/>
              </w:rPr>
              <w:t>图</w:t>
            </w:r>
          </w:p>
          <w:p>
            <w:pPr>
              <w:keepNext w:val="0"/>
              <w:keepLines w:val="0"/>
              <w:suppressLineNumbers w:val="0"/>
              <w:spacing w:before="0" w:beforeAutospacing="0" w:after="0" w:afterAutospacing="0" w:line="360" w:lineRule="auto"/>
              <w:ind w:left="0" w:right="0" w:firstLine="420" w:firstLineChars="20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本项目碳酸饮料生产以自来水为基础水源，经</w:t>
            </w:r>
            <w:r>
              <w:rPr>
                <w:rFonts w:hint="eastAsia" w:cs="Times New Roman"/>
                <w:color w:val="auto"/>
                <w:sz w:val="21"/>
                <w:szCs w:val="21"/>
                <w:highlight w:val="none"/>
                <w:lang w:val="en-US" w:eastAsia="zh-CN"/>
              </w:rPr>
              <w:t>过滤、反渗透等</w:t>
            </w:r>
            <w:r>
              <w:rPr>
                <w:rFonts w:hint="default" w:ascii="Times New Roman" w:hAnsi="Times New Roman" w:eastAsia="宋体" w:cs="Times New Roman"/>
                <w:color w:val="auto"/>
                <w:sz w:val="21"/>
                <w:szCs w:val="21"/>
                <w:highlight w:val="none"/>
                <w:lang w:val="en-US" w:eastAsia="zh-CN"/>
              </w:rPr>
              <w:t>深度处理制成纯水，</w:t>
            </w:r>
            <w:r>
              <w:rPr>
                <w:rFonts w:hint="eastAsia" w:cs="Times New Roman"/>
                <w:color w:val="auto"/>
                <w:sz w:val="21"/>
                <w:szCs w:val="21"/>
                <w:highlight w:val="none"/>
                <w:lang w:val="en-US" w:eastAsia="zh-CN"/>
              </w:rPr>
              <w:t>再</w:t>
            </w:r>
            <w:r>
              <w:rPr>
                <w:rFonts w:hint="default" w:ascii="Times New Roman" w:hAnsi="Times New Roman" w:eastAsia="宋体" w:cs="Times New Roman"/>
                <w:color w:val="auto"/>
                <w:sz w:val="21"/>
                <w:szCs w:val="21"/>
                <w:highlight w:val="none"/>
                <w:lang w:val="en-US" w:eastAsia="zh-CN"/>
              </w:rPr>
              <w:t>与白砂糖、果葡糖浆、柠檬酸等食品级原料调配，</w:t>
            </w:r>
            <w:r>
              <w:rPr>
                <w:rFonts w:hint="eastAsia" w:cs="Times New Roman"/>
                <w:color w:val="auto"/>
                <w:sz w:val="21"/>
                <w:szCs w:val="21"/>
                <w:highlight w:val="none"/>
                <w:lang w:val="en-US" w:eastAsia="zh-CN"/>
              </w:rPr>
              <w:t>随后</w:t>
            </w:r>
            <w:r>
              <w:rPr>
                <w:rFonts w:hint="default" w:ascii="Times New Roman" w:hAnsi="Times New Roman" w:eastAsia="宋体" w:cs="Times New Roman"/>
                <w:color w:val="auto"/>
                <w:sz w:val="21"/>
                <w:szCs w:val="21"/>
                <w:highlight w:val="none"/>
                <w:lang w:val="en-US" w:eastAsia="zh-CN"/>
              </w:rPr>
              <w:t>依次经过过滤、冷却、碳酸化、灌装、</w:t>
            </w:r>
            <w:r>
              <w:rPr>
                <w:rFonts w:hint="eastAsia" w:cs="Times New Roman"/>
                <w:color w:val="auto"/>
                <w:sz w:val="21"/>
                <w:szCs w:val="21"/>
                <w:highlight w:val="none"/>
                <w:lang w:val="en-US" w:eastAsia="zh-CN"/>
              </w:rPr>
              <w:t>品检、激光</w:t>
            </w:r>
            <w:r>
              <w:rPr>
                <w:rFonts w:hint="default" w:ascii="Times New Roman" w:hAnsi="Times New Roman" w:eastAsia="宋体" w:cs="Times New Roman"/>
                <w:color w:val="auto"/>
                <w:sz w:val="21"/>
                <w:szCs w:val="21"/>
                <w:highlight w:val="none"/>
                <w:lang w:val="en-US" w:eastAsia="zh-CN"/>
              </w:rPr>
              <w:t>喷码、贴标、</w:t>
            </w:r>
            <w:r>
              <w:rPr>
                <w:rFonts w:hint="eastAsia" w:cs="Times New Roman"/>
                <w:color w:val="auto"/>
                <w:sz w:val="21"/>
                <w:szCs w:val="21"/>
                <w:highlight w:val="none"/>
                <w:lang w:val="en-US" w:eastAsia="zh-CN"/>
              </w:rPr>
              <w:t>灯检、</w:t>
            </w:r>
            <w:r>
              <w:rPr>
                <w:rFonts w:hint="default" w:ascii="Times New Roman" w:hAnsi="Times New Roman" w:eastAsia="宋体" w:cs="Times New Roman"/>
                <w:color w:val="auto"/>
                <w:sz w:val="21"/>
                <w:szCs w:val="21"/>
                <w:highlight w:val="none"/>
                <w:lang w:val="en-US" w:eastAsia="zh-CN"/>
              </w:rPr>
              <w:t>包装等工序</w:t>
            </w:r>
            <w:r>
              <w:rPr>
                <w:rFonts w:hint="eastAsia" w:cs="Times New Roman"/>
                <w:color w:val="auto"/>
                <w:sz w:val="21"/>
                <w:szCs w:val="21"/>
                <w:highlight w:val="none"/>
                <w:lang w:val="en-US" w:eastAsia="zh-CN"/>
              </w:rPr>
              <w:t>进行生产</w:t>
            </w:r>
            <w:r>
              <w:rPr>
                <w:rFonts w:hint="default" w:ascii="Times New Roman" w:hAnsi="Times New Roman" w:eastAsia="宋体" w:cs="Times New Roman"/>
                <w:color w:val="auto"/>
                <w:sz w:val="21"/>
                <w:szCs w:val="21"/>
                <w:highlight w:val="none"/>
                <w:lang w:val="en-US" w:eastAsia="zh-CN"/>
              </w:rPr>
              <w:t>，最终制成合格产品出厂销售。全生产流程以物理处理、原料调配为主，涉及少量食品级添加剂</w:t>
            </w:r>
            <w:r>
              <w:rPr>
                <w:rFonts w:hint="eastAsia" w:cs="Times New Roman"/>
                <w:color w:val="auto"/>
                <w:sz w:val="21"/>
                <w:szCs w:val="21"/>
                <w:highlight w:val="none"/>
                <w:lang w:val="en-US" w:eastAsia="zh-CN"/>
              </w:rPr>
              <w:t>使用</w:t>
            </w:r>
            <w:r>
              <w:rPr>
                <w:rFonts w:hint="default" w:ascii="Times New Roman" w:hAnsi="Times New Roman" w:eastAsia="宋体" w:cs="Times New Roman"/>
                <w:color w:val="auto"/>
                <w:sz w:val="21"/>
                <w:szCs w:val="21"/>
                <w:highlight w:val="none"/>
                <w:lang w:val="en-US" w:eastAsia="zh-CN"/>
              </w:rPr>
              <w:t>，无有毒有害原料及危险废物产生，</w:t>
            </w:r>
            <w:r>
              <w:rPr>
                <w:rFonts w:hint="eastAsia" w:cs="Times New Roman"/>
                <w:color w:val="auto"/>
                <w:sz w:val="21"/>
                <w:szCs w:val="21"/>
                <w:highlight w:val="none"/>
                <w:lang w:val="en-US" w:eastAsia="zh-CN"/>
              </w:rPr>
              <w:t>具体</w:t>
            </w:r>
            <w:r>
              <w:rPr>
                <w:rFonts w:hint="default" w:ascii="Times New Roman" w:hAnsi="Times New Roman" w:eastAsia="宋体" w:cs="Times New Roman"/>
                <w:color w:val="auto"/>
                <w:sz w:val="21"/>
                <w:szCs w:val="21"/>
                <w:highlight w:val="none"/>
                <w:lang w:val="en-US" w:eastAsia="zh-CN"/>
              </w:rPr>
              <w:t>生产工艺流程</w:t>
            </w:r>
            <w:r>
              <w:rPr>
                <w:rFonts w:hint="eastAsia" w:cs="Times New Roman"/>
                <w:color w:val="auto"/>
                <w:sz w:val="21"/>
                <w:szCs w:val="21"/>
                <w:highlight w:val="none"/>
                <w:lang w:val="en-US" w:eastAsia="zh-CN"/>
              </w:rPr>
              <w:t>如下</w:t>
            </w:r>
            <w:r>
              <w:rPr>
                <w:rFonts w:hint="default" w:ascii="Times New Roman" w:hAnsi="Times New Roman" w:eastAsia="宋体" w:cs="Times New Roman"/>
                <w:color w:val="auto"/>
                <w:sz w:val="21"/>
                <w:szCs w:val="21"/>
                <w:highlight w:val="none"/>
                <w:lang w:val="en-US" w:eastAsia="zh-CN"/>
              </w:rPr>
              <w:t>：</w:t>
            </w:r>
          </w:p>
          <w:p>
            <w:pPr>
              <w:keepNext w:val="0"/>
              <w:keepLines w:val="0"/>
              <w:suppressLineNumbers w:val="0"/>
              <w:spacing w:before="0" w:beforeAutospacing="0" w:after="0" w:afterAutospacing="0" w:line="360" w:lineRule="auto"/>
              <w:ind w:left="0" w:right="0" w:firstLine="420" w:firstLineChars="200"/>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①</w:t>
            </w:r>
            <w:r>
              <w:rPr>
                <w:rFonts w:hint="default" w:ascii="Times New Roman" w:hAnsi="Times New Roman" w:eastAsia="宋体" w:cs="Times New Roman"/>
                <w:color w:val="auto"/>
                <w:sz w:val="21"/>
                <w:szCs w:val="21"/>
                <w:highlight w:val="none"/>
                <w:lang w:val="en-US" w:eastAsia="zh-CN"/>
              </w:rPr>
              <w:t>水处理</w:t>
            </w:r>
            <w:r>
              <w:rPr>
                <w:rFonts w:hint="eastAsia" w:cs="Times New Roman"/>
                <w:color w:val="auto"/>
                <w:sz w:val="21"/>
                <w:szCs w:val="21"/>
                <w:highlight w:val="none"/>
                <w:lang w:val="en-US" w:eastAsia="zh-CN"/>
              </w:rPr>
              <w:t>（过滤+反渗透）</w:t>
            </w:r>
          </w:p>
          <w:p>
            <w:pPr>
              <w:keepNext w:val="0"/>
              <w:keepLines w:val="0"/>
              <w:suppressLineNumbers w:val="0"/>
              <w:spacing w:before="0" w:beforeAutospacing="0" w:after="0" w:afterAutospacing="0" w:line="360" w:lineRule="auto"/>
              <w:ind w:left="0" w:right="0" w:firstLine="420" w:firstLineChars="200"/>
              <w:rPr>
                <w:rFonts w:hint="eastAsia"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自来水经市政供水管网输送至厂区原水箱，储存后由输送泵送入多介质过滤器（滤料为石英砂、活性炭），采用自上而下的过滤方式，去除自来水中的大颗粒悬浮物、泥沙、胶体、异味及部分有机物；过滤合格后的水送入精密过滤器，进一步去除水中的细小杂质（粒径≤5μm），避免杂质堵塞后续反渗透膜</w:t>
            </w:r>
            <w:r>
              <w:rPr>
                <w:rFonts w:hint="eastAsia" w:cs="Times New Roman"/>
                <w:color w:val="auto"/>
                <w:sz w:val="21"/>
                <w:szCs w:val="21"/>
                <w:highlight w:val="none"/>
                <w:lang w:val="en-US" w:eastAsia="zh-CN"/>
              </w:rPr>
              <w:t>。</w:t>
            </w:r>
          </w:p>
          <w:p>
            <w:pPr>
              <w:keepNext w:val="0"/>
              <w:keepLines w:val="0"/>
              <w:suppressLineNumbers w:val="0"/>
              <w:spacing w:before="0" w:beforeAutospacing="0" w:after="0" w:afterAutospacing="0" w:line="360" w:lineRule="auto"/>
              <w:ind w:left="0" w:right="0" w:firstLine="420" w:firstLineChars="200"/>
              <w:rPr>
                <w:rFonts w:hint="default" w:cs="Times New Roman"/>
                <w:color w:val="auto"/>
                <w:sz w:val="21"/>
                <w:szCs w:val="21"/>
                <w:highlight w:val="none"/>
                <w:lang w:val="en-US" w:eastAsia="zh-CN"/>
              </w:rPr>
            </w:pPr>
            <w:r>
              <w:rPr>
                <w:rFonts w:hint="default" w:cs="Times New Roman"/>
                <w:color w:val="auto"/>
                <w:sz w:val="21"/>
                <w:szCs w:val="21"/>
                <w:highlight w:val="none"/>
                <w:lang w:val="en-US" w:eastAsia="zh-CN"/>
              </w:rPr>
              <w:t>经精密过滤合格的水，送入反渗透设备，在高压作用下，水通过反渗透膜，实现水与水中杂质（重金属离子、可溶性盐、残留微生物、小分子有机物等）的分离，透过膜的水即为纯水，送入纯水箱储存，用于后续原料调配；未透过膜的浓水，经管道排放至反冲洗废水收集系统，一并送入污水处理站处理。</w:t>
            </w:r>
          </w:p>
          <w:p>
            <w:pPr>
              <w:keepNext w:val="0"/>
              <w:keepLines w:val="0"/>
              <w:suppressLineNumbers w:val="0"/>
              <w:spacing w:before="0" w:beforeAutospacing="0" w:after="0" w:afterAutospacing="0" w:line="360" w:lineRule="auto"/>
              <w:ind w:left="0" w:right="0" w:firstLine="422" w:firstLineChars="200"/>
              <w:rPr>
                <w:rFonts w:hint="default" w:ascii="Times New Roman" w:hAnsi="Times New Roman" w:eastAsia="宋体" w:cs="Times New Roman"/>
                <w:b/>
                <w:bCs/>
                <w:color w:val="auto"/>
                <w:sz w:val="21"/>
                <w:szCs w:val="21"/>
                <w:highlight w:val="none"/>
                <w:lang w:val="en-US" w:eastAsia="zh-CN"/>
              </w:rPr>
            </w:pPr>
            <w:r>
              <w:rPr>
                <w:rFonts w:hint="eastAsia" w:cs="Times New Roman"/>
                <w:b/>
                <w:bCs/>
                <w:color w:val="auto"/>
                <w:sz w:val="21"/>
                <w:szCs w:val="21"/>
                <w:highlight w:val="none"/>
                <w:lang w:val="en-US" w:eastAsia="zh-CN"/>
              </w:rPr>
              <w:t>产污环节：水处理过程中产生反渗透浓水；过滤材料定期更换产生废过滤材料（含废石英砂、废活性炭、废反渗透膜等，统一称为废过滤材料），收集后暂存在厂内一般固废暂存间内，定期交由设备厂家回收处置。</w:t>
            </w:r>
          </w:p>
          <w:p>
            <w:pPr>
              <w:keepNext w:val="0"/>
              <w:keepLines w:val="0"/>
              <w:suppressLineNumbers w:val="0"/>
              <w:spacing w:before="0" w:beforeAutospacing="0" w:after="0" w:afterAutospacing="0" w:line="360" w:lineRule="auto"/>
              <w:ind w:left="0" w:right="0" w:firstLine="420" w:firstLineChars="200"/>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②</w:t>
            </w:r>
            <w:r>
              <w:rPr>
                <w:rFonts w:hint="default" w:ascii="Times New Roman" w:hAnsi="Times New Roman" w:eastAsia="宋体" w:cs="Times New Roman"/>
                <w:color w:val="auto"/>
                <w:sz w:val="21"/>
                <w:szCs w:val="21"/>
                <w:highlight w:val="none"/>
                <w:lang w:val="en-US" w:eastAsia="zh-CN"/>
              </w:rPr>
              <w:t>调配</w:t>
            </w:r>
          </w:p>
          <w:p>
            <w:pPr>
              <w:keepNext w:val="0"/>
              <w:keepLines w:val="0"/>
              <w:suppressLineNumbers w:val="0"/>
              <w:spacing w:before="0" w:beforeAutospacing="0" w:after="0" w:afterAutospacing="0" w:line="360" w:lineRule="auto"/>
              <w:ind w:left="0" w:right="0" w:firstLine="420" w:firstLineChars="20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将纯水与</w:t>
            </w:r>
            <w:r>
              <w:rPr>
                <w:rFonts w:hint="eastAsia" w:ascii="Times New Roman" w:hAnsi="Times New Roman" w:cs="Times New Roman"/>
                <w:color w:val="auto"/>
                <w:sz w:val="21"/>
                <w:szCs w:val="21"/>
                <w:highlight w:val="none"/>
                <w:lang w:val="en-US" w:eastAsia="zh-CN"/>
              </w:rPr>
              <w:t>白砂糖、果葡糖浆、柠檬酸、柠檬酸钠、苹果酸</w:t>
            </w:r>
            <w:r>
              <w:rPr>
                <w:rFonts w:hint="default" w:ascii="Times New Roman" w:hAnsi="Times New Roman" w:eastAsia="宋体" w:cs="Times New Roman"/>
                <w:color w:val="auto"/>
                <w:sz w:val="21"/>
                <w:szCs w:val="21"/>
                <w:highlight w:val="none"/>
                <w:lang w:val="en-US" w:eastAsia="zh-CN"/>
              </w:rPr>
              <w:t>等原料，按预设配方比例混合调配，调整饮料的糖度、酸度、口感及风味，确保产品品质均匀一致。本工序添加的所有原料均为食品级，符合食品安全标准，无有毒有害辅料</w:t>
            </w:r>
            <w:r>
              <w:rPr>
                <w:rFonts w:hint="eastAsia" w:cs="Times New Roman"/>
                <w:color w:val="auto"/>
                <w:sz w:val="21"/>
                <w:szCs w:val="21"/>
                <w:highlight w:val="none"/>
                <w:lang w:val="en-US" w:eastAsia="zh-CN"/>
              </w:rPr>
              <w:t>。该过程无污染物产生。</w:t>
            </w:r>
          </w:p>
          <w:p>
            <w:pPr>
              <w:keepNext w:val="0"/>
              <w:keepLines w:val="0"/>
              <w:suppressLineNumbers w:val="0"/>
              <w:spacing w:before="0" w:beforeAutospacing="0" w:after="0" w:afterAutospacing="0" w:line="360" w:lineRule="auto"/>
              <w:ind w:left="0" w:right="0" w:firstLine="420" w:firstLineChars="200"/>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③过滤</w:t>
            </w:r>
          </w:p>
          <w:p>
            <w:pPr>
              <w:keepNext w:val="0"/>
              <w:keepLines w:val="0"/>
              <w:suppressLineNumbers w:val="0"/>
              <w:spacing w:before="0" w:beforeAutospacing="0" w:after="0" w:afterAutospacing="0" w:line="360" w:lineRule="auto"/>
              <w:ind w:left="0" w:right="0" w:firstLine="420" w:firstLineChars="200"/>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调配合格后的料液，由输送泵送入双联袋式过滤器</w:t>
            </w:r>
            <w:r>
              <w:rPr>
                <w:rFonts w:hint="default" w:ascii="Times New Roman" w:hAnsi="Times New Roman" w:cs="Times New Roman"/>
                <w:color w:val="auto"/>
                <w:sz w:val="21"/>
                <w:szCs w:val="21"/>
                <w:highlight w:val="none"/>
                <w:lang w:val="en-US" w:eastAsia="zh-CN"/>
              </w:rPr>
              <w:t>（过滤孔径0.5μm）</w:t>
            </w:r>
            <w:r>
              <w:rPr>
                <w:rFonts w:hint="eastAsia" w:cs="Times New Roman"/>
                <w:color w:val="auto"/>
                <w:sz w:val="21"/>
                <w:szCs w:val="21"/>
                <w:highlight w:val="none"/>
                <w:lang w:val="en-US" w:eastAsia="zh-CN"/>
              </w:rPr>
              <w:t>，截留料液中未完全溶解的杂质、原料夹带的细小颗粒及调配过程中产生的胶体物质，确保料液纯净、无杂质，过滤合格后的料液送入下一冷却工序。</w:t>
            </w:r>
          </w:p>
          <w:p>
            <w:pPr>
              <w:keepNext w:val="0"/>
              <w:keepLines w:val="0"/>
              <w:suppressLineNumbers w:val="0"/>
              <w:spacing w:before="0" w:beforeAutospacing="0" w:after="0" w:afterAutospacing="0" w:line="360" w:lineRule="auto"/>
              <w:ind w:left="0" w:right="0" w:firstLine="422" w:firstLineChars="200"/>
              <w:rPr>
                <w:rFonts w:hint="default" w:cs="Times New Roman"/>
                <w:b/>
                <w:bCs/>
                <w:color w:val="auto"/>
                <w:sz w:val="21"/>
                <w:szCs w:val="21"/>
                <w:highlight w:val="none"/>
                <w:lang w:val="en-US" w:eastAsia="zh-CN"/>
              </w:rPr>
            </w:pPr>
            <w:r>
              <w:rPr>
                <w:rFonts w:hint="eastAsia" w:cs="Times New Roman"/>
                <w:b/>
                <w:bCs/>
                <w:color w:val="auto"/>
                <w:sz w:val="21"/>
                <w:szCs w:val="21"/>
                <w:highlight w:val="none"/>
                <w:lang w:val="en-US" w:eastAsia="zh-CN"/>
              </w:rPr>
              <w:t>产污环节：过滤器更换滤材产生废滤袋，收集后暂存在厂内一般固废暂存间内，定期交由设备厂家回收处置。</w:t>
            </w:r>
          </w:p>
          <w:p>
            <w:pPr>
              <w:keepNext w:val="0"/>
              <w:keepLines w:val="0"/>
              <w:suppressLineNumbers w:val="0"/>
              <w:spacing w:before="0" w:beforeAutospacing="0" w:after="0" w:afterAutospacing="0" w:line="360" w:lineRule="auto"/>
              <w:ind w:left="0" w:right="0" w:firstLine="420" w:firstLineChars="200"/>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④冷却、碳酸化</w:t>
            </w:r>
          </w:p>
          <w:p>
            <w:pPr>
              <w:keepNext w:val="0"/>
              <w:keepLines w:val="0"/>
              <w:suppressLineNumbers w:val="0"/>
              <w:spacing w:before="0" w:beforeAutospacing="0" w:after="0" w:afterAutospacing="0" w:line="360" w:lineRule="auto"/>
              <w:ind w:left="0" w:right="0" w:firstLine="420" w:firstLineChars="20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启动</w:t>
            </w:r>
            <w:r>
              <w:rPr>
                <w:rFonts w:hint="eastAsia" w:cs="Times New Roman"/>
                <w:color w:val="auto"/>
                <w:sz w:val="21"/>
                <w:szCs w:val="21"/>
                <w:highlight w:val="none"/>
                <w:lang w:val="en-US" w:eastAsia="zh-CN"/>
              </w:rPr>
              <w:t>冷冻机组（采用环保型制冷剂R410A）</w:t>
            </w:r>
            <w:r>
              <w:rPr>
                <w:rFonts w:hint="default" w:ascii="Times New Roman" w:hAnsi="Times New Roman" w:eastAsia="宋体" w:cs="Times New Roman"/>
                <w:color w:val="auto"/>
                <w:sz w:val="21"/>
                <w:szCs w:val="21"/>
                <w:highlight w:val="none"/>
                <w:lang w:val="en-US" w:eastAsia="zh-CN"/>
              </w:rPr>
              <w:t>，将冷却用水降温至0±2℃，作为板式换热器的冷却介质，循环使用，定期补充损耗的冷却用水，确保冷却效果稳定。经双联袋式过滤器过滤合格的料液，送入板式换热器，与0±2℃的冷却介质进行间接换热，将料液温度冷却至4±2℃，冷却后的料液送入混合机，同时按预设比例向混合机内注入纯水，搅拌均匀。向混合机内注入食品级二氧化碳气体，调节二氧化碳压力至适宜范围，使料液与二氧化碳充分混合、溶解，实现料液碳酸化；碳酸化过程中实时监测气溶量，确保符合产品质量要求，碳酸化合格后的料液送入成品罐储存，等待灌装。</w:t>
            </w:r>
            <w:r>
              <w:rPr>
                <w:rFonts w:hint="eastAsia" w:ascii="Times New Roman" w:hAnsi="Times New Roman" w:cs="Times New Roman"/>
                <w:color w:val="auto"/>
                <w:sz w:val="21"/>
                <w:szCs w:val="21"/>
                <w:highlight w:val="none"/>
                <w:lang w:val="en-US" w:eastAsia="zh-CN"/>
              </w:rPr>
              <w:t>该过程无污染物产生。</w:t>
            </w:r>
          </w:p>
          <w:p>
            <w:pPr>
              <w:keepNext w:val="0"/>
              <w:keepLines w:val="0"/>
              <w:suppressLineNumbers w:val="0"/>
              <w:spacing w:before="0" w:beforeAutospacing="0" w:after="0" w:afterAutospacing="0" w:line="360" w:lineRule="auto"/>
              <w:ind w:left="0" w:right="0" w:firstLine="420" w:firstLineChars="200"/>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⑤灌装</w:t>
            </w:r>
          </w:p>
          <w:p>
            <w:pPr>
              <w:keepNext w:val="0"/>
              <w:keepLines w:val="0"/>
              <w:suppressLineNumbers w:val="0"/>
              <w:spacing w:before="0" w:beforeAutospacing="0" w:after="0" w:afterAutospacing="0" w:line="360" w:lineRule="auto"/>
              <w:ind w:left="0" w:right="0" w:firstLine="420" w:firstLineChars="200"/>
              <w:rPr>
                <w:rFonts w:hint="eastAsia" w:ascii="Times New Roman" w:hAnsi="Times New Roman"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灌装前，开启灌装间紫外灯，对灌装间进行紫外线杀菌30min，确保灌装环境无菌；操作人员进入灌装间前，需经风淋门除尘，佩戴无菌工作帽、口罩、无菌服、水鞋，</w:t>
            </w:r>
            <w:r>
              <w:rPr>
                <w:rFonts w:hint="eastAsia" w:ascii="Times New Roman" w:hAnsi="Times New Roman" w:cs="Times New Roman"/>
                <w:color w:val="auto"/>
                <w:sz w:val="21"/>
                <w:szCs w:val="21"/>
                <w:highlight w:val="none"/>
                <w:lang w:val="en-US" w:eastAsia="zh-CN"/>
              </w:rPr>
              <w:t>同时</w:t>
            </w:r>
            <w:r>
              <w:rPr>
                <w:rFonts w:hint="default" w:ascii="Times New Roman" w:hAnsi="Times New Roman" w:eastAsia="宋体" w:cs="Times New Roman"/>
                <w:color w:val="auto"/>
                <w:sz w:val="21"/>
                <w:szCs w:val="21"/>
                <w:highlight w:val="none"/>
                <w:lang w:val="en-US" w:eastAsia="zh-CN"/>
              </w:rPr>
              <w:t>手部消毒杀菌，避免人为污染。灌装时，先排尽灌装机及灌装阀内的残留水分，再开启进灌装机的二氧化碳气阀进行备压，确保灌装过程中料液无气泡、充装均匀；备压完成后，打开进料阀，将成品罐内的碳酸化料液送入灌装机，待灌装机内料液达到二分之一液位后，开启灌装机进行自动灌装、旋盖，严格控制灌装液位、旋盖质量，确保密封严密、无漏液漏气。灌装过程中，实时监测成品糖度、气溶量、灌装液位、旋盖质量四项核心指标，确保符合产品标准</w:t>
            </w:r>
            <w:r>
              <w:rPr>
                <w:rFonts w:hint="eastAsia" w:ascii="Times New Roman" w:hAnsi="Times New Roman" w:cs="Times New Roman"/>
                <w:color w:val="auto"/>
                <w:sz w:val="21"/>
                <w:szCs w:val="21"/>
                <w:highlight w:val="none"/>
                <w:lang w:val="en-US" w:eastAsia="zh-CN"/>
              </w:rPr>
              <w:t>。本项目灌装使用自制PET瓶，使用前已进行统一冲洗。</w:t>
            </w:r>
          </w:p>
          <w:p>
            <w:pPr>
              <w:keepNext w:val="0"/>
              <w:keepLines w:val="0"/>
              <w:suppressLineNumbers w:val="0"/>
              <w:spacing w:before="0" w:beforeAutospacing="0" w:after="0" w:afterAutospacing="0" w:line="360" w:lineRule="auto"/>
              <w:ind w:left="0" w:right="0" w:firstLine="420" w:firstLineChars="200"/>
              <w:rPr>
                <w:rFonts w:hint="eastAsia"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⑥品检</w:t>
            </w:r>
          </w:p>
          <w:p>
            <w:pPr>
              <w:keepNext w:val="0"/>
              <w:keepLines w:val="0"/>
              <w:suppressLineNumbers w:val="0"/>
              <w:spacing w:before="0" w:beforeAutospacing="0" w:after="0" w:afterAutospacing="0" w:line="360" w:lineRule="auto"/>
              <w:ind w:left="0" w:right="0" w:firstLine="420" w:firstLineChars="200"/>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灌装旋盖后的</w:t>
            </w:r>
            <w:r>
              <w:rPr>
                <w:rFonts w:hint="eastAsia" w:ascii="Times New Roman" w:hAnsi="Times New Roman" w:cs="Times New Roman"/>
                <w:color w:val="auto"/>
                <w:sz w:val="21"/>
                <w:szCs w:val="21"/>
                <w:highlight w:val="none"/>
                <w:lang w:val="en-US" w:eastAsia="zh-CN"/>
              </w:rPr>
              <w:t>碳酸</w:t>
            </w:r>
            <w:r>
              <w:rPr>
                <w:rFonts w:hint="default" w:ascii="Times New Roman" w:hAnsi="Times New Roman" w:cs="Times New Roman"/>
                <w:color w:val="auto"/>
                <w:sz w:val="21"/>
                <w:szCs w:val="21"/>
                <w:highlight w:val="none"/>
                <w:lang w:val="en-US" w:eastAsia="zh-CN"/>
              </w:rPr>
              <w:t>饮料瓶由输送</w:t>
            </w:r>
            <w:r>
              <w:rPr>
                <w:rFonts w:hint="eastAsia" w:ascii="Times New Roman" w:hAnsi="Times New Roman" w:cs="Times New Roman"/>
                <w:color w:val="auto"/>
                <w:sz w:val="21"/>
                <w:szCs w:val="21"/>
                <w:highlight w:val="none"/>
                <w:lang w:val="en-US" w:eastAsia="zh-CN"/>
              </w:rPr>
              <w:t>线</w:t>
            </w:r>
            <w:r>
              <w:rPr>
                <w:rFonts w:hint="default" w:ascii="Times New Roman" w:hAnsi="Times New Roman" w:cs="Times New Roman"/>
                <w:color w:val="auto"/>
                <w:sz w:val="21"/>
                <w:szCs w:val="21"/>
                <w:highlight w:val="none"/>
                <w:lang w:val="en-US" w:eastAsia="zh-CN"/>
              </w:rPr>
              <w:t>送入自动品检工位，采用视觉检测系统与人工巡检相结合方式，对灌装液位、瓶口密封性、旋盖松紧度、瓶身是否破损变形、有无漏液漏气等外观质量进行检查。发现不合格产品由剔除装置自动分离，集中收集处理。</w:t>
            </w:r>
          </w:p>
          <w:p>
            <w:pPr>
              <w:keepNext w:val="0"/>
              <w:keepLines w:val="0"/>
              <w:suppressLineNumbers w:val="0"/>
              <w:spacing w:before="0" w:beforeAutospacing="0" w:after="0" w:afterAutospacing="0" w:line="360" w:lineRule="auto"/>
              <w:ind w:left="0" w:right="0" w:firstLine="422" w:firstLineChars="200"/>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b/>
                <w:bCs/>
                <w:color w:val="auto"/>
                <w:sz w:val="21"/>
                <w:szCs w:val="21"/>
                <w:highlight w:val="none"/>
                <w:lang w:val="en-US" w:eastAsia="zh-CN"/>
              </w:rPr>
              <w:t>产污环节：品检过程产生不合格品</w:t>
            </w:r>
            <w:r>
              <w:rPr>
                <w:rFonts w:hint="eastAsia" w:cs="Times New Roman"/>
                <w:b/>
                <w:bCs/>
                <w:color w:val="auto"/>
                <w:sz w:val="21"/>
                <w:szCs w:val="21"/>
                <w:highlight w:val="none"/>
                <w:lang w:val="en-US" w:eastAsia="zh-CN"/>
              </w:rPr>
              <w:t>，</w:t>
            </w:r>
            <w:r>
              <w:rPr>
                <w:rFonts w:hint="eastAsia" w:cs="Times New Roman"/>
                <w:b/>
                <w:bCs w:val="0"/>
                <w:color w:val="auto"/>
                <w:sz w:val="21"/>
                <w:szCs w:val="21"/>
                <w:highlight w:val="none"/>
                <w:lang w:val="en-US" w:eastAsia="zh-CN"/>
              </w:rPr>
              <w:t>不合格品经过滤后消毒杀菌重新灌装，不外排</w:t>
            </w:r>
            <w:r>
              <w:rPr>
                <w:rFonts w:hint="eastAsia" w:ascii="Times New Roman" w:hAnsi="Times New Roman" w:cs="Times New Roman"/>
                <w:b/>
                <w:bCs/>
                <w:color w:val="auto"/>
                <w:sz w:val="21"/>
                <w:szCs w:val="21"/>
                <w:highlight w:val="none"/>
                <w:lang w:val="en-US" w:eastAsia="zh-CN"/>
              </w:rPr>
              <w:t>。</w:t>
            </w:r>
          </w:p>
          <w:p>
            <w:pPr>
              <w:keepNext w:val="0"/>
              <w:keepLines w:val="0"/>
              <w:suppressLineNumbers w:val="0"/>
              <w:spacing w:before="0" w:beforeAutospacing="0" w:after="0" w:afterAutospacing="0" w:line="360" w:lineRule="auto"/>
              <w:ind w:left="0" w:right="0" w:firstLine="420" w:firstLineChars="200"/>
              <w:rPr>
                <w:rFonts w:hint="eastAsia"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⑦激光喷码、贴标</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jc w:val="both"/>
              <w:textAlignment w:val="auto"/>
              <w:rPr>
                <w:rFonts w:hint="default" w:ascii="Times New Roman" w:hAnsi="Times New Roman" w:cs="Times New Roman"/>
                <w:b w:val="0"/>
                <w:bCs/>
                <w:color w:val="auto"/>
                <w:sz w:val="21"/>
                <w:szCs w:val="21"/>
                <w:highlight w:val="none"/>
                <w:lang w:val="en-US" w:eastAsia="zh-CN"/>
              </w:rPr>
            </w:pPr>
            <w:r>
              <w:rPr>
                <w:rFonts w:hint="default" w:ascii="Times New Roman" w:hAnsi="Times New Roman" w:cs="Times New Roman"/>
                <w:b w:val="0"/>
                <w:bCs/>
                <w:color w:val="auto"/>
                <w:sz w:val="21"/>
                <w:szCs w:val="21"/>
                <w:highlight w:val="none"/>
                <w:lang w:val="en-US" w:eastAsia="zh-CN"/>
              </w:rPr>
              <w:t>品检合格的</w:t>
            </w:r>
            <w:r>
              <w:rPr>
                <w:rFonts w:hint="eastAsia" w:ascii="Times New Roman" w:hAnsi="Times New Roman" w:cs="Times New Roman"/>
                <w:b w:val="0"/>
                <w:bCs/>
                <w:color w:val="auto"/>
                <w:sz w:val="21"/>
                <w:szCs w:val="21"/>
                <w:highlight w:val="none"/>
                <w:lang w:val="en-US" w:eastAsia="zh-CN"/>
              </w:rPr>
              <w:t>碳酸饮料</w:t>
            </w:r>
            <w:r>
              <w:rPr>
                <w:rFonts w:hint="default" w:ascii="Times New Roman" w:hAnsi="Times New Roman" w:cs="Times New Roman"/>
                <w:b w:val="0"/>
                <w:bCs/>
                <w:color w:val="auto"/>
                <w:sz w:val="21"/>
                <w:szCs w:val="21"/>
                <w:highlight w:val="none"/>
                <w:lang w:val="en-US" w:eastAsia="zh-CN"/>
              </w:rPr>
              <w:t>瓶，由输送线匀速送入激光喷码机工位，输送线速度与喷码机喷码速度自动同步，确保喷码位置准确。喷码前，喷码机自动调试喷码清晰度、字体大小，确认无误后，利用激光的高温灼烧效应，在瓶身/瓶盖表面形成清晰、永久的喷码标识，喷码无模糊、无漏喷、无错喷，喷码完成后，通过输送线送入下一道贴标工序。</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jc w:val="both"/>
              <w:textAlignment w:val="auto"/>
              <w:rPr>
                <w:rFonts w:hint="default" w:ascii="Times New Roman" w:hAnsi="Times New Roman" w:cs="Times New Roman"/>
                <w:b w:val="0"/>
                <w:bCs/>
                <w:color w:val="auto"/>
                <w:sz w:val="21"/>
                <w:szCs w:val="21"/>
                <w:highlight w:val="none"/>
                <w:lang w:val="en-US" w:eastAsia="zh-CN"/>
              </w:rPr>
            </w:pPr>
            <w:r>
              <w:rPr>
                <w:rFonts w:hint="default" w:ascii="Times New Roman" w:hAnsi="Times New Roman" w:cs="Times New Roman"/>
                <w:b w:val="0"/>
                <w:bCs/>
                <w:color w:val="auto"/>
                <w:sz w:val="21"/>
                <w:szCs w:val="21"/>
                <w:highlight w:val="none"/>
                <w:lang w:val="en-US" w:eastAsia="zh-CN"/>
              </w:rPr>
              <w:t>经激光喷码的</w:t>
            </w:r>
            <w:r>
              <w:rPr>
                <w:rFonts w:hint="eastAsia" w:ascii="Times New Roman" w:hAnsi="Times New Roman" w:cs="Times New Roman"/>
                <w:b w:val="0"/>
                <w:bCs/>
                <w:color w:val="auto"/>
                <w:sz w:val="21"/>
                <w:szCs w:val="21"/>
                <w:highlight w:val="none"/>
                <w:lang w:val="en-US" w:eastAsia="zh-CN"/>
              </w:rPr>
              <w:t>饮料</w:t>
            </w:r>
            <w:r>
              <w:rPr>
                <w:rFonts w:hint="default" w:ascii="Times New Roman" w:hAnsi="Times New Roman" w:cs="Times New Roman"/>
                <w:b w:val="0"/>
                <w:bCs/>
                <w:color w:val="auto"/>
                <w:sz w:val="21"/>
                <w:szCs w:val="21"/>
                <w:highlight w:val="none"/>
                <w:lang w:val="en-US" w:eastAsia="zh-CN"/>
              </w:rPr>
              <w:t>瓶，由输送线送入套标机工位，套标机自动将标签从标签仓拉出，套在瓶身指定位置，套标完成后，</w:t>
            </w:r>
            <w:r>
              <w:rPr>
                <w:rFonts w:hint="eastAsia" w:ascii="Times New Roman" w:hAnsi="Times New Roman" w:cs="Times New Roman"/>
                <w:b w:val="0"/>
                <w:bCs/>
                <w:color w:val="auto"/>
                <w:sz w:val="21"/>
                <w:szCs w:val="21"/>
                <w:highlight w:val="none"/>
                <w:lang w:val="en-US" w:eastAsia="zh-CN"/>
              </w:rPr>
              <w:t>饮料</w:t>
            </w:r>
            <w:r>
              <w:rPr>
                <w:rFonts w:hint="default" w:ascii="Times New Roman" w:hAnsi="Times New Roman" w:cs="Times New Roman"/>
                <w:b w:val="0"/>
                <w:bCs/>
                <w:color w:val="auto"/>
                <w:sz w:val="21"/>
                <w:szCs w:val="21"/>
                <w:highlight w:val="none"/>
                <w:lang w:val="en-US" w:eastAsia="zh-CN"/>
              </w:rPr>
              <w:t>瓶进入热收缩通道。</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jc w:val="both"/>
              <w:textAlignment w:val="auto"/>
              <w:rPr>
                <w:rFonts w:hint="default" w:ascii="Times New Roman" w:hAnsi="Times New Roman" w:cs="Times New Roman"/>
                <w:b w:val="0"/>
                <w:bCs/>
                <w:color w:val="auto"/>
                <w:sz w:val="21"/>
                <w:szCs w:val="21"/>
                <w:highlight w:val="none"/>
                <w:lang w:val="en-US" w:eastAsia="zh-CN"/>
              </w:rPr>
            </w:pPr>
            <w:r>
              <w:rPr>
                <w:rFonts w:hint="default" w:ascii="Times New Roman" w:hAnsi="Times New Roman" w:cs="Times New Roman"/>
                <w:b w:val="0"/>
                <w:bCs/>
                <w:color w:val="auto"/>
                <w:sz w:val="21"/>
                <w:szCs w:val="21"/>
                <w:highlight w:val="none"/>
                <w:lang w:val="en-US" w:eastAsia="zh-CN"/>
              </w:rPr>
              <w:t>热收缩通道采用电加热方式，预设热收缩温度为80～100℃，</w:t>
            </w:r>
            <w:r>
              <w:rPr>
                <w:rFonts w:hint="eastAsia" w:ascii="Times New Roman" w:hAnsi="Times New Roman" w:cs="Times New Roman"/>
                <w:b w:val="0"/>
                <w:bCs/>
                <w:color w:val="auto"/>
                <w:sz w:val="21"/>
                <w:szCs w:val="21"/>
                <w:highlight w:val="none"/>
                <w:lang w:val="en-US" w:eastAsia="zh-CN"/>
              </w:rPr>
              <w:t>饮料</w:t>
            </w:r>
            <w:r>
              <w:rPr>
                <w:rFonts w:hint="default" w:ascii="Times New Roman" w:hAnsi="Times New Roman" w:cs="Times New Roman"/>
                <w:b w:val="0"/>
                <w:bCs/>
                <w:color w:val="auto"/>
                <w:sz w:val="21"/>
                <w:szCs w:val="21"/>
                <w:highlight w:val="none"/>
                <w:lang w:val="en-US" w:eastAsia="zh-CN"/>
              </w:rPr>
              <w:t>瓶匀速通过热收缩通道，标签在高温作用下快速收缩，紧密贴合在瓶身表面，确保标签规整、无气泡、无褶皱、不易脱落</w:t>
            </w:r>
            <w:r>
              <w:rPr>
                <w:rFonts w:hint="eastAsia" w:ascii="Times New Roman" w:hAnsi="Times New Roman" w:cs="Times New Roman"/>
                <w:b w:val="0"/>
                <w:bCs/>
                <w:color w:val="auto"/>
                <w:sz w:val="21"/>
                <w:szCs w:val="21"/>
                <w:highlight w:val="none"/>
                <w:lang w:val="en-US" w:eastAsia="zh-CN"/>
              </w:rPr>
              <w:t>，贴标后产品下一道灯检工序</w:t>
            </w:r>
            <w:r>
              <w:rPr>
                <w:rFonts w:hint="default" w:ascii="Times New Roman" w:hAnsi="Times New Roman" w:cs="Times New Roman"/>
                <w:b w:val="0"/>
                <w:bCs/>
                <w:color w:val="auto"/>
                <w:sz w:val="21"/>
                <w:szCs w:val="21"/>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jc w:val="both"/>
              <w:textAlignment w:val="auto"/>
              <w:rPr>
                <w:rFonts w:hint="eastAsia" w:ascii="Times New Roman" w:hAnsi="Times New Roman" w:cs="Times New Roman"/>
                <w:b w:val="0"/>
                <w:bCs/>
                <w:color w:val="auto"/>
                <w:sz w:val="21"/>
                <w:szCs w:val="21"/>
                <w:highlight w:val="none"/>
                <w:lang w:val="en-US" w:eastAsia="zh-CN"/>
              </w:rPr>
            </w:pPr>
            <w:r>
              <w:rPr>
                <w:rFonts w:hint="eastAsia" w:ascii="Times New Roman" w:hAnsi="Times New Roman" w:cs="Times New Roman"/>
                <w:b w:val="0"/>
                <w:bCs/>
                <w:color w:val="auto"/>
                <w:sz w:val="21"/>
                <w:szCs w:val="21"/>
                <w:highlight w:val="none"/>
                <w:lang w:val="en-US" w:eastAsia="zh-CN"/>
              </w:rPr>
              <w:t>⑧灯检</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jc w:val="both"/>
              <w:textAlignment w:val="auto"/>
              <w:rPr>
                <w:rFonts w:hint="eastAsia" w:ascii="Times New Roman" w:hAnsi="Times New Roman" w:cs="Times New Roman"/>
                <w:b w:val="0"/>
                <w:bCs/>
                <w:color w:val="auto"/>
                <w:sz w:val="21"/>
                <w:szCs w:val="21"/>
                <w:highlight w:val="none"/>
                <w:lang w:val="en-US" w:eastAsia="zh-CN"/>
              </w:rPr>
            </w:pPr>
            <w:r>
              <w:rPr>
                <w:rFonts w:hint="default" w:ascii="Times New Roman" w:hAnsi="Times New Roman" w:cs="Times New Roman"/>
                <w:b w:val="0"/>
                <w:bCs/>
                <w:color w:val="auto"/>
                <w:sz w:val="21"/>
                <w:szCs w:val="21"/>
                <w:highlight w:val="none"/>
                <w:lang w:val="en-US" w:eastAsia="zh-CN"/>
              </w:rPr>
              <w:t>经贴标</w:t>
            </w:r>
            <w:r>
              <w:rPr>
                <w:rFonts w:hint="eastAsia" w:ascii="Times New Roman" w:hAnsi="Times New Roman" w:cs="Times New Roman"/>
                <w:b w:val="0"/>
                <w:bCs/>
                <w:color w:val="auto"/>
                <w:sz w:val="21"/>
                <w:szCs w:val="21"/>
                <w:highlight w:val="none"/>
                <w:lang w:val="en-US" w:eastAsia="zh-CN"/>
              </w:rPr>
              <w:t>饮料</w:t>
            </w:r>
            <w:r>
              <w:rPr>
                <w:rFonts w:hint="default" w:ascii="Times New Roman" w:hAnsi="Times New Roman" w:cs="Times New Roman"/>
                <w:b w:val="0"/>
                <w:bCs/>
                <w:color w:val="auto"/>
                <w:sz w:val="21"/>
                <w:szCs w:val="21"/>
                <w:highlight w:val="none"/>
                <w:lang w:val="en-US" w:eastAsia="zh-CN"/>
              </w:rPr>
              <w:t>瓶由输送线送入灯检工位，操作人员坐在灯检台前，逐一对每瓶</w:t>
            </w:r>
            <w:r>
              <w:rPr>
                <w:rFonts w:hint="eastAsia" w:ascii="Times New Roman" w:hAnsi="Times New Roman" w:cs="Times New Roman"/>
                <w:b w:val="0"/>
                <w:bCs/>
                <w:color w:val="auto"/>
                <w:sz w:val="21"/>
                <w:szCs w:val="21"/>
                <w:highlight w:val="none"/>
                <w:lang w:val="en-US" w:eastAsia="zh-CN"/>
              </w:rPr>
              <w:t>饮料</w:t>
            </w:r>
            <w:r>
              <w:rPr>
                <w:rFonts w:hint="default" w:ascii="Times New Roman" w:hAnsi="Times New Roman" w:cs="Times New Roman"/>
                <w:b w:val="0"/>
                <w:bCs/>
                <w:color w:val="auto"/>
                <w:sz w:val="21"/>
                <w:szCs w:val="21"/>
                <w:highlight w:val="none"/>
                <w:lang w:val="en-US" w:eastAsia="zh-CN"/>
              </w:rPr>
              <w:t>进行人工检测，具体检测指标包括：瓶内</w:t>
            </w:r>
            <w:r>
              <w:rPr>
                <w:rFonts w:hint="eastAsia" w:ascii="Times New Roman" w:hAnsi="Times New Roman" w:cs="Times New Roman"/>
                <w:b w:val="0"/>
                <w:bCs/>
                <w:color w:val="auto"/>
                <w:sz w:val="21"/>
                <w:szCs w:val="21"/>
                <w:highlight w:val="none"/>
                <w:lang w:val="en-US" w:eastAsia="zh-CN"/>
              </w:rPr>
              <w:t>饮料</w:t>
            </w:r>
            <w:r>
              <w:rPr>
                <w:rFonts w:hint="default" w:ascii="Times New Roman" w:hAnsi="Times New Roman" w:cs="Times New Roman"/>
                <w:b w:val="0"/>
                <w:bCs/>
                <w:color w:val="auto"/>
                <w:sz w:val="21"/>
                <w:szCs w:val="21"/>
                <w:highlight w:val="none"/>
                <w:lang w:val="en-US" w:eastAsia="zh-CN"/>
              </w:rPr>
              <w:t>液位是否准确（符合灌装规格）、瓶内是否存在异物（如微小杂质、毛发、沉淀等）、瓶身喷码是否完整清晰（无漏喷、错喷、模糊）、瓶身标签是否规整牢固（无褶皱、脱落、歪斜）、瓶身及瓶盖是否破损、密封是否严密等。</w:t>
            </w:r>
            <w:r>
              <w:rPr>
                <w:rFonts w:hint="eastAsia" w:ascii="Times New Roman" w:hAnsi="Times New Roman" w:cs="Times New Roman"/>
                <w:b w:val="0"/>
                <w:bCs/>
                <w:color w:val="auto"/>
                <w:sz w:val="21"/>
                <w:szCs w:val="21"/>
                <w:highlight w:val="none"/>
                <w:lang w:val="en-US" w:eastAsia="zh-CN"/>
              </w:rPr>
              <w:t>检测过程中，发现不合格产品，立即将其从输送线上取出，送入不合格品收集箱，进行集中处置；合格产品则放入合格产品输送线，送入下一道包装工序。</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2" w:firstLineChars="200"/>
              <w:jc w:val="both"/>
              <w:textAlignment w:val="auto"/>
              <w:rPr>
                <w:rFonts w:hint="eastAsia" w:ascii="Times New Roman" w:hAnsi="Times New Roman" w:cs="Times New Roman"/>
                <w:b w:val="0"/>
                <w:bCs/>
                <w:color w:val="auto"/>
                <w:sz w:val="21"/>
                <w:szCs w:val="21"/>
                <w:highlight w:val="none"/>
                <w:lang w:val="en-US" w:eastAsia="zh-CN"/>
              </w:rPr>
            </w:pPr>
            <w:r>
              <w:rPr>
                <w:rFonts w:hint="eastAsia" w:ascii="Times New Roman" w:hAnsi="Times New Roman" w:cs="Times New Roman"/>
                <w:b/>
                <w:bCs w:val="0"/>
                <w:color w:val="auto"/>
                <w:sz w:val="21"/>
                <w:szCs w:val="21"/>
                <w:highlight w:val="none"/>
                <w:lang w:val="en-US" w:eastAsia="zh-CN"/>
              </w:rPr>
              <w:t>产污环节：灯检过程产生不合格品</w:t>
            </w:r>
            <w:r>
              <w:rPr>
                <w:rFonts w:hint="eastAsia" w:cs="Times New Roman"/>
                <w:b/>
                <w:bCs w:val="0"/>
                <w:color w:val="auto"/>
                <w:sz w:val="21"/>
                <w:szCs w:val="21"/>
                <w:highlight w:val="none"/>
                <w:lang w:val="en-US" w:eastAsia="zh-CN"/>
              </w:rPr>
              <w:t>，不合格品经过滤后消毒杀菌重新灌装，不外排</w:t>
            </w:r>
            <w:r>
              <w:rPr>
                <w:rFonts w:hint="eastAsia" w:ascii="Times New Roman" w:hAnsi="Times New Roman" w:cs="Times New Roman"/>
                <w:b/>
                <w:bCs w:val="0"/>
                <w:color w:val="auto"/>
                <w:sz w:val="21"/>
                <w:szCs w:val="21"/>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jc w:val="both"/>
              <w:textAlignment w:val="auto"/>
              <w:rPr>
                <w:rFonts w:hint="eastAsia" w:ascii="Times New Roman" w:hAnsi="Times New Roman" w:cs="Times New Roman"/>
                <w:b w:val="0"/>
                <w:bCs/>
                <w:color w:val="auto"/>
                <w:sz w:val="21"/>
                <w:szCs w:val="21"/>
                <w:highlight w:val="none"/>
                <w:lang w:val="en-US" w:eastAsia="zh-CN"/>
              </w:rPr>
            </w:pPr>
            <w:r>
              <w:rPr>
                <w:rFonts w:hint="eastAsia" w:ascii="Times New Roman" w:hAnsi="Times New Roman" w:cs="Times New Roman"/>
                <w:b w:val="0"/>
                <w:bCs/>
                <w:color w:val="auto"/>
                <w:sz w:val="21"/>
                <w:szCs w:val="21"/>
                <w:highlight w:val="none"/>
                <w:lang w:val="en-US" w:eastAsia="zh-CN"/>
              </w:rPr>
              <w:t>⑨包装</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jc w:val="both"/>
              <w:textAlignment w:val="auto"/>
              <w:rPr>
                <w:rFonts w:hint="default" w:ascii="Times New Roman" w:hAnsi="Times New Roman" w:cs="Times New Roman"/>
                <w:b w:val="0"/>
                <w:bCs/>
                <w:color w:val="auto"/>
                <w:sz w:val="21"/>
                <w:szCs w:val="21"/>
                <w:highlight w:val="none"/>
                <w:lang w:val="en-US" w:eastAsia="zh-CN"/>
              </w:rPr>
            </w:pPr>
            <w:r>
              <w:rPr>
                <w:rFonts w:hint="default" w:ascii="Times New Roman" w:hAnsi="Times New Roman" w:cs="Times New Roman"/>
                <w:b w:val="0"/>
                <w:bCs/>
                <w:color w:val="auto"/>
                <w:sz w:val="21"/>
                <w:szCs w:val="21"/>
                <w:highlight w:val="none"/>
                <w:lang w:val="en-US" w:eastAsia="zh-CN"/>
              </w:rPr>
              <w:t>经灯检合格的成品</w:t>
            </w:r>
            <w:r>
              <w:rPr>
                <w:rFonts w:hint="eastAsia" w:ascii="Times New Roman" w:hAnsi="Times New Roman" w:cs="Times New Roman"/>
                <w:b w:val="0"/>
                <w:bCs/>
                <w:color w:val="auto"/>
                <w:sz w:val="21"/>
                <w:szCs w:val="21"/>
                <w:highlight w:val="none"/>
                <w:lang w:val="en-US" w:eastAsia="zh-CN"/>
              </w:rPr>
              <w:t>饮料</w:t>
            </w:r>
            <w:r>
              <w:rPr>
                <w:rFonts w:hint="default" w:ascii="Times New Roman" w:hAnsi="Times New Roman" w:cs="Times New Roman"/>
                <w:b w:val="0"/>
                <w:bCs/>
                <w:color w:val="auto"/>
                <w:sz w:val="21"/>
                <w:szCs w:val="21"/>
                <w:highlight w:val="none"/>
                <w:lang w:val="en-US" w:eastAsia="zh-CN"/>
              </w:rPr>
              <w:t>瓶，由输送线送入包装机工位，包装机根据预设规格，自动将塑封膜拉伸、包裹在成品</w:t>
            </w:r>
            <w:r>
              <w:rPr>
                <w:rFonts w:hint="eastAsia" w:ascii="Times New Roman" w:hAnsi="Times New Roman" w:cs="Times New Roman"/>
                <w:b w:val="0"/>
                <w:bCs/>
                <w:color w:val="auto"/>
                <w:sz w:val="21"/>
                <w:szCs w:val="21"/>
                <w:highlight w:val="none"/>
                <w:lang w:val="en-US" w:eastAsia="zh-CN"/>
              </w:rPr>
              <w:t>饮料</w:t>
            </w:r>
            <w:r>
              <w:rPr>
                <w:rFonts w:hint="default" w:ascii="Times New Roman" w:hAnsi="Times New Roman" w:cs="Times New Roman"/>
                <w:b w:val="0"/>
                <w:bCs/>
                <w:color w:val="auto"/>
                <w:sz w:val="21"/>
                <w:szCs w:val="21"/>
                <w:highlight w:val="none"/>
                <w:lang w:val="en-US" w:eastAsia="zh-CN"/>
              </w:rPr>
              <w:t>瓶表面，形成完整的包装膜套。包裹塑封膜后的成品，送入包装机的热收缩区域，通过电加热方式对塑封膜进行加热，塑封膜在高温作用下快速收缩，紧紧包裹在成品表面，形成平整、牢固、密封的包装，确保包装后产品不易破损、不易受潮；热收缩完成后，包装机自动裁剪多余的塑封膜边角料，成品经输送线送出，人工将包装好的产品整理、码放至托盘，送入成品仓库储存</w:t>
            </w:r>
            <w:r>
              <w:rPr>
                <w:rFonts w:hint="eastAsia" w:ascii="Times New Roman" w:hAnsi="Times New Roman" w:cs="Times New Roman"/>
                <w:b w:val="0"/>
                <w:bCs/>
                <w:color w:val="auto"/>
                <w:sz w:val="21"/>
                <w:szCs w:val="21"/>
                <w:highlight w:val="none"/>
                <w:lang w:val="en-US" w:eastAsia="zh-CN"/>
              </w:rPr>
              <w:t>待售</w:t>
            </w:r>
            <w:r>
              <w:rPr>
                <w:rFonts w:hint="default" w:ascii="Times New Roman" w:hAnsi="Times New Roman" w:cs="Times New Roman"/>
                <w:b w:val="0"/>
                <w:bCs/>
                <w:color w:val="auto"/>
                <w:sz w:val="21"/>
                <w:szCs w:val="21"/>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2" w:firstLineChars="200"/>
              <w:jc w:val="both"/>
              <w:textAlignment w:val="auto"/>
              <w:rPr>
                <w:rFonts w:hint="eastAsia" w:ascii="Times New Roman" w:hAnsi="Times New Roman" w:cs="Times New Roman"/>
                <w:b/>
                <w:bCs w:val="0"/>
                <w:color w:val="auto"/>
                <w:sz w:val="21"/>
                <w:szCs w:val="21"/>
                <w:highlight w:val="none"/>
                <w:lang w:val="en-US" w:eastAsia="zh-CN"/>
              </w:rPr>
            </w:pPr>
            <w:r>
              <w:rPr>
                <w:rFonts w:hint="eastAsia" w:ascii="Times New Roman" w:hAnsi="Times New Roman" w:cs="Times New Roman"/>
                <w:b/>
                <w:bCs w:val="0"/>
                <w:color w:val="auto"/>
                <w:sz w:val="21"/>
                <w:szCs w:val="21"/>
                <w:highlight w:val="none"/>
                <w:lang w:val="en-US" w:eastAsia="zh-CN"/>
              </w:rPr>
              <w:t>产污环节：包装过程中产生包装</w:t>
            </w:r>
            <w:r>
              <w:rPr>
                <w:rFonts w:hint="eastAsia" w:cs="Times New Roman"/>
                <w:b/>
                <w:bCs w:val="0"/>
                <w:color w:val="auto"/>
                <w:sz w:val="21"/>
                <w:szCs w:val="21"/>
                <w:highlight w:val="none"/>
                <w:lang w:val="en-US" w:eastAsia="zh-CN"/>
              </w:rPr>
              <w:t>缩膜</w:t>
            </w:r>
            <w:r>
              <w:rPr>
                <w:rFonts w:hint="eastAsia" w:ascii="Times New Roman" w:hAnsi="Times New Roman" w:cs="Times New Roman"/>
                <w:b/>
                <w:bCs w:val="0"/>
                <w:color w:val="auto"/>
                <w:sz w:val="21"/>
                <w:szCs w:val="21"/>
                <w:highlight w:val="none"/>
                <w:lang w:val="en-US" w:eastAsia="zh-CN"/>
              </w:rPr>
              <w:t>废气，</w:t>
            </w:r>
            <w:r>
              <w:rPr>
                <w:rFonts w:hint="eastAsia" w:cs="Times New Roman"/>
                <w:b/>
                <w:bCs w:val="0"/>
                <w:color w:val="auto"/>
                <w:sz w:val="21"/>
                <w:szCs w:val="21"/>
                <w:highlight w:val="none"/>
                <w:lang w:val="en-US" w:eastAsia="zh-CN"/>
              </w:rPr>
              <w:t>经设备上方集气罩收集后经二级活性炭吸附装置处理后经15m排气筒排放；</w:t>
            </w:r>
            <w:r>
              <w:rPr>
                <w:rFonts w:hint="eastAsia" w:ascii="Times New Roman" w:hAnsi="Times New Roman" w:cs="Times New Roman"/>
                <w:b/>
                <w:bCs w:val="0"/>
                <w:color w:val="auto"/>
                <w:sz w:val="21"/>
                <w:szCs w:val="21"/>
                <w:highlight w:val="none"/>
                <w:lang w:val="en-US" w:eastAsia="zh-CN"/>
              </w:rPr>
              <w:t>塑封膜裁剪过程中产生废塑封膜边角料</w:t>
            </w:r>
            <w:r>
              <w:rPr>
                <w:rFonts w:hint="eastAsia" w:cs="Times New Roman"/>
                <w:b/>
                <w:bCs w:val="0"/>
                <w:color w:val="auto"/>
                <w:sz w:val="21"/>
                <w:szCs w:val="21"/>
                <w:highlight w:val="none"/>
                <w:lang w:val="en-US" w:eastAsia="zh-CN"/>
              </w:rPr>
              <w:t>，收集后定期外售至物资回收公司回收利用</w:t>
            </w:r>
            <w:r>
              <w:rPr>
                <w:rFonts w:hint="eastAsia" w:ascii="Times New Roman" w:hAnsi="Times New Roman" w:cs="Times New Roman"/>
                <w:b/>
                <w:bCs w:val="0"/>
                <w:color w:val="auto"/>
                <w:sz w:val="21"/>
                <w:szCs w:val="21"/>
                <w:highlight w:val="none"/>
                <w:lang w:val="en-US" w:eastAsia="zh-CN"/>
              </w:rPr>
              <w:t>。</w:t>
            </w:r>
          </w:p>
          <w:p>
            <w:pPr>
              <w:keepNext w:val="0"/>
              <w:keepLines w:val="0"/>
              <w:suppressLineNumbers w:val="0"/>
              <w:spacing w:before="0" w:beforeAutospacing="0" w:after="0" w:afterAutospacing="0" w:line="360" w:lineRule="auto"/>
              <w:ind w:left="0" w:right="0" w:firstLine="422" w:firstLineChars="200"/>
              <w:rPr>
                <w:rFonts w:hint="default" w:ascii="Times New Roman" w:hAnsi="Times New Roman" w:cs="Times New Roman"/>
                <w:b/>
                <w:bCs/>
                <w:color w:val="auto"/>
                <w:sz w:val="21"/>
                <w:szCs w:val="21"/>
                <w:highlight w:val="none"/>
                <w:lang w:val="en-US" w:eastAsia="zh-CN"/>
              </w:rPr>
            </w:pPr>
            <w:r>
              <w:rPr>
                <w:rFonts w:hint="eastAsia" w:cs="Times New Roman"/>
                <w:b/>
                <w:bCs/>
                <w:color w:val="auto"/>
                <w:sz w:val="21"/>
                <w:szCs w:val="21"/>
                <w:highlight w:val="none"/>
                <w:lang w:val="en-US" w:eastAsia="zh-CN"/>
              </w:rPr>
              <w:t>（4）</w:t>
            </w:r>
            <w:r>
              <w:rPr>
                <w:rFonts w:hint="default" w:ascii="Times New Roman" w:hAnsi="Times New Roman" w:cs="Times New Roman"/>
                <w:b/>
                <w:bCs/>
                <w:color w:val="auto"/>
                <w:sz w:val="21"/>
                <w:szCs w:val="21"/>
                <w:highlight w:val="none"/>
                <w:lang w:val="en-US" w:eastAsia="zh-CN"/>
              </w:rPr>
              <w:t>包装饮用水</w:t>
            </w:r>
          </w:p>
          <w:p>
            <w:pPr>
              <w:pStyle w:val="16"/>
              <w:spacing w:line="360" w:lineRule="auto"/>
              <w:jc w:val="center"/>
              <w:rPr>
                <w:rFonts w:hint="default" w:ascii="Times New Roman" w:hAnsi="Times New Roman" w:cs="Times New Roman"/>
                <w:b/>
                <w:bCs/>
                <w:color w:val="auto"/>
                <w:sz w:val="21"/>
                <w:szCs w:val="21"/>
                <w:highlight w:val="none"/>
                <w:lang w:val="en-US" w:eastAsia="zh-CN"/>
              </w:rPr>
            </w:pPr>
            <w:r>
              <w:rPr>
                <w:rFonts w:hint="eastAsia" w:ascii="Times New Roman" w:hAnsi="Times New Roman" w:cs="Times New Roman"/>
                <w:b/>
                <w:bCs w:val="0"/>
                <w:color w:val="auto"/>
                <w:sz w:val="21"/>
                <w:szCs w:val="21"/>
                <w:highlight w:val="none"/>
                <w:lang w:val="en-US" w:eastAsia="zh-CN"/>
              </w:rPr>
              <w:object>
                <v:shape id="_x0000_i1029" o:spt="75" type="#_x0000_t75" style="height:204.1pt;width:406.85pt;" o:ole="t" filled="f" o:preferrelative="t" stroked="f" coordsize="21600,21600">
                  <v:path/>
                  <v:fill on="f" focussize="0,0"/>
                  <v:stroke on="f"/>
                  <v:imagedata r:id="rId18" o:title=""/>
                  <o:lock v:ext="edit" aspectratio="t"/>
                  <w10:wrap type="none"/>
                  <w10:anchorlock/>
                </v:shape>
                <o:OLEObject Type="Embed" ProgID="Visio.Drawing.11" ShapeID="_x0000_i1029" DrawAspect="Content" ObjectID="_1468075729" r:id="rId17">
                  <o:LockedField>false</o:LockedField>
                </o:OLEObject>
              </w:object>
            </w:r>
            <w:r>
              <w:rPr>
                <w:rFonts w:hint="default" w:ascii="Times New Roman" w:hAnsi="Times New Roman" w:cs="Times New Roman"/>
                <w:b/>
                <w:bCs/>
                <w:color w:val="auto"/>
                <w:sz w:val="21"/>
                <w:szCs w:val="21"/>
                <w:highlight w:val="none"/>
                <w:lang w:val="en-US" w:eastAsia="zh-CN"/>
              </w:rPr>
              <w:t>图2-</w:t>
            </w:r>
            <w:r>
              <w:rPr>
                <w:rFonts w:hint="eastAsia" w:cs="Times New Roman"/>
                <w:b/>
                <w:bCs/>
                <w:color w:val="auto"/>
                <w:sz w:val="21"/>
                <w:szCs w:val="21"/>
                <w:highlight w:val="none"/>
                <w:lang w:val="en-US" w:eastAsia="zh-CN"/>
              </w:rPr>
              <w:t>5</w:t>
            </w:r>
            <w:r>
              <w:rPr>
                <w:rFonts w:hint="default" w:ascii="Times New Roman" w:hAnsi="Times New Roman" w:cs="Times New Roman"/>
                <w:b/>
                <w:bCs/>
                <w:color w:val="auto"/>
                <w:sz w:val="21"/>
                <w:szCs w:val="21"/>
                <w:highlight w:val="none"/>
                <w:lang w:val="en-US" w:eastAsia="zh-CN"/>
              </w:rPr>
              <w:t xml:space="preserve"> </w:t>
            </w:r>
            <w:r>
              <w:rPr>
                <w:rFonts w:hint="eastAsia" w:cs="Times New Roman"/>
                <w:b/>
                <w:bCs/>
                <w:color w:val="auto"/>
                <w:sz w:val="21"/>
                <w:szCs w:val="21"/>
                <w:highlight w:val="none"/>
                <w:lang w:val="en-US" w:eastAsia="zh-CN"/>
              </w:rPr>
              <w:t>本项目</w:t>
            </w:r>
            <w:r>
              <w:rPr>
                <w:rFonts w:hint="default" w:ascii="Times New Roman" w:hAnsi="Times New Roman" w:cs="Times New Roman"/>
                <w:b/>
                <w:bCs/>
                <w:color w:val="auto"/>
                <w:sz w:val="21"/>
                <w:szCs w:val="21"/>
                <w:highlight w:val="none"/>
                <w:lang w:val="en-US" w:eastAsia="zh-CN"/>
              </w:rPr>
              <w:t>包装饮用水生产工艺流程</w:t>
            </w:r>
            <w:r>
              <w:rPr>
                <w:rFonts w:hint="eastAsia" w:cs="Times New Roman"/>
                <w:b/>
                <w:bCs/>
                <w:color w:val="auto"/>
                <w:sz w:val="21"/>
                <w:szCs w:val="21"/>
                <w:highlight w:val="none"/>
                <w:lang w:val="en-US" w:eastAsia="zh-CN"/>
              </w:rPr>
              <w:t>及产污环节</w:t>
            </w:r>
            <w:r>
              <w:rPr>
                <w:rFonts w:hint="default" w:ascii="Times New Roman" w:hAnsi="Times New Roman" w:cs="Times New Roman"/>
                <w:b/>
                <w:bCs/>
                <w:color w:val="auto"/>
                <w:sz w:val="21"/>
                <w:szCs w:val="21"/>
                <w:highlight w:val="none"/>
                <w:lang w:val="en-US" w:eastAsia="zh-CN"/>
              </w:rPr>
              <w:t>图</w:t>
            </w:r>
          </w:p>
          <w:p>
            <w:pPr>
              <w:keepNext w:val="0"/>
              <w:keepLines w:val="0"/>
              <w:suppressLineNumbers w:val="0"/>
              <w:spacing w:before="0" w:beforeAutospacing="0" w:after="0" w:afterAutospacing="0" w:line="360" w:lineRule="auto"/>
              <w:ind w:left="0" w:right="0" w:firstLine="420" w:firstLineChars="20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本项目</w:t>
            </w:r>
            <w:r>
              <w:rPr>
                <w:rFonts w:hint="eastAsia" w:cs="Times New Roman"/>
                <w:color w:val="auto"/>
                <w:sz w:val="21"/>
                <w:szCs w:val="21"/>
                <w:highlight w:val="none"/>
                <w:lang w:val="en-US" w:eastAsia="zh-CN"/>
              </w:rPr>
              <w:t>包装饮用水</w:t>
            </w:r>
            <w:r>
              <w:rPr>
                <w:rFonts w:hint="default" w:ascii="Times New Roman" w:hAnsi="Times New Roman" w:eastAsia="宋体" w:cs="Times New Roman"/>
                <w:color w:val="auto"/>
                <w:sz w:val="21"/>
                <w:szCs w:val="21"/>
                <w:highlight w:val="none"/>
                <w:lang w:val="en-US" w:eastAsia="zh-CN"/>
              </w:rPr>
              <w:t>生产以自来水为基础水源，经过滤、反渗透等深度处理制成纯水</w:t>
            </w:r>
            <w:r>
              <w:rPr>
                <w:rFonts w:hint="eastAsia"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随后依次</w:t>
            </w:r>
            <w:r>
              <w:rPr>
                <w:rFonts w:hint="eastAsia" w:cs="Times New Roman"/>
                <w:color w:val="auto"/>
                <w:sz w:val="21"/>
                <w:szCs w:val="21"/>
                <w:highlight w:val="none"/>
                <w:lang w:val="en-US" w:eastAsia="zh-CN"/>
              </w:rPr>
              <w:t>经过杀菌、</w:t>
            </w:r>
            <w:r>
              <w:rPr>
                <w:rFonts w:hint="default" w:ascii="Times New Roman" w:hAnsi="Times New Roman" w:eastAsia="宋体" w:cs="Times New Roman"/>
                <w:color w:val="auto"/>
                <w:sz w:val="21"/>
                <w:szCs w:val="21"/>
                <w:highlight w:val="none"/>
                <w:lang w:val="en-US" w:eastAsia="zh-CN"/>
              </w:rPr>
              <w:t>灌装、品检、激光喷码、贴标、灯检、包装等工序</w:t>
            </w:r>
            <w:r>
              <w:rPr>
                <w:rFonts w:hint="eastAsia" w:cs="Times New Roman"/>
                <w:color w:val="auto"/>
                <w:sz w:val="21"/>
                <w:szCs w:val="21"/>
                <w:highlight w:val="none"/>
                <w:lang w:val="en-US" w:eastAsia="zh-CN"/>
              </w:rPr>
              <w:t>进行生产</w:t>
            </w:r>
            <w:r>
              <w:rPr>
                <w:rFonts w:hint="default" w:ascii="Times New Roman" w:hAnsi="Times New Roman" w:eastAsia="宋体" w:cs="Times New Roman"/>
                <w:color w:val="auto"/>
                <w:sz w:val="21"/>
                <w:szCs w:val="21"/>
                <w:highlight w:val="none"/>
                <w:lang w:val="en-US" w:eastAsia="zh-CN"/>
              </w:rPr>
              <w:t>，最终制成合格产品入库待售。全生产流程以物理处理为主</w:t>
            </w:r>
            <w:r>
              <w:rPr>
                <w:rFonts w:hint="eastAsia" w:cs="Times New Roman"/>
                <w:color w:val="auto"/>
                <w:sz w:val="21"/>
                <w:szCs w:val="21"/>
                <w:highlight w:val="none"/>
                <w:lang w:val="en-US" w:eastAsia="zh-CN"/>
              </w:rPr>
              <w:t>，具体工艺流程说明如下：</w:t>
            </w:r>
          </w:p>
          <w:p>
            <w:pPr>
              <w:keepNext w:val="0"/>
              <w:keepLines w:val="0"/>
              <w:suppressLineNumbers w:val="0"/>
              <w:spacing w:before="0" w:beforeAutospacing="0" w:after="0" w:afterAutospacing="0" w:line="360" w:lineRule="auto"/>
              <w:ind w:left="0" w:right="0" w:firstLine="420" w:firstLineChars="200"/>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①水处理（过滤+反渗透）</w:t>
            </w:r>
          </w:p>
          <w:p>
            <w:pPr>
              <w:keepNext w:val="0"/>
              <w:keepLines w:val="0"/>
              <w:suppressLineNumbers w:val="0"/>
              <w:spacing w:before="0" w:beforeAutospacing="0" w:after="0" w:afterAutospacing="0" w:line="360" w:lineRule="auto"/>
              <w:ind w:left="0" w:right="0" w:firstLine="420" w:firstLineChars="200"/>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自来水经市政供水管网输送至厂区原水箱，储存后由输送泵送入多介质过滤器（滤料为石英砂、活性炭），采用自上而下的过滤方式，去除自来水中的大颗粒悬浮物、泥沙、胶体、余氯、异味及部分小分子有机物；过滤合格后的水送入纸膜过滤器（过滤介质为食品级纤维素滤纸，孔径0.5-5μm），在0.15-0.25MPa压力下，通过滤纸的筛分与吸附作用，进一步去除水中的微小悬浮颗粒、胶体及部分细菌，避免杂质划伤、堵塞后续反渗透膜。经纸膜过滤合格的水，送入两级反渗透（RO）设备，在1.0-1.5MPa（一级）、0.8-1.2MPa（二级）高压作用下，水通过反渗透膜，实现水与水中杂质（重金属离子、可溶性盐、残留微生物、小分子有机物等）的分离，透过膜的水即为纯水，送入无菌储水罐储存，用于后续灌装；未透过膜的浓水，经管道汇入反冲洗废水收集系统，一并送入污水处理站处理。</w:t>
            </w:r>
          </w:p>
          <w:p>
            <w:pPr>
              <w:keepNext w:val="0"/>
              <w:keepLines w:val="0"/>
              <w:suppressLineNumbers w:val="0"/>
              <w:spacing w:before="0" w:beforeAutospacing="0" w:after="0" w:afterAutospacing="0" w:line="360" w:lineRule="auto"/>
              <w:ind w:left="0" w:right="0" w:firstLine="422" w:firstLineChars="200"/>
              <w:rPr>
                <w:rFonts w:hint="default" w:ascii="Times New Roman" w:hAnsi="Times New Roman" w:eastAsia="宋体" w:cs="Times New Roman"/>
                <w:b/>
                <w:bCs/>
                <w:color w:val="auto"/>
                <w:sz w:val="21"/>
                <w:szCs w:val="21"/>
                <w:highlight w:val="none"/>
                <w:lang w:val="en-US" w:eastAsia="zh-CN"/>
              </w:rPr>
            </w:pPr>
            <w:r>
              <w:rPr>
                <w:rFonts w:hint="eastAsia" w:cs="Times New Roman"/>
                <w:b/>
                <w:bCs/>
                <w:color w:val="auto"/>
                <w:sz w:val="21"/>
                <w:szCs w:val="21"/>
                <w:highlight w:val="none"/>
                <w:lang w:val="en-US" w:eastAsia="zh-CN"/>
              </w:rPr>
              <w:t>产污环节：水处理过程中产生反渗透浓水；过滤材料定期更换产生废过滤材料（含废石英砂、废活性炭、废过滤纸、废反渗透膜等，统一称为废过滤材料），收集后暂存在厂内一般固废暂存间内，定期交由设备厂家回收处置。</w:t>
            </w:r>
          </w:p>
          <w:p>
            <w:pPr>
              <w:keepNext w:val="0"/>
              <w:keepLines w:val="0"/>
              <w:suppressLineNumbers w:val="0"/>
              <w:spacing w:before="0" w:beforeAutospacing="0" w:after="0" w:afterAutospacing="0" w:line="360" w:lineRule="auto"/>
              <w:ind w:left="0" w:right="0" w:firstLine="420" w:firstLineChars="200"/>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②杀菌</w:t>
            </w:r>
          </w:p>
          <w:p>
            <w:pPr>
              <w:keepNext w:val="0"/>
              <w:keepLines w:val="0"/>
              <w:suppressLineNumbers w:val="0"/>
              <w:spacing w:before="0" w:beforeAutospacing="0" w:after="0" w:afterAutospacing="0" w:line="360" w:lineRule="auto"/>
              <w:ind w:left="0" w:right="0" w:firstLine="420" w:firstLineChars="200"/>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无菌储水罐内的纯水经输送泵送入杀菌系统，采用“臭氧杀菌+紫外线消毒”组合工艺：先通过臭氧发生器向水体投加0.3-0.5mg/L臭氧，接触反应5-10分钟，杀灭水中微生物；再经紫外线杀菌器（波长254nm，功率30-50W）二次消毒，确保水体无菌。</w:t>
            </w:r>
          </w:p>
          <w:p>
            <w:pPr>
              <w:keepNext w:val="0"/>
              <w:keepLines w:val="0"/>
              <w:suppressLineNumbers w:val="0"/>
              <w:spacing w:before="0" w:beforeAutospacing="0" w:after="0" w:afterAutospacing="0" w:line="360" w:lineRule="auto"/>
              <w:ind w:left="0" w:right="0" w:firstLine="420" w:firstLineChars="200"/>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③灌装</w:t>
            </w:r>
          </w:p>
          <w:p>
            <w:pPr>
              <w:keepNext w:val="0"/>
              <w:keepLines w:val="0"/>
              <w:suppressLineNumbers w:val="0"/>
              <w:spacing w:before="0" w:beforeAutospacing="0" w:after="0" w:afterAutospacing="0" w:line="360" w:lineRule="auto"/>
              <w:ind w:left="0" w:right="0" w:firstLine="420" w:firstLineChars="200"/>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项目灌装工序采用无菌灌装模式，使用自制PET瓶进行灌装：空瓶经密闭输送线送入无菌灌装机进料端，灌装机根据产品规格自动调整灌装参数，通过定量灌装阀将无菌纯水精准注入空瓶内，灌装速度均匀控制，避免产生泡沫，确保每瓶充装量误差≤±2%；灌装完成后，空瓶立即进入旋盖工位，由自动旋盖机将无菌瓶盖旋紧，旋盖扭矩自动校准，确保密封严密，防止储存过程中漏气、污染；旋盖完成后，经输送线送入下一品检工序。</w:t>
            </w:r>
          </w:p>
          <w:p>
            <w:pPr>
              <w:keepNext w:val="0"/>
              <w:keepLines w:val="0"/>
              <w:suppressLineNumbers w:val="0"/>
              <w:spacing w:before="0" w:beforeAutospacing="0" w:after="0" w:afterAutospacing="0" w:line="360" w:lineRule="auto"/>
              <w:ind w:left="0" w:right="0" w:firstLine="420" w:firstLineChars="200"/>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④品检</w:t>
            </w:r>
          </w:p>
          <w:p>
            <w:pPr>
              <w:keepNext w:val="0"/>
              <w:keepLines w:val="0"/>
              <w:suppressLineNumbers w:val="0"/>
              <w:spacing w:before="0" w:beforeAutospacing="0" w:after="0" w:afterAutospacing="0" w:line="360" w:lineRule="auto"/>
              <w:ind w:left="0" w:right="0" w:firstLine="420" w:firstLineChars="200"/>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经灌装、旋盖后的水瓶，由输送线连续送入视觉检测机，检测机通过高清摄像头捕捉瓶身、瓶盖及瓶内水体的图像信息，自动识别不合格产品，具体检测指标包括：灌装量偏差超标、瓶盖未旋紧、瓶盖歪斜、瓶身破损、瓶内有明显气泡等；对于视觉检测机识别的不合格产品，设备自动触发剔除装置，将其推送至不合格品收集箱，进行单独存放。</w:t>
            </w:r>
          </w:p>
          <w:p>
            <w:pPr>
              <w:keepNext w:val="0"/>
              <w:keepLines w:val="0"/>
              <w:suppressLineNumbers w:val="0"/>
              <w:spacing w:before="0" w:beforeAutospacing="0" w:after="0" w:afterAutospacing="0" w:line="360" w:lineRule="auto"/>
              <w:ind w:left="0" w:right="0" w:firstLine="422" w:firstLineChars="200"/>
              <w:rPr>
                <w:rFonts w:hint="eastAsia" w:cs="Times New Roman"/>
                <w:b/>
                <w:bCs/>
                <w:color w:val="auto"/>
                <w:sz w:val="21"/>
                <w:szCs w:val="21"/>
                <w:highlight w:val="none"/>
                <w:lang w:val="en-US" w:eastAsia="zh-CN"/>
              </w:rPr>
            </w:pPr>
            <w:r>
              <w:rPr>
                <w:rFonts w:hint="eastAsia" w:cs="Times New Roman"/>
                <w:b/>
                <w:bCs/>
                <w:color w:val="auto"/>
                <w:sz w:val="21"/>
                <w:szCs w:val="21"/>
                <w:highlight w:val="none"/>
                <w:lang w:val="en-US" w:eastAsia="zh-CN"/>
              </w:rPr>
              <w:t>产污环节：品检过程产生不合格品，</w:t>
            </w:r>
            <w:r>
              <w:rPr>
                <w:rFonts w:hint="eastAsia" w:cs="Times New Roman"/>
                <w:b/>
                <w:bCs w:val="0"/>
                <w:color w:val="auto"/>
                <w:sz w:val="21"/>
                <w:szCs w:val="21"/>
                <w:highlight w:val="none"/>
                <w:lang w:val="en-US" w:eastAsia="zh-CN"/>
              </w:rPr>
              <w:t>不合格品经过滤后消毒杀菌重新灌装，不外排</w:t>
            </w:r>
            <w:r>
              <w:rPr>
                <w:rFonts w:hint="eastAsia" w:ascii="Times New Roman" w:hAnsi="Times New Roman" w:cs="Times New Roman"/>
                <w:b/>
                <w:bCs w:val="0"/>
                <w:color w:val="auto"/>
                <w:sz w:val="21"/>
                <w:szCs w:val="21"/>
                <w:highlight w:val="none"/>
                <w:lang w:val="en-US" w:eastAsia="zh-CN"/>
              </w:rPr>
              <w:t>。</w:t>
            </w:r>
          </w:p>
          <w:p>
            <w:pPr>
              <w:keepNext w:val="0"/>
              <w:keepLines w:val="0"/>
              <w:suppressLineNumbers w:val="0"/>
              <w:spacing w:before="0" w:beforeAutospacing="0" w:after="0" w:afterAutospacing="0" w:line="360" w:lineRule="auto"/>
              <w:ind w:left="0" w:right="0" w:firstLine="420" w:firstLineChars="200"/>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⑤激光喷码、贴标</w:t>
            </w:r>
          </w:p>
          <w:p>
            <w:pPr>
              <w:keepNext w:val="0"/>
              <w:keepLines w:val="0"/>
              <w:suppressLineNumbers w:val="0"/>
              <w:spacing w:before="0" w:beforeAutospacing="0" w:after="0" w:afterAutospacing="0" w:line="360" w:lineRule="auto"/>
              <w:ind w:left="0" w:right="0" w:firstLine="420" w:firstLineChars="200"/>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经品检合格的水瓶，由输送线匀速送入激光喷码机工位，输送线速度与喷码机喷码速度自动同步，确保喷码位置准确。喷码前，喷码机自动调试喷码清晰度、字体大小，确认无误后，利用激光高温灼烧效应，在瓶身/瓶盖表面形成清晰、永久的喷码标识（含生产日期、批号、保质期），喷码无模糊、无漏喷、无错喷；喷码完成后，通过输送线送入下一道贴标工序。</w:t>
            </w:r>
          </w:p>
          <w:p>
            <w:pPr>
              <w:keepNext w:val="0"/>
              <w:keepLines w:val="0"/>
              <w:suppressLineNumbers w:val="0"/>
              <w:spacing w:before="0" w:beforeAutospacing="0" w:after="0" w:afterAutospacing="0" w:line="360" w:lineRule="auto"/>
              <w:ind w:left="0" w:right="0" w:firstLine="420" w:firstLineChars="200"/>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经激光喷码的水瓶，由输送线送入套标机工位，套标机自动将标签从标签仓拉出，套在瓶身指定位置；套标完成后，水瓶进入热收缩通道。热收缩通道采用电加热方式，预设热收缩温度为</w:t>
            </w:r>
            <w:r>
              <w:rPr>
                <w:rFonts w:hint="eastAsia" w:ascii="Times New Roman" w:hAnsi="Times New Roman" w:cs="Times New Roman"/>
                <w:color w:val="auto"/>
                <w:sz w:val="21"/>
                <w:szCs w:val="21"/>
                <w:highlight w:val="none"/>
                <w:lang w:val="en-US" w:eastAsia="zh-CN"/>
              </w:rPr>
              <w:t>80~</w:t>
            </w:r>
            <w:r>
              <w:rPr>
                <w:rFonts w:hint="default" w:ascii="Times New Roman" w:hAnsi="Times New Roman" w:cs="Times New Roman"/>
                <w:color w:val="auto"/>
                <w:sz w:val="21"/>
                <w:szCs w:val="21"/>
                <w:highlight w:val="none"/>
                <w:lang w:val="en-US" w:eastAsia="zh-CN"/>
              </w:rPr>
              <w:t>1</w:t>
            </w:r>
            <w:r>
              <w:rPr>
                <w:rFonts w:hint="eastAsia" w:ascii="Times New Roman" w:hAnsi="Times New Roman" w:cs="Times New Roman"/>
                <w:color w:val="auto"/>
                <w:sz w:val="21"/>
                <w:szCs w:val="21"/>
                <w:highlight w:val="none"/>
                <w:lang w:val="en-US" w:eastAsia="zh-CN"/>
              </w:rPr>
              <w:t>0</w:t>
            </w:r>
            <w:r>
              <w:rPr>
                <w:rFonts w:hint="default" w:ascii="Times New Roman" w:hAnsi="Times New Roman" w:cs="Times New Roman"/>
                <w:color w:val="auto"/>
                <w:sz w:val="21"/>
                <w:szCs w:val="21"/>
                <w:highlight w:val="none"/>
                <w:lang w:val="en-US" w:eastAsia="zh-CN"/>
              </w:rPr>
              <w:t>0℃，水瓶匀速通过通道，标签在高温作用下快速收缩，紧密贴合在瓶身表面，确保标签规整、无气泡、无褶皱、不易脱落；贴标后产品送入下一道灯检工序。</w:t>
            </w:r>
          </w:p>
          <w:p>
            <w:pPr>
              <w:keepNext w:val="0"/>
              <w:keepLines w:val="0"/>
              <w:suppressLineNumbers w:val="0"/>
              <w:spacing w:before="0" w:beforeAutospacing="0" w:after="0" w:afterAutospacing="0" w:line="360" w:lineRule="auto"/>
              <w:ind w:left="0" w:right="0" w:firstLine="420" w:firstLineChars="200"/>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⑥灯检</w:t>
            </w:r>
          </w:p>
          <w:p>
            <w:pPr>
              <w:keepNext w:val="0"/>
              <w:keepLines w:val="0"/>
              <w:suppressLineNumbers w:val="0"/>
              <w:spacing w:before="0" w:beforeAutospacing="0" w:after="0" w:afterAutospacing="0" w:line="360" w:lineRule="auto"/>
              <w:ind w:left="0" w:right="0" w:firstLine="420" w:firstLineChars="200"/>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经贴标后的水瓶由输送线送入灯检工位，操作人员坐在灯检台前，逐一对每瓶饮用水进行人工检测，具体检测指标包括：瓶内水位是否符合灌装规格、瓶内是否存在异物（如微小杂质、毛发等）、瓶身喷码是否完整清晰（无漏喷、错喷、模糊）、瓶身标签是否规整牢固（无褶皱、脱落、歪斜）、瓶身及瓶盖是否破损、密封是否严密等。检测过程中，发现不合格产品，立即将其从输送线上取出，送入不合格品收集箱，进行集中处置；合格产品则放入合格产品输送线，送入下一道包装工序。</w:t>
            </w:r>
          </w:p>
          <w:p>
            <w:pPr>
              <w:keepNext w:val="0"/>
              <w:keepLines w:val="0"/>
              <w:suppressLineNumbers w:val="0"/>
              <w:spacing w:before="0" w:beforeAutospacing="0" w:after="0" w:afterAutospacing="0" w:line="360" w:lineRule="auto"/>
              <w:ind w:left="0" w:right="0" w:firstLine="422" w:firstLineChars="200"/>
              <w:rPr>
                <w:rFonts w:hint="eastAsia" w:cs="Times New Roman"/>
                <w:b/>
                <w:bCs/>
                <w:color w:val="auto"/>
                <w:sz w:val="21"/>
                <w:szCs w:val="21"/>
                <w:highlight w:val="none"/>
                <w:lang w:val="en-US" w:eastAsia="zh-CN"/>
              </w:rPr>
            </w:pPr>
            <w:r>
              <w:rPr>
                <w:rFonts w:hint="eastAsia" w:cs="Times New Roman"/>
                <w:b/>
                <w:bCs/>
                <w:color w:val="auto"/>
                <w:sz w:val="21"/>
                <w:szCs w:val="21"/>
                <w:highlight w:val="none"/>
                <w:lang w:val="en-US" w:eastAsia="zh-CN"/>
              </w:rPr>
              <w:t>产污环节：灯检过程产生不合格品，</w:t>
            </w:r>
            <w:r>
              <w:rPr>
                <w:rFonts w:hint="eastAsia" w:cs="Times New Roman"/>
                <w:b/>
                <w:bCs w:val="0"/>
                <w:color w:val="auto"/>
                <w:sz w:val="21"/>
                <w:szCs w:val="21"/>
                <w:highlight w:val="none"/>
                <w:lang w:val="en-US" w:eastAsia="zh-CN"/>
              </w:rPr>
              <w:t>不合格品经过滤后消毒杀菌重新灌装，不外排</w:t>
            </w:r>
            <w:r>
              <w:rPr>
                <w:rFonts w:hint="eastAsia" w:cs="Times New Roman"/>
                <w:b/>
                <w:bCs/>
                <w:color w:val="auto"/>
                <w:sz w:val="21"/>
                <w:szCs w:val="21"/>
                <w:highlight w:val="none"/>
                <w:lang w:val="en-US" w:eastAsia="zh-CN"/>
              </w:rPr>
              <w:t>。</w:t>
            </w:r>
          </w:p>
          <w:p>
            <w:pPr>
              <w:keepNext w:val="0"/>
              <w:keepLines w:val="0"/>
              <w:suppressLineNumbers w:val="0"/>
              <w:spacing w:before="0" w:beforeAutospacing="0" w:after="0" w:afterAutospacing="0" w:line="360" w:lineRule="auto"/>
              <w:ind w:left="0" w:right="0" w:firstLine="420" w:firstLineChars="200"/>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⑦包装</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jc w:val="both"/>
              <w:textAlignment w:val="auto"/>
              <w:rPr>
                <w:rFonts w:hint="default" w:ascii="Times New Roman" w:hAnsi="Times New Roman" w:cs="Times New Roman"/>
                <w:b w:val="0"/>
                <w:bCs/>
                <w:color w:val="auto"/>
                <w:sz w:val="21"/>
                <w:szCs w:val="21"/>
                <w:highlight w:val="none"/>
                <w:lang w:val="en-US" w:eastAsia="zh-CN"/>
              </w:rPr>
            </w:pPr>
            <w:r>
              <w:rPr>
                <w:rFonts w:hint="default" w:ascii="Times New Roman" w:hAnsi="Times New Roman" w:cs="Times New Roman"/>
                <w:b w:val="0"/>
                <w:bCs/>
                <w:color w:val="auto"/>
                <w:sz w:val="21"/>
                <w:szCs w:val="21"/>
                <w:highlight w:val="none"/>
                <w:lang w:val="en-US" w:eastAsia="zh-CN"/>
              </w:rPr>
              <w:t>经灯检合格的成品</w:t>
            </w:r>
            <w:r>
              <w:rPr>
                <w:rFonts w:hint="eastAsia" w:cs="Times New Roman"/>
                <w:b w:val="0"/>
                <w:bCs/>
                <w:color w:val="auto"/>
                <w:sz w:val="21"/>
                <w:szCs w:val="21"/>
                <w:highlight w:val="none"/>
                <w:lang w:val="en-US" w:eastAsia="zh-CN"/>
              </w:rPr>
              <w:t>水</w:t>
            </w:r>
            <w:r>
              <w:rPr>
                <w:rFonts w:hint="default" w:ascii="Times New Roman" w:hAnsi="Times New Roman" w:cs="Times New Roman"/>
                <w:b w:val="0"/>
                <w:bCs/>
                <w:color w:val="auto"/>
                <w:sz w:val="21"/>
                <w:szCs w:val="21"/>
                <w:highlight w:val="none"/>
                <w:lang w:val="en-US" w:eastAsia="zh-CN"/>
              </w:rPr>
              <w:t>瓶，由输送线送入包装机工位，包装机根据预设规格，自动将塑封膜拉伸、包裹在成品</w:t>
            </w:r>
            <w:r>
              <w:rPr>
                <w:rFonts w:hint="eastAsia" w:cs="Times New Roman"/>
                <w:b w:val="0"/>
                <w:bCs/>
                <w:color w:val="auto"/>
                <w:sz w:val="21"/>
                <w:szCs w:val="21"/>
                <w:highlight w:val="none"/>
                <w:lang w:val="en-US" w:eastAsia="zh-CN"/>
              </w:rPr>
              <w:t>水</w:t>
            </w:r>
            <w:r>
              <w:rPr>
                <w:rFonts w:hint="default" w:ascii="Times New Roman" w:hAnsi="Times New Roman" w:cs="Times New Roman"/>
                <w:b w:val="0"/>
                <w:bCs/>
                <w:color w:val="auto"/>
                <w:sz w:val="21"/>
                <w:szCs w:val="21"/>
                <w:highlight w:val="none"/>
                <w:lang w:val="en-US" w:eastAsia="zh-CN"/>
              </w:rPr>
              <w:t>瓶表面，形成完整的包装膜套。包裹塑封膜后的成品，送入包装机的热收缩区域，通过电加热方式对塑封膜进行加热，塑封膜在高温作用下快速收缩，紧紧包裹在成品表面，形成平整、牢固、密封的包装，确保包装后产品不易破损、不易受潮；热收缩完成后，包装机自动裁剪多余的塑封膜边角料，成品经输送线送出，人工将包装好的产品整理、码放至托盘，送入成品仓库储存</w:t>
            </w:r>
            <w:r>
              <w:rPr>
                <w:rFonts w:hint="eastAsia" w:ascii="Times New Roman" w:hAnsi="Times New Roman" w:cs="Times New Roman"/>
                <w:b w:val="0"/>
                <w:bCs/>
                <w:color w:val="auto"/>
                <w:sz w:val="21"/>
                <w:szCs w:val="21"/>
                <w:highlight w:val="none"/>
                <w:lang w:val="en-US" w:eastAsia="zh-CN"/>
              </w:rPr>
              <w:t>待售</w:t>
            </w:r>
            <w:r>
              <w:rPr>
                <w:rFonts w:hint="default" w:ascii="Times New Roman" w:hAnsi="Times New Roman" w:cs="Times New Roman"/>
                <w:b w:val="0"/>
                <w:bCs/>
                <w:color w:val="auto"/>
                <w:sz w:val="21"/>
                <w:szCs w:val="21"/>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2" w:firstLineChars="200"/>
              <w:jc w:val="both"/>
              <w:textAlignment w:val="auto"/>
              <w:rPr>
                <w:rFonts w:hint="eastAsia" w:ascii="Times New Roman" w:hAnsi="Times New Roman" w:cs="Times New Roman"/>
                <w:b/>
                <w:bCs w:val="0"/>
                <w:color w:val="auto"/>
                <w:sz w:val="21"/>
                <w:szCs w:val="21"/>
                <w:highlight w:val="none"/>
                <w:lang w:val="en-US" w:eastAsia="zh-CN"/>
              </w:rPr>
            </w:pPr>
            <w:r>
              <w:rPr>
                <w:rFonts w:hint="eastAsia" w:ascii="Times New Roman" w:hAnsi="Times New Roman" w:cs="Times New Roman"/>
                <w:b/>
                <w:bCs w:val="0"/>
                <w:color w:val="auto"/>
                <w:sz w:val="21"/>
                <w:szCs w:val="21"/>
                <w:highlight w:val="none"/>
                <w:lang w:val="en-US" w:eastAsia="zh-CN"/>
              </w:rPr>
              <w:t>产污环节：包装过程中产生包装</w:t>
            </w:r>
            <w:r>
              <w:rPr>
                <w:rFonts w:hint="eastAsia" w:cs="Times New Roman"/>
                <w:b/>
                <w:bCs w:val="0"/>
                <w:color w:val="auto"/>
                <w:sz w:val="21"/>
                <w:szCs w:val="21"/>
                <w:highlight w:val="none"/>
                <w:lang w:val="en-US" w:eastAsia="zh-CN"/>
              </w:rPr>
              <w:t>缩膜</w:t>
            </w:r>
            <w:r>
              <w:rPr>
                <w:rFonts w:hint="eastAsia" w:ascii="Times New Roman" w:hAnsi="Times New Roman" w:cs="Times New Roman"/>
                <w:b/>
                <w:bCs w:val="0"/>
                <w:color w:val="auto"/>
                <w:sz w:val="21"/>
                <w:szCs w:val="21"/>
                <w:highlight w:val="none"/>
                <w:lang w:val="en-US" w:eastAsia="zh-CN"/>
              </w:rPr>
              <w:t>废气，</w:t>
            </w:r>
            <w:r>
              <w:rPr>
                <w:rFonts w:hint="eastAsia" w:cs="Times New Roman"/>
                <w:b/>
                <w:bCs w:val="0"/>
                <w:color w:val="auto"/>
                <w:sz w:val="21"/>
                <w:szCs w:val="21"/>
                <w:highlight w:val="none"/>
                <w:lang w:val="en-US" w:eastAsia="zh-CN"/>
              </w:rPr>
              <w:t>经设备上方集气罩收集后经二级活性炭吸附装置处理后经15m排气筒排放；</w:t>
            </w:r>
            <w:r>
              <w:rPr>
                <w:rFonts w:hint="eastAsia" w:ascii="Times New Roman" w:hAnsi="Times New Roman" w:cs="Times New Roman"/>
                <w:b/>
                <w:bCs w:val="0"/>
                <w:color w:val="auto"/>
                <w:sz w:val="21"/>
                <w:szCs w:val="21"/>
                <w:highlight w:val="none"/>
                <w:lang w:val="en-US" w:eastAsia="zh-CN"/>
              </w:rPr>
              <w:t>塑封膜裁剪过程中产生废塑封膜边角料</w:t>
            </w:r>
            <w:r>
              <w:rPr>
                <w:rFonts w:hint="eastAsia" w:cs="Times New Roman"/>
                <w:b/>
                <w:bCs w:val="0"/>
                <w:color w:val="auto"/>
                <w:sz w:val="21"/>
                <w:szCs w:val="21"/>
                <w:highlight w:val="none"/>
                <w:lang w:val="en-US" w:eastAsia="zh-CN"/>
              </w:rPr>
              <w:t>，收集后定期外售至物资回收公司回收利用</w:t>
            </w:r>
            <w:r>
              <w:rPr>
                <w:rFonts w:hint="eastAsia" w:ascii="Times New Roman" w:hAnsi="Times New Roman" w:cs="Times New Roman"/>
                <w:b/>
                <w:bCs w:val="0"/>
                <w:color w:val="auto"/>
                <w:sz w:val="21"/>
                <w:szCs w:val="21"/>
                <w:highlight w:val="none"/>
                <w:lang w:val="en-US" w:eastAsia="zh-CN"/>
              </w:rPr>
              <w:t>。</w:t>
            </w:r>
          </w:p>
          <w:p>
            <w:pPr>
              <w:keepNext w:val="0"/>
              <w:keepLines w:val="0"/>
              <w:suppressLineNumbers w:val="0"/>
              <w:spacing w:before="0" w:beforeAutospacing="0" w:after="0" w:afterAutospacing="0" w:line="360" w:lineRule="auto"/>
              <w:ind w:left="0" w:right="0" w:firstLine="422" w:firstLineChars="200"/>
              <w:rPr>
                <w:rFonts w:hint="default" w:ascii="Times New Roman" w:hAnsi="Times New Roman" w:cs="Times New Roman"/>
                <w:b/>
                <w:bCs/>
                <w:color w:val="auto"/>
                <w:sz w:val="21"/>
                <w:szCs w:val="21"/>
                <w:highlight w:val="none"/>
                <w:lang w:val="en-US" w:eastAsia="zh-CN"/>
              </w:rPr>
            </w:pPr>
            <w:r>
              <w:rPr>
                <w:rFonts w:hint="eastAsia" w:cs="Times New Roman"/>
                <w:b/>
                <w:bCs/>
                <w:color w:val="auto"/>
                <w:sz w:val="21"/>
                <w:szCs w:val="21"/>
                <w:highlight w:val="none"/>
                <w:lang w:val="en-US" w:eastAsia="zh-CN"/>
              </w:rPr>
              <w:t>（5）</w:t>
            </w:r>
            <w:r>
              <w:rPr>
                <w:rFonts w:hint="default" w:ascii="Times New Roman" w:hAnsi="Times New Roman" w:cs="Times New Roman"/>
                <w:b/>
                <w:bCs/>
                <w:color w:val="auto"/>
                <w:sz w:val="21"/>
                <w:szCs w:val="21"/>
                <w:highlight w:val="none"/>
                <w:lang w:val="en-US" w:eastAsia="zh-CN"/>
              </w:rPr>
              <w:t>PET瓶</w:t>
            </w:r>
          </w:p>
          <w:p>
            <w:pPr>
              <w:pStyle w:val="16"/>
              <w:spacing w:line="360" w:lineRule="auto"/>
              <w:jc w:val="center"/>
              <w:rPr>
                <w:rFonts w:hint="eastAsia" w:ascii="Times New Roman" w:hAnsi="Times New Roman" w:eastAsia="宋体" w:cs="Times New Roman"/>
                <w:color w:val="auto"/>
                <w:sz w:val="21"/>
                <w:szCs w:val="21"/>
                <w:highlight w:val="none"/>
                <w:lang w:eastAsia="zh-CN"/>
              </w:rPr>
            </w:pPr>
            <w:r>
              <w:rPr>
                <w:rFonts w:hint="eastAsia" w:ascii="Times New Roman" w:hAnsi="Times New Roman" w:eastAsia="宋体" w:cs="Times New Roman"/>
                <w:color w:val="auto"/>
                <w:sz w:val="21"/>
                <w:szCs w:val="21"/>
                <w:highlight w:val="none"/>
                <w:lang w:eastAsia="zh-CN"/>
              </w:rPr>
              <w:object>
                <v:shape id="_x0000_i1030" o:spt="75" type="#_x0000_t75" style="height:72.75pt;width:321pt;" o:ole="t" filled="f" o:preferrelative="t" stroked="f" coordsize="21600,21600">
                  <v:path/>
                  <v:fill on="f" focussize="0,0"/>
                  <v:stroke on="f"/>
                  <v:imagedata r:id="rId20" o:title=""/>
                  <o:lock v:ext="edit" aspectratio="t"/>
                  <w10:wrap type="none"/>
                  <w10:anchorlock/>
                </v:shape>
                <o:OLEObject Type="Embed" ProgID="Visio.Drawing.11" ShapeID="_x0000_i1030" DrawAspect="Content" ObjectID="_1468075730" r:id="rId19">
                  <o:LockedField>false</o:LockedField>
                </o:OLEObject>
              </w:object>
            </w:r>
          </w:p>
          <w:p>
            <w:pPr>
              <w:pStyle w:val="16"/>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0" w:firstLineChars="0"/>
              <w:jc w:val="center"/>
              <w:textAlignment w:val="auto"/>
              <w:rPr>
                <w:rFonts w:hint="default" w:ascii="Times New Roman" w:hAnsi="Times New Roman"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eastAsia="zh-CN"/>
              </w:rPr>
              <w:t>图</w:t>
            </w:r>
            <w:r>
              <w:rPr>
                <w:rFonts w:hint="default" w:ascii="Times New Roman" w:hAnsi="Times New Roman" w:cs="Times New Roman"/>
                <w:b/>
                <w:bCs/>
                <w:color w:val="auto"/>
                <w:sz w:val="21"/>
                <w:szCs w:val="21"/>
                <w:highlight w:val="none"/>
                <w:lang w:val="en-US" w:eastAsia="zh-CN"/>
              </w:rPr>
              <w:t>2-</w:t>
            </w:r>
            <w:r>
              <w:rPr>
                <w:rFonts w:hint="eastAsia" w:cs="Times New Roman"/>
                <w:b/>
                <w:bCs/>
                <w:color w:val="auto"/>
                <w:sz w:val="21"/>
                <w:szCs w:val="21"/>
                <w:highlight w:val="none"/>
                <w:lang w:val="en-US" w:eastAsia="zh-CN"/>
              </w:rPr>
              <w:t>6</w:t>
            </w:r>
            <w:r>
              <w:rPr>
                <w:rFonts w:hint="default" w:ascii="Times New Roman" w:hAnsi="Times New Roman" w:cs="Times New Roman"/>
                <w:b/>
                <w:bCs/>
                <w:color w:val="auto"/>
                <w:sz w:val="21"/>
                <w:szCs w:val="21"/>
                <w:highlight w:val="none"/>
                <w:lang w:val="en-US" w:eastAsia="zh-CN"/>
              </w:rPr>
              <w:t xml:space="preserve"> </w:t>
            </w:r>
            <w:r>
              <w:rPr>
                <w:rFonts w:hint="eastAsia" w:cs="Times New Roman"/>
                <w:b/>
                <w:bCs/>
                <w:color w:val="auto"/>
                <w:sz w:val="21"/>
                <w:szCs w:val="21"/>
                <w:highlight w:val="none"/>
                <w:lang w:val="en-US" w:eastAsia="zh-CN"/>
              </w:rPr>
              <w:t>本项目</w:t>
            </w:r>
            <w:r>
              <w:rPr>
                <w:rFonts w:hint="default" w:ascii="Times New Roman" w:hAnsi="Times New Roman" w:cs="Times New Roman"/>
                <w:b/>
                <w:bCs/>
                <w:color w:val="auto"/>
                <w:sz w:val="21"/>
                <w:szCs w:val="21"/>
                <w:highlight w:val="none"/>
                <w:lang w:val="en-US" w:eastAsia="zh-CN"/>
              </w:rPr>
              <w:t>PET</w:t>
            </w:r>
            <w:r>
              <w:rPr>
                <w:rFonts w:hint="default" w:ascii="Times New Roman" w:hAnsi="Times New Roman" w:eastAsia="宋体" w:cs="Times New Roman"/>
                <w:b/>
                <w:bCs/>
                <w:color w:val="auto"/>
                <w:sz w:val="21"/>
                <w:szCs w:val="21"/>
                <w:highlight w:val="none"/>
                <w:lang w:val="en-US" w:eastAsia="zh-CN"/>
              </w:rPr>
              <w:t>瓶生产</w:t>
            </w:r>
            <w:r>
              <w:rPr>
                <w:rFonts w:hint="eastAsia" w:cs="Times New Roman"/>
                <w:b/>
                <w:bCs/>
                <w:color w:val="auto"/>
                <w:sz w:val="21"/>
                <w:szCs w:val="21"/>
                <w:highlight w:val="none"/>
                <w:lang w:val="en-US" w:eastAsia="zh-CN"/>
              </w:rPr>
              <w:t>工艺</w:t>
            </w:r>
            <w:r>
              <w:rPr>
                <w:rFonts w:hint="default" w:ascii="Times New Roman" w:hAnsi="Times New Roman" w:eastAsia="宋体" w:cs="Times New Roman"/>
                <w:b/>
                <w:bCs/>
                <w:color w:val="auto"/>
                <w:sz w:val="21"/>
                <w:szCs w:val="21"/>
                <w:highlight w:val="none"/>
                <w:lang w:val="en-US" w:eastAsia="zh-CN"/>
              </w:rPr>
              <w:t>流</w:t>
            </w:r>
            <w:r>
              <w:rPr>
                <w:rFonts w:hint="default" w:ascii="Times New Roman" w:hAnsi="Times New Roman" w:cs="Times New Roman"/>
                <w:b/>
                <w:bCs/>
                <w:color w:val="auto"/>
                <w:sz w:val="21"/>
                <w:szCs w:val="21"/>
                <w:highlight w:val="none"/>
                <w:lang w:val="en-US" w:eastAsia="zh-CN"/>
              </w:rPr>
              <w:t>程及产污</w:t>
            </w:r>
            <w:r>
              <w:rPr>
                <w:rFonts w:hint="eastAsia" w:cs="Times New Roman"/>
                <w:b/>
                <w:bCs/>
                <w:color w:val="auto"/>
                <w:sz w:val="21"/>
                <w:szCs w:val="21"/>
                <w:highlight w:val="none"/>
                <w:lang w:val="en-US" w:eastAsia="zh-CN"/>
              </w:rPr>
              <w:t>环节</w:t>
            </w:r>
            <w:r>
              <w:rPr>
                <w:rFonts w:hint="default" w:ascii="Times New Roman" w:hAnsi="Times New Roman" w:cs="Times New Roman"/>
                <w:b/>
                <w:bCs/>
                <w:color w:val="auto"/>
                <w:sz w:val="21"/>
                <w:szCs w:val="21"/>
                <w:highlight w:val="none"/>
                <w:lang w:val="en-US" w:eastAsia="zh-CN"/>
              </w:rPr>
              <w:t>图</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jc w:val="both"/>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本项目高端鲜榨果汁饮料、普通果汁饮料、碳酸饮料、包装饮用水等产品均采用PET瓶灌装，为节省成本及控制产品品质，企业购置相关设备自行生产所需规格PET瓶，具体生产工艺流程如下：</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jc w:val="both"/>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①瓶胚预热</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jc w:val="both"/>
              <w:textAlignment w:val="auto"/>
              <w:rPr>
                <w:rFonts w:hint="eastAsia"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企业外购食品级PET瓶胚送入全自动吹瓶机内置预热烘箱内，烘箱内均匀布置电加热管，通过热风循环加热，预热温度控制在</w:t>
            </w:r>
            <w:r>
              <w:rPr>
                <w:rFonts w:hint="eastAsia" w:ascii="Times New Roman" w:hAnsi="Times New Roman" w:cs="Times New Roman"/>
                <w:color w:val="auto"/>
                <w:sz w:val="21"/>
                <w:szCs w:val="21"/>
                <w:highlight w:val="none"/>
                <w:lang w:val="en-US" w:eastAsia="zh-CN"/>
              </w:rPr>
              <w:t>80</w:t>
            </w:r>
            <w:r>
              <w:rPr>
                <w:rFonts w:hint="default" w:ascii="Times New Roman" w:hAnsi="Times New Roman" w:cs="Times New Roman"/>
                <w:color w:val="auto"/>
                <w:sz w:val="21"/>
                <w:szCs w:val="21"/>
                <w:highlight w:val="none"/>
                <w:lang w:val="en-US" w:eastAsia="zh-CN"/>
              </w:rPr>
              <w:t>-</w:t>
            </w:r>
            <w:r>
              <w:rPr>
                <w:rFonts w:hint="eastAsia" w:ascii="Times New Roman" w:hAnsi="Times New Roman" w:cs="Times New Roman"/>
                <w:color w:val="auto"/>
                <w:sz w:val="21"/>
                <w:szCs w:val="21"/>
                <w:highlight w:val="none"/>
                <w:lang w:val="en-US" w:eastAsia="zh-CN"/>
              </w:rPr>
              <w:t>90</w:t>
            </w:r>
            <w:r>
              <w:rPr>
                <w:rFonts w:hint="default" w:ascii="Times New Roman" w:hAnsi="Times New Roman" w:cs="Times New Roman"/>
                <w:color w:val="auto"/>
                <w:sz w:val="21"/>
                <w:szCs w:val="21"/>
                <w:highlight w:val="none"/>
                <w:lang w:val="en-US" w:eastAsia="zh-CN"/>
              </w:rPr>
              <w:t>℃</w:t>
            </w:r>
            <w:r>
              <w:rPr>
                <w:rFonts w:hint="eastAsia" w:ascii="Times New Roman" w:hAnsi="Times New Roman"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加热时间20-30秒；</w:t>
            </w:r>
            <w:r>
              <w:rPr>
                <w:rFonts w:hint="eastAsia" w:cs="Times New Roman"/>
                <w:color w:val="auto"/>
                <w:sz w:val="21"/>
                <w:szCs w:val="21"/>
                <w:highlight w:val="none"/>
                <w:lang w:val="en-US" w:eastAsia="zh-CN"/>
              </w:rPr>
              <w:t>预热过程中瓶坯随输送链匀速旋转，确保受热均匀，避免局部过热熔融或加热不足导致吹瓶失败；预热合格的瓶坯通过密闭通道送入吹瓶模具腔。瓶胚预热主要使PET瓶坯软化，具备可塑性，为后续吹塑成型做准备。PET分子在高温（超过290℃）和剪切力作用下分解会产生乙醛，本项目吹瓶过程中温度仅在80-90℃，不会导致PET分解，因此不会产生乙醛，仅产生少量低分子烃类，以非甲烷总烃计。</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2" w:firstLineChars="200"/>
              <w:jc w:val="both"/>
              <w:textAlignment w:val="auto"/>
              <w:rPr>
                <w:rFonts w:hint="default" w:ascii="Times New Roman" w:hAnsi="Times New Roman" w:eastAsia="宋体" w:cs="Times New Roman"/>
                <w:b/>
                <w:bCs/>
                <w:color w:val="auto"/>
                <w:sz w:val="21"/>
                <w:szCs w:val="21"/>
                <w:highlight w:val="none"/>
                <w:lang w:val="en-US" w:eastAsia="zh-CN"/>
              </w:rPr>
            </w:pPr>
            <w:r>
              <w:rPr>
                <w:rFonts w:hint="default" w:ascii="Times New Roman" w:hAnsi="Times New Roman" w:eastAsia="宋体" w:cs="Times New Roman"/>
                <w:b/>
                <w:bCs/>
                <w:color w:val="auto"/>
                <w:sz w:val="21"/>
                <w:szCs w:val="21"/>
                <w:highlight w:val="none"/>
                <w:lang w:val="en-US" w:eastAsia="zh-CN"/>
              </w:rPr>
              <w:t>产污环节：</w:t>
            </w:r>
            <w:r>
              <w:rPr>
                <w:rFonts w:hint="eastAsia" w:ascii="Times New Roman" w:hAnsi="Times New Roman" w:eastAsia="宋体" w:cs="Times New Roman"/>
                <w:b/>
                <w:bCs/>
                <w:color w:val="auto"/>
                <w:sz w:val="21"/>
                <w:szCs w:val="21"/>
                <w:highlight w:val="none"/>
                <w:lang w:val="en-US" w:eastAsia="zh-CN"/>
              </w:rPr>
              <w:t>瓶胚预热过程中产生少量预热废气，主要污染物为非甲烷总烃</w:t>
            </w:r>
            <w:r>
              <w:rPr>
                <w:rFonts w:hint="default" w:ascii="Times New Roman" w:hAnsi="Times New Roman" w:eastAsia="宋体" w:cs="Times New Roman"/>
                <w:b/>
                <w:bCs/>
                <w:color w:val="auto"/>
                <w:sz w:val="21"/>
                <w:szCs w:val="21"/>
                <w:highlight w:val="none"/>
                <w:lang w:val="en-US" w:eastAsia="zh-CN"/>
              </w:rPr>
              <w:t>。</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jc w:val="both"/>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②吹瓶成型</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jc w:val="both"/>
              <w:textAlignment w:val="auto"/>
              <w:rPr>
                <w:rFonts w:hint="eastAsia" w:cs="Times New Roman"/>
                <w:color w:val="auto"/>
                <w:sz w:val="21"/>
                <w:szCs w:val="21"/>
                <w:highlight w:val="none"/>
                <w:lang w:val="en-US" w:eastAsia="zh-CN"/>
              </w:rPr>
            </w:pPr>
            <w:r>
              <w:rPr>
                <w:rFonts w:hint="default" w:cs="Times New Roman"/>
                <w:color w:val="auto"/>
                <w:sz w:val="21"/>
                <w:szCs w:val="21"/>
                <w:highlight w:val="none"/>
                <w:lang w:val="en-US" w:eastAsia="zh-CN"/>
              </w:rPr>
              <w:t>预热后的瓶坯送入吹瓶模具腔，锁模装置自动闭合，模具闭合压力1.5-2.0MPa，确保密封严密；高压压缩空气通过吹针注入瓶坯内部，初始吹塑压力0.6-0.8MPa（预吹，使瓶坯初步膨胀），后续升压至1.0-1.2MPa（终吹，使瓶坯完全贴合模具内壁）；吹塑过程中，工业冷水机</w:t>
            </w:r>
            <w:r>
              <w:rPr>
                <w:rFonts w:hint="eastAsia" w:cs="Times New Roman"/>
                <w:color w:val="auto"/>
                <w:sz w:val="21"/>
                <w:szCs w:val="21"/>
                <w:highlight w:val="none"/>
                <w:lang w:val="en-US" w:eastAsia="zh-CN"/>
              </w:rPr>
              <w:t>与</w:t>
            </w:r>
            <w:r>
              <w:rPr>
                <w:rFonts w:hint="default" w:cs="Times New Roman"/>
                <w:color w:val="auto"/>
                <w:sz w:val="21"/>
                <w:szCs w:val="21"/>
                <w:highlight w:val="none"/>
                <w:lang w:val="en-US" w:eastAsia="zh-CN"/>
              </w:rPr>
              <w:t>容积式工业冷水机组向模具夹层通入循环冷却水，对成型中的PE 瓶进行快速冷却定型，冷却时间10-15秒；冷却完成后，锁模装置打开，成品瓶由机械手从模具中取出</w:t>
            </w:r>
            <w:r>
              <w:rPr>
                <w:rFonts w:hint="eastAsia" w:cs="Times New Roman"/>
                <w:color w:val="auto"/>
                <w:sz w:val="21"/>
                <w:szCs w:val="21"/>
                <w:highlight w:val="none"/>
                <w:lang w:val="en-US" w:eastAsia="zh-CN"/>
              </w:rPr>
              <w:t>即为成品PET瓶。</w:t>
            </w:r>
          </w:p>
          <w:p>
            <w:pPr>
              <w:keepNext w:val="0"/>
              <w:keepLines w:val="0"/>
              <w:pageBreakBefore w:val="0"/>
              <w:widowControl/>
              <w:numPr>
                <w:ilvl w:val="0"/>
                <w:numId w:val="2"/>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2" w:firstLineChars="200"/>
              <w:jc w:val="both"/>
              <w:textAlignment w:val="auto"/>
              <w:rPr>
                <w:rFonts w:hint="eastAsia" w:cs="Times New Roman"/>
                <w:b/>
                <w:bCs/>
                <w:color w:val="auto"/>
                <w:sz w:val="21"/>
                <w:szCs w:val="21"/>
                <w:highlight w:val="none"/>
                <w:lang w:val="en-US" w:eastAsia="zh-CN"/>
              </w:rPr>
            </w:pPr>
            <w:r>
              <w:rPr>
                <w:rFonts w:hint="eastAsia" w:cs="Times New Roman"/>
                <w:b/>
                <w:bCs/>
                <w:color w:val="auto"/>
                <w:sz w:val="21"/>
                <w:szCs w:val="21"/>
                <w:highlight w:val="none"/>
                <w:lang w:val="en-US" w:eastAsia="zh-CN"/>
              </w:rPr>
              <w:t>产排污节点分析</w:t>
            </w:r>
          </w:p>
          <w:p>
            <w:pPr>
              <w:pStyle w:val="74"/>
              <w:keepNext w:val="0"/>
              <w:keepLines w:val="0"/>
              <w:pageBreakBefore w:val="0"/>
              <w:widowControl/>
              <w:kinsoku/>
              <w:wordWrap/>
              <w:overflowPunct/>
              <w:topLinePunct w:val="0"/>
              <w:autoSpaceDE/>
              <w:autoSpaceDN/>
              <w:bidi w:val="0"/>
              <w:adjustRightInd w:val="0"/>
              <w:snapToGrid w:val="0"/>
              <w:ind w:firstLine="420"/>
              <w:textAlignment w:val="baseline"/>
              <w:rPr>
                <w:rFonts w:hint="eastAsia" w:ascii="Times New Roman" w:hAnsi="Times New Roman" w:eastAsia="宋体" w:cs="Times New Roman"/>
                <w:color w:val="auto"/>
                <w:kern w:val="0"/>
                <w:sz w:val="21"/>
                <w:szCs w:val="21"/>
                <w:lang w:val="en-US" w:eastAsia="zh-CN" w:bidi="ar-SA"/>
              </w:rPr>
            </w:pPr>
            <w:r>
              <w:rPr>
                <w:rFonts w:hint="eastAsia" w:ascii="Times New Roman" w:hAnsi="Times New Roman" w:eastAsia="宋体" w:cs="Times New Roman"/>
                <w:color w:val="auto"/>
                <w:kern w:val="0"/>
                <w:sz w:val="21"/>
                <w:szCs w:val="21"/>
                <w:lang w:val="en-US" w:eastAsia="zh-CN" w:bidi="ar-SA"/>
              </w:rPr>
              <w:t>本项目营运期主要污染工序及对应防治措施具体见下表。</w:t>
            </w:r>
          </w:p>
          <w:p>
            <w:pPr>
              <w:pStyle w:val="28"/>
              <w:rPr>
                <w:rFonts w:hint="default" w:ascii="Times New Roman" w:hAnsi="Times New Roman" w:eastAsia="宋体" w:cs="Times New Roman"/>
                <w:b/>
                <w:bCs/>
                <w:color w:val="auto"/>
                <w:kern w:val="0"/>
                <w:sz w:val="21"/>
                <w:szCs w:val="21"/>
                <w:lang w:val="en-US" w:eastAsia="zh-CN" w:bidi="ar-SA"/>
              </w:rPr>
            </w:pPr>
            <w:r>
              <w:rPr>
                <w:rFonts w:hint="default" w:ascii="Times New Roman" w:hAnsi="Times New Roman" w:eastAsia="宋体" w:cs="Times New Roman"/>
                <w:b/>
                <w:bCs/>
                <w:color w:val="auto"/>
                <w:kern w:val="0"/>
                <w:sz w:val="21"/>
                <w:szCs w:val="21"/>
                <w:lang w:val="en-US" w:eastAsia="zh-CN" w:bidi="ar-SA"/>
              </w:rPr>
              <w:t>表2-</w:t>
            </w:r>
            <w:r>
              <w:rPr>
                <w:rFonts w:hint="eastAsia" w:ascii="Times New Roman" w:hAnsi="Times New Roman" w:eastAsia="宋体" w:cs="Times New Roman"/>
                <w:b/>
                <w:bCs/>
                <w:color w:val="auto"/>
                <w:kern w:val="0"/>
                <w:sz w:val="21"/>
                <w:szCs w:val="21"/>
                <w:lang w:val="en-US" w:eastAsia="zh-CN" w:bidi="ar-SA"/>
              </w:rPr>
              <w:t>8</w:t>
            </w:r>
            <w:r>
              <w:rPr>
                <w:rFonts w:hint="default" w:ascii="Times New Roman" w:hAnsi="Times New Roman" w:eastAsia="宋体" w:cs="Times New Roman"/>
                <w:b/>
                <w:bCs/>
                <w:color w:val="auto"/>
                <w:kern w:val="0"/>
                <w:sz w:val="21"/>
                <w:szCs w:val="21"/>
                <w:lang w:val="en-US" w:eastAsia="zh-CN" w:bidi="ar-SA"/>
              </w:rPr>
              <w:t xml:space="preserve"> </w:t>
            </w:r>
            <w:r>
              <w:rPr>
                <w:rFonts w:hint="eastAsia" w:ascii="Times New Roman" w:hAnsi="Times New Roman" w:eastAsia="宋体" w:cs="Times New Roman"/>
                <w:b/>
                <w:bCs/>
                <w:color w:val="auto"/>
                <w:kern w:val="0"/>
                <w:sz w:val="21"/>
                <w:szCs w:val="21"/>
                <w:lang w:val="en-US" w:eastAsia="zh-CN" w:bidi="ar-SA"/>
              </w:rPr>
              <w:t>项目营运期产污节点和防治措施表</w:t>
            </w:r>
          </w:p>
          <w:tbl>
            <w:tblPr>
              <w:tblStyle w:val="21"/>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73"/>
              <w:gridCol w:w="1310"/>
              <w:gridCol w:w="1257"/>
              <w:gridCol w:w="1909"/>
              <w:gridCol w:w="1252"/>
              <w:gridCol w:w="179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353" w:type="pct"/>
                  <w:noWrap w:val="0"/>
                  <w:vAlign w:val="center"/>
                </w:tcPr>
                <w:p>
                  <w:pPr>
                    <w:pStyle w:val="77"/>
                    <w:jc w:val="center"/>
                    <w:rPr>
                      <w:rFonts w:hint="default" w:ascii="Times New Roman" w:hAnsi="Times New Roman" w:eastAsia="宋体" w:cs="Times New Roman"/>
                      <w:b/>
                      <w:bCs/>
                      <w:color w:val="auto"/>
                      <w:kern w:val="0"/>
                      <w:sz w:val="21"/>
                      <w:szCs w:val="21"/>
                      <w:lang w:val="en-US" w:eastAsia="zh-CN" w:bidi="ar-SA"/>
                    </w:rPr>
                  </w:pPr>
                  <w:bookmarkStart w:id="4" w:name="_Hlk124783921"/>
                  <w:r>
                    <w:rPr>
                      <w:rFonts w:hint="default" w:ascii="Times New Roman" w:hAnsi="Times New Roman" w:eastAsia="宋体" w:cs="Times New Roman"/>
                      <w:b/>
                      <w:bCs/>
                      <w:color w:val="auto"/>
                      <w:kern w:val="0"/>
                      <w:sz w:val="21"/>
                      <w:szCs w:val="21"/>
                      <w:lang w:val="en-US" w:eastAsia="zh-CN" w:bidi="ar-SA"/>
                    </w:rPr>
                    <w:t>类别</w:t>
                  </w:r>
                </w:p>
              </w:tc>
              <w:tc>
                <w:tcPr>
                  <w:tcW w:w="808" w:type="pct"/>
                  <w:noWrap w:val="0"/>
                  <w:vAlign w:val="center"/>
                </w:tcPr>
                <w:p>
                  <w:pPr>
                    <w:pStyle w:val="77"/>
                    <w:jc w:val="center"/>
                    <w:rPr>
                      <w:rFonts w:hint="default" w:ascii="Times New Roman" w:hAnsi="Times New Roman" w:eastAsia="宋体" w:cs="Times New Roman"/>
                      <w:b/>
                      <w:bCs/>
                      <w:color w:val="auto"/>
                      <w:kern w:val="0"/>
                      <w:sz w:val="21"/>
                      <w:szCs w:val="21"/>
                      <w:lang w:val="en-US" w:eastAsia="zh-CN" w:bidi="ar-SA"/>
                    </w:rPr>
                  </w:pPr>
                  <w:r>
                    <w:rPr>
                      <w:rFonts w:hint="default" w:ascii="Times New Roman" w:hAnsi="Times New Roman" w:eastAsia="宋体" w:cs="Times New Roman"/>
                      <w:b/>
                      <w:bCs/>
                      <w:color w:val="auto"/>
                      <w:kern w:val="0"/>
                      <w:sz w:val="21"/>
                      <w:szCs w:val="21"/>
                      <w:lang w:val="en-US" w:eastAsia="zh-CN" w:bidi="ar-SA"/>
                    </w:rPr>
                    <w:t>产生工序</w:t>
                  </w:r>
                </w:p>
              </w:tc>
              <w:tc>
                <w:tcPr>
                  <w:tcW w:w="776" w:type="pct"/>
                  <w:noWrap w:val="0"/>
                  <w:vAlign w:val="center"/>
                </w:tcPr>
                <w:p>
                  <w:pPr>
                    <w:pStyle w:val="77"/>
                    <w:jc w:val="center"/>
                    <w:rPr>
                      <w:rFonts w:hint="default" w:ascii="Times New Roman" w:hAnsi="Times New Roman" w:eastAsia="宋体" w:cs="Times New Roman"/>
                      <w:b/>
                      <w:bCs/>
                      <w:color w:val="auto"/>
                      <w:kern w:val="0"/>
                      <w:sz w:val="21"/>
                      <w:szCs w:val="21"/>
                      <w:lang w:val="en-US" w:eastAsia="zh-CN" w:bidi="ar-SA"/>
                    </w:rPr>
                  </w:pPr>
                  <w:r>
                    <w:rPr>
                      <w:rFonts w:hint="default" w:ascii="Times New Roman" w:hAnsi="Times New Roman" w:eastAsia="宋体" w:cs="Times New Roman"/>
                      <w:b/>
                      <w:bCs/>
                      <w:color w:val="auto"/>
                      <w:kern w:val="0"/>
                      <w:sz w:val="21"/>
                      <w:szCs w:val="21"/>
                      <w:lang w:val="en-US" w:eastAsia="zh-CN" w:bidi="ar-SA"/>
                    </w:rPr>
                    <w:t>污染源名称</w:t>
                  </w:r>
                </w:p>
              </w:tc>
              <w:tc>
                <w:tcPr>
                  <w:tcW w:w="1178" w:type="pct"/>
                  <w:noWrap w:val="0"/>
                  <w:vAlign w:val="center"/>
                </w:tcPr>
                <w:p>
                  <w:pPr>
                    <w:pStyle w:val="77"/>
                    <w:jc w:val="center"/>
                    <w:rPr>
                      <w:rFonts w:hint="default" w:ascii="Times New Roman" w:hAnsi="Times New Roman" w:eastAsia="宋体" w:cs="Times New Roman"/>
                      <w:b/>
                      <w:bCs/>
                      <w:color w:val="auto"/>
                      <w:kern w:val="0"/>
                      <w:sz w:val="21"/>
                      <w:szCs w:val="21"/>
                      <w:lang w:val="en-US" w:eastAsia="zh-CN" w:bidi="ar-SA"/>
                    </w:rPr>
                  </w:pPr>
                  <w:r>
                    <w:rPr>
                      <w:rFonts w:hint="default" w:ascii="Times New Roman" w:hAnsi="Times New Roman" w:eastAsia="宋体" w:cs="Times New Roman"/>
                      <w:b/>
                      <w:bCs/>
                      <w:color w:val="auto"/>
                      <w:kern w:val="0"/>
                      <w:sz w:val="21"/>
                      <w:szCs w:val="21"/>
                      <w:lang w:val="en-US" w:eastAsia="zh-CN" w:bidi="ar-SA"/>
                    </w:rPr>
                    <w:t>主要污染物</w:t>
                  </w:r>
                </w:p>
              </w:tc>
              <w:tc>
                <w:tcPr>
                  <w:tcW w:w="772" w:type="pct"/>
                  <w:noWrap w:val="0"/>
                  <w:vAlign w:val="center"/>
                </w:tcPr>
                <w:p>
                  <w:pPr>
                    <w:pStyle w:val="77"/>
                    <w:jc w:val="center"/>
                    <w:rPr>
                      <w:rFonts w:hint="default" w:ascii="Times New Roman" w:hAnsi="Times New Roman" w:eastAsia="宋体" w:cs="Times New Roman"/>
                      <w:b/>
                      <w:bCs/>
                      <w:color w:val="auto"/>
                      <w:kern w:val="0"/>
                      <w:sz w:val="21"/>
                      <w:szCs w:val="21"/>
                      <w:lang w:val="en-US" w:eastAsia="zh-CN" w:bidi="ar-SA"/>
                    </w:rPr>
                  </w:pPr>
                  <w:r>
                    <w:rPr>
                      <w:rFonts w:hint="default" w:ascii="Times New Roman" w:hAnsi="Times New Roman" w:eastAsia="宋体" w:cs="Times New Roman"/>
                      <w:b/>
                      <w:bCs/>
                      <w:color w:val="auto"/>
                      <w:kern w:val="0"/>
                      <w:sz w:val="21"/>
                      <w:szCs w:val="21"/>
                      <w:lang w:val="en-US" w:eastAsia="zh-CN" w:bidi="ar-SA"/>
                    </w:rPr>
                    <w:t>处理措施</w:t>
                  </w:r>
                </w:p>
              </w:tc>
              <w:tc>
                <w:tcPr>
                  <w:tcW w:w="1110" w:type="pct"/>
                  <w:noWrap w:val="0"/>
                  <w:vAlign w:val="center"/>
                </w:tcPr>
                <w:p>
                  <w:pPr>
                    <w:pStyle w:val="77"/>
                    <w:jc w:val="center"/>
                    <w:rPr>
                      <w:rFonts w:hint="default" w:ascii="Times New Roman" w:hAnsi="Times New Roman" w:eastAsia="宋体" w:cs="Times New Roman"/>
                      <w:b/>
                      <w:bCs/>
                      <w:color w:val="auto"/>
                      <w:kern w:val="0"/>
                      <w:sz w:val="21"/>
                      <w:szCs w:val="21"/>
                      <w:lang w:val="en-US" w:eastAsia="zh-CN" w:bidi="ar-SA"/>
                    </w:rPr>
                  </w:pPr>
                  <w:r>
                    <w:rPr>
                      <w:rFonts w:hint="default" w:ascii="Times New Roman" w:hAnsi="Times New Roman" w:eastAsia="宋体" w:cs="Times New Roman"/>
                      <w:b/>
                      <w:bCs/>
                      <w:color w:val="auto"/>
                      <w:kern w:val="0"/>
                      <w:sz w:val="21"/>
                      <w:szCs w:val="21"/>
                      <w:lang w:val="en-US" w:eastAsia="zh-CN" w:bidi="ar-SA"/>
                    </w:rPr>
                    <w:t>去向</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 w:hRule="atLeast"/>
                <w:jc w:val="center"/>
              </w:trPr>
              <w:tc>
                <w:tcPr>
                  <w:tcW w:w="353" w:type="pct"/>
                  <w:vMerge w:val="restart"/>
                  <w:noWrap w:val="0"/>
                  <w:vAlign w:val="center"/>
                </w:tcPr>
                <w:p>
                  <w:pPr>
                    <w:pStyle w:val="77"/>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废气</w:t>
                  </w:r>
                </w:p>
              </w:tc>
              <w:tc>
                <w:tcPr>
                  <w:tcW w:w="808" w:type="pct"/>
                  <w:noWrap w:val="0"/>
                  <w:vAlign w:val="center"/>
                </w:tcPr>
                <w:p>
                  <w:pPr>
                    <w:pStyle w:val="77"/>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天然气</w:t>
                  </w:r>
                  <w:r>
                    <w:rPr>
                      <w:rFonts w:hint="eastAsia" w:cs="Times New Roman"/>
                      <w:color w:val="auto"/>
                      <w:kern w:val="0"/>
                      <w:sz w:val="21"/>
                      <w:szCs w:val="21"/>
                      <w:lang w:val="en-US" w:eastAsia="zh-CN" w:bidi="ar-SA"/>
                    </w:rPr>
                    <w:t>锅炉</w:t>
                  </w:r>
                </w:p>
              </w:tc>
              <w:tc>
                <w:tcPr>
                  <w:tcW w:w="776" w:type="pct"/>
                  <w:noWrap w:val="0"/>
                  <w:vAlign w:val="center"/>
                </w:tcPr>
                <w:p>
                  <w:pPr>
                    <w:pStyle w:val="77"/>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天然气燃烧废气</w:t>
                  </w:r>
                </w:p>
              </w:tc>
              <w:tc>
                <w:tcPr>
                  <w:tcW w:w="1178" w:type="pct"/>
                  <w:noWrap w:val="0"/>
                  <w:vAlign w:val="center"/>
                </w:tcPr>
                <w:p>
                  <w:pPr>
                    <w:pStyle w:val="77"/>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颗粒物、二氧化硫、氮氧化物、烟气黑度</w:t>
                  </w:r>
                </w:p>
              </w:tc>
              <w:tc>
                <w:tcPr>
                  <w:tcW w:w="772" w:type="pct"/>
                  <w:noWrap w:val="0"/>
                  <w:vAlign w:val="center"/>
                </w:tcPr>
                <w:p>
                  <w:pPr>
                    <w:pStyle w:val="77"/>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低氮燃烧器+管道收集</w:t>
                  </w:r>
                </w:p>
              </w:tc>
              <w:tc>
                <w:tcPr>
                  <w:tcW w:w="1110" w:type="pct"/>
                  <w:noWrap w:val="0"/>
                  <w:vAlign w:val="center"/>
                </w:tcPr>
                <w:p>
                  <w:pPr>
                    <w:pStyle w:val="77"/>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8m排气筒DA001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9" w:hRule="atLeast"/>
                <w:jc w:val="center"/>
              </w:trPr>
              <w:tc>
                <w:tcPr>
                  <w:tcW w:w="353" w:type="pct"/>
                  <w:vMerge w:val="continue"/>
                  <w:noWrap w:val="0"/>
                  <w:vAlign w:val="center"/>
                </w:tcPr>
                <w:p>
                  <w:pPr>
                    <w:pStyle w:val="77"/>
                    <w:jc w:val="center"/>
                    <w:rPr>
                      <w:rFonts w:hint="default" w:ascii="Times New Roman" w:hAnsi="Times New Roman" w:cs="Times New Roman"/>
                      <w:color w:val="auto"/>
                      <w:sz w:val="21"/>
                      <w:szCs w:val="21"/>
                    </w:rPr>
                  </w:pPr>
                </w:p>
              </w:tc>
              <w:tc>
                <w:tcPr>
                  <w:tcW w:w="808" w:type="pct"/>
                  <w:noWrap w:val="0"/>
                  <w:vAlign w:val="center"/>
                </w:tcPr>
                <w:p>
                  <w:pPr>
                    <w:pStyle w:val="77"/>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瓶胚预热工序</w:t>
                  </w:r>
                </w:p>
              </w:tc>
              <w:tc>
                <w:tcPr>
                  <w:tcW w:w="776" w:type="pct"/>
                  <w:noWrap w:val="0"/>
                  <w:vAlign w:val="center"/>
                </w:tcPr>
                <w:p>
                  <w:pPr>
                    <w:pStyle w:val="77"/>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瓶胚预热废气</w:t>
                  </w:r>
                </w:p>
              </w:tc>
              <w:tc>
                <w:tcPr>
                  <w:tcW w:w="1178" w:type="pct"/>
                  <w:noWrap w:val="0"/>
                  <w:vAlign w:val="center"/>
                </w:tcPr>
                <w:p>
                  <w:pPr>
                    <w:pStyle w:val="77"/>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非甲烷总烃</w:t>
                  </w:r>
                </w:p>
              </w:tc>
              <w:tc>
                <w:tcPr>
                  <w:tcW w:w="772" w:type="pct"/>
                  <w:shd w:val="clear" w:color="auto" w:fill="auto"/>
                  <w:noWrap w:val="0"/>
                  <w:vAlign w:val="center"/>
                </w:tcPr>
                <w:p>
                  <w:pPr>
                    <w:pStyle w:val="77"/>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集气罩收集+二级活性炭吸附装置</w:t>
                  </w:r>
                </w:p>
              </w:tc>
              <w:tc>
                <w:tcPr>
                  <w:tcW w:w="1110" w:type="pct"/>
                  <w:shd w:val="clear" w:color="auto" w:fill="auto"/>
                  <w:noWrap w:val="0"/>
                  <w:vAlign w:val="center"/>
                </w:tcPr>
                <w:p>
                  <w:pPr>
                    <w:pStyle w:val="77"/>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15m排气筒DA00</w:t>
                  </w:r>
                  <w:r>
                    <w:rPr>
                      <w:rFonts w:hint="eastAsia" w:cs="Times New Roman"/>
                      <w:color w:val="auto"/>
                      <w:kern w:val="0"/>
                      <w:sz w:val="21"/>
                      <w:szCs w:val="21"/>
                      <w:lang w:val="en-US" w:eastAsia="zh-CN" w:bidi="ar-SA"/>
                    </w:rPr>
                    <w:t>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69" w:hRule="atLeast"/>
                <w:jc w:val="center"/>
              </w:trPr>
              <w:tc>
                <w:tcPr>
                  <w:tcW w:w="353" w:type="pct"/>
                  <w:vMerge w:val="continue"/>
                  <w:noWrap w:val="0"/>
                  <w:vAlign w:val="center"/>
                </w:tcPr>
                <w:p>
                  <w:pPr>
                    <w:pStyle w:val="77"/>
                    <w:jc w:val="center"/>
                    <w:rPr>
                      <w:rFonts w:hint="default" w:ascii="Times New Roman" w:hAnsi="Times New Roman" w:eastAsia="宋体" w:cs="Times New Roman"/>
                      <w:color w:val="auto"/>
                      <w:kern w:val="0"/>
                      <w:sz w:val="21"/>
                      <w:szCs w:val="21"/>
                      <w:lang w:val="en-US" w:eastAsia="zh-CN" w:bidi="ar-SA"/>
                    </w:rPr>
                  </w:pPr>
                </w:p>
              </w:tc>
              <w:tc>
                <w:tcPr>
                  <w:tcW w:w="808" w:type="pct"/>
                  <w:noWrap w:val="0"/>
                  <w:vAlign w:val="center"/>
                </w:tcPr>
                <w:p>
                  <w:pPr>
                    <w:pStyle w:val="77"/>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包装工序</w:t>
                  </w:r>
                </w:p>
              </w:tc>
              <w:tc>
                <w:tcPr>
                  <w:tcW w:w="776" w:type="pct"/>
                  <w:noWrap w:val="0"/>
                  <w:vAlign w:val="center"/>
                </w:tcPr>
                <w:p>
                  <w:pPr>
                    <w:pStyle w:val="77"/>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包装缩膜废气</w:t>
                  </w:r>
                </w:p>
              </w:tc>
              <w:tc>
                <w:tcPr>
                  <w:tcW w:w="1178" w:type="pct"/>
                  <w:noWrap w:val="0"/>
                  <w:vAlign w:val="center"/>
                </w:tcPr>
                <w:p>
                  <w:pPr>
                    <w:pStyle w:val="77"/>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非甲烷总烃</w:t>
                  </w:r>
                </w:p>
              </w:tc>
              <w:tc>
                <w:tcPr>
                  <w:tcW w:w="772" w:type="pct"/>
                  <w:shd w:val="clear" w:color="auto" w:fill="auto"/>
                  <w:noWrap w:val="0"/>
                  <w:vAlign w:val="center"/>
                </w:tcPr>
                <w:p>
                  <w:pPr>
                    <w:pStyle w:val="77"/>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集气罩收集+二级活性炭吸附装置</w:t>
                  </w:r>
                </w:p>
              </w:tc>
              <w:tc>
                <w:tcPr>
                  <w:tcW w:w="1110" w:type="pct"/>
                  <w:shd w:val="clear" w:color="auto" w:fill="auto"/>
                  <w:noWrap w:val="0"/>
                  <w:vAlign w:val="center"/>
                </w:tcPr>
                <w:p>
                  <w:pPr>
                    <w:pStyle w:val="77"/>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15m排气筒DA00</w:t>
                  </w:r>
                  <w:r>
                    <w:rPr>
                      <w:rFonts w:hint="eastAsia" w:cs="Times New Roman"/>
                      <w:color w:val="auto"/>
                      <w:kern w:val="0"/>
                      <w:sz w:val="21"/>
                      <w:szCs w:val="21"/>
                      <w:lang w:val="en-US" w:eastAsia="zh-CN" w:bidi="ar-SA"/>
                    </w:rPr>
                    <w:t>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9" w:hRule="atLeast"/>
                <w:jc w:val="center"/>
              </w:trPr>
              <w:tc>
                <w:tcPr>
                  <w:tcW w:w="353" w:type="pct"/>
                  <w:vMerge w:val="restart"/>
                  <w:noWrap w:val="0"/>
                  <w:vAlign w:val="center"/>
                </w:tcPr>
                <w:p>
                  <w:pPr>
                    <w:pStyle w:val="77"/>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废水</w:t>
                  </w:r>
                </w:p>
              </w:tc>
              <w:tc>
                <w:tcPr>
                  <w:tcW w:w="808" w:type="pct"/>
                  <w:noWrap w:val="0"/>
                  <w:vAlign w:val="center"/>
                </w:tcPr>
                <w:p>
                  <w:pPr>
                    <w:pStyle w:val="77"/>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员工生活</w:t>
                  </w:r>
                </w:p>
              </w:tc>
              <w:tc>
                <w:tcPr>
                  <w:tcW w:w="776" w:type="pct"/>
                  <w:tcBorders>
                    <w:bottom w:val="single" w:color="auto" w:sz="4" w:space="0"/>
                  </w:tcBorders>
                  <w:noWrap w:val="0"/>
                  <w:vAlign w:val="center"/>
                </w:tcPr>
                <w:p>
                  <w:pPr>
                    <w:pStyle w:val="77"/>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生活污水</w:t>
                  </w:r>
                </w:p>
              </w:tc>
              <w:tc>
                <w:tcPr>
                  <w:tcW w:w="1178" w:type="pct"/>
                  <w:noWrap w:val="0"/>
                  <w:vAlign w:val="center"/>
                </w:tcPr>
                <w:p>
                  <w:pPr>
                    <w:pStyle w:val="77"/>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pH、COD、BOD</w:t>
                  </w:r>
                  <w:r>
                    <w:rPr>
                      <w:rFonts w:hint="default" w:ascii="Times New Roman" w:hAnsi="Times New Roman" w:eastAsia="宋体" w:cs="Times New Roman"/>
                      <w:color w:val="auto"/>
                      <w:kern w:val="0"/>
                      <w:sz w:val="21"/>
                      <w:szCs w:val="21"/>
                      <w:vertAlign w:val="subscript"/>
                      <w:lang w:val="en-US" w:eastAsia="zh-CN" w:bidi="ar-SA"/>
                    </w:rPr>
                    <w:t>5</w:t>
                  </w:r>
                  <w:r>
                    <w:rPr>
                      <w:rFonts w:hint="default" w:ascii="Times New Roman" w:hAnsi="Times New Roman" w:eastAsia="宋体" w:cs="Times New Roman"/>
                      <w:color w:val="auto"/>
                      <w:kern w:val="0"/>
                      <w:sz w:val="21"/>
                      <w:szCs w:val="21"/>
                      <w:lang w:val="en-US" w:eastAsia="zh-CN" w:bidi="ar-SA"/>
                    </w:rPr>
                    <w:t>、氨氮、SS等</w:t>
                  </w:r>
                </w:p>
              </w:tc>
              <w:tc>
                <w:tcPr>
                  <w:tcW w:w="772" w:type="pct"/>
                  <w:noWrap w:val="0"/>
                  <w:vAlign w:val="center"/>
                </w:tcPr>
                <w:p>
                  <w:pPr>
                    <w:pStyle w:val="77"/>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化粪池</w:t>
                  </w:r>
                </w:p>
              </w:tc>
              <w:tc>
                <w:tcPr>
                  <w:tcW w:w="1110" w:type="pct"/>
                  <w:vMerge w:val="restart"/>
                  <w:noWrap w:val="0"/>
                  <w:vAlign w:val="center"/>
                </w:tcPr>
                <w:p>
                  <w:pPr>
                    <w:pStyle w:val="77"/>
                    <w:jc w:val="both"/>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sz w:val="21"/>
                      <w:szCs w:val="21"/>
                      <w:highlight w:val="none"/>
                      <w:lang w:val="en-US" w:eastAsia="zh-CN"/>
                    </w:rPr>
                    <w:t>生活污水经化粪池处理后，原料清洗废水、洗瓶废水、CIP系统清洗废水经厂区污水站处理后与纯水制备浓水、</w:t>
                  </w:r>
                  <w:r>
                    <w:rPr>
                      <w:rFonts w:hint="eastAsia" w:cs="Times New Roman"/>
                      <w:color w:val="auto"/>
                      <w:sz w:val="21"/>
                      <w:szCs w:val="21"/>
                      <w:highlight w:val="none"/>
                      <w:lang w:val="en-US" w:eastAsia="zh-CN"/>
                    </w:rPr>
                    <w:t>锅炉</w:t>
                  </w:r>
                  <w:r>
                    <w:rPr>
                      <w:rFonts w:hint="default" w:ascii="Times New Roman" w:hAnsi="Times New Roman" w:cs="Times New Roman"/>
                      <w:color w:val="auto"/>
                      <w:sz w:val="21"/>
                      <w:szCs w:val="21"/>
                      <w:highlight w:val="none"/>
                      <w:lang w:val="en-US" w:eastAsia="zh-CN"/>
                    </w:rPr>
                    <w:t>排污水一起排入园区下水管网，</w:t>
                  </w:r>
                  <w:r>
                    <w:rPr>
                      <w:rFonts w:hint="default" w:ascii="Times New Roman" w:hAnsi="Times New Roman" w:eastAsia="宋体" w:cs="Times New Roman"/>
                      <w:b w:val="0"/>
                      <w:bCs w:val="0"/>
                      <w:color w:val="auto"/>
                      <w:sz w:val="21"/>
                      <w:szCs w:val="21"/>
                      <w:highlight w:val="none"/>
                      <w:lang w:val="en-US" w:eastAsia="zh-CN"/>
                    </w:rPr>
                    <w:t>最终</w:t>
                  </w:r>
                  <w:r>
                    <w:rPr>
                      <w:rFonts w:hint="default" w:ascii="Times New Roman" w:hAnsi="Times New Roman" w:eastAsia="宋体" w:cs="Times New Roman"/>
                      <w:b w:val="0"/>
                      <w:bCs w:val="0"/>
                      <w:color w:val="auto"/>
                      <w:sz w:val="21"/>
                      <w:szCs w:val="21"/>
                      <w:highlight w:val="none"/>
                      <w:lang w:eastAsia="zh-CN"/>
                    </w:rPr>
                    <w:t>进入</w:t>
                  </w:r>
                  <w:r>
                    <w:rPr>
                      <w:rFonts w:hint="default" w:ascii="Times New Roman" w:hAnsi="Times New Roman" w:cs="Times New Roman"/>
                      <w:b w:val="0"/>
                      <w:bCs w:val="0"/>
                      <w:color w:val="auto"/>
                      <w:sz w:val="21"/>
                      <w:szCs w:val="21"/>
                      <w:highlight w:val="none"/>
                      <w:lang w:eastAsia="zh-CN"/>
                    </w:rPr>
                    <w:t>库尔勒经济技术开发区工业废水处理回用厂</w:t>
                  </w:r>
                  <w:r>
                    <w:rPr>
                      <w:rFonts w:hint="default" w:ascii="Times New Roman" w:hAnsi="Times New Roman" w:cs="Times New Roman"/>
                      <w:b w:val="0"/>
                      <w:bCs w:val="0"/>
                      <w:color w:val="auto"/>
                      <w:sz w:val="21"/>
                      <w:szCs w:val="21"/>
                      <w:highlight w:val="none"/>
                      <w:lang w:val="en-US" w:eastAsia="zh-CN"/>
                    </w:rPr>
                    <w:t>深度处理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9" w:hRule="atLeast"/>
                <w:jc w:val="center"/>
              </w:trPr>
              <w:tc>
                <w:tcPr>
                  <w:tcW w:w="353" w:type="pct"/>
                  <w:vMerge w:val="continue"/>
                  <w:noWrap w:val="0"/>
                  <w:vAlign w:val="center"/>
                </w:tcPr>
                <w:p>
                  <w:pPr>
                    <w:pStyle w:val="77"/>
                    <w:rPr>
                      <w:rFonts w:hint="default" w:ascii="Times New Roman" w:hAnsi="Times New Roman" w:cs="Times New Roman"/>
                      <w:color w:val="auto"/>
                      <w:sz w:val="21"/>
                      <w:szCs w:val="21"/>
                    </w:rPr>
                  </w:pPr>
                </w:p>
              </w:tc>
              <w:tc>
                <w:tcPr>
                  <w:tcW w:w="1584" w:type="pct"/>
                  <w:gridSpan w:val="2"/>
                  <w:noWrap w:val="0"/>
                  <w:vAlign w:val="center"/>
                </w:tcPr>
                <w:p>
                  <w:pPr>
                    <w:pStyle w:val="77"/>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鲜榨果汁生产线原料清洗废水、CIP系统清洗废水、洗瓶废水</w:t>
                  </w:r>
                </w:p>
              </w:tc>
              <w:tc>
                <w:tcPr>
                  <w:tcW w:w="1178" w:type="pct"/>
                  <w:noWrap w:val="0"/>
                  <w:vAlign w:val="center"/>
                </w:tcPr>
                <w:p>
                  <w:pPr>
                    <w:pStyle w:val="77"/>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pH、COD、BOD</w:t>
                  </w:r>
                  <w:r>
                    <w:rPr>
                      <w:rFonts w:hint="default" w:ascii="Times New Roman" w:hAnsi="Times New Roman" w:eastAsia="宋体" w:cs="Times New Roman"/>
                      <w:color w:val="auto"/>
                      <w:kern w:val="0"/>
                      <w:sz w:val="21"/>
                      <w:szCs w:val="21"/>
                      <w:vertAlign w:val="subscript"/>
                      <w:lang w:val="en-US" w:eastAsia="zh-CN" w:bidi="ar-SA"/>
                    </w:rPr>
                    <w:t>5</w:t>
                  </w:r>
                  <w:r>
                    <w:rPr>
                      <w:rFonts w:hint="default" w:ascii="Times New Roman" w:hAnsi="Times New Roman" w:eastAsia="宋体" w:cs="Times New Roman"/>
                      <w:color w:val="auto"/>
                      <w:kern w:val="0"/>
                      <w:sz w:val="21"/>
                      <w:szCs w:val="21"/>
                      <w:lang w:val="en-US" w:eastAsia="zh-CN" w:bidi="ar-SA"/>
                    </w:rPr>
                    <w:t>、氨氮、SS、总氮、总磷、溶解性总固体、LAS等</w:t>
                  </w:r>
                </w:p>
              </w:tc>
              <w:tc>
                <w:tcPr>
                  <w:tcW w:w="772" w:type="pct"/>
                  <w:noWrap w:val="0"/>
                  <w:vAlign w:val="center"/>
                </w:tcPr>
                <w:p>
                  <w:pPr>
                    <w:pStyle w:val="77"/>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厂区污水处理站处理</w:t>
                  </w:r>
                </w:p>
              </w:tc>
              <w:tc>
                <w:tcPr>
                  <w:tcW w:w="1110" w:type="pct"/>
                  <w:vMerge w:val="continue"/>
                  <w:noWrap w:val="0"/>
                  <w:vAlign w:val="center"/>
                </w:tcPr>
                <w:p>
                  <w:pPr>
                    <w:pStyle w:val="77"/>
                    <w:rPr>
                      <w:rFonts w:hint="default" w:ascii="Times New Roman" w:hAnsi="Times New Roman" w:eastAsia="宋体" w:cs="Times New Roman"/>
                      <w:color w:val="auto"/>
                      <w:kern w:val="0"/>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89" w:hRule="atLeast"/>
                <w:jc w:val="center"/>
              </w:trPr>
              <w:tc>
                <w:tcPr>
                  <w:tcW w:w="353" w:type="pct"/>
                  <w:vMerge w:val="continue"/>
                  <w:noWrap w:val="0"/>
                  <w:vAlign w:val="center"/>
                </w:tcPr>
                <w:p>
                  <w:pPr>
                    <w:pStyle w:val="77"/>
                    <w:rPr>
                      <w:rFonts w:hint="default" w:ascii="Times New Roman" w:hAnsi="Times New Roman" w:eastAsia="宋体" w:cs="Times New Roman"/>
                      <w:color w:val="auto"/>
                      <w:kern w:val="0"/>
                      <w:sz w:val="21"/>
                      <w:szCs w:val="21"/>
                      <w:lang w:val="en-US" w:eastAsia="zh-CN" w:bidi="ar-SA"/>
                    </w:rPr>
                  </w:pPr>
                </w:p>
              </w:tc>
              <w:tc>
                <w:tcPr>
                  <w:tcW w:w="1584" w:type="pct"/>
                  <w:gridSpan w:val="2"/>
                  <w:noWrap w:val="0"/>
                  <w:vAlign w:val="center"/>
                </w:tcPr>
                <w:p>
                  <w:pPr>
                    <w:pStyle w:val="77"/>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纯水制备废水、</w:t>
                  </w:r>
                  <w:r>
                    <w:rPr>
                      <w:rFonts w:hint="eastAsia" w:cs="Times New Roman"/>
                      <w:color w:val="auto"/>
                      <w:kern w:val="0"/>
                      <w:sz w:val="21"/>
                      <w:szCs w:val="21"/>
                      <w:lang w:val="en-US" w:eastAsia="zh-CN" w:bidi="ar-SA"/>
                    </w:rPr>
                    <w:t>锅炉</w:t>
                  </w:r>
                  <w:r>
                    <w:rPr>
                      <w:rFonts w:hint="default" w:ascii="Times New Roman" w:hAnsi="Times New Roman" w:eastAsia="宋体" w:cs="Times New Roman"/>
                      <w:color w:val="auto"/>
                      <w:kern w:val="0"/>
                      <w:sz w:val="21"/>
                      <w:szCs w:val="21"/>
                      <w:lang w:val="en-US" w:eastAsia="zh-CN" w:bidi="ar-SA"/>
                    </w:rPr>
                    <w:t>排污水</w:t>
                  </w:r>
                </w:p>
              </w:tc>
              <w:tc>
                <w:tcPr>
                  <w:tcW w:w="1178" w:type="pct"/>
                  <w:shd w:val="clear" w:color="auto" w:fill="auto"/>
                  <w:noWrap w:val="0"/>
                  <w:vAlign w:val="center"/>
                </w:tcPr>
                <w:p>
                  <w:pPr>
                    <w:pStyle w:val="77"/>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pH、COD、BOD</w:t>
                  </w:r>
                  <w:r>
                    <w:rPr>
                      <w:rFonts w:hint="default" w:ascii="Times New Roman" w:hAnsi="Times New Roman" w:eastAsia="宋体" w:cs="Times New Roman"/>
                      <w:color w:val="auto"/>
                      <w:kern w:val="0"/>
                      <w:sz w:val="21"/>
                      <w:szCs w:val="21"/>
                      <w:vertAlign w:val="subscript"/>
                      <w:lang w:val="en-US" w:eastAsia="zh-CN" w:bidi="ar-SA"/>
                    </w:rPr>
                    <w:t>5</w:t>
                  </w:r>
                  <w:r>
                    <w:rPr>
                      <w:rFonts w:hint="default" w:ascii="Times New Roman" w:hAnsi="Times New Roman" w:eastAsia="宋体" w:cs="Times New Roman"/>
                      <w:color w:val="auto"/>
                      <w:kern w:val="0"/>
                      <w:sz w:val="21"/>
                      <w:szCs w:val="21"/>
                      <w:lang w:val="en-US" w:eastAsia="zh-CN" w:bidi="ar-SA"/>
                    </w:rPr>
                    <w:t>、氨氮、SS、溶解性总固体等</w:t>
                  </w:r>
                </w:p>
              </w:tc>
              <w:tc>
                <w:tcPr>
                  <w:tcW w:w="772" w:type="pct"/>
                  <w:noWrap w:val="0"/>
                  <w:vAlign w:val="center"/>
                </w:tcPr>
                <w:p>
                  <w:pPr>
                    <w:pStyle w:val="77"/>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w:t>
                  </w:r>
                </w:p>
              </w:tc>
              <w:tc>
                <w:tcPr>
                  <w:tcW w:w="1110" w:type="pct"/>
                  <w:vMerge w:val="continue"/>
                  <w:noWrap w:val="0"/>
                  <w:vAlign w:val="center"/>
                </w:tcPr>
                <w:p>
                  <w:pPr>
                    <w:pStyle w:val="77"/>
                    <w:rPr>
                      <w:rFonts w:hint="default" w:ascii="Times New Roman" w:hAnsi="Times New Roman" w:eastAsia="宋体" w:cs="Times New Roman"/>
                      <w:color w:val="auto"/>
                      <w:kern w:val="0"/>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 w:hRule="atLeast"/>
                <w:jc w:val="center"/>
              </w:trPr>
              <w:tc>
                <w:tcPr>
                  <w:tcW w:w="353" w:type="pct"/>
                  <w:noWrap w:val="0"/>
                  <w:vAlign w:val="center"/>
                </w:tcPr>
                <w:p>
                  <w:pPr>
                    <w:pStyle w:val="77"/>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噪声</w:t>
                  </w:r>
                </w:p>
              </w:tc>
              <w:tc>
                <w:tcPr>
                  <w:tcW w:w="808" w:type="pct"/>
                  <w:noWrap w:val="0"/>
                  <w:vAlign w:val="center"/>
                </w:tcPr>
                <w:p>
                  <w:pPr>
                    <w:pStyle w:val="77"/>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机械设备</w:t>
                  </w:r>
                </w:p>
              </w:tc>
              <w:tc>
                <w:tcPr>
                  <w:tcW w:w="776" w:type="pct"/>
                  <w:noWrap w:val="0"/>
                  <w:vAlign w:val="center"/>
                </w:tcPr>
                <w:p>
                  <w:pPr>
                    <w:pStyle w:val="77"/>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噪声</w:t>
                  </w:r>
                </w:p>
              </w:tc>
              <w:tc>
                <w:tcPr>
                  <w:tcW w:w="1178" w:type="pct"/>
                  <w:noWrap w:val="0"/>
                  <w:vAlign w:val="center"/>
                </w:tcPr>
                <w:p>
                  <w:pPr>
                    <w:pStyle w:val="77"/>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Leq</w:t>
                  </w:r>
                </w:p>
              </w:tc>
              <w:tc>
                <w:tcPr>
                  <w:tcW w:w="772" w:type="pct"/>
                  <w:noWrap w:val="0"/>
                  <w:vAlign w:val="center"/>
                </w:tcPr>
                <w:p>
                  <w:pPr>
                    <w:pStyle w:val="77"/>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低噪声设备、设备固定、安装消声器、加装减振基础、厂房隔声</w:t>
                  </w:r>
                </w:p>
              </w:tc>
              <w:tc>
                <w:tcPr>
                  <w:tcW w:w="1110" w:type="pct"/>
                  <w:noWrap w:val="0"/>
                  <w:vAlign w:val="center"/>
                </w:tcPr>
                <w:p>
                  <w:pPr>
                    <w:pStyle w:val="77"/>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周围环境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353" w:type="pct"/>
                  <w:vMerge w:val="restart"/>
                  <w:noWrap w:val="0"/>
                  <w:vAlign w:val="center"/>
                </w:tcPr>
                <w:p>
                  <w:pPr>
                    <w:pStyle w:val="77"/>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固体废物</w:t>
                  </w:r>
                </w:p>
              </w:tc>
              <w:tc>
                <w:tcPr>
                  <w:tcW w:w="808" w:type="pct"/>
                  <w:noWrap w:val="0"/>
                  <w:vAlign w:val="center"/>
                </w:tcPr>
                <w:p>
                  <w:pPr>
                    <w:pStyle w:val="77"/>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原辅料拆包</w:t>
                  </w:r>
                </w:p>
              </w:tc>
              <w:tc>
                <w:tcPr>
                  <w:tcW w:w="776" w:type="pct"/>
                  <w:noWrap w:val="0"/>
                  <w:vAlign w:val="center"/>
                </w:tcPr>
                <w:p>
                  <w:pPr>
                    <w:pStyle w:val="77"/>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废包装材料</w:t>
                  </w:r>
                </w:p>
              </w:tc>
              <w:tc>
                <w:tcPr>
                  <w:tcW w:w="1178" w:type="pct"/>
                  <w:noWrap w:val="0"/>
                  <w:vAlign w:val="center"/>
                </w:tcPr>
                <w:p>
                  <w:pPr>
                    <w:pStyle w:val="77"/>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废包装材料</w:t>
                  </w:r>
                </w:p>
              </w:tc>
              <w:tc>
                <w:tcPr>
                  <w:tcW w:w="1882" w:type="pct"/>
                  <w:gridSpan w:val="2"/>
                  <w:noWrap w:val="0"/>
                  <w:vAlign w:val="center"/>
                </w:tcPr>
                <w:p>
                  <w:pPr>
                    <w:pStyle w:val="77"/>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一般固废暂存间暂存，交由物资回收公司回收利用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8" w:hRule="atLeast"/>
                <w:jc w:val="center"/>
              </w:trPr>
              <w:tc>
                <w:tcPr>
                  <w:tcW w:w="353" w:type="pct"/>
                  <w:vMerge w:val="continue"/>
                  <w:noWrap w:val="0"/>
                  <w:vAlign w:val="center"/>
                </w:tcPr>
                <w:p>
                  <w:pPr>
                    <w:pStyle w:val="77"/>
                    <w:rPr>
                      <w:rFonts w:hint="default" w:ascii="Times New Roman" w:hAnsi="Times New Roman" w:eastAsia="宋体" w:cs="Times New Roman"/>
                      <w:color w:val="auto"/>
                      <w:kern w:val="0"/>
                      <w:sz w:val="21"/>
                      <w:szCs w:val="21"/>
                      <w:lang w:val="en-US" w:eastAsia="zh-CN" w:bidi="ar-SA"/>
                    </w:rPr>
                  </w:pPr>
                </w:p>
              </w:tc>
              <w:tc>
                <w:tcPr>
                  <w:tcW w:w="808" w:type="pct"/>
                  <w:noWrap w:val="0"/>
                  <w:vAlign w:val="center"/>
                </w:tcPr>
                <w:p>
                  <w:pPr>
                    <w:pStyle w:val="77"/>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纯水制备</w:t>
                  </w:r>
                </w:p>
              </w:tc>
              <w:tc>
                <w:tcPr>
                  <w:tcW w:w="776" w:type="pct"/>
                  <w:noWrap w:val="0"/>
                  <w:vAlign w:val="center"/>
                </w:tcPr>
                <w:p>
                  <w:pPr>
                    <w:pStyle w:val="77"/>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废过滤材料</w:t>
                  </w:r>
                </w:p>
              </w:tc>
              <w:tc>
                <w:tcPr>
                  <w:tcW w:w="1178" w:type="pct"/>
                  <w:noWrap w:val="0"/>
                  <w:vAlign w:val="center"/>
                </w:tcPr>
                <w:p>
                  <w:pPr>
                    <w:pStyle w:val="77"/>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废过滤材料</w:t>
                  </w:r>
                </w:p>
              </w:tc>
              <w:tc>
                <w:tcPr>
                  <w:tcW w:w="1882" w:type="pct"/>
                  <w:gridSpan w:val="2"/>
                  <w:noWrap w:val="0"/>
                  <w:vAlign w:val="center"/>
                </w:tcPr>
                <w:p>
                  <w:pPr>
                    <w:pStyle w:val="77"/>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一般固废暂存间暂存，定期交由</w:t>
                  </w:r>
                  <w:r>
                    <w:rPr>
                      <w:rFonts w:hint="eastAsia" w:cs="Times New Roman"/>
                      <w:color w:val="auto"/>
                      <w:kern w:val="0"/>
                      <w:sz w:val="21"/>
                      <w:szCs w:val="21"/>
                      <w:lang w:val="en-US" w:eastAsia="zh-CN" w:bidi="ar-SA"/>
                    </w:rPr>
                    <w:t>设备厂家回收</w:t>
                  </w:r>
                  <w:r>
                    <w:rPr>
                      <w:rFonts w:hint="default" w:ascii="Times New Roman" w:hAnsi="Times New Roman" w:eastAsia="宋体" w:cs="Times New Roman"/>
                      <w:color w:val="auto"/>
                      <w:kern w:val="0"/>
                      <w:sz w:val="21"/>
                      <w:szCs w:val="21"/>
                      <w:lang w:val="en-US" w:eastAsia="zh-CN" w:bidi="ar-SA"/>
                    </w:rPr>
                    <w:t>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jc w:val="center"/>
              </w:trPr>
              <w:tc>
                <w:tcPr>
                  <w:tcW w:w="353" w:type="pct"/>
                  <w:vMerge w:val="continue"/>
                  <w:noWrap w:val="0"/>
                  <w:vAlign w:val="center"/>
                </w:tcPr>
                <w:p>
                  <w:pPr>
                    <w:pStyle w:val="77"/>
                    <w:rPr>
                      <w:rFonts w:hint="default" w:ascii="Times New Roman" w:hAnsi="Times New Roman" w:cs="Times New Roman"/>
                      <w:color w:val="auto"/>
                      <w:sz w:val="21"/>
                      <w:szCs w:val="21"/>
                    </w:rPr>
                  </w:pPr>
                </w:p>
              </w:tc>
              <w:tc>
                <w:tcPr>
                  <w:tcW w:w="808" w:type="pct"/>
                  <w:noWrap w:val="0"/>
                  <w:vAlign w:val="center"/>
                </w:tcPr>
                <w:p>
                  <w:pPr>
                    <w:pStyle w:val="77"/>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包装工序</w:t>
                  </w:r>
                </w:p>
              </w:tc>
              <w:tc>
                <w:tcPr>
                  <w:tcW w:w="776" w:type="pct"/>
                  <w:noWrap w:val="0"/>
                  <w:vAlign w:val="center"/>
                </w:tcPr>
                <w:p>
                  <w:pPr>
                    <w:pStyle w:val="77"/>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kern w:val="2"/>
                      <w:sz w:val="21"/>
                      <w:szCs w:val="21"/>
                      <w:highlight w:val="none"/>
                      <w:lang w:val="en-US" w:eastAsia="zh-CN" w:bidi="ar-SA"/>
                    </w:rPr>
                    <w:t>废塑封膜边角料</w:t>
                  </w:r>
                </w:p>
              </w:tc>
              <w:tc>
                <w:tcPr>
                  <w:tcW w:w="1178" w:type="pct"/>
                  <w:noWrap w:val="0"/>
                  <w:vAlign w:val="center"/>
                </w:tcPr>
                <w:p>
                  <w:pPr>
                    <w:pStyle w:val="77"/>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kern w:val="2"/>
                      <w:sz w:val="21"/>
                      <w:szCs w:val="21"/>
                      <w:highlight w:val="none"/>
                      <w:lang w:val="en-US" w:eastAsia="zh-CN" w:bidi="ar-SA"/>
                    </w:rPr>
                    <w:t>废塑封膜边角料</w:t>
                  </w:r>
                </w:p>
              </w:tc>
              <w:tc>
                <w:tcPr>
                  <w:tcW w:w="1882" w:type="pct"/>
                  <w:gridSpan w:val="2"/>
                  <w:noWrap w:val="0"/>
                  <w:vAlign w:val="center"/>
                </w:tcPr>
                <w:p>
                  <w:pPr>
                    <w:pStyle w:val="77"/>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一般固废暂存间暂存，交由物资回收公司回收利用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jc w:val="center"/>
              </w:trPr>
              <w:tc>
                <w:tcPr>
                  <w:tcW w:w="353" w:type="pct"/>
                  <w:vMerge w:val="continue"/>
                  <w:noWrap w:val="0"/>
                  <w:vAlign w:val="center"/>
                </w:tcPr>
                <w:p>
                  <w:pPr>
                    <w:pStyle w:val="77"/>
                    <w:rPr>
                      <w:rFonts w:hint="default" w:ascii="Times New Roman" w:hAnsi="Times New Roman" w:eastAsia="宋体" w:cs="Times New Roman"/>
                      <w:color w:val="auto"/>
                      <w:kern w:val="0"/>
                      <w:sz w:val="21"/>
                      <w:szCs w:val="21"/>
                      <w:lang w:val="en-US" w:eastAsia="zh-CN" w:bidi="ar-SA"/>
                    </w:rPr>
                  </w:pPr>
                </w:p>
              </w:tc>
              <w:tc>
                <w:tcPr>
                  <w:tcW w:w="808" w:type="pct"/>
                  <w:noWrap w:val="0"/>
                  <w:vAlign w:val="center"/>
                </w:tcPr>
                <w:p>
                  <w:pPr>
                    <w:pStyle w:val="77"/>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废水处理</w:t>
                  </w:r>
                </w:p>
              </w:tc>
              <w:tc>
                <w:tcPr>
                  <w:tcW w:w="776" w:type="pct"/>
                  <w:noWrap w:val="0"/>
                  <w:vAlign w:val="center"/>
                </w:tcPr>
                <w:p>
                  <w:pPr>
                    <w:pStyle w:val="77"/>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kern w:val="2"/>
                      <w:sz w:val="21"/>
                      <w:szCs w:val="21"/>
                      <w:highlight w:val="none"/>
                      <w:lang w:val="en-US" w:eastAsia="zh-CN" w:bidi="ar-SA"/>
                    </w:rPr>
                    <w:t>污水站污泥</w:t>
                  </w:r>
                </w:p>
              </w:tc>
              <w:tc>
                <w:tcPr>
                  <w:tcW w:w="1178" w:type="pct"/>
                  <w:noWrap w:val="0"/>
                  <w:vAlign w:val="center"/>
                </w:tcPr>
                <w:p>
                  <w:pPr>
                    <w:pStyle w:val="77"/>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cs="Times New Roman"/>
                      <w:color w:val="auto"/>
                      <w:kern w:val="2"/>
                      <w:sz w:val="21"/>
                      <w:szCs w:val="21"/>
                      <w:highlight w:val="none"/>
                      <w:lang w:val="en-US" w:eastAsia="zh-CN" w:bidi="ar-SA"/>
                    </w:rPr>
                    <w:t>污水站污泥</w:t>
                  </w:r>
                </w:p>
              </w:tc>
              <w:tc>
                <w:tcPr>
                  <w:tcW w:w="1882" w:type="pct"/>
                  <w:gridSpan w:val="2"/>
                  <w:noWrap w:val="0"/>
                  <w:vAlign w:val="center"/>
                </w:tcPr>
                <w:p>
                  <w:pPr>
                    <w:pStyle w:val="77"/>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一般固废暂存间暂存，定期交由物资回收公司回收利用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jc w:val="center"/>
              </w:trPr>
              <w:tc>
                <w:tcPr>
                  <w:tcW w:w="353" w:type="pct"/>
                  <w:vMerge w:val="continue"/>
                  <w:noWrap w:val="0"/>
                  <w:vAlign w:val="center"/>
                </w:tcPr>
                <w:p>
                  <w:pPr>
                    <w:pStyle w:val="77"/>
                    <w:rPr>
                      <w:rFonts w:hint="default" w:ascii="Times New Roman" w:hAnsi="Times New Roman" w:eastAsia="宋体" w:cs="Times New Roman"/>
                      <w:color w:val="auto"/>
                      <w:kern w:val="0"/>
                      <w:sz w:val="21"/>
                      <w:szCs w:val="21"/>
                      <w:lang w:val="en-US" w:eastAsia="zh-CN" w:bidi="ar-SA"/>
                    </w:rPr>
                  </w:pPr>
                </w:p>
              </w:tc>
              <w:tc>
                <w:tcPr>
                  <w:tcW w:w="808" w:type="pct"/>
                  <w:noWrap w:val="0"/>
                  <w:vAlign w:val="center"/>
                </w:tcPr>
                <w:p>
                  <w:pPr>
                    <w:pStyle w:val="77"/>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鲜榨果汁生产</w:t>
                  </w:r>
                </w:p>
              </w:tc>
              <w:tc>
                <w:tcPr>
                  <w:tcW w:w="776" w:type="pct"/>
                  <w:noWrap w:val="0"/>
                  <w:vAlign w:val="center"/>
                </w:tcPr>
                <w:p>
                  <w:pPr>
                    <w:pStyle w:val="77"/>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坏果及果渣</w:t>
                  </w:r>
                </w:p>
              </w:tc>
              <w:tc>
                <w:tcPr>
                  <w:tcW w:w="1178" w:type="pct"/>
                  <w:noWrap w:val="0"/>
                  <w:vAlign w:val="center"/>
                </w:tcPr>
                <w:p>
                  <w:pPr>
                    <w:pStyle w:val="77"/>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坏果及果渣</w:t>
                  </w:r>
                </w:p>
              </w:tc>
              <w:tc>
                <w:tcPr>
                  <w:tcW w:w="1882" w:type="pct"/>
                  <w:gridSpan w:val="2"/>
                  <w:noWrap w:val="0"/>
                  <w:vAlign w:val="center"/>
                </w:tcPr>
                <w:p>
                  <w:pPr>
                    <w:pStyle w:val="77"/>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专用贮存点暂存密封贮存，日产日清，交由物资回收公司回收利用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49" w:hRule="atLeast"/>
                <w:jc w:val="center"/>
              </w:trPr>
              <w:tc>
                <w:tcPr>
                  <w:tcW w:w="353" w:type="pct"/>
                  <w:vMerge w:val="continue"/>
                  <w:noWrap w:val="0"/>
                  <w:vAlign w:val="center"/>
                </w:tcPr>
                <w:p>
                  <w:pPr>
                    <w:pStyle w:val="77"/>
                    <w:rPr>
                      <w:rFonts w:hint="default" w:ascii="Times New Roman" w:hAnsi="Times New Roman" w:eastAsia="宋体" w:cs="Times New Roman"/>
                      <w:color w:val="auto"/>
                      <w:kern w:val="0"/>
                      <w:sz w:val="21"/>
                      <w:szCs w:val="21"/>
                      <w:lang w:val="en-US" w:eastAsia="zh-CN" w:bidi="ar-SA"/>
                    </w:rPr>
                  </w:pPr>
                </w:p>
              </w:tc>
              <w:tc>
                <w:tcPr>
                  <w:tcW w:w="808" w:type="pct"/>
                  <w:noWrap w:val="0"/>
                  <w:vAlign w:val="center"/>
                </w:tcPr>
                <w:p>
                  <w:pPr>
                    <w:pStyle w:val="77"/>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废气处理</w:t>
                  </w:r>
                </w:p>
              </w:tc>
              <w:tc>
                <w:tcPr>
                  <w:tcW w:w="776" w:type="pct"/>
                  <w:noWrap w:val="0"/>
                  <w:vAlign w:val="center"/>
                </w:tcPr>
                <w:p>
                  <w:pPr>
                    <w:pStyle w:val="77"/>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废活性炭</w:t>
                  </w:r>
                </w:p>
              </w:tc>
              <w:tc>
                <w:tcPr>
                  <w:tcW w:w="1178" w:type="pct"/>
                  <w:noWrap w:val="0"/>
                  <w:vAlign w:val="center"/>
                </w:tcPr>
                <w:p>
                  <w:pPr>
                    <w:pStyle w:val="77"/>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废活性炭</w:t>
                  </w:r>
                </w:p>
              </w:tc>
              <w:tc>
                <w:tcPr>
                  <w:tcW w:w="1882" w:type="pct"/>
                  <w:gridSpan w:val="2"/>
                  <w:vMerge w:val="restart"/>
                  <w:noWrap w:val="0"/>
                  <w:vAlign w:val="center"/>
                </w:tcPr>
                <w:p>
                  <w:pPr>
                    <w:pStyle w:val="77"/>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危废暂存点暂存，</w:t>
                  </w:r>
                  <w:r>
                    <w:rPr>
                      <w:rFonts w:hint="default" w:ascii="Times New Roman" w:hAnsi="Times New Roman" w:cs="Times New Roman"/>
                      <w:color w:val="auto"/>
                      <w:sz w:val="21"/>
                      <w:szCs w:val="21"/>
                      <w:highlight w:val="none"/>
                      <w:lang w:val="en-US" w:eastAsia="zh-CN"/>
                    </w:rPr>
                    <w:t>定期交由有资质单位处置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34" w:hRule="atLeast"/>
                <w:jc w:val="center"/>
              </w:trPr>
              <w:tc>
                <w:tcPr>
                  <w:tcW w:w="353" w:type="pct"/>
                  <w:vMerge w:val="continue"/>
                  <w:noWrap w:val="0"/>
                  <w:vAlign w:val="center"/>
                </w:tcPr>
                <w:p>
                  <w:pPr>
                    <w:pStyle w:val="77"/>
                    <w:rPr>
                      <w:rFonts w:hint="default" w:ascii="Times New Roman" w:hAnsi="Times New Roman" w:eastAsia="宋体" w:cs="Times New Roman"/>
                      <w:color w:val="auto"/>
                      <w:kern w:val="0"/>
                      <w:sz w:val="21"/>
                      <w:szCs w:val="21"/>
                      <w:lang w:val="en-US" w:eastAsia="zh-CN" w:bidi="ar-SA"/>
                    </w:rPr>
                  </w:pPr>
                </w:p>
              </w:tc>
              <w:tc>
                <w:tcPr>
                  <w:tcW w:w="808" w:type="pct"/>
                  <w:vMerge w:val="restart"/>
                  <w:noWrap w:val="0"/>
                  <w:vAlign w:val="center"/>
                </w:tcPr>
                <w:p>
                  <w:pPr>
                    <w:pStyle w:val="77"/>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设备维护保养</w:t>
                  </w:r>
                </w:p>
              </w:tc>
              <w:tc>
                <w:tcPr>
                  <w:tcW w:w="776" w:type="pct"/>
                  <w:noWrap w:val="0"/>
                  <w:vAlign w:val="center"/>
                </w:tcPr>
                <w:p>
                  <w:pPr>
                    <w:pStyle w:val="77"/>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废机油</w:t>
                  </w:r>
                </w:p>
              </w:tc>
              <w:tc>
                <w:tcPr>
                  <w:tcW w:w="1178" w:type="pct"/>
                  <w:tcBorders>
                    <w:top w:val="single" w:color="auto" w:sz="4" w:space="0"/>
                    <w:bottom w:val="single" w:color="auto" w:sz="4" w:space="0"/>
                  </w:tcBorders>
                  <w:noWrap w:val="0"/>
                  <w:vAlign w:val="center"/>
                </w:tcPr>
                <w:p>
                  <w:pPr>
                    <w:pStyle w:val="77"/>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废机油</w:t>
                  </w:r>
                </w:p>
              </w:tc>
              <w:tc>
                <w:tcPr>
                  <w:tcW w:w="1882" w:type="pct"/>
                  <w:gridSpan w:val="2"/>
                  <w:vMerge w:val="continue"/>
                  <w:noWrap w:val="0"/>
                  <w:vAlign w:val="center"/>
                </w:tcPr>
                <w:p>
                  <w:pPr>
                    <w:pStyle w:val="77"/>
                    <w:rPr>
                      <w:rFonts w:hint="default" w:ascii="Times New Roman" w:hAnsi="Times New Roman" w:eastAsia="宋体" w:cs="Times New Roman"/>
                      <w:color w:val="auto"/>
                      <w:kern w:val="0"/>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24" w:hRule="atLeast"/>
                <w:jc w:val="center"/>
              </w:trPr>
              <w:tc>
                <w:tcPr>
                  <w:tcW w:w="353" w:type="pct"/>
                  <w:vMerge w:val="continue"/>
                  <w:noWrap w:val="0"/>
                  <w:vAlign w:val="center"/>
                </w:tcPr>
                <w:p>
                  <w:pPr>
                    <w:pStyle w:val="77"/>
                    <w:rPr>
                      <w:rFonts w:hint="default" w:ascii="Times New Roman" w:hAnsi="Times New Roman" w:eastAsia="宋体" w:cs="Times New Roman"/>
                      <w:color w:val="auto"/>
                      <w:kern w:val="0"/>
                      <w:sz w:val="21"/>
                      <w:szCs w:val="21"/>
                      <w:lang w:val="en-US" w:eastAsia="zh-CN" w:bidi="ar-SA"/>
                    </w:rPr>
                  </w:pPr>
                </w:p>
              </w:tc>
              <w:tc>
                <w:tcPr>
                  <w:tcW w:w="808" w:type="pct"/>
                  <w:vMerge w:val="continue"/>
                  <w:noWrap w:val="0"/>
                  <w:vAlign w:val="center"/>
                </w:tcPr>
                <w:p>
                  <w:pPr>
                    <w:pStyle w:val="77"/>
                    <w:rPr>
                      <w:rFonts w:hint="default" w:ascii="Times New Roman" w:hAnsi="Times New Roman" w:eastAsia="宋体" w:cs="Times New Roman"/>
                      <w:color w:val="auto"/>
                      <w:kern w:val="0"/>
                      <w:sz w:val="21"/>
                      <w:szCs w:val="21"/>
                      <w:lang w:val="en-US" w:eastAsia="zh-CN" w:bidi="ar-SA"/>
                    </w:rPr>
                  </w:pPr>
                </w:p>
              </w:tc>
              <w:tc>
                <w:tcPr>
                  <w:tcW w:w="776" w:type="pct"/>
                  <w:tcBorders>
                    <w:bottom w:val="single" w:color="auto" w:sz="4" w:space="0"/>
                  </w:tcBorders>
                  <w:noWrap w:val="0"/>
                  <w:vAlign w:val="center"/>
                </w:tcPr>
                <w:p>
                  <w:pPr>
                    <w:pStyle w:val="77"/>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废油桶</w:t>
                  </w:r>
                </w:p>
              </w:tc>
              <w:tc>
                <w:tcPr>
                  <w:tcW w:w="1178" w:type="pct"/>
                  <w:tcBorders>
                    <w:top w:val="single" w:color="auto" w:sz="4" w:space="0"/>
                    <w:bottom w:val="single" w:color="auto" w:sz="4" w:space="0"/>
                  </w:tcBorders>
                  <w:noWrap w:val="0"/>
                  <w:vAlign w:val="center"/>
                </w:tcPr>
                <w:p>
                  <w:pPr>
                    <w:pStyle w:val="77"/>
                    <w:jc w:val="center"/>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废油桶</w:t>
                  </w:r>
                </w:p>
              </w:tc>
              <w:tc>
                <w:tcPr>
                  <w:tcW w:w="1882" w:type="pct"/>
                  <w:gridSpan w:val="2"/>
                  <w:vMerge w:val="continue"/>
                  <w:noWrap w:val="0"/>
                  <w:vAlign w:val="center"/>
                </w:tcPr>
                <w:p>
                  <w:pPr>
                    <w:pStyle w:val="77"/>
                    <w:rPr>
                      <w:rFonts w:hint="default" w:ascii="Times New Roman" w:hAnsi="Times New Roman" w:eastAsia="宋体" w:cs="Times New Roman"/>
                      <w:color w:val="auto"/>
                      <w:kern w:val="0"/>
                      <w:sz w:val="21"/>
                      <w:szCs w:val="21"/>
                      <w:lang w:val="en-US" w:eastAsia="zh-CN" w:bidi="ar-SA"/>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78" w:hRule="atLeast"/>
                <w:jc w:val="center"/>
              </w:trPr>
              <w:tc>
                <w:tcPr>
                  <w:tcW w:w="353" w:type="pct"/>
                  <w:vMerge w:val="continue"/>
                  <w:noWrap w:val="0"/>
                  <w:vAlign w:val="center"/>
                </w:tcPr>
                <w:p>
                  <w:pPr>
                    <w:pStyle w:val="77"/>
                    <w:rPr>
                      <w:rFonts w:hint="default" w:ascii="Times New Roman" w:hAnsi="Times New Roman" w:eastAsia="宋体" w:cs="Times New Roman"/>
                      <w:color w:val="auto"/>
                      <w:kern w:val="0"/>
                      <w:sz w:val="21"/>
                      <w:szCs w:val="21"/>
                      <w:lang w:val="en-US" w:eastAsia="zh-CN" w:bidi="ar-SA"/>
                    </w:rPr>
                  </w:pPr>
                </w:p>
              </w:tc>
              <w:tc>
                <w:tcPr>
                  <w:tcW w:w="808" w:type="pct"/>
                  <w:noWrap w:val="0"/>
                  <w:vAlign w:val="center"/>
                </w:tcPr>
                <w:p>
                  <w:pPr>
                    <w:pStyle w:val="77"/>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员工生活</w:t>
                  </w:r>
                </w:p>
              </w:tc>
              <w:tc>
                <w:tcPr>
                  <w:tcW w:w="776" w:type="pct"/>
                  <w:tcBorders>
                    <w:bottom w:val="single" w:color="auto" w:sz="4" w:space="0"/>
                  </w:tcBorders>
                  <w:noWrap w:val="0"/>
                  <w:vAlign w:val="center"/>
                </w:tcPr>
                <w:p>
                  <w:pPr>
                    <w:pStyle w:val="77"/>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生活垃圾</w:t>
                  </w:r>
                </w:p>
              </w:tc>
              <w:tc>
                <w:tcPr>
                  <w:tcW w:w="1178" w:type="pct"/>
                  <w:tcBorders>
                    <w:top w:val="single" w:color="auto" w:sz="4" w:space="0"/>
                    <w:bottom w:val="single" w:color="auto" w:sz="4" w:space="0"/>
                  </w:tcBorders>
                  <w:noWrap w:val="0"/>
                  <w:vAlign w:val="center"/>
                </w:tcPr>
                <w:p>
                  <w:pPr>
                    <w:pStyle w:val="77"/>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生活垃圾</w:t>
                  </w:r>
                </w:p>
              </w:tc>
              <w:tc>
                <w:tcPr>
                  <w:tcW w:w="1882" w:type="pct"/>
                  <w:gridSpan w:val="2"/>
                  <w:noWrap w:val="0"/>
                  <w:vAlign w:val="center"/>
                </w:tcPr>
                <w:p>
                  <w:pPr>
                    <w:pStyle w:val="77"/>
                    <w:rPr>
                      <w:rFonts w:hint="default" w:ascii="Times New Roman" w:hAnsi="Times New Roman" w:eastAsia="宋体" w:cs="Times New Roman"/>
                      <w:color w:val="auto"/>
                      <w:kern w:val="0"/>
                      <w:sz w:val="21"/>
                      <w:szCs w:val="21"/>
                      <w:lang w:val="en-US" w:eastAsia="zh-CN" w:bidi="ar-SA"/>
                    </w:rPr>
                  </w:pPr>
                  <w:r>
                    <w:rPr>
                      <w:rFonts w:hint="default" w:ascii="Times New Roman" w:hAnsi="Times New Roman" w:eastAsia="宋体" w:cs="Times New Roman"/>
                      <w:color w:val="auto"/>
                      <w:kern w:val="0"/>
                      <w:sz w:val="21"/>
                      <w:szCs w:val="21"/>
                      <w:lang w:val="en-US" w:eastAsia="zh-CN" w:bidi="ar-SA"/>
                    </w:rPr>
                    <w:t>垃圾桶收集，由环卫部门清理外运</w:t>
                  </w:r>
                </w:p>
              </w:tc>
            </w:tr>
            <w:bookmarkEnd w:id="4"/>
          </w:tbl>
          <w:p>
            <w:pPr>
              <w:pStyle w:val="74"/>
              <w:keepNext w:val="0"/>
              <w:keepLines w:val="0"/>
              <w:pageBreakBefore w:val="0"/>
              <w:widowControl/>
              <w:kinsoku/>
              <w:wordWrap/>
              <w:overflowPunct/>
              <w:topLinePunct w:val="0"/>
              <w:autoSpaceDE/>
              <w:autoSpaceDN/>
              <w:bidi w:val="0"/>
              <w:adjustRightInd w:val="0"/>
              <w:snapToGrid w:val="0"/>
              <w:ind w:firstLine="420"/>
              <w:textAlignment w:val="baseline"/>
              <w:rPr>
                <w:rFonts w:hint="default" w:ascii="Times New Roman" w:hAnsi="Times New Roman" w:eastAsia="宋体" w:cs="Times New Roman"/>
                <w:color w:val="auto"/>
                <w:kern w:val="0"/>
                <w:sz w:val="21"/>
                <w:szCs w:val="21"/>
                <w:lang w:val="en-US" w:eastAsia="zh-CN" w:bidi="ar-SA"/>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4952" w:hRule="atLeast"/>
          <w:jc w:val="center"/>
        </w:trPr>
        <w:tc>
          <w:tcPr>
            <w:tcW w:w="729" w:type="dxa"/>
            <w:noWrap w:val="0"/>
            <w:vAlign w:val="center"/>
          </w:tcPr>
          <w:p>
            <w:pPr>
              <w:pStyle w:val="18"/>
              <w:adjustRightInd w:val="0"/>
              <w:snapToGrid w:val="0"/>
              <w:spacing w:before="0" w:beforeAutospacing="0" w:after="0" w:afterAutospacing="0"/>
              <w:jc w:val="center"/>
              <w:rPr>
                <w:rFonts w:cs="宋体"/>
                <w:color w:val="auto"/>
                <w:sz w:val="21"/>
                <w:szCs w:val="21"/>
                <w:highlight w:val="none"/>
              </w:rPr>
            </w:pPr>
            <w:r>
              <w:rPr>
                <w:rFonts w:hint="eastAsia" w:cs="宋体"/>
                <w:bCs/>
                <w:color w:val="auto"/>
                <w:kern w:val="2"/>
                <w:sz w:val="21"/>
                <w:szCs w:val="21"/>
                <w:highlight w:val="none"/>
              </w:rPr>
              <w:t>与项目有关的原有环境污染问题</w:t>
            </w:r>
          </w:p>
        </w:tc>
        <w:tc>
          <w:tcPr>
            <w:tcW w:w="8331" w:type="dxa"/>
            <w:noWrap w:val="0"/>
            <w:vAlign w:val="center"/>
          </w:tcPr>
          <w:p>
            <w:pPr>
              <w:adjustRightInd w:val="0"/>
              <w:snapToGrid w:val="0"/>
              <w:jc w:val="center"/>
              <w:rPr>
                <w:rFonts w:ascii="宋体" w:hAnsi="宋体"/>
                <w:bCs/>
                <w:color w:val="auto"/>
                <w:szCs w:val="21"/>
                <w:highlight w:val="none"/>
              </w:rPr>
            </w:pPr>
            <w:r>
              <w:rPr>
                <w:rFonts w:hint="eastAsia" w:ascii="宋体" w:hAnsi="宋体"/>
                <w:bCs/>
                <w:color w:val="auto"/>
                <w:sz w:val="21"/>
                <w:szCs w:val="21"/>
                <w:highlight w:val="none"/>
                <w:lang w:val="en-US" w:eastAsia="zh-CN"/>
              </w:rPr>
              <w:t>项目为新建项目，无原有环境污染问题。</w:t>
            </w:r>
          </w:p>
        </w:tc>
      </w:tr>
    </w:tbl>
    <w:p>
      <w:pPr>
        <w:pStyle w:val="18"/>
        <w:jc w:val="center"/>
        <w:rPr>
          <w:rFonts w:ascii="黑体" w:hAnsi="黑体" w:eastAsia="黑体"/>
          <w:snapToGrid w:val="0"/>
          <w:color w:val="auto"/>
          <w:sz w:val="36"/>
          <w:szCs w:val="36"/>
          <w:highlight w:val="none"/>
        </w:rPr>
        <w:sectPr>
          <w:pgSz w:w="11906" w:h="16838"/>
          <w:pgMar w:top="1701" w:right="1531" w:bottom="1701" w:left="1531" w:header="851" w:footer="851" w:gutter="0"/>
          <w:cols w:space="720" w:num="1"/>
          <w:docGrid w:linePitch="312" w:charSpace="0"/>
        </w:sectPr>
      </w:pPr>
    </w:p>
    <w:p>
      <w:pPr>
        <w:pStyle w:val="18"/>
        <w:adjustRightInd w:val="0"/>
        <w:snapToGrid w:val="0"/>
        <w:spacing w:before="0" w:beforeAutospacing="0" w:after="0" w:afterAutospacing="0" w:line="14" w:lineRule="auto"/>
        <w:jc w:val="center"/>
        <w:outlineLvl w:val="0"/>
        <w:rPr>
          <w:rFonts w:hint="eastAsia" w:ascii="黑体" w:hAnsi="黑体" w:eastAsia="黑体"/>
          <w:snapToGrid w:val="0"/>
          <w:color w:val="auto"/>
          <w:sz w:val="30"/>
          <w:szCs w:val="30"/>
          <w:highlight w:val="none"/>
        </w:rPr>
      </w:pPr>
    </w:p>
    <w:p>
      <w:pPr>
        <w:pStyle w:val="18"/>
        <w:jc w:val="center"/>
        <w:outlineLvl w:val="0"/>
        <w:rPr>
          <w:rFonts w:ascii="黑体" w:hAnsi="黑体" w:eastAsia="黑体"/>
          <w:snapToGrid w:val="0"/>
          <w:color w:val="auto"/>
          <w:sz w:val="30"/>
          <w:szCs w:val="30"/>
          <w:highlight w:val="none"/>
        </w:rPr>
      </w:pPr>
      <w:r>
        <w:rPr>
          <w:rFonts w:hint="eastAsia" w:ascii="黑体" w:hAnsi="黑体" w:eastAsia="黑体"/>
          <w:snapToGrid w:val="0"/>
          <w:color w:val="auto"/>
          <w:sz w:val="30"/>
          <w:szCs w:val="30"/>
          <w:highlight w:val="none"/>
        </w:rPr>
        <w:t>三、区域环境质量现状、环境保护目标及评价标准</w:t>
      </w:r>
    </w:p>
    <w:tbl>
      <w:tblPr>
        <w:tblStyle w:val="21"/>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autofit"/>
        <w:tblCellMar>
          <w:top w:w="0" w:type="dxa"/>
          <w:left w:w="108" w:type="dxa"/>
          <w:bottom w:w="0" w:type="dxa"/>
          <w:right w:w="108" w:type="dxa"/>
        </w:tblCellMar>
      </w:tblPr>
      <w:tblGrid>
        <w:gridCol w:w="800"/>
        <w:gridCol w:w="8190"/>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2906" w:hRule="atLeast"/>
          <w:jc w:val="center"/>
        </w:trPr>
        <w:tc>
          <w:tcPr>
            <w:tcW w:w="800" w:type="dxa"/>
            <w:noWrap w:val="0"/>
            <w:vAlign w:val="center"/>
          </w:tcPr>
          <w:p>
            <w:pPr>
              <w:adjustRightInd w:val="0"/>
              <w:snapToGrid w:val="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区域</w:t>
            </w:r>
          </w:p>
          <w:p>
            <w:pPr>
              <w:adjustRightInd w:val="0"/>
              <w:snapToGrid w:val="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环境</w:t>
            </w:r>
          </w:p>
          <w:p>
            <w:pPr>
              <w:adjustRightInd w:val="0"/>
              <w:snapToGrid w:val="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质量</w:t>
            </w:r>
          </w:p>
          <w:p>
            <w:pPr>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现状</w:t>
            </w:r>
          </w:p>
        </w:tc>
        <w:tc>
          <w:tcPr>
            <w:tcW w:w="8190" w:type="dxa"/>
            <w:noWrap w:val="0"/>
            <w:vAlign w:val="center"/>
          </w:tcPr>
          <w:p>
            <w:pPr>
              <w:pStyle w:val="54"/>
              <w:bidi w:val="0"/>
              <w:spacing w:line="360" w:lineRule="auto"/>
              <w:rPr>
                <w:rFonts w:hint="default"/>
                <w:color w:val="auto"/>
                <w:sz w:val="21"/>
                <w:szCs w:val="21"/>
                <w:highlight w:val="none"/>
                <w:lang w:val="en-US" w:eastAsia="zh-CN"/>
              </w:rPr>
            </w:pPr>
            <w:r>
              <w:rPr>
                <w:rFonts w:hint="eastAsia"/>
                <w:color w:val="auto"/>
                <w:sz w:val="21"/>
                <w:szCs w:val="21"/>
                <w:highlight w:val="none"/>
                <w:lang w:val="en-US" w:eastAsia="zh-CN"/>
              </w:rPr>
              <w:t>1环境空气现状调查与评价</w:t>
            </w:r>
          </w:p>
          <w:p>
            <w:pPr>
              <w:pStyle w:val="54"/>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textAlignment w:val="auto"/>
              <w:rPr>
                <w:rFonts w:hint="default"/>
                <w:color w:val="auto"/>
                <w:sz w:val="21"/>
                <w:szCs w:val="21"/>
                <w:highlight w:val="none"/>
                <w:lang w:val="en-US" w:eastAsia="zh-CN"/>
              </w:rPr>
            </w:pPr>
            <w:r>
              <w:rPr>
                <w:rFonts w:hint="eastAsia"/>
                <w:color w:val="auto"/>
                <w:sz w:val="21"/>
                <w:szCs w:val="21"/>
                <w:highlight w:val="none"/>
                <w:lang w:val="en-US" w:eastAsia="zh-CN"/>
              </w:rPr>
              <w:t>1.1基本污染物空气环境质量现状</w:t>
            </w:r>
          </w:p>
          <w:p>
            <w:pPr>
              <w:widowControl w:val="0"/>
              <w:bidi w:val="0"/>
              <w:spacing w:line="360" w:lineRule="auto"/>
              <w:ind w:firstLine="420" w:firstLineChars="200"/>
              <w:jc w:val="both"/>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eastAsia="宋体" w:cs="宋体"/>
                <w:color w:val="auto"/>
                <w:kern w:val="2"/>
                <w:sz w:val="21"/>
                <w:szCs w:val="21"/>
                <w:highlight w:val="none"/>
                <w:lang w:val="en-US" w:eastAsia="zh-CN" w:bidi="ar-SA"/>
              </w:rPr>
              <w:t>根据《建设项目环境影响报告表编制技术指南（污染影响类）（试行）》，对于基本污染物环境质量现状数据，项目所在区域达标判定优先采用国家或地方生态环境主管部门公开发布的评价基准年环境质量公告或环境质量报告中的数据或结论。</w:t>
            </w:r>
          </w:p>
          <w:p>
            <w:pPr>
              <w:keepNext w:val="0"/>
              <w:keepLines w:val="0"/>
              <w:widowControl w:val="0"/>
              <w:suppressLineNumbers w:val="0"/>
              <w:wordWrap w:val="0"/>
              <w:bidi w:val="0"/>
              <w:spacing w:before="0" w:beforeAutospacing="0" w:after="0" w:afterAutospacing="0" w:line="360" w:lineRule="auto"/>
              <w:ind w:left="0" w:right="0" w:firstLine="420" w:firstLineChars="200"/>
              <w:jc w:val="both"/>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本工程建设地点位于</w:t>
            </w:r>
            <w:r>
              <w:rPr>
                <w:rFonts w:hint="eastAsia" w:ascii="宋体" w:hAnsi="宋体" w:eastAsia="宋体" w:cs="宋体"/>
                <w:color w:val="auto"/>
                <w:kern w:val="2"/>
                <w:sz w:val="21"/>
                <w:szCs w:val="21"/>
                <w:highlight w:val="none"/>
                <w:lang w:val="en-US" w:eastAsia="zh-CN" w:bidi="ar-SA"/>
              </w:rPr>
              <w:t>新疆维吾尔自治区巴音郭楞蒙古自治州库尔勒</w:t>
            </w:r>
            <w:r>
              <w:rPr>
                <w:rFonts w:hint="eastAsia" w:ascii="宋体" w:hAnsi="宋体" w:cs="宋体"/>
                <w:color w:val="auto"/>
                <w:kern w:val="2"/>
                <w:sz w:val="21"/>
                <w:szCs w:val="21"/>
                <w:highlight w:val="none"/>
                <w:lang w:val="en-US" w:eastAsia="zh-CN" w:bidi="ar-SA"/>
              </w:rPr>
              <w:t>经济技术开发区</w:t>
            </w:r>
            <w:r>
              <w:rPr>
                <w:rFonts w:hint="eastAsia" w:ascii="Times New Roman" w:hAnsi="Times New Roman" w:eastAsia="宋体" w:cs="Times New Roman"/>
                <w:color w:val="auto"/>
                <w:kern w:val="2"/>
                <w:sz w:val="21"/>
                <w:szCs w:val="21"/>
                <w:highlight w:val="none"/>
                <w:lang w:val="en-US" w:eastAsia="zh-CN" w:bidi="ar-SA"/>
              </w:rPr>
              <w:t>，本次评价现状监测资料引用巴音郭楞蒙古自治州库尔勒市孔雀公园站点202</w:t>
            </w:r>
            <w:r>
              <w:rPr>
                <w:rFonts w:hint="eastAsia" w:cs="Times New Roman"/>
                <w:color w:val="auto"/>
                <w:kern w:val="2"/>
                <w:sz w:val="21"/>
                <w:szCs w:val="21"/>
                <w:highlight w:val="none"/>
                <w:lang w:val="en-US" w:eastAsia="zh-CN" w:bidi="ar-SA"/>
              </w:rPr>
              <w:t>4</w:t>
            </w:r>
            <w:r>
              <w:rPr>
                <w:rFonts w:hint="eastAsia" w:ascii="Times New Roman" w:hAnsi="Times New Roman" w:eastAsia="宋体" w:cs="Times New Roman"/>
                <w:color w:val="auto"/>
                <w:kern w:val="2"/>
                <w:sz w:val="21"/>
                <w:szCs w:val="21"/>
                <w:highlight w:val="none"/>
                <w:lang w:val="en-US" w:eastAsia="zh-CN" w:bidi="ar-SA"/>
              </w:rPr>
              <w:t>年的自动监测数据</w:t>
            </w:r>
            <w:r>
              <w:rPr>
                <w:rFonts w:hint="eastAsia" w:cs="Times New Roman"/>
                <w:color w:val="auto"/>
                <w:kern w:val="2"/>
                <w:sz w:val="21"/>
                <w:szCs w:val="21"/>
                <w:highlight w:val="none"/>
                <w:lang w:val="en-US" w:eastAsia="zh-CN" w:bidi="ar-SA"/>
              </w:rPr>
              <w:t>，</w:t>
            </w:r>
            <w:r>
              <w:rPr>
                <w:rFonts w:hint="eastAsia" w:ascii="Times New Roman" w:hAnsi="Times New Roman" w:eastAsia="宋体" w:cs="Times New Roman"/>
                <w:color w:val="auto"/>
                <w:kern w:val="2"/>
                <w:sz w:val="21"/>
                <w:szCs w:val="21"/>
                <w:highlight w:val="none"/>
                <w:lang w:val="en-US" w:eastAsia="zh-CN" w:bidi="ar-SA"/>
              </w:rPr>
              <w:t>作为环境空气现状评价基本污染物SO</w:t>
            </w:r>
            <w:r>
              <w:rPr>
                <w:rFonts w:hint="eastAsia" w:ascii="Times New Roman" w:hAnsi="Times New Roman" w:eastAsia="宋体" w:cs="Times New Roman"/>
                <w:color w:val="auto"/>
                <w:kern w:val="2"/>
                <w:sz w:val="21"/>
                <w:szCs w:val="21"/>
                <w:highlight w:val="none"/>
                <w:vertAlign w:val="subscript"/>
                <w:lang w:val="en-US" w:eastAsia="zh-CN" w:bidi="ar-SA"/>
              </w:rPr>
              <w:t>2</w:t>
            </w:r>
            <w:r>
              <w:rPr>
                <w:rFonts w:hint="eastAsia" w:ascii="Times New Roman" w:hAnsi="Times New Roman" w:eastAsia="宋体" w:cs="Times New Roman"/>
                <w:color w:val="auto"/>
                <w:kern w:val="2"/>
                <w:sz w:val="21"/>
                <w:szCs w:val="21"/>
                <w:highlight w:val="none"/>
                <w:lang w:val="en-US" w:eastAsia="zh-CN" w:bidi="ar-SA"/>
              </w:rPr>
              <w:t>、NO</w:t>
            </w:r>
            <w:r>
              <w:rPr>
                <w:rFonts w:hint="eastAsia" w:ascii="Times New Roman" w:hAnsi="Times New Roman" w:eastAsia="宋体" w:cs="Times New Roman"/>
                <w:color w:val="auto"/>
                <w:kern w:val="2"/>
                <w:sz w:val="21"/>
                <w:szCs w:val="21"/>
                <w:highlight w:val="none"/>
                <w:vertAlign w:val="subscript"/>
                <w:lang w:val="en-US" w:eastAsia="zh-CN" w:bidi="ar-SA"/>
              </w:rPr>
              <w:t>2</w:t>
            </w:r>
            <w:r>
              <w:rPr>
                <w:rFonts w:hint="eastAsia" w:ascii="Times New Roman" w:hAnsi="Times New Roman" w:eastAsia="宋体" w:cs="Times New Roman"/>
                <w:color w:val="auto"/>
                <w:kern w:val="2"/>
                <w:sz w:val="21"/>
                <w:szCs w:val="21"/>
                <w:highlight w:val="none"/>
                <w:lang w:val="en-US" w:eastAsia="zh-CN" w:bidi="ar-SA"/>
              </w:rPr>
              <w:t>、PM</w:t>
            </w:r>
            <w:r>
              <w:rPr>
                <w:rFonts w:hint="eastAsia" w:ascii="Times New Roman" w:hAnsi="Times New Roman" w:eastAsia="宋体" w:cs="Times New Roman"/>
                <w:color w:val="auto"/>
                <w:kern w:val="2"/>
                <w:sz w:val="21"/>
                <w:szCs w:val="21"/>
                <w:highlight w:val="none"/>
                <w:vertAlign w:val="subscript"/>
                <w:lang w:val="en-US" w:eastAsia="zh-CN" w:bidi="ar-SA"/>
              </w:rPr>
              <w:t>10</w:t>
            </w:r>
            <w:r>
              <w:rPr>
                <w:rFonts w:hint="eastAsia" w:ascii="Times New Roman" w:hAnsi="Times New Roman" w:eastAsia="宋体" w:cs="Times New Roman"/>
                <w:color w:val="auto"/>
                <w:kern w:val="2"/>
                <w:sz w:val="21"/>
                <w:szCs w:val="21"/>
                <w:highlight w:val="none"/>
                <w:lang w:val="en-US" w:eastAsia="zh-CN" w:bidi="ar-SA"/>
              </w:rPr>
              <w:t>、PM</w:t>
            </w:r>
            <w:r>
              <w:rPr>
                <w:rFonts w:hint="eastAsia" w:ascii="Times New Roman" w:hAnsi="Times New Roman" w:eastAsia="宋体" w:cs="Times New Roman"/>
                <w:color w:val="auto"/>
                <w:kern w:val="2"/>
                <w:sz w:val="21"/>
                <w:szCs w:val="21"/>
                <w:highlight w:val="none"/>
                <w:vertAlign w:val="subscript"/>
                <w:lang w:val="en-US" w:eastAsia="zh-CN" w:bidi="ar-SA"/>
              </w:rPr>
              <w:t>2.5</w:t>
            </w:r>
            <w:r>
              <w:rPr>
                <w:rFonts w:hint="eastAsia" w:ascii="Times New Roman" w:hAnsi="Times New Roman" w:eastAsia="宋体" w:cs="Times New Roman"/>
                <w:color w:val="auto"/>
                <w:kern w:val="2"/>
                <w:sz w:val="21"/>
                <w:szCs w:val="21"/>
                <w:highlight w:val="none"/>
                <w:lang w:val="en-US" w:eastAsia="zh-CN" w:bidi="ar-SA"/>
              </w:rPr>
              <w:t>、CO和O</w:t>
            </w:r>
            <w:r>
              <w:rPr>
                <w:rFonts w:hint="eastAsia" w:ascii="Times New Roman" w:hAnsi="Times New Roman" w:eastAsia="宋体" w:cs="Times New Roman"/>
                <w:color w:val="auto"/>
                <w:kern w:val="2"/>
                <w:sz w:val="21"/>
                <w:szCs w:val="21"/>
                <w:highlight w:val="none"/>
                <w:vertAlign w:val="subscript"/>
                <w:lang w:val="en-US" w:eastAsia="zh-CN" w:bidi="ar-SA"/>
              </w:rPr>
              <w:t>3</w:t>
            </w:r>
            <w:r>
              <w:rPr>
                <w:rFonts w:hint="eastAsia" w:ascii="Times New Roman" w:hAnsi="Times New Roman" w:eastAsia="宋体" w:cs="Times New Roman"/>
                <w:color w:val="auto"/>
                <w:kern w:val="2"/>
                <w:sz w:val="21"/>
                <w:szCs w:val="21"/>
                <w:highlight w:val="none"/>
                <w:lang w:val="en-US" w:eastAsia="zh-CN" w:bidi="ar-SA"/>
              </w:rPr>
              <w:t>的数据来源。</w:t>
            </w:r>
          </w:p>
          <w:p>
            <w:pPr>
              <w:keepNext w:val="0"/>
              <w:keepLines w:val="0"/>
              <w:widowControl w:val="0"/>
              <w:suppressLineNumbers w:val="0"/>
              <w:wordWrap w:val="0"/>
              <w:bidi w:val="0"/>
              <w:spacing w:before="0" w:beforeAutospacing="0" w:after="0" w:afterAutospacing="0" w:line="360" w:lineRule="auto"/>
              <w:ind w:left="0" w:right="0" w:firstLine="420" w:firstLineChars="200"/>
              <w:jc w:val="both"/>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（1）监测项目、监测时间</w:t>
            </w:r>
          </w:p>
          <w:p>
            <w:pPr>
              <w:keepNext w:val="0"/>
              <w:keepLines w:val="0"/>
              <w:widowControl w:val="0"/>
              <w:suppressLineNumbers w:val="0"/>
              <w:wordWrap w:val="0"/>
              <w:bidi w:val="0"/>
              <w:spacing w:before="0" w:beforeAutospacing="0" w:after="0" w:afterAutospacing="0" w:line="360" w:lineRule="auto"/>
              <w:ind w:left="0" w:right="0" w:firstLine="420" w:firstLineChars="200"/>
              <w:jc w:val="both"/>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监测项目：基本污染物SO</w:t>
            </w:r>
            <w:r>
              <w:rPr>
                <w:rFonts w:hint="eastAsia" w:ascii="Times New Roman" w:hAnsi="Times New Roman" w:eastAsia="宋体" w:cs="Times New Roman"/>
                <w:color w:val="auto"/>
                <w:kern w:val="2"/>
                <w:sz w:val="21"/>
                <w:szCs w:val="21"/>
                <w:highlight w:val="none"/>
                <w:vertAlign w:val="subscript"/>
                <w:lang w:val="en-US" w:eastAsia="zh-CN" w:bidi="ar-SA"/>
              </w:rPr>
              <w:t>2</w:t>
            </w:r>
            <w:r>
              <w:rPr>
                <w:rFonts w:hint="eastAsia" w:ascii="Times New Roman" w:hAnsi="Times New Roman" w:eastAsia="宋体" w:cs="Times New Roman"/>
                <w:color w:val="auto"/>
                <w:kern w:val="2"/>
                <w:sz w:val="21"/>
                <w:szCs w:val="21"/>
                <w:highlight w:val="none"/>
                <w:lang w:val="en-US" w:eastAsia="zh-CN" w:bidi="ar-SA"/>
              </w:rPr>
              <w:t>、NO</w:t>
            </w:r>
            <w:r>
              <w:rPr>
                <w:rFonts w:hint="eastAsia" w:ascii="Times New Roman" w:hAnsi="Times New Roman" w:eastAsia="宋体" w:cs="Times New Roman"/>
                <w:color w:val="auto"/>
                <w:kern w:val="2"/>
                <w:sz w:val="21"/>
                <w:szCs w:val="21"/>
                <w:highlight w:val="none"/>
                <w:vertAlign w:val="subscript"/>
                <w:lang w:val="en-US" w:eastAsia="zh-CN" w:bidi="ar-SA"/>
              </w:rPr>
              <w:t>2</w:t>
            </w:r>
            <w:r>
              <w:rPr>
                <w:rFonts w:hint="eastAsia" w:ascii="Times New Roman" w:hAnsi="Times New Roman" w:eastAsia="宋体" w:cs="Times New Roman"/>
                <w:color w:val="auto"/>
                <w:kern w:val="2"/>
                <w:sz w:val="21"/>
                <w:szCs w:val="21"/>
                <w:highlight w:val="none"/>
                <w:lang w:val="en-US" w:eastAsia="zh-CN" w:bidi="ar-SA"/>
              </w:rPr>
              <w:t>、PM</w:t>
            </w:r>
            <w:r>
              <w:rPr>
                <w:rFonts w:hint="eastAsia" w:ascii="Times New Roman" w:hAnsi="Times New Roman" w:eastAsia="宋体" w:cs="Times New Roman"/>
                <w:color w:val="auto"/>
                <w:kern w:val="2"/>
                <w:sz w:val="21"/>
                <w:szCs w:val="21"/>
                <w:highlight w:val="none"/>
                <w:vertAlign w:val="subscript"/>
                <w:lang w:val="en-US" w:eastAsia="zh-CN" w:bidi="ar-SA"/>
              </w:rPr>
              <w:t>10</w:t>
            </w:r>
            <w:r>
              <w:rPr>
                <w:rFonts w:hint="eastAsia" w:ascii="Times New Roman" w:hAnsi="Times New Roman" w:eastAsia="宋体" w:cs="Times New Roman"/>
                <w:color w:val="auto"/>
                <w:kern w:val="2"/>
                <w:sz w:val="21"/>
                <w:szCs w:val="21"/>
                <w:highlight w:val="none"/>
                <w:lang w:val="en-US" w:eastAsia="zh-CN" w:bidi="ar-SA"/>
              </w:rPr>
              <w:t>、PM</w:t>
            </w:r>
            <w:r>
              <w:rPr>
                <w:rFonts w:hint="eastAsia" w:ascii="Times New Roman" w:hAnsi="Times New Roman" w:eastAsia="宋体" w:cs="Times New Roman"/>
                <w:color w:val="auto"/>
                <w:kern w:val="2"/>
                <w:sz w:val="21"/>
                <w:szCs w:val="21"/>
                <w:highlight w:val="none"/>
                <w:vertAlign w:val="subscript"/>
                <w:lang w:val="en-US" w:eastAsia="zh-CN" w:bidi="ar-SA"/>
              </w:rPr>
              <w:t>2.5</w:t>
            </w:r>
            <w:r>
              <w:rPr>
                <w:rFonts w:hint="eastAsia" w:ascii="Times New Roman" w:hAnsi="Times New Roman" w:eastAsia="宋体" w:cs="Times New Roman"/>
                <w:color w:val="auto"/>
                <w:kern w:val="2"/>
                <w:sz w:val="21"/>
                <w:szCs w:val="21"/>
                <w:highlight w:val="none"/>
                <w:lang w:val="en-US" w:eastAsia="zh-CN" w:bidi="ar-SA"/>
              </w:rPr>
              <w:t>、CO和O</w:t>
            </w:r>
            <w:r>
              <w:rPr>
                <w:rFonts w:hint="eastAsia" w:ascii="Times New Roman" w:hAnsi="Times New Roman" w:eastAsia="宋体" w:cs="Times New Roman"/>
                <w:color w:val="auto"/>
                <w:kern w:val="2"/>
                <w:sz w:val="21"/>
                <w:szCs w:val="21"/>
                <w:highlight w:val="none"/>
                <w:vertAlign w:val="subscript"/>
                <w:lang w:val="en-US" w:eastAsia="zh-CN" w:bidi="ar-SA"/>
              </w:rPr>
              <w:t>3</w:t>
            </w:r>
            <w:r>
              <w:rPr>
                <w:rFonts w:hint="eastAsia" w:ascii="Times New Roman" w:hAnsi="Times New Roman" w:eastAsia="宋体" w:cs="Times New Roman"/>
                <w:color w:val="auto"/>
                <w:kern w:val="2"/>
                <w:sz w:val="21"/>
                <w:szCs w:val="21"/>
                <w:highlight w:val="none"/>
                <w:lang w:val="en-US" w:eastAsia="zh-CN" w:bidi="ar-SA"/>
              </w:rPr>
              <w:t>；</w:t>
            </w:r>
          </w:p>
          <w:p>
            <w:pPr>
              <w:keepNext w:val="0"/>
              <w:keepLines w:val="0"/>
              <w:widowControl w:val="0"/>
              <w:suppressLineNumbers w:val="0"/>
              <w:wordWrap w:val="0"/>
              <w:bidi w:val="0"/>
              <w:spacing w:before="0" w:beforeAutospacing="0" w:after="0" w:afterAutospacing="0" w:line="360" w:lineRule="auto"/>
              <w:ind w:left="0" w:right="0" w:firstLine="420" w:firstLineChars="200"/>
              <w:jc w:val="both"/>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监测时间：202</w:t>
            </w:r>
            <w:r>
              <w:rPr>
                <w:rFonts w:hint="eastAsia" w:cs="Times New Roman"/>
                <w:color w:val="auto"/>
                <w:kern w:val="2"/>
                <w:sz w:val="21"/>
                <w:szCs w:val="21"/>
                <w:highlight w:val="none"/>
                <w:lang w:val="en-US" w:eastAsia="zh-CN" w:bidi="ar-SA"/>
              </w:rPr>
              <w:t>4</w:t>
            </w:r>
            <w:r>
              <w:rPr>
                <w:rFonts w:hint="eastAsia" w:ascii="Times New Roman" w:hAnsi="Times New Roman" w:eastAsia="宋体" w:cs="Times New Roman"/>
                <w:color w:val="auto"/>
                <w:kern w:val="2"/>
                <w:sz w:val="21"/>
                <w:szCs w:val="21"/>
                <w:highlight w:val="none"/>
                <w:lang w:val="en-US" w:eastAsia="zh-CN" w:bidi="ar-SA"/>
              </w:rPr>
              <w:t>年全年。</w:t>
            </w:r>
          </w:p>
          <w:p>
            <w:pPr>
              <w:keepNext w:val="0"/>
              <w:keepLines w:val="0"/>
              <w:widowControl w:val="0"/>
              <w:suppressLineNumbers w:val="0"/>
              <w:wordWrap w:val="0"/>
              <w:bidi w:val="0"/>
              <w:spacing w:before="0" w:beforeAutospacing="0" w:after="0" w:afterAutospacing="0" w:line="360" w:lineRule="auto"/>
              <w:ind w:left="0" w:right="0" w:firstLine="420" w:firstLineChars="200"/>
              <w:jc w:val="both"/>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（2）评价标准</w:t>
            </w:r>
          </w:p>
          <w:p>
            <w:pPr>
              <w:keepNext w:val="0"/>
              <w:keepLines w:val="0"/>
              <w:widowControl w:val="0"/>
              <w:suppressLineNumbers w:val="0"/>
              <w:wordWrap w:val="0"/>
              <w:bidi w:val="0"/>
              <w:spacing w:before="0" w:beforeAutospacing="0" w:after="0" w:afterAutospacing="0" w:line="360" w:lineRule="auto"/>
              <w:ind w:left="0" w:right="0" w:firstLine="420" w:firstLineChars="200"/>
              <w:jc w:val="both"/>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根据环境空气质量功能区划分规定，本次评价基本污染物SO</w:t>
            </w:r>
            <w:r>
              <w:rPr>
                <w:rFonts w:hint="eastAsia" w:ascii="Times New Roman" w:hAnsi="Times New Roman" w:eastAsia="宋体" w:cs="Times New Roman"/>
                <w:color w:val="auto"/>
                <w:kern w:val="2"/>
                <w:sz w:val="21"/>
                <w:szCs w:val="21"/>
                <w:highlight w:val="none"/>
                <w:vertAlign w:val="subscript"/>
                <w:lang w:val="en-US" w:eastAsia="zh-CN" w:bidi="ar-SA"/>
              </w:rPr>
              <w:t>2</w:t>
            </w:r>
            <w:r>
              <w:rPr>
                <w:rFonts w:hint="eastAsia" w:ascii="Times New Roman" w:hAnsi="Times New Roman" w:eastAsia="宋体" w:cs="Times New Roman"/>
                <w:color w:val="auto"/>
                <w:kern w:val="2"/>
                <w:sz w:val="21"/>
                <w:szCs w:val="21"/>
                <w:highlight w:val="none"/>
                <w:lang w:val="en-US" w:eastAsia="zh-CN" w:bidi="ar-SA"/>
              </w:rPr>
              <w:t>、NO</w:t>
            </w:r>
            <w:r>
              <w:rPr>
                <w:rFonts w:hint="eastAsia" w:ascii="Times New Roman" w:hAnsi="Times New Roman" w:eastAsia="宋体" w:cs="Times New Roman"/>
                <w:color w:val="auto"/>
                <w:kern w:val="2"/>
                <w:sz w:val="21"/>
                <w:szCs w:val="21"/>
                <w:highlight w:val="none"/>
                <w:vertAlign w:val="subscript"/>
                <w:lang w:val="en-US" w:eastAsia="zh-CN" w:bidi="ar-SA"/>
              </w:rPr>
              <w:t>2</w:t>
            </w:r>
            <w:r>
              <w:rPr>
                <w:rFonts w:hint="eastAsia" w:ascii="Times New Roman" w:hAnsi="Times New Roman" w:eastAsia="宋体" w:cs="Times New Roman"/>
                <w:color w:val="auto"/>
                <w:kern w:val="2"/>
                <w:sz w:val="21"/>
                <w:szCs w:val="21"/>
                <w:highlight w:val="none"/>
                <w:lang w:val="en-US" w:eastAsia="zh-CN" w:bidi="ar-SA"/>
              </w:rPr>
              <w:t>、PM</w:t>
            </w:r>
            <w:r>
              <w:rPr>
                <w:rFonts w:hint="eastAsia" w:ascii="Times New Roman" w:hAnsi="Times New Roman" w:eastAsia="宋体" w:cs="Times New Roman"/>
                <w:color w:val="auto"/>
                <w:kern w:val="2"/>
                <w:sz w:val="21"/>
                <w:szCs w:val="21"/>
                <w:highlight w:val="none"/>
                <w:vertAlign w:val="subscript"/>
                <w:lang w:val="en-US" w:eastAsia="zh-CN" w:bidi="ar-SA"/>
              </w:rPr>
              <w:t>10</w:t>
            </w:r>
            <w:r>
              <w:rPr>
                <w:rFonts w:hint="eastAsia" w:ascii="Times New Roman" w:hAnsi="Times New Roman" w:eastAsia="宋体" w:cs="Times New Roman"/>
                <w:color w:val="auto"/>
                <w:kern w:val="2"/>
                <w:sz w:val="21"/>
                <w:szCs w:val="21"/>
                <w:highlight w:val="none"/>
                <w:lang w:val="en-US" w:eastAsia="zh-CN" w:bidi="ar-SA"/>
              </w:rPr>
              <w:t>、PM</w:t>
            </w:r>
            <w:r>
              <w:rPr>
                <w:rFonts w:hint="eastAsia" w:ascii="Times New Roman" w:hAnsi="Times New Roman" w:eastAsia="宋体" w:cs="Times New Roman"/>
                <w:color w:val="auto"/>
                <w:kern w:val="2"/>
                <w:sz w:val="21"/>
                <w:szCs w:val="21"/>
                <w:highlight w:val="none"/>
                <w:vertAlign w:val="subscript"/>
                <w:lang w:val="en-US" w:eastAsia="zh-CN" w:bidi="ar-SA"/>
              </w:rPr>
              <w:t>2.5</w:t>
            </w:r>
            <w:r>
              <w:rPr>
                <w:rFonts w:hint="eastAsia" w:ascii="Times New Roman" w:hAnsi="Times New Roman" w:eastAsia="宋体" w:cs="Times New Roman"/>
                <w:color w:val="auto"/>
                <w:kern w:val="2"/>
                <w:sz w:val="21"/>
                <w:szCs w:val="21"/>
                <w:highlight w:val="none"/>
                <w:lang w:val="en-US" w:eastAsia="zh-CN" w:bidi="ar-SA"/>
              </w:rPr>
              <w:t>、CO和O</w:t>
            </w:r>
            <w:r>
              <w:rPr>
                <w:rFonts w:hint="eastAsia" w:ascii="Times New Roman" w:hAnsi="Times New Roman" w:eastAsia="宋体" w:cs="Times New Roman"/>
                <w:color w:val="auto"/>
                <w:kern w:val="2"/>
                <w:sz w:val="21"/>
                <w:szCs w:val="21"/>
                <w:highlight w:val="none"/>
                <w:vertAlign w:val="subscript"/>
                <w:lang w:val="en-US" w:eastAsia="zh-CN" w:bidi="ar-SA"/>
              </w:rPr>
              <w:t>3</w:t>
            </w:r>
            <w:r>
              <w:rPr>
                <w:rFonts w:hint="eastAsia" w:ascii="Times New Roman" w:hAnsi="Times New Roman" w:eastAsia="宋体" w:cs="Times New Roman"/>
                <w:color w:val="auto"/>
                <w:kern w:val="2"/>
                <w:sz w:val="21"/>
                <w:szCs w:val="21"/>
                <w:highlight w:val="none"/>
                <w:lang w:val="en-US" w:eastAsia="zh-CN" w:bidi="ar-SA"/>
              </w:rPr>
              <w:t>执行《环境空气质量标准》（GB3095-20</w:t>
            </w:r>
            <w:r>
              <w:rPr>
                <w:rFonts w:hint="eastAsia" w:cs="Times New Roman"/>
                <w:color w:val="auto"/>
                <w:kern w:val="2"/>
                <w:sz w:val="21"/>
                <w:szCs w:val="21"/>
                <w:highlight w:val="none"/>
                <w:lang w:val="en-US" w:eastAsia="zh-CN" w:bidi="ar-SA"/>
              </w:rPr>
              <w:t>26</w:t>
            </w:r>
            <w:r>
              <w:rPr>
                <w:rFonts w:hint="eastAsia" w:ascii="Times New Roman" w:hAnsi="Times New Roman" w:eastAsia="宋体" w:cs="Times New Roman"/>
                <w:color w:val="auto"/>
                <w:kern w:val="2"/>
                <w:sz w:val="21"/>
                <w:szCs w:val="21"/>
                <w:highlight w:val="none"/>
                <w:lang w:val="en-US" w:eastAsia="zh-CN" w:bidi="ar-SA"/>
              </w:rPr>
              <w:t>）二级标准</w:t>
            </w:r>
            <w:r>
              <w:rPr>
                <w:rFonts w:hint="eastAsia" w:cs="Times New Roman"/>
                <w:color w:val="auto"/>
                <w:kern w:val="2"/>
                <w:sz w:val="21"/>
                <w:szCs w:val="21"/>
                <w:highlight w:val="none"/>
                <w:lang w:val="en-US" w:eastAsia="zh-CN" w:bidi="ar-SA"/>
              </w:rPr>
              <w:t>要求</w:t>
            </w:r>
            <w:r>
              <w:rPr>
                <w:rFonts w:hint="eastAsia" w:ascii="Times New Roman" w:hAnsi="Times New Roman" w:eastAsia="宋体" w:cs="Times New Roman"/>
                <w:color w:val="auto"/>
                <w:kern w:val="2"/>
                <w:sz w:val="21"/>
                <w:szCs w:val="21"/>
                <w:highlight w:val="none"/>
                <w:lang w:val="en-US" w:eastAsia="zh-CN" w:bidi="ar-SA"/>
              </w:rPr>
              <w:t>。</w:t>
            </w:r>
          </w:p>
          <w:p>
            <w:pPr>
              <w:keepNext w:val="0"/>
              <w:keepLines w:val="0"/>
              <w:widowControl w:val="0"/>
              <w:suppressLineNumbers w:val="0"/>
              <w:wordWrap w:val="0"/>
              <w:bidi w:val="0"/>
              <w:spacing w:before="0" w:beforeAutospacing="0" w:after="0" w:afterAutospacing="0" w:line="360" w:lineRule="auto"/>
              <w:ind w:left="0" w:right="0" w:firstLine="420" w:firstLineChars="200"/>
              <w:jc w:val="both"/>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（3）评价方法</w:t>
            </w:r>
          </w:p>
          <w:p>
            <w:pPr>
              <w:keepNext w:val="0"/>
              <w:keepLines w:val="0"/>
              <w:pageBreakBefore w:val="0"/>
              <w:widowControl w:val="0"/>
              <w:suppressLineNumbers w:val="0"/>
              <w:kinsoku/>
              <w:wordWrap w:val="0"/>
              <w:overflowPunct/>
              <w:topLinePunct w:val="0"/>
              <w:autoSpaceDE/>
              <w:autoSpaceDN/>
              <w:bidi w:val="0"/>
              <w:spacing w:before="0" w:beforeAutospacing="0" w:after="0" w:afterAutospacing="0" w:line="360" w:lineRule="auto"/>
              <w:ind w:left="0" w:right="0" w:firstLine="420" w:firstLineChars="200"/>
              <w:jc w:val="both"/>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kern w:val="2"/>
                <w:sz w:val="21"/>
                <w:szCs w:val="21"/>
                <w:highlight w:val="none"/>
                <w:lang w:val="en-US" w:eastAsia="zh-CN" w:bidi="ar-SA"/>
              </w:rPr>
              <w:t>按照《环境空气质量评价技术规范》</w:t>
            </w:r>
            <w:r>
              <w:rPr>
                <w:rFonts w:hint="eastAsia" w:cs="Times New Roman"/>
                <w:color w:val="auto"/>
                <w:kern w:val="2"/>
                <w:sz w:val="21"/>
                <w:szCs w:val="21"/>
                <w:highlight w:val="none"/>
                <w:lang w:val="en-US" w:eastAsia="zh-CN" w:bidi="ar-SA"/>
              </w:rPr>
              <w:t>（</w:t>
            </w:r>
            <w:r>
              <w:rPr>
                <w:rFonts w:hint="eastAsia" w:ascii="Times New Roman" w:hAnsi="Times New Roman" w:eastAsia="宋体" w:cs="Times New Roman"/>
                <w:color w:val="auto"/>
                <w:kern w:val="2"/>
                <w:sz w:val="21"/>
                <w:szCs w:val="21"/>
                <w:highlight w:val="none"/>
                <w:lang w:val="en-US" w:eastAsia="zh-CN" w:bidi="ar-SA"/>
              </w:rPr>
              <w:t>HJ663-20</w:t>
            </w:r>
            <w:r>
              <w:rPr>
                <w:rFonts w:hint="eastAsia" w:cs="Times New Roman"/>
                <w:color w:val="auto"/>
                <w:kern w:val="2"/>
                <w:sz w:val="21"/>
                <w:szCs w:val="21"/>
                <w:highlight w:val="none"/>
                <w:lang w:val="en-US" w:eastAsia="zh-CN" w:bidi="ar-SA"/>
              </w:rPr>
              <w:t>26）</w:t>
            </w:r>
            <w:r>
              <w:rPr>
                <w:rFonts w:hint="eastAsia" w:ascii="Times New Roman" w:hAnsi="Times New Roman" w:eastAsia="宋体" w:cs="Times New Roman"/>
                <w:color w:val="auto"/>
                <w:kern w:val="2"/>
                <w:sz w:val="21"/>
                <w:szCs w:val="21"/>
                <w:highlight w:val="none"/>
                <w:lang w:val="en-US" w:eastAsia="zh-CN" w:bidi="ar-SA"/>
              </w:rPr>
              <w:t>中各评价项目的年评价指标进行判定。年评价指标中的年均浓度和相应百分位数24h平均或8h平均质量浓度满足《环境空气质量标准》（GB3095-20</w:t>
            </w:r>
            <w:r>
              <w:rPr>
                <w:rFonts w:hint="eastAsia" w:cs="Times New Roman"/>
                <w:color w:val="auto"/>
                <w:kern w:val="2"/>
                <w:sz w:val="21"/>
                <w:szCs w:val="21"/>
                <w:highlight w:val="none"/>
                <w:lang w:val="en-US" w:eastAsia="zh-CN" w:bidi="ar-SA"/>
              </w:rPr>
              <w:t>26</w:t>
            </w:r>
            <w:r>
              <w:rPr>
                <w:rFonts w:hint="eastAsia" w:ascii="Times New Roman" w:hAnsi="Times New Roman" w:eastAsia="宋体" w:cs="Times New Roman"/>
                <w:color w:val="auto"/>
                <w:kern w:val="2"/>
                <w:sz w:val="21"/>
                <w:szCs w:val="21"/>
                <w:highlight w:val="none"/>
                <w:lang w:val="en-US" w:eastAsia="zh-CN" w:bidi="ar-SA"/>
              </w:rPr>
              <w:t>）二级浓度限值要求的即为达标。对于超标的污染物，计算其超标倍数和超标率。区域空气质量现状评价见下表3-1。</w:t>
            </w:r>
          </w:p>
          <w:p>
            <w:pPr>
              <w:pStyle w:val="57"/>
              <w:keepNext w:val="0"/>
              <w:keepLines w:val="0"/>
              <w:pageBreakBefore w:val="0"/>
              <w:widowControl w:val="0"/>
              <w:kinsoku/>
              <w:overflowPunct/>
              <w:topLinePunct w:val="0"/>
              <w:autoSpaceDE/>
              <w:autoSpaceDN/>
              <w:bidi w:val="0"/>
              <w:spacing w:line="240" w:lineRule="auto"/>
              <w:textAlignment w:val="auto"/>
              <w:rPr>
                <w:rFonts w:hint="eastAsia"/>
                <w:color w:val="auto"/>
                <w:sz w:val="21"/>
                <w:szCs w:val="21"/>
                <w:highlight w:val="none"/>
                <w:lang w:val="en-US" w:eastAsia="zh-CN"/>
              </w:rPr>
            </w:pPr>
            <w:r>
              <w:rPr>
                <w:rFonts w:hint="eastAsia"/>
                <w:color w:val="auto"/>
                <w:sz w:val="21"/>
                <w:szCs w:val="21"/>
                <w:highlight w:val="none"/>
                <w:lang w:val="en-US" w:eastAsia="zh-CN"/>
              </w:rPr>
              <w:t>表3-1 区域空气质量现状评价</w:t>
            </w:r>
          </w:p>
          <w:tbl>
            <w:tblPr>
              <w:tblStyle w:val="22"/>
              <w:tblW w:w="4994" w:type="pct"/>
              <w:tblInd w:w="-5"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860"/>
              <w:gridCol w:w="2340"/>
              <w:gridCol w:w="1144"/>
              <w:gridCol w:w="1351"/>
              <w:gridCol w:w="1143"/>
              <w:gridCol w:w="111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41" w:type="pct"/>
                  <w:tcBorders>
                    <w:tl2br w:val="nil"/>
                    <w:tr2bl w:val="nil"/>
                  </w:tcBorders>
                  <w:noWrap w:val="0"/>
                  <w:vAlign w:val="center"/>
                </w:tcPr>
                <w:p>
                  <w:pPr>
                    <w:pStyle w:val="58"/>
                    <w:keepNext w:val="0"/>
                    <w:keepLines w:val="0"/>
                    <w:pageBreakBefore w:val="0"/>
                    <w:widowControl w:val="0"/>
                    <w:kinsoku/>
                    <w:wordWrap/>
                    <w:overflowPunct/>
                    <w:topLinePunct w:val="0"/>
                    <w:autoSpaceDE/>
                    <w:autoSpaceDN/>
                    <w:bidi w:val="0"/>
                    <w:adjustRightInd w:val="0"/>
                    <w:snapToGrid w:val="0"/>
                    <w:spacing w:line="240" w:lineRule="auto"/>
                    <w:textAlignment w:val="auto"/>
                    <w:rPr>
                      <w:color w:val="auto"/>
                      <w:sz w:val="21"/>
                      <w:szCs w:val="21"/>
                      <w:highlight w:val="none"/>
                    </w:rPr>
                  </w:pPr>
                  <w:r>
                    <w:rPr>
                      <w:rFonts w:hint="eastAsia"/>
                      <w:color w:val="auto"/>
                      <w:sz w:val="21"/>
                      <w:szCs w:val="21"/>
                      <w:highlight w:val="none"/>
                    </w:rPr>
                    <w:t>污染物</w:t>
                  </w:r>
                </w:p>
              </w:tc>
              <w:tc>
                <w:tcPr>
                  <w:tcW w:w="1471" w:type="pct"/>
                  <w:tcBorders>
                    <w:tl2br w:val="nil"/>
                    <w:tr2bl w:val="nil"/>
                  </w:tcBorders>
                  <w:noWrap w:val="0"/>
                  <w:vAlign w:val="center"/>
                </w:tcPr>
                <w:p>
                  <w:pPr>
                    <w:pStyle w:val="58"/>
                    <w:keepNext w:val="0"/>
                    <w:keepLines w:val="0"/>
                    <w:pageBreakBefore w:val="0"/>
                    <w:widowControl w:val="0"/>
                    <w:kinsoku/>
                    <w:wordWrap/>
                    <w:overflowPunct/>
                    <w:topLinePunct w:val="0"/>
                    <w:autoSpaceDE/>
                    <w:autoSpaceDN/>
                    <w:bidi w:val="0"/>
                    <w:adjustRightInd w:val="0"/>
                    <w:snapToGrid w:val="0"/>
                    <w:spacing w:line="240" w:lineRule="auto"/>
                    <w:textAlignment w:val="auto"/>
                    <w:rPr>
                      <w:color w:val="auto"/>
                      <w:sz w:val="21"/>
                      <w:szCs w:val="21"/>
                      <w:highlight w:val="none"/>
                    </w:rPr>
                  </w:pPr>
                  <w:r>
                    <w:rPr>
                      <w:rFonts w:hint="eastAsia"/>
                      <w:color w:val="auto"/>
                      <w:sz w:val="21"/>
                      <w:szCs w:val="21"/>
                      <w:highlight w:val="none"/>
                    </w:rPr>
                    <w:t>评价项目</w:t>
                  </w:r>
                </w:p>
              </w:tc>
              <w:tc>
                <w:tcPr>
                  <w:tcW w:w="718" w:type="pct"/>
                  <w:tcBorders>
                    <w:tl2br w:val="nil"/>
                    <w:tr2bl w:val="nil"/>
                  </w:tcBorders>
                  <w:noWrap w:val="0"/>
                  <w:vAlign w:val="center"/>
                </w:tcPr>
                <w:p>
                  <w:pPr>
                    <w:pStyle w:val="58"/>
                    <w:keepNext w:val="0"/>
                    <w:keepLines w:val="0"/>
                    <w:pageBreakBefore w:val="0"/>
                    <w:widowControl w:val="0"/>
                    <w:kinsoku/>
                    <w:wordWrap/>
                    <w:overflowPunct/>
                    <w:topLinePunct w:val="0"/>
                    <w:autoSpaceDE/>
                    <w:autoSpaceDN/>
                    <w:bidi w:val="0"/>
                    <w:adjustRightInd w:val="0"/>
                    <w:snapToGrid w:val="0"/>
                    <w:spacing w:line="240" w:lineRule="auto"/>
                    <w:textAlignment w:val="auto"/>
                    <w:rPr>
                      <w:color w:val="auto"/>
                      <w:sz w:val="21"/>
                      <w:szCs w:val="21"/>
                      <w:highlight w:val="none"/>
                    </w:rPr>
                  </w:pPr>
                  <w:r>
                    <w:rPr>
                      <w:color w:val="auto"/>
                      <w:sz w:val="21"/>
                      <w:szCs w:val="21"/>
                      <w:highlight w:val="none"/>
                    </w:rPr>
                    <w:t>浓度（</w:t>
                  </w:r>
                  <w:r>
                    <w:rPr>
                      <w:rFonts w:hint="default" w:ascii="Times New Roman" w:hAnsi="Times New Roman" w:cs="Times New Roman"/>
                      <w:color w:val="auto"/>
                      <w:sz w:val="21"/>
                      <w:szCs w:val="21"/>
                      <w:highlight w:val="none"/>
                    </w:rPr>
                    <w:t>μ</w:t>
                  </w:r>
                  <w:r>
                    <w:rPr>
                      <w:rFonts w:hint="default" w:ascii="Times New Roman" w:hAnsi="Times New Roman" w:cs="Times New Roman"/>
                      <w:color w:val="auto"/>
                      <w:sz w:val="21"/>
                      <w:szCs w:val="21"/>
                      <w:highlight w:val="none"/>
                      <w:lang w:val="en-US" w:eastAsia="zh-CN"/>
                    </w:rPr>
                    <w:t>g</w:t>
                  </w:r>
                  <w:r>
                    <w:rPr>
                      <w:rFonts w:hint="default" w:ascii="Times New Roman" w:hAnsi="Times New Roman" w:cs="Times New Roman"/>
                      <w:color w:val="auto"/>
                      <w:sz w:val="21"/>
                      <w:szCs w:val="21"/>
                      <w:highlight w:val="none"/>
                    </w:rPr>
                    <w:t>/m</w:t>
                  </w:r>
                  <w:r>
                    <w:rPr>
                      <w:rFonts w:hint="default" w:ascii="Times New Roman" w:hAnsi="Times New Roman" w:cs="Times New Roman"/>
                      <w:color w:val="auto"/>
                      <w:sz w:val="21"/>
                      <w:szCs w:val="21"/>
                      <w:highlight w:val="none"/>
                      <w:vertAlign w:val="superscript"/>
                    </w:rPr>
                    <w:t>3</w:t>
                  </w:r>
                  <w:r>
                    <w:rPr>
                      <w:color w:val="auto"/>
                      <w:sz w:val="21"/>
                      <w:szCs w:val="21"/>
                      <w:highlight w:val="none"/>
                    </w:rPr>
                    <w:t>）</w:t>
                  </w:r>
                </w:p>
              </w:tc>
              <w:tc>
                <w:tcPr>
                  <w:tcW w:w="849" w:type="pct"/>
                  <w:tcBorders>
                    <w:tl2br w:val="nil"/>
                    <w:tr2bl w:val="nil"/>
                  </w:tcBorders>
                  <w:noWrap w:val="0"/>
                  <w:vAlign w:val="center"/>
                </w:tcPr>
                <w:p>
                  <w:pPr>
                    <w:pStyle w:val="58"/>
                    <w:keepNext w:val="0"/>
                    <w:keepLines w:val="0"/>
                    <w:pageBreakBefore w:val="0"/>
                    <w:widowControl w:val="0"/>
                    <w:kinsoku/>
                    <w:wordWrap/>
                    <w:overflowPunct/>
                    <w:topLinePunct w:val="0"/>
                    <w:autoSpaceDE/>
                    <w:autoSpaceDN/>
                    <w:bidi w:val="0"/>
                    <w:adjustRightInd w:val="0"/>
                    <w:snapToGrid w:val="0"/>
                    <w:spacing w:line="240" w:lineRule="auto"/>
                    <w:textAlignment w:val="auto"/>
                    <w:rPr>
                      <w:color w:val="auto"/>
                      <w:sz w:val="21"/>
                      <w:szCs w:val="21"/>
                      <w:highlight w:val="none"/>
                    </w:rPr>
                  </w:pPr>
                  <w:r>
                    <w:rPr>
                      <w:rFonts w:hint="eastAsia"/>
                      <w:color w:val="auto"/>
                      <w:sz w:val="21"/>
                      <w:szCs w:val="21"/>
                      <w:highlight w:val="none"/>
                    </w:rPr>
                    <w:t>标准（二级）</w:t>
                  </w:r>
                  <w:r>
                    <w:rPr>
                      <w:color w:val="auto"/>
                      <w:sz w:val="21"/>
                      <w:szCs w:val="21"/>
                      <w:highlight w:val="none"/>
                    </w:rPr>
                    <w:t>（</w:t>
                  </w:r>
                  <w:r>
                    <w:rPr>
                      <w:rFonts w:hint="default" w:ascii="Times New Roman" w:hAnsi="Times New Roman" w:cs="Times New Roman"/>
                      <w:color w:val="auto"/>
                      <w:sz w:val="21"/>
                      <w:szCs w:val="21"/>
                      <w:highlight w:val="none"/>
                    </w:rPr>
                    <w:t>μ</w:t>
                  </w:r>
                  <w:r>
                    <w:rPr>
                      <w:rFonts w:hint="default" w:ascii="Times New Roman" w:hAnsi="Times New Roman" w:cs="Times New Roman"/>
                      <w:color w:val="auto"/>
                      <w:sz w:val="21"/>
                      <w:szCs w:val="21"/>
                      <w:highlight w:val="none"/>
                      <w:lang w:val="en-US" w:eastAsia="zh-CN"/>
                    </w:rPr>
                    <w:t>g</w:t>
                  </w:r>
                  <w:r>
                    <w:rPr>
                      <w:rFonts w:hint="default" w:ascii="Times New Roman" w:hAnsi="Times New Roman" w:cs="Times New Roman"/>
                      <w:color w:val="auto"/>
                      <w:sz w:val="21"/>
                      <w:szCs w:val="21"/>
                      <w:highlight w:val="none"/>
                    </w:rPr>
                    <w:t>/m</w:t>
                  </w:r>
                  <w:r>
                    <w:rPr>
                      <w:rFonts w:hint="default" w:ascii="Times New Roman" w:hAnsi="Times New Roman" w:cs="Times New Roman"/>
                      <w:color w:val="auto"/>
                      <w:sz w:val="21"/>
                      <w:szCs w:val="21"/>
                      <w:highlight w:val="none"/>
                      <w:vertAlign w:val="superscript"/>
                    </w:rPr>
                    <w:t>3</w:t>
                  </w:r>
                  <w:r>
                    <w:rPr>
                      <w:color w:val="auto"/>
                      <w:sz w:val="21"/>
                      <w:szCs w:val="21"/>
                      <w:highlight w:val="none"/>
                    </w:rPr>
                    <w:t>）</w:t>
                  </w:r>
                </w:p>
              </w:tc>
              <w:tc>
                <w:tcPr>
                  <w:tcW w:w="718" w:type="pct"/>
                  <w:tcBorders>
                    <w:tl2br w:val="nil"/>
                    <w:tr2bl w:val="nil"/>
                  </w:tcBorders>
                  <w:noWrap w:val="0"/>
                  <w:vAlign w:val="center"/>
                </w:tcPr>
                <w:p>
                  <w:pPr>
                    <w:pStyle w:val="58"/>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color w:val="auto"/>
                      <w:sz w:val="21"/>
                      <w:szCs w:val="21"/>
                      <w:highlight w:val="none"/>
                      <w:lang w:val="en-US" w:eastAsia="zh-CN"/>
                    </w:rPr>
                  </w:pPr>
                  <w:r>
                    <w:rPr>
                      <w:rFonts w:hint="eastAsia"/>
                      <w:color w:val="auto"/>
                      <w:sz w:val="21"/>
                      <w:szCs w:val="21"/>
                      <w:highlight w:val="none"/>
                      <w:lang w:eastAsia="zh-CN"/>
                    </w:rPr>
                    <w:t>占标率</w:t>
                  </w:r>
                  <w:r>
                    <w:rPr>
                      <w:rFonts w:hint="eastAsia"/>
                      <w:color w:val="auto"/>
                      <w:sz w:val="21"/>
                      <w:szCs w:val="21"/>
                      <w:highlight w:val="none"/>
                      <w:lang w:val="en-US" w:eastAsia="zh-CN"/>
                    </w:rPr>
                    <w:t>%</w:t>
                  </w:r>
                </w:p>
              </w:tc>
              <w:tc>
                <w:tcPr>
                  <w:tcW w:w="701" w:type="pct"/>
                  <w:tcBorders>
                    <w:tl2br w:val="nil"/>
                    <w:tr2bl w:val="nil"/>
                  </w:tcBorders>
                  <w:noWrap w:val="0"/>
                  <w:vAlign w:val="center"/>
                </w:tcPr>
                <w:p>
                  <w:pPr>
                    <w:pStyle w:val="58"/>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color w:val="auto"/>
                      <w:sz w:val="21"/>
                      <w:szCs w:val="21"/>
                      <w:highlight w:val="none"/>
                      <w:lang w:eastAsia="zh-CN"/>
                    </w:rPr>
                  </w:pPr>
                  <w:r>
                    <w:rPr>
                      <w:rFonts w:hint="eastAsia"/>
                      <w:color w:val="auto"/>
                      <w:sz w:val="21"/>
                      <w:szCs w:val="21"/>
                      <w:highlight w:val="none"/>
                      <w:lang w:eastAsia="zh-CN"/>
                    </w:rPr>
                    <w:t>达标情况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41" w:type="pct"/>
                  <w:vMerge w:val="restart"/>
                  <w:tcBorders>
                    <w:tl2br w:val="nil"/>
                    <w:tr2bl w:val="nil"/>
                  </w:tcBorders>
                  <w:noWrap w:val="0"/>
                  <w:vAlign w:val="center"/>
                </w:tcPr>
                <w:p>
                  <w:pPr>
                    <w:pStyle w:val="58"/>
                    <w:keepNext w:val="0"/>
                    <w:keepLines w:val="0"/>
                    <w:pageBreakBefore w:val="0"/>
                    <w:widowControl w:val="0"/>
                    <w:kinsoku/>
                    <w:wordWrap/>
                    <w:overflowPunct/>
                    <w:topLinePunct w:val="0"/>
                    <w:autoSpaceDE/>
                    <w:autoSpaceDN/>
                    <w:bidi w:val="0"/>
                    <w:adjustRightInd w:val="0"/>
                    <w:snapToGrid w:val="0"/>
                    <w:spacing w:line="240" w:lineRule="auto"/>
                    <w:textAlignment w:val="auto"/>
                    <w:rPr>
                      <w:color w:val="auto"/>
                      <w:sz w:val="21"/>
                      <w:szCs w:val="21"/>
                      <w:highlight w:val="none"/>
                    </w:rPr>
                  </w:pPr>
                  <w:r>
                    <w:rPr>
                      <w:rFonts w:hint="eastAsia"/>
                      <w:color w:val="auto"/>
                      <w:sz w:val="21"/>
                      <w:szCs w:val="21"/>
                      <w:highlight w:val="none"/>
                    </w:rPr>
                    <w:t>SO</w:t>
                  </w:r>
                  <w:r>
                    <w:rPr>
                      <w:rFonts w:hint="eastAsia"/>
                      <w:color w:val="auto"/>
                      <w:sz w:val="21"/>
                      <w:szCs w:val="21"/>
                      <w:highlight w:val="none"/>
                      <w:vertAlign w:val="subscript"/>
                    </w:rPr>
                    <w:t>2</w:t>
                  </w:r>
                </w:p>
              </w:tc>
              <w:tc>
                <w:tcPr>
                  <w:tcW w:w="1471" w:type="pct"/>
                  <w:tcBorders>
                    <w:tl2br w:val="nil"/>
                    <w:tr2bl w:val="nil"/>
                  </w:tcBorders>
                  <w:noWrap w:val="0"/>
                  <w:vAlign w:val="center"/>
                </w:tcPr>
                <w:p>
                  <w:pPr>
                    <w:pStyle w:val="58"/>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color w:val="auto"/>
                      <w:sz w:val="21"/>
                      <w:szCs w:val="21"/>
                      <w:highlight w:val="none"/>
                      <w:lang w:val="en-US" w:eastAsia="zh-CN"/>
                    </w:rPr>
                  </w:pPr>
                  <w:r>
                    <w:rPr>
                      <w:rFonts w:hint="eastAsia"/>
                      <w:color w:val="auto"/>
                      <w:sz w:val="21"/>
                      <w:szCs w:val="21"/>
                      <w:highlight w:val="none"/>
                      <w:lang w:val="en-US" w:eastAsia="zh-CN"/>
                    </w:rPr>
                    <w:t>年平均</w:t>
                  </w:r>
                </w:p>
              </w:tc>
              <w:tc>
                <w:tcPr>
                  <w:tcW w:w="1143" w:type="dxa"/>
                  <w:tcBorders>
                    <w:tl2br w:val="nil"/>
                    <w:tr2bl w:val="nil"/>
                  </w:tcBorders>
                  <w:noWrap w:val="0"/>
                  <w:vAlign w:val="center"/>
                </w:tcPr>
                <w:p>
                  <w:pPr>
                    <w:pStyle w:val="58"/>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color w:val="auto"/>
                      <w:sz w:val="21"/>
                      <w:szCs w:val="21"/>
                      <w:highlight w:val="none"/>
                      <w:lang w:val="en-US" w:eastAsia="zh-CN"/>
                    </w:rPr>
                  </w:pPr>
                  <w:r>
                    <w:rPr>
                      <w:rFonts w:hint="eastAsia"/>
                      <w:color w:val="auto"/>
                      <w:sz w:val="21"/>
                      <w:szCs w:val="21"/>
                      <w:highlight w:val="none"/>
                      <w:lang w:val="en-US" w:eastAsia="zh-CN"/>
                    </w:rPr>
                    <w:t>5</w:t>
                  </w:r>
                </w:p>
              </w:tc>
              <w:tc>
                <w:tcPr>
                  <w:tcW w:w="1351" w:type="dxa"/>
                  <w:tcBorders>
                    <w:tl2br w:val="nil"/>
                    <w:tr2bl w:val="nil"/>
                  </w:tcBorders>
                  <w:noWrap w:val="0"/>
                  <w:vAlign w:val="center"/>
                </w:tcPr>
                <w:p>
                  <w:pPr>
                    <w:pStyle w:val="58"/>
                    <w:keepNext w:val="0"/>
                    <w:keepLines w:val="0"/>
                    <w:pageBreakBefore w:val="0"/>
                    <w:widowControl w:val="0"/>
                    <w:kinsoku/>
                    <w:wordWrap/>
                    <w:overflowPunct/>
                    <w:topLinePunct w:val="0"/>
                    <w:autoSpaceDE/>
                    <w:autoSpaceDN/>
                    <w:bidi w:val="0"/>
                    <w:adjustRightInd w:val="0"/>
                    <w:snapToGrid w:val="0"/>
                    <w:spacing w:line="240" w:lineRule="auto"/>
                    <w:textAlignment w:val="auto"/>
                    <w:rPr>
                      <w:color w:val="auto"/>
                      <w:sz w:val="21"/>
                      <w:szCs w:val="21"/>
                      <w:highlight w:val="none"/>
                    </w:rPr>
                  </w:pPr>
                  <w:r>
                    <w:rPr>
                      <w:rFonts w:hint="eastAsia"/>
                      <w:color w:val="auto"/>
                      <w:sz w:val="21"/>
                      <w:szCs w:val="21"/>
                      <w:highlight w:val="none"/>
                    </w:rPr>
                    <w:t>60</w:t>
                  </w:r>
                </w:p>
              </w:tc>
              <w:tc>
                <w:tcPr>
                  <w:tcW w:w="1143" w:type="dxa"/>
                  <w:tcBorders>
                    <w:tl2br w:val="nil"/>
                    <w:tr2bl w:val="nil"/>
                  </w:tcBorders>
                  <w:noWrap w:val="0"/>
                  <w:vAlign w:val="center"/>
                </w:tcPr>
                <w:p>
                  <w:pPr>
                    <w:pStyle w:val="58"/>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color w:val="auto"/>
                      <w:sz w:val="21"/>
                      <w:szCs w:val="21"/>
                      <w:highlight w:val="none"/>
                      <w:lang w:val="en-US" w:eastAsia="zh-CN"/>
                    </w:rPr>
                  </w:pPr>
                  <w:r>
                    <w:rPr>
                      <w:rFonts w:hint="eastAsia"/>
                      <w:color w:val="auto"/>
                      <w:sz w:val="21"/>
                      <w:szCs w:val="21"/>
                      <w:highlight w:val="none"/>
                      <w:lang w:val="en-US" w:eastAsia="zh-CN"/>
                    </w:rPr>
                    <w:t>8.33</w:t>
                  </w:r>
                </w:p>
              </w:tc>
              <w:tc>
                <w:tcPr>
                  <w:tcW w:w="701" w:type="pct"/>
                  <w:tcBorders>
                    <w:tl2br w:val="nil"/>
                    <w:tr2bl w:val="nil"/>
                  </w:tcBorders>
                  <w:noWrap w:val="0"/>
                  <w:vAlign w:val="center"/>
                </w:tcPr>
                <w:p>
                  <w:pPr>
                    <w:pStyle w:val="58"/>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color w:val="auto"/>
                      <w:sz w:val="21"/>
                      <w:szCs w:val="21"/>
                      <w:highlight w:val="none"/>
                      <w:lang w:eastAsia="zh-CN"/>
                    </w:rPr>
                  </w:pPr>
                  <w:r>
                    <w:rPr>
                      <w:rFonts w:hint="eastAsia"/>
                      <w:color w:val="auto"/>
                      <w:sz w:val="21"/>
                      <w:szCs w:val="21"/>
                      <w:highlight w:val="none"/>
                      <w:lang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41" w:type="pct"/>
                  <w:vMerge w:val="continue"/>
                  <w:tcBorders>
                    <w:tl2br w:val="nil"/>
                    <w:tr2bl w:val="nil"/>
                  </w:tcBorders>
                  <w:noWrap w:val="0"/>
                  <w:vAlign w:val="center"/>
                </w:tcPr>
                <w:p>
                  <w:pPr>
                    <w:pStyle w:val="58"/>
                    <w:keepNext w:val="0"/>
                    <w:keepLines w:val="0"/>
                    <w:pageBreakBefore w:val="0"/>
                    <w:widowControl w:val="0"/>
                    <w:kinsoku/>
                    <w:wordWrap/>
                    <w:overflowPunct/>
                    <w:topLinePunct w:val="0"/>
                    <w:autoSpaceDE/>
                    <w:autoSpaceDN/>
                    <w:bidi w:val="0"/>
                    <w:adjustRightInd w:val="0"/>
                    <w:snapToGrid w:val="0"/>
                    <w:spacing w:line="240" w:lineRule="auto"/>
                    <w:textAlignment w:val="auto"/>
                    <w:rPr>
                      <w:color w:val="auto"/>
                      <w:sz w:val="21"/>
                      <w:szCs w:val="21"/>
                      <w:highlight w:val="none"/>
                    </w:rPr>
                  </w:pPr>
                </w:p>
              </w:tc>
              <w:tc>
                <w:tcPr>
                  <w:tcW w:w="1471" w:type="pct"/>
                  <w:tcBorders>
                    <w:tl2br w:val="nil"/>
                    <w:tr2bl w:val="nil"/>
                  </w:tcBorders>
                  <w:noWrap w:val="0"/>
                  <w:vAlign w:val="center"/>
                </w:tcPr>
                <w:p>
                  <w:pPr>
                    <w:pStyle w:val="58"/>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color w:val="auto"/>
                      <w:sz w:val="21"/>
                      <w:szCs w:val="21"/>
                      <w:highlight w:val="none"/>
                      <w:lang w:val="en-US" w:eastAsia="zh-CN"/>
                    </w:rPr>
                  </w:pPr>
                  <w:r>
                    <w:rPr>
                      <w:rFonts w:hint="eastAsia"/>
                      <w:color w:val="auto"/>
                      <w:sz w:val="21"/>
                      <w:szCs w:val="21"/>
                      <w:highlight w:val="none"/>
                      <w:lang w:val="en-US" w:eastAsia="zh-CN"/>
                    </w:rPr>
                    <w:t>24h平均第98百分位数</w:t>
                  </w:r>
                </w:p>
              </w:tc>
              <w:tc>
                <w:tcPr>
                  <w:tcW w:w="1143" w:type="dxa"/>
                  <w:tcBorders>
                    <w:tl2br w:val="nil"/>
                    <w:tr2bl w:val="nil"/>
                  </w:tcBorders>
                  <w:noWrap w:val="0"/>
                  <w:vAlign w:val="center"/>
                </w:tcPr>
                <w:p>
                  <w:pPr>
                    <w:pStyle w:val="58"/>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color w:val="auto"/>
                      <w:sz w:val="21"/>
                      <w:szCs w:val="21"/>
                      <w:highlight w:val="none"/>
                      <w:lang w:val="en-US" w:eastAsia="zh-CN"/>
                    </w:rPr>
                  </w:pPr>
                  <w:r>
                    <w:rPr>
                      <w:rFonts w:hint="eastAsia"/>
                      <w:color w:val="auto"/>
                      <w:sz w:val="21"/>
                      <w:szCs w:val="21"/>
                      <w:highlight w:val="none"/>
                      <w:lang w:val="en-US" w:eastAsia="zh-CN"/>
                    </w:rPr>
                    <w:t>9</w:t>
                  </w:r>
                </w:p>
              </w:tc>
              <w:tc>
                <w:tcPr>
                  <w:tcW w:w="1351" w:type="dxa"/>
                  <w:tcBorders>
                    <w:tl2br w:val="nil"/>
                    <w:tr2bl w:val="nil"/>
                  </w:tcBorders>
                  <w:noWrap w:val="0"/>
                  <w:vAlign w:val="center"/>
                </w:tcPr>
                <w:p>
                  <w:pPr>
                    <w:pStyle w:val="58"/>
                    <w:keepNext w:val="0"/>
                    <w:keepLines w:val="0"/>
                    <w:pageBreakBefore w:val="0"/>
                    <w:widowControl w:val="0"/>
                    <w:kinsoku/>
                    <w:wordWrap/>
                    <w:overflowPunct/>
                    <w:topLinePunct w:val="0"/>
                    <w:autoSpaceDE/>
                    <w:autoSpaceDN/>
                    <w:bidi w:val="0"/>
                    <w:adjustRightInd w:val="0"/>
                    <w:snapToGrid w:val="0"/>
                    <w:spacing w:line="240" w:lineRule="auto"/>
                    <w:textAlignment w:val="auto"/>
                    <w:rPr>
                      <w:color w:val="auto"/>
                      <w:sz w:val="21"/>
                      <w:szCs w:val="21"/>
                      <w:highlight w:val="none"/>
                    </w:rPr>
                  </w:pPr>
                  <w:r>
                    <w:rPr>
                      <w:rFonts w:hint="eastAsia"/>
                      <w:color w:val="auto"/>
                      <w:sz w:val="21"/>
                      <w:szCs w:val="21"/>
                      <w:highlight w:val="none"/>
                    </w:rPr>
                    <w:t>150</w:t>
                  </w:r>
                </w:p>
              </w:tc>
              <w:tc>
                <w:tcPr>
                  <w:tcW w:w="1143" w:type="dxa"/>
                  <w:tcBorders>
                    <w:tl2br w:val="nil"/>
                    <w:tr2bl w:val="nil"/>
                  </w:tcBorders>
                  <w:noWrap w:val="0"/>
                  <w:vAlign w:val="center"/>
                </w:tcPr>
                <w:p>
                  <w:pPr>
                    <w:pStyle w:val="58"/>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color w:val="auto"/>
                      <w:sz w:val="21"/>
                      <w:szCs w:val="21"/>
                      <w:highlight w:val="none"/>
                      <w:lang w:val="en-US" w:eastAsia="zh-CN"/>
                    </w:rPr>
                  </w:pPr>
                  <w:r>
                    <w:rPr>
                      <w:rFonts w:hint="eastAsia"/>
                      <w:color w:val="auto"/>
                      <w:sz w:val="21"/>
                      <w:szCs w:val="21"/>
                      <w:highlight w:val="none"/>
                      <w:lang w:val="en-US" w:eastAsia="zh-CN"/>
                    </w:rPr>
                    <w:t>6</w:t>
                  </w:r>
                </w:p>
              </w:tc>
              <w:tc>
                <w:tcPr>
                  <w:tcW w:w="701" w:type="pct"/>
                  <w:tcBorders>
                    <w:tl2br w:val="nil"/>
                    <w:tr2bl w:val="nil"/>
                  </w:tcBorders>
                  <w:noWrap w:val="0"/>
                  <w:vAlign w:val="center"/>
                </w:tcPr>
                <w:p>
                  <w:pPr>
                    <w:pStyle w:val="58"/>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color w:val="auto"/>
                      <w:sz w:val="21"/>
                      <w:szCs w:val="21"/>
                      <w:highlight w:val="none"/>
                    </w:rPr>
                  </w:pPr>
                  <w:r>
                    <w:rPr>
                      <w:rFonts w:hint="eastAsia"/>
                      <w:color w:val="auto"/>
                      <w:sz w:val="21"/>
                      <w:szCs w:val="21"/>
                      <w:highlight w:val="none"/>
                      <w:lang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41" w:type="pct"/>
                  <w:vMerge w:val="restart"/>
                  <w:tcBorders>
                    <w:tl2br w:val="nil"/>
                    <w:tr2bl w:val="nil"/>
                  </w:tcBorders>
                  <w:noWrap w:val="0"/>
                  <w:vAlign w:val="center"/>
                </w:tcPr>
                <w:p>
                  <w:pPr>
                    <w:pStyle w:val="58"/>
                    <w:keepNext w:val="0"/>
                    <w:keepLines w:val="0"/>
                    <w:pageBreakBefore w:val="0"/>
                    <w:widowControl w:val="0"/>
                    <w:kinsoku/>
                    <w:wordWrap/>
                    <w:overflowPunct/>
                    <w:topLinePunct w:val="0"/>
                    <w:autoSpaceDE/>
                    <w:autoSpaceDN/>
                    <w:bidi w:val="0"/>
                    <w:adjustRightInd w:val="0"/>
                    <w:snapToGrid w:val="0"/>
                    <w:spacing w:line="240" w:lineRule="auto"/>
                    <w:textAlignment w:val="auto"/>
                    <w:rPr>
                      <w:color w:val="auto"/>
                      <w:sz w:val="21"/>
                      <w:szCs w:val="21"/>
                      <w:highlight w:val="none"/>
                    </w:rPr>
                  </w:pPr>
                  <w:r>
                    <w:rPr>
                      <w:rFonts w:hint="eastAsia"/>
                      <w:color w:val="auto"/>
                      <w:sz w:val="21"/>
                      <w:szCs w:val="21"/>
                      <w:highlight w:val="none"/>
                    </w:rPr>
                    <w:t>NO</w:t>
                  </w:r>
                  <w:r>
                    <w:rPr>
                      <w:rFonts w:hint="eastAsia"/>
                      <w:color w:val="auto"/>
                      <w:sz w:val="21"/>
                      <w:szCs w:val="21"/>
                      <w:highlight w:val="none"/>
                      <w:vertAlign w:val="subscript"/>
                    </w:rPr>
                    <w:t>2</w:t>
                  </w:r>
                </w:p>
              </w:tc>
              <w:tc>
                <w:tcPr>
                  <w:tcW w:w="1471" w:type="pct"/>
                  <w:tcBorders>
                    <w:tl2br w:val="nil"/>
                    <w:tr2bl w:val="nil"/>
                  </w:tcBorders>
                  <w:noWrap w:val="0"/>
                  <w:vAlign w:val="center"/>
                </w:tcPr>
                <w:p>
                  <w:pPr>
                    <w:pStyle w:val="58"/>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color w:val="auto"/>
                      <w:sz w:val="21"/>
                      <w:szCs w:val="21"/>
                      <w:highlight w:val="none"/>
                      <w:lang w:val="en-US" w:eastAsia="zh-CN"/>
                    </w:rPr>
                  </w:pPr>
                  <w:r>
                    <w:rPr>
                      <w:rFonts w:hint="eastAsia"/>
                      <w:color w:val="auto"/>
                      <w:sz w:val="21"/>
                      <w:szCs w:val="21"/>
                      <w:highlight w:val="none"/>
                      <w:lang w:val="en-US" w:eastAsia="zh-CN"/>
                    </w:rPr>
                    <w:t>年平均</w:t>
                  </w:r>
                </w:p>
              </w:tc>
              <w:tc>
                <w:tcPr>
                  <w:tcW w:w="1143" w:type="dxa"/>
                  <w:tcBorders>
                    <w:tl2br w:val="nil"/>
                    <w:tr2bl w:val="nil"/>
                  </w:tcBorders>
                  <w:noWrap w:val="0"/>
                  <w:vAlign w:val="center"/>
                </w:tcPr>
                <w:p>
                  <w:pPr>
                    <w:pStyle w:val="58"/>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color w:val="auto"/>
                      <w:sz w:val="21"/>
                      <w:szCs w:val="21"/>
                      <w:highlight w:val="none"/>
                      <w:lang w:val="en-US" w:eastAsia="zh-CN"/>
                    </w:rPr>
                  </w:pPr>
                  <w:r>
                    <w:rPr>
                      <w:rFonts w:hint="eastAsia"/>
                      <w:color w:val="auto"/>
                      <w:sz w:val="21"/>
                      <w:szCs w:val="21"/>
                      <w:highlight w:val="none"/>
                      <w:lang w:val="en-US" w:eastAsia="zh-CN"/>
                    </w:rPr>
                    <w:t>27</w:t>
                  </w:r>
                </w:p>
              </w:tc>
              <w:tc>
                <w:tcPr>
                  <w:tcW w:w="1351" w:type="dxa"/>
                  <w:tcBorders>
                    <w:tl2br w:val="nil"/>
                    <w:tr2bl w:val="nil"/>
                  </w:tcBorders>
                  <w:noWrap w:val="0"/>
                  <w:vAlign w:val="center"/>
                </w:tcPr>
                <w:p>
                  <w:pPr>
                    <w:pStyle w:val="58"/>
                    <w:keepNext w:val="0"/>
                    <w:keepLines w:val="0"/>
                    <w:pageBreakBefore w:val="0"/>
                    <w:widowControl w:val="0"/>
                    <w:kinsoku/>
                    <w:wordWrap/>
                    <w:overflowPunct/>
                    <w:topLinePunct w:val="0"/>
                    <w:autoSpaceDE/>
                    <w:autoSpaceDN/>
                    <w:bidi w:val="0"/>
                    <w:adjustRightInd w:val="0"/>
                    <w:snapToGrid w:val="0"/>
                    <w:spacing w:line="240" w:lineRule="auto"/>
                    <w:textAlignment w:val="auto"/>
                    <w:rPr>
                      <w:color w:val="auto"/>
                      <w:sz w:val="21"/>
                      <w:szCs w:val="21"/>
                      <w:highlight w:val="none"/>
                    </w:rPr>
                  </w:pPr>
                  <w:r>
                    <w:rPr>
                      <w:rFonts w:hint="eastAsia"/>
                      <w:color w:val="auto"/>
                      <w:sz w:val="21"/>
                      <w:szCs w:val="21"/>
                      <w:highlight w:val="none"/>
                    </w:rPr>
                    <w:t>40</w:t>
                  </w:r>
                </w:p>
              </w:tc>
              <w:tc>
                <w:tcPr>
                  <w:tcW w:w="1143" w:type="dxa"/>
                  <w:tcBorders>
                    <w:tl2br w:val="nil"/>
                    <w:tr2bl w:val="nil"/>
                  </w:tcBorders>
                  <w:noWrap w:val="0"/>
                  <w:vAlign w:val="center"/>
                </w:tcPr>
                <w:p>
                  <w:pPr>
                    <w:pStyle w:val="58"/>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color w:val="auto"/>
                      <w:sz w:val="21"/>
                      <w:szCs w:val="21"/>
                      <w:highlight w:val="none"/>
                      <w:lang w:val="en-US" w:eastAsia="zh-CN"/>
                    </w:rPr>
                  </w:pPr>
                  <w:r>
                    <w:rPr>
                      <w:rFonts w:hint="eastAsia"/>
                      <w:color w:val="auto"/>
                      <w:sz w:val="21"/>
                      <w:szCs w:val="21"/>
                      <w:highlight w:val="none"/>
                      <w:lang w:val="en-US" w:eastAsia="zh-CN"/>
                    </w:rPr>
                    <w:t>67.5</w:t>
                  </w:r>
                </w:p>
              </w:tc>
              <w:tc>
                <w:tcPr>
                  <w:tcW w:w="701" w:type="pct"/>
                  <w:tcBorders>
                    <w:tl2br w:val="nil"/>
                    <w:tr2bl w:val="nil"/>
                  </w:tcBorders>
                  <w:noWrap w:val="0"/>
                  <w:vAlign w:val="center"/>
                </w:tcPr>
                <w:p>
                  <w:pPr>
                    <w:pStyle w:val="58"/>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color w:val="auto"/>
                      <w:sz w:val="21"/>
                      <w:szCs w:val="21"/>
                      <w:highlight w:val="none"/>
                    </w:rPr>
                  </w:pPr>
                  <w:r>
                    <w:rPr>
                      <w:rFonts w:hint="eastAsia"/>
                      <w:color w:val="auto"/>
                      <w:sz w:val="21"/>
                      <w:szCs w:val="21"/>
                      <w:highlight w:val="none"/>
                      <w:lang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41" w:type="pct"/>
                  <w:vMerge w:val="continue"/>
                  <w:tcBorders>
                    <w:tl2br w:val="nil"/>
                    <w:tr2bl w:val="nil"/>
                  </w:tcBorders>
                  <w:noWrap w:val="0"/>
                  <w:vAlign w:val="center"/>
                </w:tcPr>
                <w:p>
                  <w:pPr>
                    <w:pStyle w:val="58"/>
                    <w:keepNext w:val="0"/>
                    <w:keepLines w:val="0"/>
                    <w:pageBreakBefore w:val="0"/>
                    <w:widowControl w:val="0"/>
                    <w:kinsoku/>
                    <w:wordWrap/>
                    <w:overflowPunct/>
                    <w:topLinePunct w:val="0"/>
                    <w:autoSpaceDE/>
                    <w:autoSpaceDN/>
                    <w:bidi w:val="0"/>
                    <w:adjustRightInd w:val="0"/>
                    <w:snapToGrid w:val="0"/>
                    <w:spacing w:line="240" w:lineRule="auto"/>
                    <w:textAlignment w:val="auto"/>
                    <w:rPr>
                      <w:color w:val="auto"/>
                      <w:sz w:val="21"/>
                      <w:szCs w:val="21"/>
                      <w:highlight w:val="none"/>
                    </w:rPr>
                  </w:pPr>
                </w:p>
              </w:tc>
              <w:tc>
                <w:tcPr>
                  <w:tcW w:w="1471" w:type="pct"/>
                  <w:tcBorders>
                    <w:tl2br w:val="nil"/>
                    <w:tr2bl w:val="nil"/>
                  </w:tcBorders>
                  <w:noWrap w:val="0"/>
                  <w:vAlign w:val="center"/>
                </w:tcPr>
                <w:p>
                  <w:pPr>
                    <w:pStyle w:val="58"/>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color w:val="auto"/>
                      <w:sz w:val="21"/>
                      <w:szCs w:val="21"/>
                      <w:highlight w:val="none"/>
                      <w:lang w:val="en-US" w:eastAsia="zh-CN"/>
                    </w:rPr>
                  </w:pPr>
                  <w:r>
                    <w:rPr>
                      <w:rFonts w:hint="eastAsia"/>
                      <w:color w:val="auto"/>
                      <w:sz w:val="21"/>
                      <w:szCs w:val="21"/>
                      <w:highlight w:val="none"/>
                      <w:lang w:val="en-US" w:eastAsia="zh-CN"/>
                    </w:rPr>
                    <w:t>24h平均第98百分位数</w:t>
                  </w:r>
                </w:p>
              </w:tc>
              <w:tc>
                <w:tcPr>
                  <w:tcW w:w="1143" w:type="dxa"/>
                  <w:tcBorders>
                    <w:tl2br w:val="nil"/>
                    <w:tr2bl w:val="nil"/>
                  </w:tcBorders>
                  <w:noWrap w:val="0"/>
                  <w:vAlign w:val="center"/>
                </w:tcPr>
                <w:p>
                  <w:pPr>
                    <w:pStyle w:val="58"/>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color w:val="auto"/>
                      <w:sz w:val="21"/>
                      <w:szCs w:val="21"/>
                      <w:highlight w:val="none"/>
                      <w:lang w:val="en-US" w:eastAsia="zh-CN"/>
                    </w:rPr>
                  </w:pPr>
                  <w:r>
                    <w:rPr>
                      <w:rFonts w:hint="eastAsia"/>
                      <w:color w:val="auto"/>
                      <w:sz w:val="21"/>
                      <w:szCs w:val="21"/>
                      <w:highlight w:val="none"/>
                      <w:lang w:val="en-US" w:eastAsia="zh-CN"/>
                    </w:rPr>
                    <w:t>59</w:t>
                  </w:r>
                </w:p>
              </w:tc>
              <w:tc>
                <w:tcPr>
                  <w:tcW w:w="1351" w:type="dxa"/>
                  <w:tcBorders>
                    <w:tl2br w:val="nil"/>
                    <w:tr2bl w:val="nil"/>
                  </w:tcBorders>
                  <w:noWrap w:val="0"/>
                  <w:vAlign w:val="center"/>
                </w:tcPr>
                <w:p>
                  <w:pPr>
                    <w:pStyle w:val="58"/>
                    <w:keepNext w:val="0"/>
                    <w:keepLines w:val="0"/>
                    <w:pageBreakBefore w:val="0"/>
                    <w:widowControl w:val="0"/>
                    <w:kinsoku/>
                    <w:wordWrap/>
                    <w:overflowPunct/>
                    <w:topLinePunct w:val="0"/>
                    <w:autoSpaceDE/>
                    <w:autoSpaceDN/>
                    <w:bidi w:val="0"/>
                    <w:adjustRightInd w:val="0"/>
                    <w:snapToGrid w:val="0"/>
                    <w:spacing w:line="240" w:lineRule="auto"/>
                    <w:textAlignment w:val="auto"/>
                    <w:rPr>
                      <w:color w:val="auto"/>
                      <w:sz w:val="21"/>
                      <w:szCs w:val="21"/>
                      <w:highlight w:val="none"/>
                    </w:rPr>
                  </w:pPr>
                  <w:r>
                    <w:rPr>
                      <w:rFonts w:hint="eastAsia"/>
                      <w:color w:val="auto"/>
                      <w:sz w:val="21"/>
                      <w:szCs w:val="21"/>
                      <w:highlight w:val="none"/>
                    </w:rPr>
                    <w:t>80</w:t>
                  </w:r>
                </w:p>
              </w:tc>
              <w:tc>
                <w:tcPr>
                  <w:tcW w:w="1143" w:type="dxa"/>
                  <w:tcBorders>
                    <w:tl2br w:val="nil"/>
                    <w:tr2bl w:val="nil"/>
                  </w:tcBorders>
                  <w:noWrap w:val="0"/>
                  <w:vAlign w:val="center"/>
                </w:tcPr>
                <w:p>
                  <w:pPr>
                    <w:pStyle w:val="58"/>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color w:val="auto"/>
                      <w:sz w:val="21"/>
                      <w:szCs w:val="21"/>
                      <w:highlight w:val="none"/>
                      <w:lang w:val="en-US" w:eastAsia="zh-CN"/>
                    </w:rPr>
                  </w:pPr>
                  <w:r>
                    <w:rPr>
                      <w:rFonts w:hint="eastAsia"/>
                      <w:color w:val="auto"/>
                      <w:sz w:val="21"/>
                      <w:szCs w:val="21"/>
                      <w:highlight w:val="none"/>
                      <w:lang w:val="en-US" w:eastAsia="zh-CN"/>
                    </w:rPr>
                    <w:t>73.75</w:t>
                  </w:r>
                </w:p>
              </w:tc>
              <w:tc>
                <w:tcPr>
                  <w:tcW w:w="701" w:type="pct"/>
                  <w:tcBorders>
                    <w:tl2br w:val="nil"/>
                    <w:tr2bl w:val="nil"/>
                  </w:tcBorders>
                  <w:noWrap w:val="0"/>
                  <w:vAlign w:val="center"/>
                </w:tcPr>
                <w:p>
                  <w:pPr>
                    <w:pStyle w:val="58"/>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color w:val="auto"/>
                      <w:sz w:val="21"/>
                      <w:szCs w:val="21"/>
                      <w:highlight w:val="none"/>
                    </w:rPr>
                  </w:pPr>
                  <w:r>
                    <w:rPr>
                      <w:rFonts w:hint="eastAsia"/>
                      <w:color w:val="auto"/>
                      <w:sz w:val="21"/>
                      <w:szCs w:val="21"/>
                      <w:highlight w:val="none"/>
                      <w:lang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41" w:type="pct"/>
                  <w:tcBorders>
                    <w:tl2br w:val="nil"/>
                    <w:tr2bl w:val="nil"/>
                  </w:tcBorders>
                  <w:noWrap w:val="0"/>
                  <w:vAlign w:val="center"/>
                </w:tcPr>
                <w:p>
                  <w:pPr>
                    <w:pStyle w:val="58"/>
                    <w:keepNext w:val="0"/>
                    <w:keepLines w:val="0"/>
                    <w:pageBreakBefore w:val="0"/>
                    <w:widowControl w:val="0"/>
                    <w:kinsoku/>
                    <w:wordWrap/>
                    <w:overflowPunct/>
                    <w:topLinePunct w:val="0"/>
                    <w:autoSpaceDE/>
                    <w:autoSpaceDN/>
                    <w:bidi w:val="0"/>
                    <w:adjustRightInd w:val="0"/>
                    <w:snapToGrid w:val="0"/>
                    <w:spacing w:line="240" w:lineRule="auto"/>
                    <w:textAlignment w:val="auto"/>
                    <w:rPr>
                      <w:color w:val="auto"/>
                      <w:sz w:val="21"/>
                      <w:szCs w:val="21"/>
                      <w:highlight w:val="none"/>
                    </w:rPr>
                  </w:pPr>
                  <w:r>
                    <w:rPr>
                      <w:rFonts w:hint="eastAsia"/>
                      <w:color w:val="auto"/>
                      <w:sz w:val="21"/>
                      <w:szCs w:val="21"/>
                      <w:highlight w:val="none"/>
                    </w:rPr>
                    <w:t>CO</w:t>
                  </w:r>
                </w:p>
              </w:tc>
              <w:tc>
                <w:tcPr>
                  <w:tcW w:w="1471" w:type="pct"/>
                  <w:tcBorders>
                    <w:tl2br w:val="nil"/>
                    <w:tr2bl w:val="nil"/>
                  </w:tcBorders>
                  <w:noWrap w:val="0"/>
                  <w:vAlign w:val="center"/>
                </w:tcPr>
                <w:p>
                  <w:pPr>
                    <w:pStyle w:val="58"/>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color w:val="auto"/>
                      <w:sz w:val="21"/>
                      <w:szCs w:val="21"/>
                      <w:highlight w:val="none"/>
                      <w:lang w:val="en-US" w:eastAsia="zh-CN"/>
                    </w:rPr>
                  </w:pPr>
                  <w:r>
                    <w:rPr>
                      <w:rFonts w:hint="eastAsia"/>
                      <w:color w:val="auto"/>
                      <w:sz w:val="21"/>
                      <w:szCs w:val="21"/>
                      <w:highlight w:val="none"/>
                      <w:lang w:val="en-US" w:eastAsia="zh-CN"/>
                    </w:rPr>
                    <w:t>24h平均第95百分位数</w:t>
                  </w:r>
                </w:p>
              </w:tc>
              <w:tc>
                <w:tcPr>
                  <w:tcW w:w="1143" w:type="dxa"/>
                  <w:tcBorders>
                    <w:tl2br w:val="nil"/>
                    <w:tr2bl w:val="nil"/>
                  </w:tcBorders>
                  <w:noWrap w:val="0"/>
                  <w:vAlign w:val="center"/>
                </w:tcPr>
                <w:p>
                  <w:pPr>
                    <w:pStyle w:val="58"/>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color w:val="auto"/>
                      <w:sz w:val="21"/>
                      <w:szCs w:val="21"/>
                      <w:highlight w:val="none"/>
                      <w:lang w:val="en-US" w:eastAsia="zh-CN"/>
                    </w:rPr>
                  </w:pPr>
                  <w:r>
                    <w:rPr>
                      <w:rFonts w:hint="eastAsia"/>
                      <w:color w:val="auto"/>
                      <w:sz w:val="21"/>
                      <w:szCs w:val="21"/>
                      <w:highlight w:val="none"/>
                      <w:lang w:val="en-US" w:eastAsia="zh-CN"/>
                    </w:rPr>
                    <w:t>900</w:t>
                  </w:r>
                </w:p>
              </w:tc>
              <w:tc>
                <w:tcPr>
                  <w:tcW w:w="1351" w:type="dxa"/>
                  <w:tcBorders>
                    <w:tl2br w:val="nil"/>
                    <w:tr2bl w:val="nil"/>
                  </w:tcBorders>
                  <w:noWrap w:val="0"/>
                  <w:vAlign w:val="center"/>
                </w:tcPr>
                <w:p>
                  <w:pPr>
                    <w:pStyle w:val="58"/>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eastAsiaTheme="minorEastAsia"/>
                      <w:color w:val="auto"/>
                      <w:sz w:val="21"/>
                      <w:szCs w:val="21"/>
                      <w:highlight w:val="none"/>
                      <w:lang w:val="en-US" w:eastAsia="zh-CN"/>
                    </w:rPr>
                  </w:pPr>
                  <w:r>
                    <w:rPr>
                      <w:rFonts w:hint="eastAsia"/>
                      <w:color w:val="auto"/>
                      <w:sz w:val="21"/>
                      <w:szCs w:val="21"/>
                      <w:highlight w:val="none"/>
                    </w:rPr>
                    <w:t>4</w:t>
                  </w:r>
                  <w:r>
                    <w:rPr>
                      <w:rFonts w:hint="eastAsia"/>
                      <w:color w:val="auto"/>
                      <w:sz w:val="21"/>
                      <w:szCs w:val="21"/>
                      <w:highlight w:val="none"/>
                      <w:lang w:val="en-US" w:eastAsia="zh-CN"/>
                    </w:rPr>
                    <w:t>000</w:t>
                  </w:r>
                </w:p>
              </w:tc>
              <w:tc>
                <w:tcPr>
                  <w:tcW w:w="1143" w:type="dxa"/>
                  <w:tcBorders>
                    <w:tl2br w:val="nil"/>
                    <w:tr2bl w:val="nil"/>
                  </w:tcBorders>
                  <w:noWrap w:val="0"/>
                  <w:vAlign w:val="center"/>
                </w:tcPr>
                <w:p>
                  <w:pPr>
                    <w:pStyle w:val="58"/>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color w:val="auto"/>
                      <w:sz w:val="21"/>
                      <w:szCs w:val="21"/>
                      <w:highlight w:val="none"/>
                      <w:lang w:val="en-US" w:eastAsia="zh-CN"/>
                    </w:rPr>
                  </w:pPr>
                  <w:r>
                    <w:rPr>
                      <w:rFonts w:hint="eastAsia"/>
                      <w:color w:val="auto"/>
                      <w:sz w:val="21"/>
                      <w:szCs w:val="21"/>
                      <w:highlight w:val="none"/>
                      <w:lang w:val="en-US" w:eastAsia="zh-CN"/>
                    </w:rPr>
                    <w:t>22.5</w:t>
                  </w:r>
                </w:p>
              </w:tc>
              <w:tc>
                <w:tcPr>
                  <w:tcW w:w="701" w:type="pct"/>
                  <w:tcBorders>
                    <w:tl2br w:val="nil"/>
                    <w:tr2bl w:val="nil"/>
                  </w:tcBorders>
                  <w:noWrap w:val="0"/>
                  <w:vAlign w:val="center"/>
                </w:tcPr>
                <w:p>
                  <w:pPr>
                    <w:pStyle w:val="58"/>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color w:val="auto"/>
                      <w:sz w:val="21"/>
                      <w:szCs w:val="21"/>
                      <w:highlight w:val="none"/>
                    </w:rPr>
                  </w:pPr>
                  <w:r>
                    <w:rPr>
                      <w:rFonts w:hint="eastAsia"/>
                      <w:color w:val="auto"/>
                      <w:sz w:val="21"/>
                      <w:szCs w:val="21"/>
                      <w:highlight w:val="none"/>
                      <w:lang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41" w:type="pct"/>
                  <w:tcBorders>
                    <w:tl2br w:val="nil"/>
                    <w:tr2bl w:val="nil"/>
                  </w:tcBorders>
                  <w:noWrap w:val="0"/>
                  <w:vAlign w:val="center"/>
                </w:tcPr>
                <w:p>
                  <w:pPr>
                    <w:pStyle w:val="58"/>
                    <w:keepNext w:val="0"/>
                    <w:keepLines w:val="0"/>
                    <w:pageBreakBefore w:val="0"/>
                    <w:widowControl w:val="0"/>
                    <w:kinsoku/>
                    <w:wordWrap/>
                    <w:overflowPunct/>
                    <w:topLinePunct w:val="0"/>
                    <w:autoSpaceDE/>
                    <w:autoSpaceDN/>
                    <w:bidi w:val="0"/>
                    <w:adjustRightInd w:val="0"/>
                    <w:snapToGrid w:val="0"/>
                    <w:spacing w:line="240" w:lineRule="auto"/>
                    <w:textAlignment w:val="auto"/>
                    <w:rPr>
                      <w:color w:val="auto"/>
                      <w:sz w:val="21"/>
                      <w:szCs w:val="21"/>
                      <w:highlight w:val="none"/>
                    </w:rPr>
                  </w:pPr>
                  <w:r>
                    <w:rPr>
                      <w:rFonts w:hint="eastAsia"/>
                      <w:color w:val="auto"/>
                      <w:sz w:val="21"/>
                      <w:szCs w:val="21"/>
                      <w:highlight w:val="none"/>
                    </w:rPr>
                    <w:t>O</w:t>
                  </w:r>
                  <w:r>
                    <w:rPr>
                      <w:rFonts w:hint="eastAsia"/>
                      <w:color w:val="auto"/>
                      <w:sz w:val="21"/>
                      <w:szCs w:val="21"/>
                      <w:highlight w:val="none"/>
                      <w:vertAlign w:val="subscript"/>
                    </w:rPr>
                    <w:t>3</w:t>
                  </w:r>
                </w:p>
              </w:tc>
              <w:tc>
                <w:tcPr>
                  <w:tcW w:w="1471" w:type="pct"/>
                  <w:tcBorders>
                    <w:tl2br w:val="nil"/>
                    <w:tr2bl w:val="nil"/>
                  </w:tcBorders>
                  <w:noWrap w:val="0"/>
                  <w:vAlign w:val="center"/>
                </w:tcPr>
                <w:p>
                  <w:pPr>
                    <w:pStyle w:val="58"/>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color w:val="auto"/>
                      <w:sz w:val="21"/>
                      <w:szCs w:val="21"/>
                      <w:highlight w:val="none"/>
                      <w:lang w:val="en-US" w:eastAsia="zh-CN"/>
                    </w:rPr>
                  </w:pPr>
                  <w:r>
                    <w:rPr>
                      <w:rFonts w:hint="default"/>
                      <w:color w:val="auto"/>
                      <w:sz w:val="21"/>
                      <w:szCs w:val="21"/>
                      <w:highlight w:val="none"/>
                      <w:lang w:val="en-US" w:eastAsia="zh-CN"/>
                    </w:rPr>
                    <w:t>最大8小时滑动平均值的第90百分位数</w:t>
                  </w:r>
                </w:p>
              </w:tc>
              <w:tc>
                <w:tcPr>
                  <w:tcW w:w="1143" w:type="dxa"/>
                  <w:tcBorders>
                    <w:tl2br w:val="nil"/>
                    <w:tr2bl w:val="nil"/>
                  </w:tcBorders>
                  <w:noWrap w:val="0"/>
                  <w:vAlign w:val="center"/>
                </w:tcPr>
                <w:p>
                  <w:pPr>
                    <w:pStyle w:val="58"/>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color w:val="auto"/>
                      <w:sz w:val="21"/>
                      <w:szCs w:val="21"/>
                      <w:highlight w:val="none"/>
                      <w:lang w:val="en-US" w:eastAsia="zh-CN"/>
                    </w:rPr>
                  </w:pPr>
                  <w:r>
                    <w:rPr>
                      <w:rFonts w:hint="eastAsia"/>
                      <w:color w:val="auto"/>
                      <w:sz w:val="21"/>
                      <w:szCs w:val="21"/>
                      <w:highlight w:val="none"/>
                      <w:lang w:val="en-US" w:eastAsia="zh-CN"/>
                    </w:rPr>
                    <w:t>119</w:t>
                  </w:r>
                </w:p>
              </w:tc>
              <w:tc>
                <w:tcPr>
                  <w:tcW w:w="1351" w:type="dxa"/>
                  <w:tcBorders>
                    <w:tl2br w:val="nil"/>
                    <w:tr2bl w:val="nil"/>
                  </w:tcBorders>
                  <w:noWrap w:val="0"/>
                  <w:vAlign w:val="center"/>
                </w:tcPr>
                <w:p>
                  <w:pPr>
                    <w:pStyle w:val="58"/>
                    <w:keepNext w:val="0"/>
                    <w:keepLines w:val="0"/>
                    <w:pageBreakBefore w:val="0"/>
                    <w:widowControl w:val="0"/>
                    <w:kinsoku/>
                    <w:wordWrap/>
                    <w:overflowPunct/>
                    <w:topLinePunct w:val="0"/>
                    <w:autoSpaceDE/>
                    <w:autoSpaceDN/>
                    <w:bidi w:val="0"/>
                    <w:adjustRightInd w:val="0"/>
                    <w:snapToGrid w:val="0"/>
                    <w:spacing w:line="240" w:lineRule="auto"/>
                    <w:textAlignment w:val="auto"/>
                    <w:rPr>
                      <w:color w:val="auto"/>
                      <w:sz w:val="21"/>
                      <w:szCs w:val="21"/>
                      <w:highlight w:val="none"/>
                    </w:rPr>
                  </w:pPr>
                  <w:r>
                    <w:rPr>
                      <w:rFonts w:hint="eastAsia"/>
                      <w:color w:val="auto"/>
                      <w:sz w:val="21"/>
                      <w:szCs w:val="21"/>
                      <w:highlight w:val="none"/>
                    </w:rPr>
                    <w:t>160</w:t>
                  </w:r>
                </w:p>
              </w:tc>
              <w:tc>
                <w:tcPr>
                  <w:tcW w:w="1143" w:type="dxa"/>
                  <w:tcBorders>
                    <w:tl2br w:val="nil"/>
                    <w:tr2bl w:val="nil"/>
                  </w:tcBorders>
                  <w:noWrap w:val="0"/>
                  <w:vAlign w:val="center"/>
                </w:tcPr>
                <w:p>
                  <w:pPr>
                    <w:pStyle w:val="58"/>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color w:val="auto"/>
                      <w:sz w:val="21"/>
                      <w:szCs w:val="21"/>
                      <w:highlight w:val="none"/>
                      <w:lang w:val="en-US" w:eastAsia="zh-CN"/>
                    </w:rPr>
                  </w:pPr>
                  <w:r>
                    <w:rPr>
                      <w:rFonts w:hint="eastAsia"/>
                      <w:color w:val="auto"/>
                      <w:sz w:val="21"/>
                      <w:szCs w:val="21"/>
                      <w:highlight w:val="none"/>
                      <w:lang w:val="en-US" w:eastAsia="zh-CN"/>
                    </w:rPr>
                    <w:t>74.38</w:t>
                  </w:r>
                </w:p>
              </w:tc>
              <w:tc>
                <w:tcPr>
                  <w:tcW w:w="701" w:type="pct"/>
                  <w:tcBorders>
                    <w:tl2br w:val="nil"/>
                    <w:tr2bl w:val="nil"/>
                  </w:tcBorders>
                  <w:noWrap w:val="0"/>
                  <w:vAlign w:val="center"/>
                </w:tcPr>
                <w:p>
                  <w:pPr>
                    <w:pStyle w:val="58"/>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color w:val="auto"/>
                      <w:sz w:val="21"/>
                      <w:szCs w:val="21"/>
                      <w:highlight w:val="none"/>
                    </w:rPr>
                  </w:pPr>
                  <w:r>
                    <w:rPr>
                      <w:rFonts w:hint="eastAsia"/>
                      <w:color w:val="auto"/>
                      <w:sz w:val="21"/>
                      <w:szCs w:val="21"/>
                      <w:highlight w:val="none"/>
                      <w:lang w:eastAsia="zh-CN"/>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4" w:hRule="atLeast"/>
              </w:trPr>
              <w:tc>
                <w:tcPr>
                  <w:tcW w:w="541" w:type="pct"/>
                  <w:vMerge w:val="restart"/>
                  <w:tcBorders>
                    <w:tl2br w:val="nil"/>
                    <w:tr2bl w:val="nil"/>
                  </w:tcBorders>
                  <w:noWrap w:val="0"/>
                  <w:vAlign w:val="center"/>
                </w:tcPr>
                <w:p>
                  <w:pPr>
                    <w:pStyle w:val="58"/>
                    <w:keepNext w:val="0"/>
                    <w:keepLines w:val="0"/>
                    <w:pageBreakBefore w:val="0"/>
                    <w:widowControl w:val="0"/>
                    <w:kinsoku/>
                    <w:wordWrap/>
                    <w:overflowPunct/>
                    <w:topLinePunct w:val="0"/>
                    <w:autoSpaceDE/>
                    <w:autoSpaceDN/>
                    <w:bidi w:val="0"/>
                    <w:adjustRightInd w:val="0"/>
                    <w:snapToGrid w:val="0"/>
                    <w:spacing w:line="240" w:lineRule="auto"/>
                    <w:textAlignment w:val="auto"/>
                    <w:rPr>
                      <w:color w:val="auto"/>
                      <w:sz w:val="21"/>
                      <w:szCs w:val="21"/>
                      <w:highlight w:val="none"/>
                    </w:rPr>
                  </w:pPr>
                  <w:r>
                    <w:rPr>
                      <w:rFonts w:hint="eastAsia"/>
                      <w:color w:val="auto"/>
                      <w:sz w:val="21"/>
                      <w:szCs w:val="21"/>
                      <w:highlight w:val="none"/>
                    </w:rPr>
                    <w:t>PM</w:t>
                  </w:r>
                  <w:r>
                    <w:rPr>
                      <w:rFonts w:hint="eastAsia"/>
                      <w:color w:val="auto"/>
                      <w:sz w:val="21"/>
                      <w:szCs w:val="21"/>
                      <w:highlight w:val="none"/>
                      <w:vertAlign w:val="subscript"/>
                    </w:rPr>
                    <w:t>10</w:t>
                  </w:r>
                </w:p>
              </w:tc>
              <w:tc>
                <w:tcPr>
                  <w:tcW w:w="1471" w:type="pct"/>
                  <w:tcBorders>
                    <w:tl2br w:val="nil"/>
                    <w:tr2bl w:val="nil"/>
                  </w:tcBorders>
                  <w:noWrap w:val="0"/>
                  <w:vAlign w:val="center"/>
                </w:tcPr>
                <w:p>
                  <w:pPr>
                    <w:pStyle w:val="58"/>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color w:val="auto"/>
                      <w:sz w:val="21"/>
                      <w:szCs w:val="21"/>
                      <w:highlight w:val="none"/>
                      <w:lang w:val="en-US" w:eastAsia="zh-CN"/>
                    </w:rPr>
                  </w:pPr>
                  <w:r>
                    <w:rPr>
                      <w:rFonts w:hint="eastAsia"/>
                      <w:color w:val="auto"/>
                      <w:sz w:val="21"/>
                      <w:szCs w:val="21"/>
                      <w:highlight w:val="none"/>
                      <w:lang w:val="en-US" w:eastAsia="zh-CN"/>
                    </w:rPr>
                    <w:t>年平均</w:t>
                  </w:r>
                </w:p>
              </w:tc>
              <w:tc>
                <w:tcPr>
                  <w:tcW w:w="1143" w:type="dxa"/>
                  <w:tcBorders>
                    <w:tl2br w:val="nil"/>
                    <w:tr2bl w:val="nil"/>
                  </w:tcBorders>
                  <w:noWrap w:val="0"/>
                  <w:vAlign w:val="center"/>
                </w:tcPr>
                <w:p>
                  <w:pPr>
                    <w:pStyle w:val="58"/>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color w:val="auto"/>
                      <w:sz w:val="21"/>
                      <w:szCs w:val="21"/>
                      <w:highlight w:val="none"/>
                      <w:lang w:val="en-US" w:eastAsia="zh-CN"/>
                    </w:rPr>
                  </w:pPr>
                  <w:r>
                    <w:rPr>
                      <w:rFonts w:hint="eastAsia"/>
                      <w:color w:val="auto"/>
                      <w:sz w:val="21"/>
                      <w:szCs w:val="21"/>
                      <w:highlight w:val="none"/>
                      <w:lang w:val="en-US" w:eastAsia="zh-CN"/>
                    </w:rPr>
                    <w:t>131</w:t>
                  </w:r>
                </w:p>
              </w:tc>
              <w:tc>
                <w:tcPr>
                  <w:tcW w:w="1351" w:type="dxa"/>
                  <w:tcBorders>
                    <w:tl2br w:val="nil"/>
                    <w:tr2bl w:val="nil"/>
                  </w:tcBorders>
                  <w:noWrap w:val="0"/>
                  <w:vAlign w:val="center"/>
                </w:tcPr>
                <w:p>
                  <w:pPr>
                    <w:pStyle w:val="58"/>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eastAsiaTheme="minorEastAsia"/>
                      <w:color w:val="auto"/>
                      <w:sz w:val="21"/>
                      <w:szCs w:val="21"/>
                      <w:highlight w:val="none"/>
                      <w:lang w:val="en-US" w:eastAsia="zh-CN"/>
                    </w:rPr>
                  </w:pPr>
                  <w:r>
                    <w:rPr>
                      <w:rFonts w:hint="eastAsia"/>
                      <w:color w:val="auto"/>
                      <w:sz w:val="21"/>
                      <w:szCs w:val="21"/>
                      <w:highlight w:val="none"/>
                      <w:lang w:val="en-US" w:eastAsia="zh-CN"/>
                    </w:rPr>
                    <w:t>60</w:t>
                  </w:r>
                </w:p>
              </w:tc>
              <w:tc>
                <w:tcPr>
                  <w:tcW w:w="1143" w:type="dxa"/>
                  <w:tcBorders>
                    <w:tl2br w:val="nil"/>
                    <w:tr2bl w:val="nil"/>
                  </w:tcBorders>
                  <w:noWrap w:val="0"/>
                  <w:vAlign w:val="center"/>
                </w:tcPr>
                <w:p>
                  <w:pPr>
                    <w:pStyle w:val="58"/>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color w:val="auto"/>
                      <w:sz w:val="21"/>
                      <w:szCs w:val="21"/>
                      <w:highlight w:val="none"/>
                      <w:lang w:val="en-US" w:eastAsia="zh-CN"/>
                    </w:rPr>
                  </w:pPr>
                  <w:r>
                    <w:rPr>
                      <w:rFonts w:hint="eastAsia"/>
                      <w:color w:val="auto"/>
                      <w:sz w:val="21"/>
                      <w:szCs w:val="21"/>
                      <w:highlight w:val="none"/>
                      <w:lang w:val="en-US" w:eastAsia="zh-CN"/>
                    </w:rPr>
                    <w:t>218.33</w:t>
                  </w:r>
                </w:p>
              </w:tc>
              <w:tc>
                <w:tcPr>
                  <w:tcW w:w="701" w:type="pct"/>
                  <w:tcBorders>
                    <w:tl2br w:val="nil"/>
                    <w:tr2bl w:val="nil"/>
                  </w:tcBorders>
                  <w:noWrap w:val="0"/>
                  <w:vAlign w:val="center"/>
                </w:tcPr>
                <w:p>
                  <w:pPr>
                    <w:pStyle w:val="58"/>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color w:val="auto"/>
                      <w:sz w:val="21"/>
                      <w:szCs w:val="21"/>
                      <w:highlight w:val="none"/>
                    </w:rPr>
                  </w:pPr>
                  <w:r>
                    <w:rPr>
                      <w:rFonts w:hint="eastAsia"/>
                      <w:color w:val="auto"/>
                      <w:sz w:val="21"/>
                      <w:szCs w:val="21"/>
                      <w:highlight w:val="none"/>
                      <w:lang w:eastAsia="zh-CN"/>
                    </w:rPr>
                    <w:t>不达标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41" w:type="pct"/>
                  <w:vMerge w:val="continue"/>
                  <w:tcBorders>
                    <w:tl2br w:val="nil"/>
                    <w:tr2bl w:val="nil"/>
                  </w:tcBorders>
                  <w:noWrap w:val="0"/>
                  <w:vAlign w:val="center"/>
                </w:tcPr>
                <w:p>
                  <w:pPr>
                    <w:pStyle w:val="58"/>
                    <w:keepNext w:val="0"/>
                    <w:keepLines w:val="0"/>
                    <w:pageBreakBefore w:val="0"/>
                    <w:widowControl w:val="0"/>
                    <w:kinsoku/>
                    <w:wordWrap/>
                    <w:overflowPunct/>
                    <w:topLinePunct w:val="0"/>
                    <w:autoSpaceDE/>
                    <w:autoSpaceDN/>
                    <w:bidi w:val="0"/>
                    <w:adjustRightInd w:val="0"/>
                    <w:snapToGrid w:val="0"/>
                    <w:spacing w:line="240" w:lineRule="auto"/>
                    <w:textAlignment w:val="auto"/>
                    <w:rPr>
                      <w:color w:val="auto"/>
                      <w:sz w:val="21"/>
                      <w:szCs w:val="21"/>
                      <w:highlight w:val="none"/>
                    </w:rPr>
                  </w:pPr>
                </w:p>
              </w:tc>
              <w:tc>
                <w:tcPr>
                  <w:tcW w:w="1471" w:type="pct"/>
                  <w:tcBorders>
                    <w:tl2br w:val="nil"/>
                    <w:tr2bl w:val="nil"/>
                  </w:tcBorders>
                  <w:noWrap w:val="0"/>
                  <w:vAlign w:val="center"/>
                </w:tcPr>
                <w:p>
                  <w:pPr>
                    <w:pStyle w:val="58"/>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color w:val="auto"/>
                      <w:sz w:val="21"/>
                      <w:szCs w:val="21"/>
                      <w:highlight w:val="none"/>
                      <w:lang w:val="en-US" w:eastAsia="zh-CN"/>
                    </w:rPr>
                  </w:pPr>
                  <w:r>
                    <w:rPr>
                      <w:rFonts w:hint="eastAsia"/>
                      <w:color w:val="auto"/>
                      <w:sz w:val="21"/>
                      <w:szCs w:val="21"/>
                      <w:highlight w:val="none"/>
                      <w:lang w:val="en-US" w:eastAsia="zh-CN"/>
                    </w:rPr>
                    <w:t>24h平均第95百分位数</w:t>
                  </w:r>
                </w:p>
              </w:tc>
              <w:tc>
                <w:tcPr>
                  <w:tcW w:w="1143" w:type="dxa"/>
                  <w:tcBorders>
                    <w:tl2br w:val="nil"/>
                    <w:tr2bl w:val="nil"/>
                  </w:tcBorders>
                  <w:noWrap w:val="0"/>
                  <w:vAlign w:val="center"/>
                </w:tcPr>
                <w:p>
                  <w:pPr>
                    <w:pStyle w:val="58"/>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color w:val="auto"/>
                      <w:sz w:val="21"/>
                      <w:szCs w:val="21"/>
                      <w:highlight w:val="none"/>
                      <w:lang w:val="en-US" w:eastAsia="zh-CN"/>
                    </w:rPr>
                  </w:pPr>
                  <w:r>
                    <w:rPr>
                      <w:rFonts w:hint="eastAsia"/>
                      <w:color w:val="auto"/>
                      <w:sz w:val="21"/>
                      <w:szCs w:val="21"/>
                      <w:highlight w:val="none"/>
                      <w:lang w:val="en-US" w:eastAsia="zh-CN"/>
                    </w:rPr>
                    <w:t>386</w:t>
                  </w:r>
                </w:p>
              </w:tc>
              <w:tc>
                <w:tcPr>
                  <w:tcW w:w="1351" w:type="dxa"/>
                  <w:tcBorders>
                    <w:tl2br w:val="nil"/>
                    <w:tr2bl w:val="nil"/>
                  </w:tcBorders>
                  <w:noWrap w:val="0"/>
                  <w:vAlign w:val="center"/>
                </w:tcPr>
                <w:p>
                  <w:pPr>
                    <w:pStyle w:val="58"/>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eastAsiaTheme="minorEastAsia"/>
                      <w:color w:val="auto"/>
                      <w:sz w:val="21"/>
                      <w:szCs w:val="21"/>
                      <w:highlight w:val="none"/>
                      <w:lang w:val="en-US" w:eastAsia="zh-CN"/>
                    </w:rPr>
                  </w:pPr>
                  <w:r>
                    <w:rPr>
                      <w:rFonts w:hint="eastAsia"/>
                      <w:color w:val="auto"/>
                      <w:sz w:val="21"/>
                      <w:szCs w:val="21"/>
                      <w:highlight w:val="none"/>
                      <w:lang w:val="en-US" w:eastAsia="zh-CN"/>
                    </w:rPr>
                    <w:t>120</w:t>
                  </w:r>
                </w:p>
              </w:tc>
              <w:tc>
                <w:tcPr>
                  <w:tcW w:w="1143" w:type="dxa"/>
                  <w:tcBorders>
                    <w:tl2br w:val="nil"/>
                    <w:tr2bl w:val="nil"/>
                  </w:tcBorders>
                  <w:noWrap w:val="0"/>
                  <w:vAlign w:val="center"/>
                </w:tcPr>
                <w:p>
                  <w:pPr>
                    <w:pStyle w:val="58"/>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color w:val="auto"/>
                      <w:sz w:val="21"/>
                      <w:szCs w:val="21"/>
                      <w:highlight w:val="none"/>
                      <w:lang w:val="en-US" w:eastAsia="zh-CN"/>
                    </w:rPr>
                  </w:pPr>
                  <w:r>
                    <w:rPr>
                      <w:rFonts w:hint="eastAsia"/>
                      <w:color w:val="auto"/>
                      <w:sz w:val="21"/>
                      <w:szCs w:val="21"/>
                      <w:highlight w:val="none"/>
                      <w:lang w:val="en-US" w:eastAsia="zh-CN"/>
                    </w:rPr>
                    <w:t>321.67</w:t>
                  </w:r>
                </w:p>
              </w:tc>
              <w:tc>
                <w:tcPr>
                  <w:tcW w:w="701" w:type="pct"/>
                  <w:tcBorders>
                    <w:tl2br w:val="nil"/>
                    <w:tr2bl w:val="nil"/>
                  </w:tcBorders>
                  <w:noWrap w:val="0"/>
                  <w:vAlign w:val="center"/>
                </w:tcPr>
                <w:p>
                  <w:pPr>
                    <w:pStyle w:val="58"/>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color w:val="auto"/>
                      <w:sz w:val="21"/>
                      <w:szCs w:val="21"/>
                      <w:highlight w:val="none"/>
                    </w:rPr>
                  </w:pPr>
                  <w:r>
                    <w:rPr>
                      <w:rFonts w:hint="eastAsia"/>
                      <w:color w:val="auto"/>
                      <w:sz w:val="21"/>
                      <w:szCs w:val="21"/>
                      <w:highlight w:val="none"/>
                      <w:lang w:eastAsia="zh-CN"/>
                    </w:rPr>
                    <w:t>不达标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41" w:type="pct"/>
                  <w:vMerge w:val="restart"/>
                  <w:tcBorders>
                    <w:tl2br w:val="nil"/>
                    <w:tr2bl w:val="nil"/>
                  </w:tcBorders>
                  <w:noWrap w:val="0"/>
                  <w:vAlign w:val="center"/>
                </w:tcPr>
                <w:p>
                  <w:pPr>
                    <w:pStyle w:val="58"/>
                    <w:keepNext w:val="0"/>
                    <w:keepLines w:val="0"/>
                    <w:pageBreakBefore w:val="0"/>
                    <w:widowControl w:val="0"/>
                    <w:kinsoku/>
                    <w:wordWrap/>
                    <w:overflowPunct/>
                    <w:topLinePunct w:val="0"/>
                    <w:autoSpaceDE/>
                    <w:autoSpaceDN/>
                    <w:bidi w:val="0"/>
                    <w:adjustRightInd w:val="0"/>
                    <w:snapToGrid w:val="0"/>
                    <w:spacing w:line="240" w:lineRule="auto"/>
                    <w:textAlignment w:val="auto"/>
                    <w:rPr>
                      <w:color w:val="auto"/>
                      <w:sz w:val="21"/>
                      <w:szCs w:val="21"/>
                      <w:highlight w:val="none"/>
                    </w:rPr>
                  </w:pPr>
                  <w:r>
                    <w:rPr>
                      <w:rFonts w:hint="eastAsia"/>
                      <w:color w:val="auto"/>
                      <w:sz w:val="21"/>
                      <w:szCs w:val="21"/>
                      <w:highlight w:val="none"/>
                    </w:rPr>
                    <w:t>PM</w:t>
                  </w:r>
                  <w:r>
                    <w:rPr>
                      <w:rFonts w:hint="eastAsia"/>
                      <w:color w:val="auto"/>
                      <w:sz w:val="21"/>
                      <w:szCs w:val="21"/>
                      <w:highlight w:val="none"/>
                      <w:vertAlign w:val="subscript"/>
                    </w:rPr>
                    <w:t>2.5</w:t>
                  </w:r>
                </w:p>
              </w:tc>
              <w:tc>
                <w:tcPr>
                  <w:tcW w:w="1471" w:type="pct"/>
                  <w:tcBorders>
                    <w:tl2br w:val="nil"/>
                    <w:tr2bl w:val="nil"/>
                  </w:tcBorders>
                  <w:noWrap w:val="0"/>
                  <w:vAlign w:val="center"/>
                </w:tcPr>
                <w:p>
                  <w:pPr>
                    <w:pStyle w:val="58"/>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color w:val="auto"/>
                      <w:sz w:val="21"/>
                      <w:szCs w:val="21"/>
                      <w:highlight w:val="none"/>
                      <w:lang w:val="en-US" w:eastAsia="zh-CN"/>
                    </w:rPr>
                  </w:pPr>
                  <w:r>
                    <w:rPr>
                      <w:rFonts w:hint="eastAsia"/>
                      <w:color w:val="auto"/>
                      <w:sz w:val="21"/>
                      <w:szCs w:val="21"/>
                      <w:highlight w:val="none"/>
                      <w:lang w:val="en-US" w:eastAsia="zh-CN"/>
                    </w:rPr>
                    <w:t>年平均</w:t>
                  </w:r>
                </w:p>
              </w:tc>
              <w:tc>
                <w:tcPr>
                  <w:tcW w:w="1143" w:type="dxa"/>
                  <w:tcBorders>
                    <w:tl2br w:val="nil"/>
                    <w:tr2bl w:val="nil"/>
                  </w:tcBorders>
                  <w:noWrap w:val="0"/>
                  <w:vAlign w:val="center"/>
                </w:tcPr>
                <w:p>
                  <w:pPr>
                    <w:pStyle w:val="58"/>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color w:val="auto"/>
                      <w:sz w:val="21"/>
                      <w:szCs w:val="21"/>
                      <w:highlight w:val="none"/>
                      <w:lang w:val="en-US" w:eastAsia="zh-CN"/>
                    </w:rPr>
                  </w:pPr>
                  <w:r>
                    <w:rPr>
                      <w:rFonts w:hint="eastAsia"/>
                      <w:color w:val="auto"/>
                      <w:sz w:val="21"/>
                      <w:szCs w:val="21"/>
                      <w:highlight w:val="none"/>
                      <w:lang w:val="en-US" w:eastAsia="zh-CN"/>
                    </w:rPr>
                    <w:t>36</w:t>
                  </w:r>
                </w:p>
              </w:tc>
              <w:tc>
                <w:tcPr>
                  <w:tcW w:w="1351" w:type="dxa"/>
                  <w:tcBorders>
                    <w:tl2br w:val="nil"/>
                    <w:tr2bl w:val="nil"/>
                  </w:tcBorders>
                  <w:noWrap w:val="0"/>
                  <w:vAlign w:val="center"/>
                </w:tcPr>
                <w:p>
                  <w:pPr>
                    <w:pStyle w:val="58"/>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eastAsiaTheme="minorEastAsia"/>
                      <w:color w:val="auto"/>
                      <w:sz w:val="21"/>
                      <w:szCs w:val="21"/>
                      <w:highlight w:val="none"/>
                      <w:lang w:val="en-US" w:eastAsia="zh-CN"/>
                    </w:rPr>
                  </w:pPr>
                  <w:r>
                    <w:rPr>
                      <w:rFonts w:hint="eastAsia"/>
                      <w:color w:val="auto"/>
                      <w:sz w:val="21"/>
                      <w:szCs w:val="21"/>
                      <w:highlight w:val="none"/>
                      <w:lang w:val="en-US" w:eastAsia="zh-CN"/>
                    </w:rPr>
                    <w:t>30</w:t>
                  </w:r>
                </w:p>
              </w:tc>
              <w:tc>
                <w:tcPr>
                  <w:tcW w:w="1143" w:type="dxa"/>
                  <w:tcBorders>
                    <w:tl2br w:val="nil"/>
                    <w:tr2bl w:val="nil"/>
                  </w:tcBorders>
                  <w:noWrap w:val="0"/>
                  <w:vAlign w:val="center"/>
                </w:tcPr>
                <w:p>
                  <w:pPr>
                    <w:pStyle w:val="58"/>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color w:val="auto"/>
                      <w:sz w:val="21"/>
                      <w:szCs w:val="21"/>
                      <w:highlight w:val="none"/>
                      <w:lang w:val="en-US" w:eastAsia="zh-CN"/>
                    </w:rPr>
                  </w:pPr>
                  <w:r>
                    <w:rPr>
                      <w:rFonts w:hint="eastAsia"/>
                      <w:color w:val="auto"/>
                      <w:sz w:val="21"/>
                      <w:szCs w:val="21"/>
                      <w:highlight w:val="none"/>
                      <w:lang w:val="en-US" w:eastAsia="zh-CN"/>
                    </w:rPr>
                    <w:t>120</w:t>
                  </w:r>
                </w:p>
              </w:tc>
              <w:tc>
                <w:tcPr>
                  <w:tcW w:w="701" w:type="pct"/>
                  <w:tcBorders>
                    <w:tl2br w:val="nil"/>
                    <w:tr2bl w:val="nil"/>
                  </w:tcBorders>
                  <w:noWrap w:val="0"/>
                  <w:vAlign w:val="center"/>
                </w:tcPr>
                <w:p>
                  <w:pPr>
                    <w:pStyle w:val="58"/>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color w:val="auto"/>
                      <w:sz w:val="21"/>
                      <w:szCs w:val="21"/>
                      <w:highlight w:val="none"/>
                    </w:rPr>
                  </w:pPr>
                  <w:r>
                    <w:rPr>
                      <w:rFonts w:hint="eastAsia"/>
                      <w:color w:val="auto"/>
                      <w:sz w:val="21"/>
                      <w:szCs w:val="21"/>
                      <w:highlight w:val="none"/>
                      <w:lang w:eastAsia="zh-CN"/>
                    </w:rPr>
                    <w:t>不达标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541" w:type="pct"/>
                  <w:vMerge w:val="continue"/>
                  <w:tcBorders>
                    <w:tl2br w:val="nil"/>
                    <w:tr2bl w:val="nil"/>
                  </w:tcBorders>
                  <w:noWrap w:val="0"/>
                  <w:vAlign w:val="center"/>
                </w:tcPr>
                <w:p>
                  <w:pPr>
                    <w:pStyle w:val="58"/>
                    <w:keepNext w:val="0"/>
                    <w:keepLines w:val="0"/>
                    <w:pageBreakBefore w:val="0"/>
                    <w:widowControl w:val="0"/>
                    <w:kinsoku/>
                    <w:wordWrap/>
                    <w:overflowPunct/>
                    <w:topLinePunct w:val="0"/>
                    <w:autoSpaceDE/>
                    <w:autoSpaceDN/>
                    <w:bidi w:val="0"/>
                    <w:adjustRightInd w:val="0"/>
                    <w:snapToGrid w:val="0"/>
                    <w:spacing w:line="240" w:lineRule="auto"/>
                    <w:textAlignment w:val="auto"/>
                    <w:rPr>
                      <w:color w:val="auto"/>
                      <w:sz w:val="21"/>
                      <w:szCs w:val="21"/>
                      <w:highlight w:val="none"/>
                    </w:rPr>
                  </w:pPr>
                </w:p>
              </w:tc>
              <w:tc>
                <w:tcPr>
                  <w:tcW w:w="1471" w:type="pct"/>
                  <w:tcBorders>
                    <w:tl2br w:val="nil"/>
                    <w:tr2bl w:val="nil"/>
                  </w:tcBorders>
                  <w:noWrap w:val="0"/>
                  <w:vAlign w:val="center"/>
                </w:tcPr>
                <w:p>
                  <w:pPr>
                    <w:pStyle w:val="58"/>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color w:val="auto"/>
                      <w:sz w:val="21"/>
                      <w:szCs w:val="21"/>
                      <w:highlight w:val="none"/>
                      <w:lang w:val="en-US" w:eastAsia="zh-CN"/>
                    </w:rPr>
                  </w:pPr>
                  <w:r>
                    <w:rPr>
                      <w:rFonts w:hint="eastAsia"/>
                      <w:color w:val="auto"/>
                      <w:sz w:val="21"/>
                      <w:szCs w:val="21"/>
                      <w:highlight w:val="none"/>
                      <w:lang w:val="en-US" w:eastAsia="zh-CN"/>
                    </w:rPr>
                    <w:t>24h平均第95百分位数</w:t>
                  </w:r>
                </w:p>
              </w:tc>
              <w:tc>
                <w:tcPr>
                  <w:tcW w:w="1143" w:type="dxa"/>
                  <w:tcBorders>
                    <w:tl2br w:val="nil"/>
                    <w:tr2bl w:val="nil"/>
                  </w:tcBorders>
                  <w:noWrap w:val="0"/>
                  <w:vAlign w:val="center"/>
                </w:tcPr>
                <w:p>
                  <w:pPr>
                    <w:pStyle w:val="58"/>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color w:val="auto"/>
                      <w:sz w:val="21"/>
                      <w:szCs w:val="21"/>
                      <w:highlight w:val="none"/>
                      <w:lang w:val="en-US" w:eastAsia="zh-CN"/>
                    </w:rPr>
                  </w:pPr>
                  <w:r>
                    <w:rPr>
                      <w:rFonts w:hint="eastAsia"/>
                      <w:color w:val="auto"/>
                      <w:sz w:val="21"/>
                      <w:szCs w:val="21"/>
                      <w:highlight w:val="none"/>
                      <w:lang w:val="en-US" w:eastAsia="zh-CN"/>
                    </w:rPr>
                    <w:t>78</w:t>
                  </w:r>
                </w:p>
              </w:tc>
              <w:tc>
                <w:tcPr>
                  <w:tcW w:w="1351" w:type="dxa"/>
                  <w:tcBorders>
                    <w:tl2br w:val="nil"/>
                    <w:tr2bl w:val="nil"/>
                  </w:tcBorders>
                  <w:noWrap w:val="0"/>
                  <w:vAlign w:val="center"/>
                </w:tcPr>
                <w:p>
                  <w:pPr>
                    <w:pStyle w:val="58"/>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eastAsiaTheme="minorEastAsia"/>
                      <w:color w:val="auto"/>
                      <w:sz w:val="21"/>
                      <w:szCs w:val="21"/>
                      <w:highlight w:val="none"/>
                      <w:lang w:val="en-US" w:eastAsia="zh-CN"/>
                    </w:rPr>
                  </w:pPr>
                  <w:r>
                    <w:rPr>
                      <w:rFonts w:hint="eastAsia"/>
                      <w:color w:val="auto"/>
                      <w:sz w:val="21"/>
                      <w:szCs w:val="21"/>
                      <w:highlight w:val="none"/>
                      <w:lang w:val="en-US" w:eastAsia="zh-CN"/>
                    </w:rPr>
                    <w:t>60</w:t>
                  </w:r>
                </w:p>
              </w:tc>
              <w:tc>
                <w:tcPr>
                  <w:tcW w:w="1143" w:type="dxa"/>
                  <w:tcBorders>
                    <w:tl2br w:val="nil"/>
                    <w:tr2bl w:val="nil"/>
                  </w:tcBorders>
                  <w:noWrap w:val="0"/>
                  <w:vAlign w:val="center"/>
                </w:tcPr>
                <w:p>
                  <w:pPr>
                    <w:pStyle w:val="58"/>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default"/>
                      <w:color w:val="auto"/>
                      <w:sz w:val="21"/>
                      <w:szCs w:val="21"/>
                      <w:highlight w:val="none"/>
                      <w:lang w:val="en-US" w:eastAsia="zh-CN"/>
                    </w:rPr>
                  </w:pPr>
                  <w:r>
                    <w:rPr>
                      <w:rFonts w:hint="eastAsia"/>
                      <w:color w:val="auto"/>
                      <w:sz w:val="21"/>
                      <w:szCs w:val="21"/>
                      <w:highlight w:val="none"/>
                      <w:lang w:val="en-US" w:eastAsia="zh-CN"/>
                    </w:rPr>
                    <w:t>130</w:t>
                  </w:r>
                </w:p>
              </w:tc>
              <w:tc>
                <w:tcPr>
                  <w:tcW w:w="701" w:type="pct"/>
                  <w:tcBorders>
                    <w:tl2br w:val="nil"/>
                    <w:tr2bl w:val="nil"/>
                  </w:tcBorders>
                  <w:noWrap w:val="0"/>
                  <w:vAlign w:val="center"/>
                </w:tcPr>
                <w:p>
                  <w:pPr>
                    <w:pStyle w:val="58"/>
                    <w:keepNext w:val="0"/>
                    <w:keepLines w:val="0"/>
                    <w:pageBreakBefore w:val="0"/>
                    <w:widowControl w:val="0"/>
                    <w:kinsoku/>
                    <w:wordWrap/>
                    <w:overflowPunct/>
                    <w:topLinePunct w:val="0"/>
                    <w:autoSpaceDE/>
                    <w:autoSpaceDN/>
                    <w:bidi w:val="0"/>
                    <w:adjustRightInd w:val="0"/>
                    <w:snapToGrid w:val="0"/>
                    <w:spacing w:line="240" w:lineRule="auto"/>
                    <w:textAlignment w:val="auto"/>
                    <w:rPr>
                      <w:rFonts w:hint="eastAsia"/>
                      <w:color w:val="auto"/>
                      <w:sz w:val="21"/>
                      <w:szCs w:val="21"/>
                      <w:highlight w:val="none"/>
                    </w:rPr>
                  </w:pPr>
                  <w:r>
                    <w:rPr>
                      <w:rFonts w:hint="eastAsia"/>
                      <w:color w:val="auto"/>
                      <w:sz w:val="21"/>
                      <w:szCs w:val="21"/>
                      <w:highlight w:val="none"/>
                      <w:lang w:eastAsia="zh-CN"/>
                    </w:rPr>
                    <w:t>不达标</w:t>
                  </w:r>
                </w:p>
              </w:tc>
            </w:tr>
          </w:tbl>
          <w:p>
            <w:pPr>
              <w:widowControl w:val="0"/>
              <w:bidi w:val="0"/>
              <w:spacing w:line="360" w:lineRule="auto"/>
              <w:ind w:firstLine="420" w:firstLineChars="200"/>
              <w:jc w:val="both"/>
              <w:rPr>
                <w:rFonts w:hint="eastAsia" w:ascii="Times New Roman" w:hAnsi="Times New Roman" w:eastAsia="宋体" w:cs="宋体"/>
                <w:color w:val="auto"/>
                <w:kern w:val="2"/>
                <w:sz w:val="21"/>
                <w:szCs w:val="21"/>
                <w:highlight w:val="none"/>
                <w:lang w:val="en-US" w:eastAsia="zh-CN" w:bidi="ar-SA"/>
              </w:rPr>
            </w:pPr>
            <w:r>
              <w:rPr>
                <w:rFonts w:hint="eastAsia" w:ascii="Times New Roman" w:hAnsi="Times New Roman" w:eastAsia="宋体" w:cs="宋体"/>
                <w:color w:val="auto"/>
                <w:kern w:val="2"/>
                <w:sz w:val="21"/>
                <w:szCs w:val="21"/>
                <w:highlight w:val="none"/>
                <w:lang w:val="en-US" w:eastAsia="zh-CN" w:bidi="ar-SA"/>
              </w:rPr>
              <w:t>本项目所在区域PM</w:t>
            </w:r>
            <w:r>
              <w:rPr>
                <w:rFonts w:hint="eastAsia" w:ascii="Times New Roman" w:hAnsi="Times New Roman" w:eastAsia="宋体" w:cs="宋体"/>
                <w:color w:val="auto"/>
                <w:kern w:val="2"/>
                <w:sz w:val="21"/>
                <w:szCs w:val="21"/>
                <w:highlight w:val="none"/>
                <w:vertAlign w:val="subscript"/>
                <w:lang w:val="en-US" w:eastAsia="zh-CN" w:bidi="ar-SA"/>
              </w:rPr>
              <w:t>2.5</w:t>
            </w:r>
            <w:r>
              <w:rPr>
                <w:rFonts w:hint="eastAsia" w:ascii="Times New Roman" w:hAnsi="Times New Roman" w:eastAsia="宋体" w:cs="宋体"/>
                <w:color w:val="auto"/>
                <w:kern w:val="2"/>
                <w:sz w:val="21"/>
                <w:szCs w:val="21"/>
                <w:highlight w:val="none"/>
                <w:lang w:val="en-US" w:eastAsia="zh-CN" w:bidi="ar-SA"/>
              </w:rPr>
              <w:t>、</w:t>
            </w:r>
            <w:r>
              <w:rPr>
                <w:rFonts w:hint="default" w:ascii="Times New Roman" w:hAnsi="Times New Roman" w:eastAsia="宋体" w:cs="宋体"/>
                <w:color w:val="auto"/>
                <w:kern w:val="2"/>
                <w:sz w:val="21"/>
                <w:szCs w:val="21"/>
                <w:highlight w:val="none"/>
                <w:lang w:val="en-US" w:eastAsia="zh-CN" w:bidi="ar-SA"/>
              </w:rPr>
              <w:t>PM</w:t>
            </w:r>
            <w:r>
              <w:rPr>
                <w:rFonts w:hint="default" w:ascii="Times New Roman" w:hAnsi="Times New Roman" w:eastAsia="宋体" w:cs="宋体"/>
                <w:color w:val="auto"/>
                <w:kern w:val="2"/>
                <w:sz w:val="21"/>
                <w:szCs w:val="21"/>
                <w:highlight w:val="none"/>
                <w:vertAlign w:val="subscript"/>
                <w:lang w:val="en-US" w:eastAsia="zh-CN" w:bidi="ar-SA"/>
              </w:rPr>
              <w:t>10</w:t>
            </w:r>
            <w:r>
              <w:rPr>
                <w:rFonts w:hint="eastAsia" w:ascii="Times New Roman" w:hAnsi="Times New Roman" w:eastAsia="宋体" w:cs="宋体"/>
                <w:color w:val="auto"/>
                <w:kern w:val="2"/>
                <w:sz w:val="21"/>
                <w:szCs w:val="21"/>
                <w:highlight w:val="none"/>
                <w:lang w:val="en-US" w:eastAsia="zh-CN" w:bidi="ar-SA"/>
              </w:rPr>
              <w:t>年平均和24h平均第95百分位数浓度超过《环境空气质量标准》（</w:t>
            </w:r>
            <w:r>
              <w:rPr>
                <w:rFonts w:hint="default" w:ascii="Times New Roman" w:hAnsi="Times New Roman" w:eastAsia="宋体" w:cs="宋体"/>
                <w:color w:val="auto"/>
                <w:kern w:val="2"/>
                <w:sz w:val="21"/>
                <w:szCs w:val="21"/>
                <w:highlight w:val="none"/>
                <w:lang w:val="en-US" w:eastAsia="zh-CN" w:bidi="ar-SA"/>
              </w:rPr>
              <w:t>GB3095-20</w:t>
            </w:r>
            <w:r>
              <w:rPr>
                <w:rFonts w:hint="eastAsia" w:cs="宋体"/>
                <w:color w:val="auto"/>
                <w:kern w:val="2"/>
                <w:sz w:val="21"/>
                <w:szCs w:val="21"/>
                <w:highlight w:val="none"/>
                <w:lang w:val="en-US" w:eastAsia="zh-CN" w:bidi="ar-SA"/>
              </w:rPr>
              <w:t>26</w:t>
            </w:r>
            <w:r>
              <w:rPr>
                <w:rFonts w:hint="eastAsia" w:ascii="Times New Roman" w:hAnsi="Times New Roman" w:eastAsia="宋体" w:cs="宋体"/>
                <w:color w:val="auto"/>
                <w:kern w:val="2"/>
                <w:sz w:val="21"/>
                <w:szCs w:val="21"/>
                <w:highlight w:val="none"/>
                <w:lang w:val="en-US" w:eastAsia="zh-CN" w:bidi="ar-SA"/>
              </w:rPr>
              <w:t>）的二级标准要求，SO</w:t>
            </w:r>
            <w:r>
              <w:rPr>
                <w:rFonts w:hint="eastAsia" w:ascii="Times New Roman" w:hAnsi="Times New Roman" w:eastAsia="宋体" w:cs="宋体"/>
                <w:color w:val="auto"/>
                <w:kern w:val="2"/>
                <w:sz w:val="21"/>
                <w:szCs w:val="21"/>
                <w:highlight w:val="none"/>
                <w:vertAlign w:val="subscript"/>
                <w:lang w:val="en-US" w:eastAsia="zh-CN" w:bidi="ar-SA"/>
              </w:rPr>
              <w:t>2</w:t>
            </w:r>
            <w:r>
              <w:rPr>
                <w:rFonts w:hint="eastAsia" w:ascii="Times New Roman" w:hAnsi="Times New Roman" w:eastAsia="宋体" w:cs="宋体"/>
                <w:color w:val="auto"/>
                <w:kern w:val="2"/>
                <w:sz w:val="21"/>
                <w:szCs w:val="21"/>
                <w:highlight w:val="none"/>
                <w:lang w:val="en-US" w:eastAsia="zh-CN" w:bidi="ar-SA"/>
              </w:rPr>
              <w:t>、NO</w:t>
            </w:r>
            <w:r>
              <w:rPr>
                <w:rFonts w:hint="eastAsia" w:ascii="Times New Roman" w:hAnsi="Times New Roman" w:eastAsia="宋体" w:cs="宋体"/>
                <w:color w:val="auto"/>
                <w:kern w:val="2"/>
                <w:sz w:val="21"/>
                <w:szCs w:val="21"/>
                <w:highlight w:val="none"/>
                <w:vertAlign w:val="subscript"/>
                <w:lang w:val="en-US" w:eastAsia="zh-CN" w:bidi="ar-SA"/>
              </w:rPr>
              <w:t>2</w:t>
            </w:r>
            <w:r>
              <w:rPr>
                <w:rFonts w:hint="eastAsia" w:ascii="Times New Roman" w:hAnsi="Times New Roman" w:eastAsia="宋体" w:cs="宋体"/>
                <w:color w:val="auto"/>
                <w:kern w:val="2"/>
                <w:sz w:val="21"/>
                <w:szCs w:val="21"/>
                <w:highlight w:val="none"/>
                <w:lang w:val="en-US" w:eastAsia="zh-CN" w:bidi="ar-SA"/>
              </w:rPr>
              <w:t>、CO、O</w:t>
            </w:r>
            <w:r>
              <w:rPr>
                <w:rFonts w:hint="eastAsia" w:ascii="Times New Roman" w:hAnsi="Times New Roman" w:eastAsia="宋体" w:cs="宋体"/>
                <w:color w:val="auto"/>
                <w:kern w:val="2"/>
                <w:sz w:val="21"/>
                <w:szCs w:val="21"/>
                <w:highlight w:val="none"/>
                <w:vertAlign w:val="subscript"/>
                <w:lang w:val="en-US" w:eastAsia="zh-CN" w:bidi="ar-SA"/>
              </w:rPr>
              <w:t>3</w:t>
            </w:r>
            <w:r>
              <w:rPr>
                <w:rFonts w:hint="eastAsia" w:ascii="Times New Roman" w:hAnsi="Times New Roman" w:eastAsia="宋体" w:cs="宋体"/>
                <w:color w:val="auto"/>
                <w:kern w:val="2"/>
                <w:sz w:val="21"/>
                <w:szCs w:val="21"/>
                <w:highlight w:val="none"/>
                <w:lang w:val="en-US" w:eastAsia="zh-CN" w:bidi="ar-SA"/>
              </w:rPr>
              <w:t>等其他监测指标均满足二级标准。PM</w:t>
            </w:r>
            <w:r>
              <w:rPr>
                <w:rFonts w:hint="eastAsia" w:ascii="Times New Roman" w:hAnsi="Times New Roman" w:eastAsia="宋体" w:cs="宋体"/>
                <w:color w:val="auto"/>
                <w:kern w:val="2"/>
                <w:sz w:val="21"/>
                <w:szCs w:val="21"/>
                <w:highlight w:val="none"/>
                <w:vertAlign w:val="subscript"/>
                <w:lang w:val="en-US" w:eastAsia="zh-CN" w:bidi="ar-SA"/>
              </w:rPr>
              <w:t>10</w:t>
            </w:r>
            <w:r>
              <w:rPr>
                <w:rFonts w:hint="eastAsia" w:ascii="Times New Roman" w:hAnsi="Times New Roman" w:eastAsia="宋体" w:cs="宋体"/>
                <w:color w:val="auto"/>
                <w:kern w:val="2"/>
                <w:sz w:val="21"/>
                <w:szCs w:val="21"/>
                <w:highlight w:val="none"/>
                <w:lang w:val="en-US" w:eastAsia="zh-CN" w:bidi="ar-SA"/>
              </w:rPr>
              <w:t>、PM</w:t>
            </w:r>
            <w:r>
              <w:rPr>
                <w:rFonts w:hint="eastAsia" w:ascii="Times New Roman" w:hAnsi="Times New Roman" w:eastAsia="宋体" w:cs="宋体"/>
                <w:color w:val="auto"/>
                <w:kern w:val="2"/>
                <w:sz w:val="21"/>
                <w:szCs w:val="21"/>
                <w:highlight w:val="none"/>
                <w:vertAlign w:val="subscript"/>
                <w:lang w:val="en-US" w:eastAsia="zh-CN" w:bidi="ar-SA"/>
              </w:rPr>
              <w:t>2.5</w:t>
            </w:r>
            <w:r>
              <w:rPr>
                <w:rFonts w:hint="eastAsia" w:ascii="Times New Roman" w:hAnsi="Times New Roman" w:eastAsia="宋体" w:cs="宋体"/>
                <w:color w:val="auto"/>
                <w:kern w:val="2"/>
                <w:sz w:val="21"/>
                <w:szCs w:val="21"/>
                <w:highlight w:val="none"/>
                <w:lang w:val="en-US" w:eastAsia="zh-CN" w:bidi="ar-SA"/>
              </w:rPr>
              <w:t>超标主要是与当地气候条件和地理位置有关，评价区大气由于</w:t>
            </w:r>
            <w:r>
              <w:rPr>
                <w:rFonts w:hint="eastAsia" w:cs="宋体"/>
                <w:color w:val="auto"/>
                <w:kern w:val="2"/>
                <w:sz w:val="21"/>
                <w:szCs w:val="21"/>
                <w:highlight w:val="none"/>
                <w:lang w:val="en-US" w:eastAsia="zh-CN" w:bidi="ar-SA"/>
              </w:rPr>
              <w:t>受</w:t>
            </w:r>
            <w:r>
              <w:rPr>
                <w:rFonts w:hint="eastAsia" w:ascii="Times New Roman" w:hAnsi="Times New Roman" w:eastAsia="宋体" w:cs="宋体"/>
                <w:color w:val="auto"/>
                <w:kern w:val="2"/>
                <w:sz w:val="21"/>
                <w:szCs w:val="21"/>
                <w:highlight w:val="none"/>
                <w:lang w:val="en-US" w:eastAsia="zh-CN" w:bidi="ar-SA"/>
              </w:rPr>
              <w:t>当地干旱气候的影响，空气中</w:t>
            </w:r>
            <w:r>
              <w:rPr>
                <w:rFonts w:hint="default" w:ascii="Times New Roman" w:hAnsi="Times New Roman" w:eastAsia="宋体" w:cs="宋体"/>
                <w:color w:val="auto"/>
                <w:kern w:val="2"/>
                <w:sz w:val="21"/>
                <w:szCs w:val="21"/>
                <w:highlight w:val="none"/>
                <w:lang w:val="en-US" w:eastAsia="zh-CN" w:bidi="ar-SA"/>
              </w:rPr>
              <w:t>PM</w:t>
            </w:r>
            <w:r>
              <w:rPr>
                <w:rFonts w:hint="default" w:ascii="Times New Roman" w:hAnsi="Times New Roman" w:eastAsia="宋体" w:cs="宋体"/>
                <w:color w:val="auto"/>
                <w:kern w:val="2"/>
                <w:sz w:val="21"/>
                <w:szCs w:val="21"/>
                <w:highlight w:val="none"/>
                <w:vertAlign w:val="subscript"/>
                <w:lang w:val="en-US" w:eastAsia="zh-CN" w:bidi="ar-SA"/>
              </w:rPr>
              <w:t>2.5</w:t>
            </w:r>
            <w:r>
              <w:rPr>
                <w:rFonts w:hint="eastAsia" w:ascii="Times New Roman" w:hAnsi="Times New Roman" w:eastAsia="宋体" w:cs="宋体"/>
                <w:color w:val="auto"/>
                <w:kern w:val="2"/>
                <w:sz w:val="21"/>
                <w:szCs w:val="21"/>
                <w:highlight w:val="none"/>
                <w:lang w:val="en-US" w:eastAsia="zh-CN" w:bidi="ar-SA"/>
              </w:rPr>
              <w:t>、</w:t>
            </w:r>
            <w:r>
              <w:rPr>
                <w:rFonts w:hint="default" w:ascii="Times New Roman" w:hAnsi="Times New Roman" w:eastAsia="宋体" w:cs="宋体"/>
                <w:color w:val="auto"/>
                <w:kern w:val="2"/>
                <w:sz w:val="21"/>
                <w:szCs w:val="21"/>
                <w:highlight w:val="none"/>
                <w:lang w:val="en-US" w:eastAsia="zh-CN" w:bidi="ar-SA"/>
              </w:rPr>
              <w:t>PM</w:t>
            </w:r>
            <w:r>
              <w:rPr>
                <w:rFonts w:hint="default" w:ascii="Times New Roman" w:hAnsi="Times New Roman" w:eastAsia="宋体" w:cs="宋体"/>
                <w:color w:val="auto"/>
                <w:kern w:val="2"/>
                <w:sz w:val="21"/>
                <w:szCs w:val="21"/>
                <w:highlight w:val="none"/>
                <w:vertAlign w:val="subscript"/>
                <w:lang w:val="en-US" w:eastAsia="zh-CN" w:bidi="ar-SA"/>
              </w:rPr>
              <w:t>10</w:t>
            </w:r>
            <w:r>
              <w:rPr>
                <w:rFonts w:hint="eastAsia" w:ascii="Times New Roman" w:hAnsi="Times New Roman" w:eastAsia="宋体" w:cs="宋体"/>
                <w:color w:val="auto"/>
                <w:kern w:val="2"/>
                <w:sz w:val="21"/>
                <w:szCs w:val="21"/>
                <w:highlight w:val="none"/>
                <w:lang w:val="en-US" w:eastAsia="zh-CN" w:bidi="ar-SA"/>
              </w:rPr>
              <w:t>的本底值偏高，尤其在沙尘暴和浮尘天气，会出现严重超标。</w:t>
            </w:r>
            <w:r>
              <w:rPr>
                <w:rFonts w:hint="default" w:ascii="Times New Roman" w:hAnsi="Times New Roman" w:eastAsia="宋体" w:cs="宋体"/>
                <w:color w:val="auto"/>
                <w:kern w:val="2"/>
                <w:sz w:val="21"/>
                <w:szCs w:val="21"/>
                <w:highlight w:val="none"/>
                <w:lang w:val="en-US" w:eastAsia="zh-CN" w:bidi="ar-SA"/>
              </w:rPr>
              <w:t>因此项目所在区域为不达标区。</w:t>
            </w:r>
          </w:p>
          <w:p>
            <w:pPr>
              <w:pStyle w:val="59"/>
              <w:bidi w:val="0"/>
              <w:spacing w:line="360" w:lineRule="auto"/>
              <w:rPr>
                <w:rFonts w:hint="default"/>
                <w:color w:val="auto"/>
                <w:sz w:val="21"/>
                <w:szCs w:val="21"/>
                <w:highlight w:val="none"/>
                <w:lang w:val="en-US" w:eastAsia="zh-CN"/>
              </w:rPr>
            </w:pPr>
            <w:r>
              <w:rPr>
                <w:rFonts w:hint="eastAsia"/>
                <w:color w:val="auto"/>
                <w:sz w:val="21"/>
                <w:szCs w:val="21"/>
                <w:highlight w:val="none"/>
                <w:lang w:val="en-US" w:eastAsia="zh-CN"/>
              </w:rPr>
              <w:t>2地表水</w:t>
            </w:r>
            <w:bookmarkStart w:id="5" w:name="_Toc329596219"/>
            <w:bookmarkStart w:id="6" w:name="_Toc396385923"/>
            <w:r>
              <w:rPr>
                <w:rFonts w:hint="eastAsia"/>
                <w:color w:val="auto"/>
                <w:sz w:val="21"/>
                <w:szCs w:val="21"/>
                <w:highlight w:val="none"/>
                <w:lang w:val="en-US" w:eastAsia="zh-CN"/>
              </w:rPr>
              <w:t>环境质量现状</w:t>
            </w:r>
          </w:p>
          <w:bookmarkEnd w:id="5"/>
          <w:bookmarkEnd w:id="6"/>
          <w:p>
            <w:pPr>
              <w:pStyle w:val="56"/>
              <w:bidi w:val="0"/>
              <w:spacing w:line="360" w:lineRule="auto"/>
              <w:rPr>
                <w:rFonts w:hint="eastAsia"/>
                <w:color w:val="auto"/>
                <w:sz w:val="21"/>
                <w:szCs w:val="21"/>
                <w:highlight w:val="none"/>
                <w:lang w:val="en-US" w:eastAsia="zh-CN"/>
              </w:rPr>
            </w:pPr>
            <w:r>
              <w:rPr>
                <w:rFonts w:hint="eastAsia"/>
                <w:color w:val="auto"/>
                <w:sz w:val="21"/>
                <w:szCs w:val="21"/>
                <w:highlight w:val="none"/>
                <w:lang w:val="en-US" w:eastAsia="zh-CN"/>
              </w:rPr>
              <w:t>本项目区最近的地表水体是位于南侧750m的白鹭河，白鹭河水源引自孔雀河，根据巴州人民政府发布的《2024年巴音郭楞蒙古自治州生态环境状况公报》可知：2024年孔雀河水质为优，4个监测</w:t>
            </w:r>
            <w:r>
              <w:rPr>
                <w:rFonts w:hint="default" w:ascii="Times New Roman" w:hAnsi="Times New Roman" w:cs="Times New Roman"/>
                <w:color w:val="auto"/>
                <w:sz w:val="21"/>
                <w:szCs w:val="21"/>
                <w:highlight w:val="none"/>
                <w:lang w:val="en-US" w:eastAsia="zh-CN"/>
              </w:rPr>
              <w:t>断面中，Ⅰ~Ⅲ类水质断面占100%，与2023年相比无变化，对照《2023年巴音郭楞蒙古自治州生态</w:t>
            </w:r>
            <w:r>
              <w:rPr>
                <w:rFonts w:hint="eastAsia"/>
                <w:color w:val="auto"/>
                <w:sz w:val="21"/>
                <w:szCs w:val="21"/>
                <w:highlight w:val="none"/>
                <w:lang w:val="en-US" w:eastAsia="zh-CN"/>
              </w:rPr>
              <w:t>环境状况公报》，孔雀河</w:t>
            </w:r>
            <w:r>
              <w:rPr>
                <w:rFonts w:hint="default"/>
                <w:color w:val="auto"/>
                <w:sz w:val="21"/>
                <w:szCs w:val="21"/>
                <w:highlight w:val="none"/>
                <w:lang w:val="en-US" w:eastAsia="zh-CN"/>
              </w:rPr>
              <w:t>水质</w:t>
            </w:r>
            <w:r>
              <w:rPr>
                <w:rFonts w:hint="eastAsia"/>
                <w:color w:val="auto"/>
                <w:sz w:val="21"/>
                <w:szCs w:val="21"/>
                <w:highlight w:val="none"/>
                <w:lang w:val="en-US" w:eastAsia="zh-CN"/>
              </w:rPr>
              <w:t>满足</w:t>
            </w:r>
            <w:r>
              <w:rPr>
                <w:rFonts w:hint="default"/>
                <w:color w:val="auto"/>
                <w:sz w:val="21"/>
                <w:szCs w:val="21"/>
                <w:highlight w:val="none"/>
                <w:lang w:val="en-US" w:eastAsia="zh-CN"/>
              </w:rPr>
              <w:t>《地表水环境质量标准》（GB</w:t>
            </w:r>
            <w:r>
              <w:rPr>
                <w:rFonts w:hint="default" w:ascii="Times New Roman" w:hAnsi="Times New Roman" w:cs="Times New Roman"/>
                <w:color w:val="auto"/>
                <w:sz w:val="21"/>
                <w:szCs w:val="21"/>
                <w:highlight w:val="none"/>
                <w:lang w:val="en-US" w:eastAsia="zh-CN"/>
              </w:rPr>
              <w:t>3838-2002）中Ⅲ类</w:t>
            </w:r>
            <w:r>
              <w:rPr>
                <w:rFonts w:hint="default"/>
                <w:color w:val="auto"/>
                <w:sz w:val="21"/>
                <w:szCs w:val="21"/>
                <w:highlight w:val="none"/>
                <w:lang w:val="en-US" w:eastAsia="zh-CN"/>
              </w:rPr>
              <w:t>标准限值要求。</w:t>
            </w:r>
          </w:p>
          <w:p>
            <w:pPr>
              <w:pStyle w:val="54"/>
              <w:bidi w:val="0"/>
              <w:spacing w:line="360" w:lineRule="auto"/>
              <w:rPr>
                <w:rFonts w:hint="eastAsia"/>
                <w:color w:val="auto"/>
                <w:sz w:val="21"/>
                <w:szCs w:val="21"/>
                <w:highlight w:val="none"/>
                <w:lang w:val="en-US" w:eastAsia="zh-CN"/>
              </w:rPr>
            </w:pPr>
            <w:r>
              <w:rPr>
                <w:rFonts w:hint="eastAsia"/>
                <w:color w:val="auto"/>
                <w:sz w:val="21"/>
                <w:szCs w:val="21"/>
                <w:highlight w:val="none"/>
                <w:lang w:val="en-US" w:eastAsia="zh-CN"/>
              </w:rPr>
              <w:t>3声环境质量现状</w:t>
            </w:r>
          </w:p>
          <w:p>
            <w:pPr>
              <w:adjustRightInd w:val="0"/>
              <w:snapToGrid w:val="0"/>
              <w:spacing w:line="360" w:lineRule="auto"/>
              <w:ind w:firstLine="420" w:firstLineChars="200"/>
              <w:jc w:val="left"/>
              <w:rPr>
                <w:rFonts w:hint="eastAsia" w:ascii="Times New Roman" w:hAnsi="Times New Roman" w:cs="宋体"/>
                <w:color w:val="auto"/>
                <w:kern w:val="2"/>
                <w:sz w:val="21"/>
                <w:szCs w:val="21"/>
                <w:highlight w:val="none"/>
                <w:lang w:val="en-US" w:eastAsia="zh-CN" w:bidi="ar-SA"/>
              </w:rPr>
            </w:pPr>
            <w:r>
              <w:rPr>
                <w:rFonts w:hint="eastAsia"/>
                <w:color w:val="auto"/>
                <w:sz w:val="21"/>
                <w:szCs w:val="21"/>
                <w:highlight w:val="none"/>
                <w:lang w:val="en-US" w:eastAsia="zh-CN"/>
              </w:rPr>
              <w:t>根据</w:t>
            </w:r>
            <w:r>
              <w:rPr>
                <w:rFonts w:hint="eastAsia" w:ascii="Times New Roman" w:hAnsi="Times New Roman" w:eastAsia="宋体" w:cs="宋体"/>
                <w:color w:val="auto"/>
                <w:kern w:val="2"/>
                <w:sz w:val="21"/>
                <w:szCs w:val="21"/>
                <w:highlight w:val="none"/>
                <w:lang w:val="en-US" w:eastAsia="zh-CN" w:bidi="ar-SA"/>
              </w:rPr>
              <w:t>《建设项目环境影响报告表编制技术指南（污染影响类）（试行）》</w:t>
            </w:r>
            <w:r>
              <w:rPr>
                <w:rFonts w:hint="eastAsia" w:ascii="Times New Roman" w:hAnsi="Times New Roman" w:cs="宋体"/>
                <w:color w:val="auto"/>
                <w:kern w:val="2"/>
                <w:sz w:val="21"/>
                <w:szCs w:val="21"/>
                <w:highlight w:val="none"/>
                <w:lang w:val="en-US" w:eastAsia="zh-CN" w:bidi="ar-SA"/>
              </w:rPr>
              <w:t>，</w:t>
            </w:r>
            <w:r>
              <w:rPr>
                <w:rFonts w:hint="eastAsia" w:cs="宋体"/>
                <w:color w:val="auto"/>
                <w:kern w:val="2"/>
                <w:sz w:val="21"/>
                <w:szCs w:val="21"/>
                <w:highlight w:val="none"/>
                <w:lang w:val="en-US" w:eastAsia="zh-CN" w:bidi="ar-SA"/>
              </w:rPr>
              <w:t>项目</w:t>
            </w:r>
            <w:r>
              <w:rPr>
                <w:rFonts w:hint="eastAsia" w:ascii="Times New Roman" w:hAnsi="Times New Roman" w:cs="宋体"/>
                <w:color w:val="auto"/>
                <w:kern w:val="2"/>
                <w:sz w:val="21"/>
                <w:szCs w:val="21"/>
                <w:highlight w:val="none"/>
                <w:lang w:val="en-US" w:eastAsia="zh-CN" w:bidi="ar-SA"/>
              </w:rPr>
              <w:t>厂界外周边50米范围内存在声环境保护目标，</w:t>
            </w:r>
            <w:r>
              <w:rPr>
                <w:rFonts w:hint="eastAsia" w:ascii="Times New Roman" w:hAnsi="Times New Roman" w:eastAsia="宋体" w:cs="Times New Roman"/>
                <w:color w:val="auto"/>
                <w:sz w:val="21"/>
                <w:szCs w:val="21"/>
                <w:highlight w:val="none"/>
                <w:lang w:val="en-US" w:eastAsia="zh-CN"/>
              </w:rPr>
              <w:t>无需</w:t>
            </w:r>
            <w:r>
              <w:rPr>
                <w:rFonts w:hint="default" w:ascii="Times New Roman" w:hAnsi="Times New Roman" w:eastAsia="宋体" w:cs="Times New Roman"/>
                <w:color w:val="auto"/>
                <w:sz w:val="21"/>
                <w:szCs w:val="21"/>
                <w:highlight w:val="none"/>
              </w:rPr>
              <w:t>监测声环境质量现状并评价达标情况</w:t>
            </w:r>
            <w:r>
              <w:rPr>
                <w:rFonts w:hint="eastAsia" w:ascii="Times New Roman" w:hAnsi="Times New Roman" w:cs="宋体"/>
                <w:color w:val="auto"/>
                <w:kern w:val="2"/>
                <w:sz w:val="21"/>
                <w:szCs w:val="21"/>
                <w:highlight w:val="none"/>
                <w:lang w:val="en-US" w:eastAsia="zh-CN" w:bidi="ar-SA"/>
              </w:rPr>
              <w:t>。</w:t>
            </w:r>
          </w:p>
          <w:p>
            <w:pPr>
              <w:pStyle w:val="59"/>
              <w:bidi w:val="0"/>
              <w:spacing w:line="360" w:lineRule="auto"/>
              <w:rPr>
                <w:rFonts w:hint="eastAsia"/>
                <w:color w:val="auto"/>
                <w:sz w:val="21"/>
                <w:szCs w:val="21"/>
                <w:highlight w:val="none"/>
                <w:lang w:val="en-US" w:eastAsia="zh-CN"/>
              </w:rPr>
            </w:pPr>
            <w:r>
              <w:rPr>
                <w:rFonts w:hint="eastAsia"/>
                <w:color w:val="auto"/>
                <w:sz w:val="21"/>
                <w:szCs w:val="21"/>
                <w:highlight w:val="none"/>
                <w:lang w:val="en-US" w:eastAsia="zh-CN"/>
              </w:rPr>
              <w:t>4地下水、土壤现状</w:t>
            </w:r>
          </w:p>
          <w:p>
            <w:pPr>
              <w:pStyle w:val="61"/>
              <w:bidi w:val="0"/>
              <w:spacing w:line="360" w:lineRule="auto"/>
              <w:rPr>
                <w:rFonts w:hint="default"/>
                <w:color w:val="auto"/>
                <w:sz w:val="21"/>
                <w:szCs w:val="21"/>
                <w:highlight w:val="none"/>
                <w:lang w:val="en-US" w:eastAsia="zh-CN"/>
              </w:rPr>
            </w:pPr>
            <w:r>
              <w:rPr>
                <w:rFonts w:hint="default"/>
                <w:color w:val="auto"/>
                <w:sz w:val="21"/>
                <w:szCs w:val="21"/>
                <w:highlight w:val="none"/>
                <w:lang w:val="en-US" w:eastAsia="zh-CN"/>
              </w:rPr>
              <w:t>本项目不存在土壤、地下水环境污染途径，故无需开展地下水、土壤环境质量现状调查。</w:t>
            </w:r>
          </w:p>
          <w:p>
            <w:pPr>
              <w:pStyle w:val="59"/>
              <w:bidi w:val="0"/>
              <w:spacing w:line="360" w:lineRule="auto"/>
              <w:rPr>
                <w:rFonts w:hint="default"/>
                <w:color w:val="auto"/>
                <w:sz w:val="21"/>
                <w:szCs w:val="21"/>
                <w:highlight w:val="none"/>
                <w:lang w:val="en-US" w:eastAsia="zh-CN"/>
              </w:rPr>
            </w:pPr>
            <w:r>
              <w:rPr>
                <w:rFonts w:hint="eastAsia"/>
                <w:color w:val="auto"/>
                <w:sz w:val="21"/>
                <w:szCs w:val="21"/>
                <w:highlight w:val="none"/>
                <w:lang w:val="en-US" w:eastAsia="zh-CN"/>
              </w:rPr>
              <w:t>5生态环境现状</w:t>
            </w:r>
          </w:p>
          <w:p>
            <w:pPr>
              <w:pStyle w:val="56"/>
              <w:bidi w:val="0"/>
              <w:spacing w:line="360" w:lineRule="auto"/>
              <w:rPr>
                <w:rFonts w:hint="eastAsia" w:ascii="Times New Roman" w:hAnsi="Times New Roman" w:eastAsia="宋体" w:cs="宋体"/>
                <w:color w:val="auto"/>
                <w:sz w:val="21"/>
                <w:szCs w:val="21"/>
                <w:highlight w:val="none"/>
                <w:lang w:val="en-US" w:eastAsia="zh-CN"/>
              </w:rPr>
            </w:pPr>
            <w:r>
              <w:rPr>
                <w:rFonts w:hint="eastAsia"/>
                <w:color w:val="auto"/>
                <w:sz w:val="21"/>
                <w:szCs w:val="21"/>
                <w:highlight w:val="none"/>
                <w:lang w:val="en-US" w:eastAsia="zh-CN"/>
              </w:rPr>
              <w:t>根据《建设项目环境影响报告表编制技术指南（污染影响类）（试行）》，产业园区外建设项目</w:t>
            </w:r>
            <w:r>
              <w:rPr>
                <w:rFonts w:hint="eastAsia" w:ascii="Times New Roman" w:hAnsi="Times New Roman" w:eastAsia="宋体" w:cs="宋体"/>
                <w:color w:val="auto"/>
                <w:sz w:val="21"/>
                <w:szCs w:val="21"/>
                <w:highlight w:val="none"/>
                <w:lang w:val="en-US" w:eastAsia="zh-CN"/>
              </w:rPr>
              <w:t>新增用地且用地范围内含有生态环境保护目标时，应进行生态现状调查。</w:t>
            </w:r>
          </w:p>
          <w:p>
            <w:pPr>
              <w:pStyle w:val="56"/>
              <w:bidi w:val="0"/>
              <w:spacing w:line="360" w:lineRule="auto"/>
              <w:rPr>
                <w:rFonts w:hint="default" w:ascii="Times New Roman" w:hAnsi="Times New Roman" w:eastAsia="宋体" w:cs="宋体"/>
                <w:color w:val="auto"/>
                <w:sz w:val="21"/>
                <w:szCs w:val="21"/>
                <w:highlight w:val="none"/>
                <w:lang w:val="en-US" w:eastAsia="zh-CN"/>
              </w:rPr>
            </w:pPr>
            <w:r>
              <w:rPr>
                <w:rFonts w:hint="default" w:ascii="Times New Roman" w:hAnsi="Times New Roman" w:eastAsia="宋体" w:cs="宋体"/>
                <w:color w:val="auto"/>
                <w:sz w:val="21"/>
                <w:szCs w:val="21"/>
                <w:highlight w:val="none"/>
                <w:lang w:val="en-US" w:eastAsia="zh-CN"/>
              </w:rPr>
              <w:t>本项目</w:t>
            </w:r>
            <w:r>
              <w:rPr>
                <w:rFonts w:hint="eastAsia" w:ascii="Times New Roman" w:hAnsi="Times New Roman" w:eastAsia="宋体" w:cs="宋体"/>
                <w:color w:val="auto"/>
                <w:sz w:val="21"/>
                <w:szCs w:val="21"/>
                <w:highlight w:val="none"/>
                <w:lang w:val="en-US" w:eastAsia="zh-CN"/>
              </w:rPr>
              <w:t>位于</w:t>
            </w:r>
            <w:r>
              <w:rPr>
                <w:rFonts w:hint="eastAsia" w:cs="宋体"/>
                <w:color w:val="auto"/>
                <w:sz w:val="21"/>
                <w:szCs w:val="21"/>
                <w:highlight w:val="none"/>
                <w:lang w:val="en-US" w:eastAsia="zh-CN"/>
              </w:rPr>
              <w:t>新疆维吾尔自治区巴音郭楞蒙古自治州</w:t>
            </w:r>
            <w:r>
              <w:rPr>
                <w:rFonts w:hint="eastAsia" w:ascii="Times New Roman" w:hAnsi="Times New Roman" w:eastAsia="宋体" w:cs="宋体"/>
                <w:color w:val="auto"/>
                <w:sz w:val="21"/>
                <w:szCs w:val="21"/>
                <w:highlight w:val="none"/>
                <w:lang w:val="en-US" w:eastAsia="zh-CN"/>
              </w:rPr>
              <w:t>库尔勒经济技术开发区</w:t>
            </w:r>
            <w:r>
              <w:rPr>
                <w:rFonts w:hint="eastAsia" w:cs="宋体"/>
                <w:color w:val="auto"/>
                <w:sz w:val="21"/>
                <w:szCs w:val="21"/>
                <w:highlight w:val="none"/>
                <w:lang w:val="en-US" w:eastAsia="zh-CN"/>
              </w:rPr>
              <w:t>内</w:t>
            </w:r>
            <w:r>
              <w:rPr>
                <w:rFonts w:hint="default" w:ascii="Times New Roman" w:hAnsi="Times New Roman" w:eastAsia="宋体" w:cs="宋体"/>
                <w:color w:val="auto"/>
                <w:sz w:val="21"/>
                <w:szCs w:val="21"/>
                <w:highlight w:val="none"/>
                <w:lang w:val="en-US" w:eastAsia="zh-CN"/>
              </w:rPr>
              <w:t>，</w:t>
            </w:r>
            <w:r>
              <w:rPr>
                <w:rFonts w:hint="eastAsia" w:ascii="Times New Roman" w:hAnsi="Times New Roman" w:eastAsia="宋体" w:cs="宋体"/>
                <w:color w:val="auto"/>
                <w:sz w:val="21"/>
                <w:szCs w:val="21"/>
                <w:highlight w:val="none"/>
                <w:lang w:val="en-US" w:eastAsia="zh-CN"/>
              </w:rPr>
              <w:t>用地属于工业用地，占地</w:t>
            </w:r>
            <w:r>
              <w:rPr>
                <w:rFonts w:hint="default" w:ascii="Times New Roman" w:hAnsi="Times New Roman" w:eastAsia="宋体" w:cs="宋体"/>
                <w:color w:val="auto"/>
                <w:sz w:val="21"/>
                <w:szCs w:val="21"/>
                <w:highlight w:val="none"/>
                <w:lang w:val="en-US" w:eastAsia="zh-CN"/>
              </w:rPr>
              <w:t>范围内不含有生态环境保护目标，因此无需进行生态现状调查。</w:t>
            </w:r>
          </w:p>
          <w:p>
            <w:pPr>
              <w:pStyle w:val="56"/>
              <w:bidi w:val="0"/>
              <w:spacing w:line="360" w:lineRule="auto"/>
              <w:ind w:left="0" w:leftChars="0" w:firstLine="0" w:firstLineChars="0"/>
              <w:rPr>
                <w:rFonts w:hint="eastAsia" w:cs="宋体"/>
                <w:b/>
                <w:bCs w:val="0"/>
                <w:color w:val="auto"/>
                <w:sz w:val="21"/>
                <w:szCs w:val="21"/>
                <w:highlight w:val="none"/>
                <w:lang w:val="en-US" w:eastAsia="zh-CN"/>
              </w:rPr>
            </w:pPr>
            <w:r>
              <w:rPr>
                <w:rFonts w:hint="eastAsia" w:cs="宋体"/>
                <w:b/>
                <w:bCs w:val="0"/>
                <w:color w:val="auto"/>
                <w:sz w:val="21"/>
                <w:szCs w:val="21"/>
                <w:highlight w:val="none"/>
                <w:lang w:val="en-US" w:eastAsia="zh-CN"/>
              </w:rPr>
              <w:t>6沙化土地现状</w:t>
            </w:r>
          </w:p>
          <w:p>
            <w:pPr>
              <w:pStyle w:val="56"/>
              <w:bidi w:val="0"/>
              <w:spacing w:line="360" w:lineRule="auto"/>
              <w:rPr>
                <w:rFonts w:hint="default" w:cs="宋体"/>
                <w:color w:val="auto"/>
                <w:sz w:val="21"/>
                <w:szCs w:val="21"/>
                <w:highlight w:val="none"/>
                <w:lang w:val="en-US" w:eastAsia="zh-CN"/>
              </w:rPr>
            </w:pPr>
            <w:r>
              <w:rPr>
                <w:rFonts w:hint="default" w:ascii="Times New Roman" w:hAnsi="Times New Roman" w:eastAsia="宋体" w:cs="宋体"/>
                <w:color w:val="auto"/>
                <w:sz w:val="21"/>
                <w:szCs w:val="21"/>
                <w:highlight w:val="none"/>
                <w:lang w:val="en-US" w:eastAsia="zh-CN"/>
              </w:rPr>
              <w:t>本项目位于新疆维吾尔自治区巴音郭楞蒙古自治州库尔勒经济技术开发区内，用地性质为工业用地。根据《新疆第六次沙化土地监测报告》，巴音郭楞蒙古自治州沙化监测区面积为4713.94万公顷，沙化土地面积为2492.12万公顷，占沙化监测区面积比例为52.87%，对照新疆第六次沙化土地监测报告沙化土地类型分布图，本项目周边项目区周围没有沙漠、沙化荒漠存在，并且不在国家沙化土地封禁保护区名单中，属于非沙化土地，详</w:t>
            </w:r>
            <w:r>
              <w:rPr>
                <w:rFonts w:hint="eastAsia" w:cs="宋体"/>
                <w:color w:val="auto"/>
                <w:sz w:val="21"/>
                <w:szCs w:val="21"/>
                <w:highlight w:val="none"/>
                <w:lang w:val="en-US" w:eastAsia="zh-CN"/>
              </w:rPr>
              <w:t>见</w:t>
            </w:r>
            <w:r>
              <w:rPr>
                <w:rFonts w:hint="default" w:ascii="Times New Roman" w:hAnsi="Times New Roman" w:eastAsia="宋体" w:cs="宋体"/>
                <w:color w:val="auto"/>
                <w:sz w:val="21"/>
                <w:szCs w:val="21"/>
                <w:highlight w:val="none"/>
                <w:lang w:val="en-US" w:eastAsia="zh-CN"/>
              </w:rPr>
              <w:t>图6</w:t>
            </w:r>
            <w:r>
              <w:rPr>
                <w:rFonts w:hint="eastAsia" w:cs="宋体"/>
                <w:color w:val="auto"/>
                <w:sz w:val="21"/>
                <w:szCs w:val="21"/>
                <w:highlight w:val="none"/>
                <w:lang w:val="en-US" w:eastAsia="zh-CN"/>
              </w:rPr>
              <w:t xml:space="preserve"> </w:t>
            </w:r>
            <w:r>
              <w:rPr>
                <w:rFonts w:hint="default" w:ascii="Times New Roman" w:hAnsi="Times New Roman" w:eastAsia="宋体" w:cs="宋体"/>
                <w:color w:val="auto"/>
                <w:sz w:val="21"/>
                <w:szCs w:val="21"/>
                <w:highlight w:val="none"/>
                <w:lang w:val="en-US" w:eastAsia="zh-CN"/>
              </w:rPr>
              <w:t>沙化土地类型图。</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2400" w:hRule="atLeast"/>
          <w:jc w:val="center"/>
        </w:trPr>
        <w:tc>
          <w:tcPr>
            <w:tcW w:w="800" w:type="dxa"/>
            <w:noWrap w:val="0"/>
            <w:vAlign w:val="center"/>
          </w:tcPr>
          <w:p>
            <w:pPr>
              <w:adjustRightInd w:val="0"/>
              <w:snapToGrid w:val="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环境</w:t>
            </w:r>
          </w:p>
          <w:p>
            <w:pPr>
              <w:adjustRightInd w:val="0"/>
              <w:snapToGrid w:val="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保护</w:t>
            </w:r>
          </w:p>
          <w:p>
            <w:pPr>
              <w:adjustRightInd w:val="0"/>
              <w:snapToGrid w:val="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目标</w:t>
            </w:r>
          </w:p>
        </w:tc>
        <w:tc>
          <w:tcPr>
            <w:tcW w:w="8190" w:type="dxa"/>
            <w:noWrap w:val="0"/>
            <w:vAlign w:val="center"/>
          </w:tcPr>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leftChars="0" w:right="0" w:firstLine="0" w:firstLineChars="0"/>
              <w:jc w:val="both"/>
              <w:textAlignment w:val="auto"/>
              <w:rPr>
                <w:rFonts w:hint="default" w:ascii="Times New Roman" w:hAnsi="Times New Roman" w:cs="Times New Roman"/>
                <w:b/>
                <w:bCs/>
                <w:color w:val="auto"/>
                <w:sz w:val="21"/>
                <w:szCs w:val="21"/>
                <w:highlight w:val="none"/>
              </w:rPr>
            </w:pPr>
            <w:r>
              <w:rPr>
                <w:rFonts w:hint="eastAsia" w:ascii="Times New Roman" w:hAnsi="Times New Roman" w:cs="Times New Roman"/>
                <w:b/>
                <w:bCs/>
                <w:color w:val="auto"/>
                <w:sz w:val="21"/>
                <w:szCs w:val="21"/>
                <w:highlight w:val="none"/>
                <w:lang w:val="en-US" w:eastAsia="zh-CN"/>
              </w:rPr>
              <w:t>1</w:t>
            </w:r>
            <w:r>
              <w:rPr>
                <w:rFonts w:hint="default" w:ascii="Times New Roman" w:hAnsi="Times New Roman" w:cs="Times New Roman"/>
                <w:b/>
                <w:bCs/>
                <w:color w:val="auto"/>
                <w:sz w:val="21"/>
                <w:szCs w:val="21"/>
                <w:highlight w:val="none"/>
              </w:rPr>
              <w:t>大气环境</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right="0" w:firstLine="420" w:firstLineChars="200"/>
              <w:jc w:val="both"/>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根据《建设项目环境影响报告表编制技术指南（污染影响型）（试行）》指南要求，调查到本项目厂界外500m范围内不含人群较集中的区域保护目标。</w:t>
            </w:r>
          </w:p>
          <w:p>
            <w:pPr>
              <w:keepNext w:val="0"/>
              <w:keepLines w:val="0"/>
              <w:pageBreakBefore w:val="0"/>
              <w:widowControl w:val="0"/>
              <w:suppressLineNumbers w:val="0"/>
              <w:kinsoku/>
              <w:wordWrap/>
              <w:overflowPunct/>
              <w:topLinePunct w:val="0"/>
              <w:autoSpaceDE/>
              <w:autoSpaceDN/>
              <w:bidi w:val="0"/>
              <w:spacing w:before="0" w:beforeAutospacing="0" w:after="0" w:afterAutospacing="0" w:line="360" w:lineRule="auto"/>
              <w:ind w:left="0" w:leftChars="0" w:right="0" w:firstLine="0" w:firstLineChars="0"/>
              <w:jc w:val="both"/>
              <w:textAlignment w:val="auto"/>
              <w:rPr>
                <w:rFonts w:hint="default" w:ascii="Times New Roman" w:hAnsi="Times New Roman" w:cs="Times New Roman"/>
                <w:b/>
                <w:bCs/>
                <w:color w:val="auto"/>
                <w:sz w:val="21"/>
                <w:szCs w:val="21"/>
                <w:highlight w:val="none"/>
              </w:rPr>
            </w:pPr>
            <w:r>
              <w:rPr>
                <w:rFonts w:hint="eastAsia" w:ascii="Times New Roman" w:hAnsi="Times New Roman" w:cs="Times New Roman"/>
                <w:b/>
                <w:bCs/>
                <w:color w:val="auto"/>
                <w:sz w:val="21"/>
                <w:szCs w:val="21"/>
                <w:highlight w:val="none"/>
                <w:lang w:val="en-US" w:eastAsia="zh-CN"/>
              </w:rPr>
              <w:t>2</w:t>
            </w:r>
            <w:r>
              <w:rPr>
                <w:rFonts w:hint="default" w:ascii="Times New Roman" w:hAnsi="Times New Roman" w:cs="Times New Roman"/>
                <w:b/>
                <w:bCs/>
                <w:color w:val="auto"/>
                <w:sz w:val="21"/>
                <w:szCs w:val="21"/>
                <w:highlight w:val="none"/>
              </w:rPr>
              <w:t>声环境</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jc w:val="both"/>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根据</w:t>
            </w:r>
            <w:r>
              <w:rPr>
                <w:rFonts w:hint="default" w:ascii="Times New Roman" w:hAnsi="Times New Roman" w:cs="Times New Roman"/>
                <w:color w:val="auto"/>
                <w:sz w:val="21"/>
                <w:szCs w:val="21"/>
                <w:highlight w:val="none"/>
                <w:lang w:val="en-US" w:eastAsia="zh-CN"/>
              </w:rPr>
              <w:t>《关于印发</w:t>
            </w:r>
            <w:r>
              <w:rPr>
                <w:rFonts w:hint="eastAsia"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库尔勒市声环境功能区划</w:t>
            </w:r>
            <w:r>
              <w:rPr>
                <w:rFonts w:hint="eastAsia" w:cs="Times New Roman"/>
                <w:color w:val="auto"/>
                <w:sz w:val="21"/>
                <w:szCs w:val="21"/>
                <w:highlight w:val="none"/>
                <w:lang w:val="en-US" w:eastAsia="zh-CN"/>
              </w:rPr>
              <w:t>〉的通知》</w:t>
            </w:r>
            <w:r>
              <w:rPr>
                <w:rFonts w:hint="default" w:ascii="Times New Roman" w:hAnsi="Times New Roman" w:cs="Times New Roman"/>
                <w:color w:val="auto"/>
                <w:sz w:val="21"/>
                <w:szCs w:val="21"/>
                <w:highlight w:val="none"/>
                <w:lang w:val="en-US" w:eastAsia="zh-CN"/>
              </w:rPr>
              <w:t>（库政办发〔2019〕33号）</w:t>
            </w:r>
            <w:r>
              <w:rPr>
                <w:rFonts w:hint="eastAsia" w:cs="Times New Roman"/>
                <w:color w:val="auto"/>
                <w:sz w:val="21"/>
                <w:szCs w:val="21"/>
                <w:highlight w:val="none"/>
                <w:lang w:val="en-US" w:eastAsia="zh-CN"/>
              </w:rPr>
              <w:t>，</w:t>
            </w:r>
            <w:r>
              <w:rPr>
                <w:rFonts w:hint="default" w:ascii="Times New Roman" w:hAnsi="Times New Roman" w:cs="Times New Roman"/>
                <w:color w:val="auto"/>
                <w:sz w:val="21"/>
                <w:szCs w:val="21"/>
                <w:highlight w:val="none"/>
              </w:rPr>
              <w:t>可知项目区位于</w:t>
            </w:r>
            <w:r>
              <w:rPr>
                <w:rFonts w:hint="eastAsia" w:ascii="Times New Roman" w:hAnsi="Times New Roman" w:cs="Times New Roman"/>
                <w:color w:val="auto"/>
                <w:sz w:val="21"/>
                <w:szCs w:val="21"/>
                <w:highlight w:val="none"/>
                <w:lang w:val="en-US" w:eastAsia="zh-CN"/>
              </w:rPr>
              <w:t>3</w:t>
            </w:r>
            <w:r>
              <w:rPr>
                <w:rFonts w:hint="default" w:ascii="Times New Roman" w:hAnsi="Times New Roman" w:cs="Times New Roman"/>
                <w:color w:val="auto"/>
                <w:sz w:val="21"/>
                <w:szCs w:val="21"/>
                <w:highlight w:val="none"/>
              </w:rPr>
              <w:t>类功能区。根据《建设项目环境影响报告表编制技术指南（污染影响型）（试行）》指南要求，调查到本项目厂界外50m范围内不含人群较集中的区域保护目标。</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right="0"/>
              <w:jc w:val="both"/>
              <w:textAlignment w:val="auto"/>
              <w:rPr>
                <w:rFonts w:hint="default" w:ascii="Times New Roman" w:hAnsi="Times New Roman" w:cs="Times New Roman"/>
                <w:color w:val="auto"/>
                <w:sz w:val="21"/>
                <w:szCs w:val="21"/>
                <w:highlight w:val="none"/>
              </w:rPr>
            </w:pPr>
            <w:r>
              <w:rPr>
                <w:rFonts w:hint="eastAsia" w:ascii="Times New Roman" w:hAnsi="Times New Roman" w:cs="Times New Roman"/>
                <w:b/>
                <w:bCs/>
                <w:color w:val="auto"/>
                <w:sz w:val="21"/>
                <w:szCs w:val="21"/>
                <w:highlight w:val="none"/>
                <w:lang w:val="en-US" w:eastAsia="zh-CN"/>
              </w:rPr>
              <w:t>3</w:t>
            </w:r>
            <w:r>
              <w:rPr>
                <w:rFonts w:hint="default" w:ascii="Times New Roman" w:hAnsi="Times New Roman" w:cs="Times New Roman"/>
                <w:b/>
                <w:bCs/>
                <w:color w:val="auto"/>
                <w:sz w:val="21"/>
                <w:szCs w:val="21"/>
                <w:highlight w:val="none"/>
              </w:rPr>
              <w:t>地下水环境</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jc w:val="both"/>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本项目厂界外500m范围内无地下水集中式饮用水水源和热水、矿泉水、温泉等特殊地下水资源。</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leftChars="0" w:right="0" w:firstLine="0" w:firstLineChars="0"/>
              <w:jc w:val="both"/>
              <w:textAlignment w:val="auto"/>
              <w:rPr>
                <w:rFonts w:hint="default" w:ascii="Times New Roman" w:hAnsi="Times New Roman" w:cs="Times New Roman"/>
                <w:b/>
                <w:bCs/>
                <w:color w:val="auto"/>
                <w:sz w:val="21"/>
                <w:szCs w:val="21"/>
                <w:highlight w:val="none"/>
              </w:rPr>
            </w:pPr>
            <w:r>
              <w:rPr>
                <w:rFonts w:hint="eastAsia" w:ascii="Times New Roman" w:hAnsi="Times New Roman" w:cs="Times New Roman"/>
                <w:b/>
                <w:bCs/>
                <w:color w:val="auto"/>
                <w:sz w:val="21"/>
                <w:szCs w:val="21"/>
                <w:highlight w:val="none"/>
                <w:lang w:val="en-US" w:eastAsia="zh-CN"/>
              </w:rPr>
              <w:t>4</w:t>
            </w:r>
            <w:r>
              <w:rPr>
                <w:rFonts w:hint="default" w:ascii="Times New Roman" w:hAnsi="Times New Roman" w:cs="Times New Roman"/>
                <w:b/>
                <w:bCs/>
                <w:color w:val="auto"/>
                <w:sz w:val="21"/>
                <w:szCs w:val="21"/>
                <w:highlight w:val="none"/>
              </w:rPr>
              <w:t>生态环境</w:t>
            </w:r>
          </w:p>
          <w:p>
            <w:pPr>
              <w:keepNext w:val="0"/>
              <w:keepLines w:val="0"/>
              <w:pageBreakBefore w:val="0"/>
              <w:widowControl w:val="0"/>
              <w:suppressLineNumbers w:val="0"/>
              <w:kinsoku/>
              <w:wordWrap/>
              <w:overflowPunct/>
              <w:topLinePunct w:val="0"/>
              <w:autoSpaceDE/>
              <w:autoSpaceDN/>
              <w:bidi w:val="0"/>
              <w:adjustRightInd w:val="0"/>
              <w:snapToGrid w:val="0"/>
              <w:spacing w:before="0" w:beforeAutospacing="0" w:after="0" w:afterAutospacing="0" w:line="360" w:lineRule="auto"/>
              <w:ind w:left="0" w:right="0" w:firstLine="420" w:firstLineChars="200"/>
              <w:jc w:val="both"/>
              <w:textAlignment w:val="auto"/>
              <w:rPr>
                <w:rFonts w:ascii="宋体" w:hAnsi="宋体" w:cs="宋体"/>
                <w:color w:val="auto"/>
                <w:kern w:val="0"/>
                <w:sz w:val="21"/>
                <w:szCs w:val="21"/>
                <w:highlight w:val="none"/>
              </w:rPr>
            </w:pPr>
            <w:r>
              <w:rPr>
                <w:rFonts w:hint="default" w:ascii="Times New Roman" w:hAnsi="Times New Roman" w:eastAsia="宋体" w:cs="Times New Roman"/>
                <w:color w:val="auto"/>
                <w:sz w:val="21"/>
                <w:szCs w:val="21"/>
                <w:highlight w:val="none"/>
              </w:rPr>
              <w:t>本项目位于</w:t>
            </w:r>
            <w:r>
              <w:rPr>
                <w:rFonts w:hint="eastAsia" w:ascii="Times New Roman" w:hAnsi="Times New Roman" w:eastAsia="宋体" w:cs="Times New Roman"/>
                <w:color w:val="auto"/>
                <w:sz w:val="21"/>
                <w:szCs w:val="21"/>
                <w:highlight w:val="none"/>
                <w:lang w:val="en-US" w:eastAsia="zh-CN"/>
              </w:rPr>
              <w:t>库尔勒经济技术开发区</w:t>
            </w:r>
            <w:r>
              <w:rPr>
                <w:rFonts w:hint="default" w:ascii="Times New Roman" w:hAnsi="Times New Roman" w:eastAsia="宋体" w:cs="Times New Roman"/>
                <w:color w:val="auto"/>
                <w:sz w:val="21"/>
                <w:szCs w:val="21"/>
                <w:highlight w:val="none"/>
              </w:rPr>
              <w:t>，用地范围内不含有生态环境保护目标。</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031" w:hRule="atLeast"/>
          <w:jc w:val="center"/>
        </w:trPr>
        <w:tc>
          <w:tcPr>
            <w:tcW w:w="800" w:type="dxa"/>
            <w:noWrap w:val="0"/>
            <w:tcMar>
              <w:left w:w="28" w:type="dxa"/>
              <w:right w:w="28" w:type="dxa"/>
            </w:tcMar>
            <w:vAlign w:val="center"/>
          </w:tcPr>
          <w:p>
            <w:pPr>
              <w:adjustRightInd w:val="0"/>
              <w:snapToGrid w:val="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污染</w:t>
            </w:r>
          </w:p>
          <w:p>
            <w:pPr>
              <w:adjustRightInd w:val="0"/>
              <w:snapToGrid w:val="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物排</w:t>
            </w:r>
          </w:p>
          <w:p>
            <w:pPr>
              <w:adjustRightInd w:val="0"/>
              <w:snapToGrid w:val="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放控</w:t>
            </w:r>
          </w:p>
          <w:p>
            <w:pPr>
              <w:adjustRightInd w:val="0"/>
              <w:snapToGrid w:val="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制标</w:t>
            </w:r>
          </w:p>
          <w:p>
            <w:pPr>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准</w:t>
            </w:r>
          </w:p>
        </w:tc>
        <w:tc>
          <w:tcPr>
            <w:tcW w:w="8190" w:type="dxa"/>
            <w:noWrap w:val="0"/>
            <w:vAlign w:val="center"/>
          </w:tcPr>
          <w:p>
            <w:pPr>
              <w:keepNext w:val="0"/>
              <w:keepLines w:val="0"/>
              <w:widowControl/>
              <w:suppressLineNumbers w:val="0"/>
              <w:spacing w:before="0" w:beforeAutospacing="0" w:after="0" w:afterAutospacing="0" w:line="360" w:lineRule="auto"/>
              <w:ind w:left="0" w:leftChars="0" w:right="0" w:firstLine="0" w:firstLineChars="0"/>
              <w:jc w:val="both"/>
              <w:rPr>
                <w:rFonts w:hint="default" w:ascii="Times New Roman" w:hAnsi="Times New Roman" w:cs="Times New Roman"/>
                <w:b/>
                <w:color w:val="auto"/>
                <w:kern w:val="0"/>
                <w:sz w:val="21"/>
                <w:szCs w:val="21"/>
                <w:highlight w:val="none"/>
              </w:rPr>
            </w:pPr>
            <w:r>
              <w:rPr>
                <w:rFonts w:hint="default" w:ascii="Times New Roman" w:hAnsi="Times New Roman" w:cs="Times New Roman"/>
                <w:b/>
                <w:color w:val="auto"/>
                <w:kern w:val="0"/>
                <w:sz w:val="21"/>
                <w:szCs w:val="21"/>
                <w:highlight w:val="none"/>
              </w:rPr>
              <w:t>1废气</w:t>
            </w:r>
          </w:p>
          <w:p>
            <w:pPr>
              <w:keepNext w:val="0"/>
              <w:keepLines w:val="0"/>
              <w:suppressLineNumbers w:val="0"/>
              <w:spacing w:before="0" w:beforeAutospacing="0" w:after="0" w:afterAutospacing="0" w:line="360" w:lineRule="auto"/>
              <w:ind w:left="0" w:right="0" w:firstLine="422" w:firstLineChars="200"/>
              <w:jc w:val="both"/>
              <w:rPr>
                <w:rFonts w:hint="default" w:ascii="Times New Roman" w:hAnsi="Times New Roman"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1.1施工期</w:t>
            </w:r>
          </w:p>
          <w:p>
            <w:pPr>
              <w:keepNext w:val="0"/>
              <w:keepLines w:val="0"/>
              <w:suppressLineNumbers w:val="0"/>
              <w:spacing w:before="0" w:beforeAutospacing="0" w:after="0" w:afterAutospacing="0" w:line="360" w:lineRule="auto"/>
              <w:ind w:left="0" w:right="0" w:firstLine="420" w:firstLineChars="20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施工期颗粒物无组织废气执行《大气污染物综合排放标准》（GB16297-1996）中表</w:t>
            </w:r>
            <w:r>
              <w:rPr>
                <w:rFonts w:hint="default" w:ascii="Times New Roman" w:hAnsi="Times New Roman" w:cs="Times New Roman"/>
                <w:color w:val="auto"/>
                <w:sz w:val="21"/>
                <w:szCs w:val="21"/>
                <w:highlight w:val="none"/>
                <w:lang w:val="en-US" w:eastAsia="zh-CN"/>
              </w:rPr>
              <w:t>3-</w:t>
            </w:r>
            <w:r>
              <w:rPr>
                <w:rFonts w:hint="eastAsia" w:cs="Times New Roman"/>
                <w:color w:val="auto"/>
                <w:sz w:val="21"/>
                <w:szCs w:val="21"/>
                <w:highlight w:val="none"/>
                <w:lang w:val="en-US" w:eastAsia="zh-CN"/>
              </w:rPr>
              <w:t>2</w:t>
            </w:r>
            <w:r>
              <w:rPr>
                <w:rFonts w:hint="default" w:ascii="Times New Roman" w:hAnsi="Times New Roman" w:cs="Times New Roman"/>
                <w:color w:val="auto"/>
                <w:sz w:val="21"/>
                <w:szCs w:val="21"/>
                <w:highlight w:val="none"/>
              </w:rPr>
              <w:t>。</w:t>
            </w:r>
          </w:p>
          <w:p>
            <w:pPr>
              <w:keepNext w:val="0"/>
              <w:keepLines w:val="0"/>
              <w:suppressLineNumbers w:val="0"/>
              <w:spacing w:before="0" w:beforeAutospacing="0" w:after="0" w:afterAutospacing="0" w:line="240" w:lineRule="auto"/>
              <w:ind w:left="0" w:right="0"/>
              <w:jc w:val="center"/>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表3-</w:t>
            </w:r>
            <w:r>
              <w:rPr>
                <w:rFonts w:hint="eastAsia" w:cs="Times New Roman"/>
                <w:b/>
                <w:bCs/>
                <w:color w:val="auto"/>
                <w:sz w:val="21"/>
                <w:szCs w:val="21"/>
                <w:highlight w:val="none"/>
                <w:lang w:val="en-US" w:eastAsia="zh-CN"/>
              </w:rPr>
              <w:t xml:space="preserve">2 </w:t>
            </w:r>
            <w:r>
              <w:rPr>
                <w:rFonts w:hint="default" w:ascii="Times New Roman" w:hAnsi="Times New Roman" w:cs="Times New Roman"/>
                <w:b/>
                <w:bCs/>
                <w:color w:val="auto"/>
                <w:sz w:val="21"/>
                <w:szCs w:val="21"/>
                <w:highlight w:val="none"/>
              </w:rPr>
              <w:t>施工期无组织废气执行标准</w:t>
            </w:r>
          </w:p>
          <w:tbl>
            <w:tblPr>
              <w:tblStyle w:val="2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499"/>
              <w:gridCol w:w="2011"/>
              <w:gridCol w:w="34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19" w:hRule="atLeast"/>
                <w:jc w:val="center"/>
              </w:trPr>
              <w:tc>
                <w:tcPr>
                  <w:tcW w:w="1569" w:type="pct"/>
                  <w:noWrap w:val="0"/>
                  <w:vAlign w:val="center"/>
                </w:tcPr>
                <w:p>
                  <w:pPr>
                    <w:pStyle w:val="48"/>
                    <w:keepNext w:val="0"/>
                    <w:keepLines w:val="0"/>
                    <w:suppressLineNumbers w:val="0"/>
                    <w:bidi w:val="0"/>
                    <w:spacing w:before="0" w:beforeAutospacing="0" w:after="0" w:afterAutospacing="0" w:line="240" w:lineRule="auto"/>
                    <w:ind w:left="0" w:right="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污染物</w:t>
                  </w:r>
                </w:p>
              </w:tc>
              <w:tc>
                <w:tcPr>
                  <w:tcW w:w="1263" w:type="pct"/>
                  <w:noWrap w:val="0"/>
                  <w:vAlign w:val="center"/>
                </w:tcPr>
                <w:p>
                  <w:pPr>
                    <w:pStyle w:val="48"/>
                    <w:keepNext w:val="0"/>
                    <w:keepLines w:val="0"/>
                    <w:suppressLineNumbers w:val="0"/>
                    <w:bidi w:val="0"/>
                    <w:spacing w:before="0" w:beforeAutospacing="0" w:after="0" w:afterAutospacing="0" w:line="240" w:lineRule="auto"/>
                    <w:ind w:left="0" w:right="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限值</w:t>
                  </w:r>
                </w:p>
              </w:tc>
              <w:tc>
                <w:tcPr>
                  <w:tcW w:w="2167" w:type="pct"/>
                  <w:noWrap w:val="0"/>
                  <w:vAlign w:val="center"/>
                </w:tcPr>
                <w:p>
                  <w:pPr>
                    <w:pStyle w:val="48"/>
                    <w:keepNext w:val="0"/>
                    <w:keepLines w:val="0"/>
                    <w:suppressLineNumbers w:val="0"/>
                    <w:bidi w:val="0"/>
                    <w:spacing w:before="0" w:beforeAutospacing="0" w:after="0" w:afterAutospacing="0" w:line="240" w:lineRule="auto"/>
                    <w:ind w:left="0" w:right="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执行标准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569" w:type="pct"/>
                  <w:noWrap w:val="0"/>
                  <w:vAlign w:val="center"/>
                </w:tcPr>
                <w:p>
                  <w:pPr>
                    <w:pStyle w:val="48"/>
                    <w:keepNext w:val="0"/>
                    <w:keepLines w:val="0"/>
                    <w:suppressLineNumbers w:val="0"/>
                    <w:bidi w:val="0"/>
                    <w:spacing w:before="0" w:beforeAutospacing="0" w:after="0" w:afterAutospacing="0" w:line="240" w:lineRule="auto"/>
                    <w:ind w:left="0" w:right="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颗粒物</w:t>
                  </w:r>
                </w:p>
              </w:tc>
              <w:tc>
                <w:tcPr>
                  <w:tcW w:w="1263" w:type="pct"/>
                  <w:noWrap w:val="0"/>
                  <w:vAlign w:val="center"/>
                </w:tcPr>
                <w:p>
                  <w:pPr>
                    <w:pStyle w:val="48"/>
                    <w:keepNext w:val="0"/>
                    <w:keepLines w:val="0"/>
                    <w:suppressLineNumbers w:val="0"/>
                    <w:bidi w:val="0"/>
                    <w:spacing w:before="0" w:beforeAutospacing="0" w:after="0" w:afterAutospacing="0" w:line="240" w:lineRule="auto"/>
                    <w:ind w:left="0" w:right="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1mg/m</w:t>
                  </w:r>
                  <w:r>
                    <w:rPr>
                      <w:rFonts w:hint="default" w:ascii="Times New Roman" w:hAnsi="Times New Roman" w:cs="Times New Roman"/>
                      <w:color w:val="auto"/>
                      <w:sz w:val="21"/>
                      <w:szCs w:val="21"/>
                      <w:highlight w:val="none"/>
                      <w:vertAlign w:val="superscript"/>
                    </w:rPr>
                    <w:t>3</w:t>
                  </w:r>
                </w:p>
              </w:tc>
              <w:tc>
                <w:tcPr>
                  <w:tcW w:w="2167" w:type="pct"/>
                  <w:noWrap w:val="0"/>
                  <w:vAlign w:val="center"/>
                </w:tcPr>
                <w:p>
                  <w:pPr>
                    <w:pStyle w:val="48"/>
                    <w:keepNext w:val="0"/>
                    <w:keepLines w:val="0"/>
                    <w:suppressLineNumbers w:val="0"/>
                    <w:bidi w:val="0"/>
                    <w:spacing w:before="0" w:beforeAutospacing="0" w:after="0" w:afterAutospacing="0" w:line="240" w:lineRule="auto"/>
                    <w:ind w:left="0" w:right="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《大气污染物综合排放标准》（GB16297-1996）中表2</w:t>
                  </w:r>
                </w:p>
              </w:tc>
            </w:tr>
          </w:tbl>
          <w:p>
            <w:pPr>
              <w:keepNext w:val="0"/>
              <w:keepLines w:val="0"/>
              <w:suppressLineNumbers w:val="0"/>
              <w:spacing w:before="0" w:beforeAutospacing="0" w:after="0" w:afterAutospacing="0" w:line="360" w:lineRule="auto"/>
              <w:ind w:left="0" w:right="0" w:firstLine="422" w:firstLineChars="200"/>
              <w:jc w:val="both"/>
              <w:rPr>
                <w:rFonts w:hint="default" w:ascii="Times New Roman" w:hAnsi="Times New Roman" w:eastAsia="宋体" w:cs="Times New Roman"/>
                <w:b/>
                <w:bCs w:val="0"/>
                <w:color w:val="auto"/>
                <w:kern w:val="0"/>
                <w:sz w:val="21"/>
                <w:szCs w:val="21"/>
                <w:highlight w:val="none"/>
                <w:lang w:val="en-US" w:eastAsia="zh-CN"/>
              </w:rPr>
            </w:pPr>
            <w:r>
              <w:rPr>
                <w:rFonts w:hint="default" w:ascii="Times New Roman" w:hAnsi="Times New Roman" w:cs="Times New Roman"/>
                <w:b/>
                <w:bCs w:val="0"/>
                <w:color w:val="auto"/>
                <w:kern w:val="0"/>
                <w:sz w:val="21"/>
                <w:szCs w:val="21"/>
                <w:highlight w:val="none"/>
                <w:lang w:val="en-US" w:eastAsia="zh-CN"/>
              </w:rPr>
              <w:t>1.2运营期</w:t>
            </w:r>
          </w:p>
          <w:p>
            <w:pPr>
              <w:keepNext w:val="0"/>
              <w:keepLines w:val="0"/>
              <w:suppressLineNumbers w:val="0"/>
              <w:spacing w:before="0" w:beforeAutospacing="0" w:after="0" w:afterAutospacing="0" w:line="360" w:lineRule="auto"/>
              <w:ind w:left="0" w:right="0" w:firstLine="420" w:firstLineChars="200"/>
              <w:jc w:val="both"/>
              <w:rPr>
                <w:rFonts w:hint="default" w:ascii="Times New Roman" w:hAnsi="Times New Roman" w:eastAsia="宋体" w:cs="Times New Roman"/>
                <w:bCs/>
                <w:color w:val="auto"/>
                <w:kern w:val="0"/>
                <w:sz w:val="21"/>
                <w:szCs w:val="21"/>
                <w:highlight w:val="none"/>
                <w:lang w:val="en-US" w:eastAsia="zh-CN"/>
              </w:rPr>
            </w:pPr>
            <w:r>
              <w:rPr>
                <w:rFonts w:hint="default" w:ascii="Times New Roman" w:hAnsi="Times New Roman" w:cs="Times New Roman"/>
                <w:bCs/>
                <w:color w:val="auto"/>
                <w:kern w:val="0"/>
                <w:sz w:val="21"/>
                <w:szCs w:val="21"/>
                <w:highlight w:val="none"/>
                <w:lang w:eastAsia="zh-CN"/>
              </w:rPr>
              <w:t>（</w:t>
            </w:r>
            <w:r>
              <w:rPr>
                <w:rFonts w:hint="default" w:ascii="Times New Roman" w:hAnsi="Times New Roman" w:cs="Times New Roman"/>
                <w:bCs/>
                <w:color w:val="auto"/>
                <w:kern w:val="0"/>
                <w:sz w:val="21"/>
                <w:szCs w:val="21"/>
                <w:highlight w:val="none"/>
                <w:lang w:val="en-US" w:eastAsia="zh-CN"/>
              </w:rPr>
              <w:t>1</w:t>
            </w:r>
            <w:r>
              <w:rPr>
                <w:rFonts w:hint="default" w:ascii="Times New Roman" w:hAnsi="Times New Roman" w:cs="Times New Roman"/>
                <w:bCs/>
                <w:color w:val="auto"/>
                <w:kern w:val="0"/>
                <w:sz w:val="21"/>
                <w:szCs w:val="21"/>
                <w:highlight w:val="none"/>
                <w:lang w:eastAsia="zh-CN"/>
              </w:rPr>
              <w:t>）</w:t>
            </w:r>
            <w:r>
              <w:rPr>
                <w:rFonts w:hint="default" w:ascii="Times New Roman" w:hAnsi="Times New Roman" w:cs="Times New Roman"/>
                <w:bCs/>
                <w:color w:val="auto"/>
                <w:kern w:val="0"/>
                <w:sz w:val="21"/>
                <w:szCs w:val="21"/>
                <w:highlight w:val="none"/>
                <w:lang w:val="en-US" w:eastAsia="zh-CN"/>
              </w:rPr>
              <w:t>有组织</w:t>
            </w:r>
            <w:r>
              <w:rPr>
                <w:rFonts w:hint="eastAsia" w:ascii="Times New Roman" w:hAnsi="Times New Roman" w:cs="Times New Roman"/>
                <w:bCs/>
                <w:color w:val="auto"/>
                <w:kern w:val="0"/>
                <w:sz w:val="21"/>
                <w:szCs w:val="21"/>
                <w:highlight w:val="none"/>
                <w:lang w:val="en-US" w:eastAsia="zh-CN"/>
              </w:rPr>
              <w:t>废气</w:t>
            </w:r>
          </w:p>
          <w:p>
            <w:pPr>
              <w:keepNext w:val="0"/>
              <w:keepLines w:val="0"/>
              <w:suppressLineNumbers w:val="0"/>
              <w:spacing w:before="0" w:beforeAutospacing="0" w:after="0" w:afterAutospacing="0" w:line="360" w:lineRule="auto"/>
              <w:ind w:left="0" w:right="0" w:firstLine="420" w:firstLineChars="20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天然气</w:t>
            </w:r>
            <w:r>
              <w:rPr>
                <w:rFonts w:hint="eastAsia" w:cs="Times New Roman"/>
                <w:color w:val="auto"/>
                <w:sz w:val="21"/>
                <w:szCs w:val="21"/>
                <w:highlight w:val="none"/>
                <w:lang w:val="en-US" w:eastAsia="zh-CN"/>
              </w:rPr>
              <w:t>锅炉</w:t>
            </w:r>
            <w:r>
              <w:rPr>
                <w:rFonts w:hint="default" w:ascii="Times New Roman" w:hAnsi="Times New Roman" w:cs="Times New Roman"/>
                <w:color w:val="auto"/>
                <w:sz w:val="21"/>
                <w:szCs w:val="21"/>
                <w:highlight w:val="none"/>
                <w:lang w:val="en-US" w:eastAsia="zh-CN"/>
              </w:rPr>
              <w:t>执行《锅炉大气污染物排放标准》（GB13271-2014）中表3大气污染物特别排放浓度限值</w:t>
            </w:r>
            <w:r>
              <w:rPr>
                <w:rFonts w:hint="eastAsia" w:cs="Times New Roman"/>
                <w:color w:val="auto"/>
                <w:sz w:val="21"/>
                <w:szCs w:val="21"/>
                <w:highlight w:val="none"/>
                <w:lang w:val="en-US" w:eastAsia="zh-CN"/>
              </w:rPr>
              <w:t>，详见表3-3；运营期瓶胚预热产生的有组织非甲烷总烃执</w:t>
            </w:r>
            <w:r>
              <w:rPr>
                <w:rFonts w:hint="eastAsia" w:ascii="Times New Roman" w:hAnsi="Times New Roman" w:eastAsia="宋体" w:cs="Times New Roman"/>
                <w:b w:val="0"/>
                <w:bCs w:val="0"/>
                <w:color w:val="auto"/>
                <w:kern w:val="0"/>
                <w:sz w:val="21"/>
                <w:szCs w:val="21"/>
                <w:highlight w:val="none"/>
                <w:lang w:val="en-US" w:eastAsia="zh-CN"/>
              </w:rPr>
              <w:t>行《合成树脂工业污染物排放标准》（GB 31572-2015，含2024年修改单）中特别排放限值</w:t>
            </w:r>
            <w:r>
              <w:rPr>
                <w:rFonts w:hint="default" w:ascii="Times New Roman" w:hAnsi="Times New Roman" w:cs="Times New Roman"/>
                <w:b w:val="0"/>
                <w:bCs w:val="0"/>
                <w:color w:val="auto"/>
                <w:kern w:val="0"/>
                <w:sz w:val="21"/>
                <w:szCs w:val="21"/>
                <w:highlight w:val="none"/>
                <w:lang w:val="en-US" w:eastAsia="zh-CN"/>
              </w:rPr>
              <w:t>，</w:t>
            </w:r>
            <w:r>
              <w:rPr>
                <w:rFonts w:hint="eastAsia" w:cs="Times New Roman"/>
                <w:color w:val="auto"/>
                <w:sz w:val="21"/>
                <w:szCs w:val="21"/>
                <w:highlight w:val="none"/>
                <w:lang w:val="en-US" w:eastAsia="zh-CN"/>
              </w:rPr>
              <w:t>详见表3-4</w:t>
            </w:r>
            <w:r>
              <w:rPr>
                <w:rFonts w:hint="default" w:ascii="Times New Roman" w:hAnsi="Times New Roman" w:cs="Times New Roman"/>
                <w:color w:val="auto"/>
                <w:sz w:val="21"/>
                <w:szCs w:val="21"/>
                <w:highlight w:val="none"/>
              </w:rPr>
              <w:t>。</w:t>
            </w:r>
          </w:p>
          <w:p>
            <w:pPr>
              <w:spacing w:line="240" w:lineRule="auto"/>
              <w:ind w:firstLine="422" w:firstLineChars="200"/>
              <w:jc w:val="center"/>
              <w:rPr>
                <w:rFonts w:hint="default" w:ascii="Times New Roman" w:hAnsi="Times New Roman" w:cs="Times New Roman"/>
                <w:b/>
                <w:bCs/>
                <w:color w:val="auto"/>
                <w:sz w:val="21"/>
                <w:szCs w:val="21"/>
                <w:highlight w:val="none"/>
                <w:vertAlign w:val="superscript"/>
              </w:rPr>
            </w:pPr>
            <w:r>
              <w:rPr>
                <w:rFonts w:hint="default" w:ascii="Times New Roman" w:hAnsi="Times New Roman" w:eastAsia="宋体" w:cs="Times New Roman"/>
                <w:b/>
                <w:color w:val="auto"/>
                <w:sz w:val="21"/>
                <w:szCs w:val="21"/>
                <w:highlight w:val="none"/>
              </w:rPr>
              <w:t>表3-</w:t>
            </w:r>
            <w:r>
              <w:rPr>
                <w:rFonts w:hint="eastAsia" w:cs="Times New Roman"/>
                <w:b/>
                <w:color w:val="auto"/>
                <w:sz w:val="21"/>
                <w:szCs w:val="21"/>
                <w:highlight w:val="none"/>
                <w:lang w:val="en-US" w:eastAsia="zh-CN"/>
              </w:rPr>
              <w:t>3</w:t>
            </w:r>
            <w:r>
              <w:rPr>
                <w:rFonts w:hint="default" w:ascii="Times New Roman" w:hAnsi="Times New Roman" w:eastAsia="宋体" w:cs="Times New Roman"/>
                <w:b/>
                <w:color w:val="auto"/>
                <w:sz w:val="21"/>
                <w:szCs w:val="21"/>
                <w:highlight w:val="none"/>
              </w:rPr>
              <w:t xml:space="preserve"> 《锅炉大气污染物排放标准》（GB13271-2014）</w:t>
            </w:r>
          </w:p>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153"/>
              <w:gridCol w:w="1909"/>
              <w:gridCol w:w="29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7" w:hRule="atLeast"/>
                <w:jc w:val="center"/>
              </w:trPr>
              <w:tc>
                <w:tcPr>
                  <w:tcW w:w="3153" w:type="dxa"/>
                  <w:noWrap w:val="0"/>
                  <w:vAlign w:val="center"/>
                </w:tcPr>
                <w:p>
                  <w:pPr>
                    <w:pStyle w:val="48"/>
                    <w:bidi w:val="0"/>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污染物项目</w:t>
                  </w:r>
                </w:p>
              </w:tc>
              <w:tc>
                <w:tcPr>
                  <w:tcW w:w="1909" w:type="dxa"/>
                  <w:noWrap w:val="0"/>
                  <w:vAlign w:val="center"/>
                </w:tcPr>
                <w:p>
                  <w:pPr>
                    <w:pStyle w:val="48"/>
                    <w:bidi w:val="0"/>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限值（mg/m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rPr>
                    <w:t>）</w:t>
                  </w:r>
                </w:p>
              </w:tc>
              <w:tc>
                <w:tcPr>
                  <w:tcW w:w="2902" w:type="dxa"/>
                  <w:noWrap w:val="0"/>
                  <w:vAlign w:val="center"/>
                </w:tcPr>
                <w:p>
                  <w:pPr>
                    <w:pStyle w:val="48"/>
                    <w:bidi w:val="0"/>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污染物排放监控位置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4" w:hRule="atLeast"/>
                <w:jc w:val="center"/>
              </w:trPr>
              <w:tc>
                <w:tcPr>
                  <w:tcW w:w="3153" w:type="dxa"/>
                  <w:noWrap w:val="0"/>
                  <w:vAlign w:val="center"/>
                </w:tcPr>
                <w:p>
                  <w:pPr>
                    <w:pStyle w:val="48"/>
                    <w:bidi w:val="0"/>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颗粒物</w:t>
                  </w:r>
                </w:p>
              </w:tc>
              <w:tc>
                <w:tcPr>
                  <w:tcW w:w="1909" w:type="dxa"/>
                  <w:noWrap w:val="0"/>
                  <w:vAlign w:val="center"/>
                </w:tcPr>
                <w:p>
                  <w:pPr>
                    <w:pStyle w:val="48"/>
                    <w:bidi w:val="0"/>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20</w:t>
                  </w:r>
                </w:p>
              </w:tc>
              <w:tc>
                <w:tcPr>
                  <w:tcW w:w="2902" w:type="dxa"/>
                  <w:vMerge w:val="restart"/>
                  <w:noWrap w:val="0"/>
                  <w:vAlign w:val="center"/>
                </w:tcPr>
                <w:p>
                  <w:pPr>
                    <w:pStyle w:val="48"/>
                    <w:bidi w:val="0"/>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烟囱或烟道</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9" w:hRule="atLeast"/>
                <w:jc w:val="center"/>
              </w:trPr>
              <w:tc>
                <w:tcPr>
                  <w:tcW w:w="3153" w:type="dxa"/>
                  <w:noWrap w:val="0"/>
                  <w:vAlign w:val="center"/>
                </w:tcPr>
                <w:p>
                  <w:pPr>
                    <w:pStyle w:val="48"/>
                    <w:bidi w:val="0"/>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NO</w:t>
                  </w:r>
                  <w:r>
                    <w:rPr>
                      <w:rFonts w:hint="default" w:ascii="Times New Roman" w:hAnsi="Times New Roman" w:cs="Times New Roman"/>
                      <w:color w:val="auto"/>
                      <w:sz w:val="21"/>
                      <w:szCs w:val="21"/>
                      <w:highlight w:val="none"/>
                      <w:vertAlign w:val="subscript"/>
                    </w:rPr>
                    <w:t>x</w:t>
                  </w:r>
                </w:p>
              </w:tc>
              <w:tc>
                <w:tcPr>
                  <w:tcW w:w="1909" w:type="dxa"/>
                  <w:noWrap w:val="0"/>
                  <w:vAlign w:val="center"/>
                </w:tcPr>
                <w:p>
                  <w:pPr>
                    <w:pStyle w:val="48"/>
                    <w:bidi w:val="0"/>
                    <w:spacing w:line="240" w:lineRule="auto"/>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150</w:t>
                  </w:r>
                </w:p>
              </w:tc>
              <w:tc>
                <w:tcPr>
                  <w:tcW w:w="2902" w:type="dxa"/>
                  <w:vMerge w:val="continue"/>
                  <w:noWrap w:val="0"/>
                  <w:vAlign w:val="center"/>
                </w:tcPr>
                <w:p>
                  <w:pPr>
                    <w:pStyle w:val="48"/>
                    <w:bidi w:val="0"/>
                    <w:spacing w:line="240" w:lineRule="auto"/>
                    <w:jc w:val="center"/>
                    <w:rPr>
                      <w:rFonts w:hint="default" w:ascii="Times New Roman" w:hAnsi="Times New Roman" w:cs="Times New Roman"/>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3" w:hRule="atLeast"/>
                <w:jc w:val="center"/>
              </w:trPr>
              <w:tc>
                <w:tcPr>
                  <w:tcW w:w="3153" w:type="dxa"/>
                  <w:noWrap w:val="0"/>
                  <w:vAlign w:val="center"/>
                </w:tcPr>
                <w:p>
                  <w:pPr>
                    <w:pStyle w:val="48"/>
                    <w:bidi w:val="0"/>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SO</w:t>
                  </w:r>
                  <w:r>
                    <w:rPr>
                      <w:rFonts w:hint="default" w:ascii="Times New Roman" w:hAnsi="Times New Roman" w:cs="Times New Roman"/>
                      <w:color w:val="auto"/>
                      <w:sz w:val="21"/>
                      <w:szCs w:val="21"/>
                      <w:highlight w:val="none"/>
                      <w:vertAlign w:val="subscript"/>
                    </w:rPr>
                    <w:t>2</w:t>
                  </w:r>
                </w:p>
              </w:tc>
              <w:tc>
                <w:tcPr>
                  <w:tcW w:w="1909" w:type="dxa"/>
                  <w:noWrap w:val="0"/>
                  <w:vAlign w:val="center"/>
                </w:tcPr>
                <w:p>
                  <w:pPr>
                    <w:pStyle w:val="48"/>
                    <w:bidi w:val="0"/>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50</w:t>
                  </w:r>
                </w:p>
              </w:tc>
              <w:tc>
                <w:tcPr>
                  <w:tcW w:w="2902" w:type="dxa"/>
                  <w:vMerge w:val="continue"/>
                  <w:noWrap w:val="0"/>
                  <w:vAlign w:val="center"/>
                </w:tcPr>
                <w:p>
                  <w:pPr>
                    <w:pStyle w:val="48"/>
                    <w:bidi w:val="0"/>
                    <w:spacing w:line="240" w:lineRule="auto"/>
                    <w:jc w:val="center"/>
                    <w:rPr>
                      <w:rFonts w:hint="default" w:ascii="Times New Roman" w:hAnsi="Times New Roman" w:cs="Times New Roman"/>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47" w:hRule="atLeast"/>
                <w:jc w:val="center"/>
              </w:trPr>
              <w:tc>
                <w:tcPr>
                  <w:tcW w:w="3153" w:type="dxa"/>
                  <w:noWrap w:val="0"/>
                  <w:vAlign w:val="center"/>
                </w:tcPr>
                <w:p>
                  <w:pPr>
                    <w:pStyle w:val="48"/>
                    <w:bidi w:val="0"/>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烟气黑度（林格曼黑度）</w:t>
                  </w:r>
                </w:p>
              </w:tc>
              <w:tc>
                <w:tcPr>
                  <w:tcW w:w="1909" w:type="dxa"/>
                  <w:noWrap w:val="0"/>
                  <w:vAlign w:val="center"/>
                </w:tcPr>
                <w:p>
                  <w:pPr>
                    <w:pStyle w:val="48"/>
                    <w:bidi w:val="0"/>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≤1级</w:t>
                  </w:r>
                </w:p>
              </w:tc>
              <w:tc>
                <w:tcPr>
                  <w:tcW w:w="2902" w:type="dxa"/>
                  <w:noWrap w:val="0"/>
                  <w:vAlign w:val="center"/>
                </w:tcPr>
                <w:p>
                  <w:pPr>
                    <w:pStyle w:val="48"/>
                    <w:bidi w:val="0"/>
                    <w:spacing w:line="240" w:lineRule="auto"/>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烟囱排放口</w:t>
                  </w:r>
                </w:p>
              </w:tc>
            </w:tr>
          </w:tbl>
          <w:p>
            <w:pPr>
              <w:keepNext w:val="0"/>
              <w:keepLines w:val="0"/>
              <w:suppressLineNumbers w:val="0"/>
              <w:spacing w:before="0" w:beforeAutospacing="0" w:after="0" w:afterAutospacing="0" w:line="240" w:lineRule="auto"/>
              <w:ind w:left="0" w:right="0"/>
              <w:jc w:val="center"/>
              <w:rPr>
                <w:rFonts w:hint="default" w:ascii="Times New Roman" w:hAnsi="Times New Roman" w:eastAsia="宋体" w:cs="Times New Roman"/>
                <w:b/>
                <w:color w:val="auto"/>
                <w:sz w:val="21"/>
                <w:szCs w:val="21"/>
                <w:highlight w:val="none"/>
                <w:lang w:eastAsia="zh-CN"/>
              </w:rPr>
            </w:pPr>
            <w:r>
              <w:rPr>
                <w:rFonts w:hint="default" w:ascii="Times New Roman" w:hAnsi="Times New Roman" w:cs="Times New Roman"/>
                <w:b/>
                <w:color w:val="auto"/>
                <w:sz w:val="21"/>
                <w:szCs w:val="21"/>
                <w:highlight w:val="none"/>
              </w:rPr>
              <w:t>表3-</w:t>
            </w:r>
            <w:r>
              <w:rPr>
                <w:rFonts w:hint="eastAsia" w:cs="Times New Roman"/>
                <w:b/>
                <w:color w:val="auto"/>
                <w:sz w:val="21"/>
                <w:szCs w:val="21"/>
                <w:highlight w:val="none"/>
                <w:lang w:val="en-US" w:eastAsia="zh-CN"/>
              </w:rPr>
              <w:t>4</w:t>
            </w:r>
            <w:r>
              <w:rPr>
                <w:rFonts w:hint="default" w:ascii="Times New Roman" w:hAnsi="Times New Roman" w:cs="Times New Roman"/>
                <w:b/>
                <w:color w:val="auto"/>
                <w:sz w:val="21"/>
                <w:szCs w:val="21"/>
                <w:highlight w:val="none"/>
                <w:lang w:val="en-US" w:eastAsia="zh-CN"/>
              </w:rPr>
              <w:t xml:space="preserve"> 有组织</w:t>
            </w:r>
            <w:r>
              <w:rPr>
                <w:rFonts w:hint="default" w:ascii="Times New Roman" w:hAnsi="Times New Roman" w:cs="Times New Roman"/>
                <w:b/>
                <w:color w:val="auto"/>
                <w:sz w:val="21"/>
                <w:szCs w:val="21"/>
                <w:highlight w:val="none"/>
                <w:lang w:eastAsia="zh-CN"/>
              </w:rPr>
              <w:t>大气污染物执行标准一览表</w:t>
            </w:r>
          </w:p>
          <w:tbl>
            <w:tblPr>
              <w:tblStyle w:val="2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58"/>
              <w:gridCol w:w="1693"/>
              <w:gridCol w:w="1231"/>
              <w:gridCol w:w="327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4" w:hRule="atLeast"/>
                <w:jc w:val="center"/>
              </w:trPr>
              <w:tc>
                <w:tcPr>
                  <w:tcW w:w="1104" w:type="pct"/>
                  <w:vAlign w:val="center"/>
                </w:tcPr>
                <w:p>
                  <w:pPr>
                    <w:pStyle w:val="48"/>
                    <w:keepNext w:val="0"/>
                    <w:keepLines w:val="0"/>
                    <w:suppressLineNumbers w:val="0"/>
                    <w:bidi w:val="0"/>
                    <w:spacing w:before="0" w:beforeAutospacing="0" w:after="0" w:afterAutospacing="0" w:line="240" w:lineRule="auto"/>
                    <w:ind w:left="0" w:right="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污染物项目</w:t>
                  </w:r>
                </w:p>
              </w:tc>
              <w:tc>
                <w:tcPr>
                  <w:tcW w:w="1836" w:type="pct"/>
                  <w:gridSpan w:val="2"/>
                  <w:vAlign w:val="center"/>
                </w:tcPr>
                <w:p>
                  <w:pPr>
                    <w:pStyle w:val="48"/>
                    <w:keepNext w:val="0"/>
                    <w:keepLines w:val="0"/>
                    <w:suppressLineNumbers w:val="0"/>
                    <w:bidi w:val="0"/>
                    <w:spacing w:before="0" w:beforeAutospacing="0" w:after="0" w:afterAutospacing="0" w:line="240" w:lineRule="auto"/>
                    <w:ind w:left="0" w:right="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限值</w:t>
                  </w:r>
                </w:p>
              </w:tc>
              <w:tc>
                <w:tcPr>
                  <w:tcW w:w="2059" w:type="pct"/>
                  <w:vAlign w:val="center"/>
                </w:tcPr>
                <w:p>
                  <w:pPr>
                    <w:pStyle w:val="48"/>
                    <w:keepNext w:val="0"/>
                    <w:keepLines w:val="0"/>
                    <w:suppressLineNumbers w:val="0"/>
                    <w:bidi w:val="0"/>
                    <w:spacing w:before="0" w:beforeAutospacing="0" w:after="0" w:afterAutospacing="0" w:line="240" w:lineRule="auto"/>
                    <w:ind w:left="0" w:right="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采用标准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535" w:hRule="atLeast"/>
                <w:jc w:val="center"/>
              </w:trPr>
              <w:tc>
                <w:tcPr>
                  <w:tcW w:w="1104" w:type="pct"/>
                  <w:vAlign w:val="center"/>
                </w:tcPr>
                <w:p>
                  <w:pPr>
                    <w:pStyle w:val="48"/>
                    <w:keepNext w:val="0"/>
                    <w:keepLines w:val="0"/>
                    <w:suppressLineNumbers w:val="0"/>
                    <w:bidi w:val="0"/>
                    <w:spacing w:before="0" w:beforeAutospacing="0" w:after="0" w:afterAutospacing="0" w:line="240" w:lineRule="auto"/>
                    <w:ind w:left="0" w:right="0"/>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非甲烷总烃</w:t>
                  </w:r>
                </w:p>
              </w:tc>
              <w:tc>
                <w:tcPr>
                  <w:tcW w:w="1063" w:type="pct"/>
                  <w:vAlign w:val="center"/>
                </w:tcPr>
                <w:p>
                  <w:pPr>
                    <w:pStyle w:val="48"/>
                    <w:keepNext w:val="0"/>
                    <w:keepLines w:val="0"/>
                    <w:suppressLineNumbers w:val="0"/>
                    <w:bidi w:val="0"/>
                    <w:spacing w:before="0" w:beforeAutospacing="0" w:after="0" w:afterAutospacing="0" w:line="240" w:lineRule="auto"/>
                    <w:ind w:left="0" w:right="0"/>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特别排放限值（mg/m</w:t>
                  </w:r>
                  <w:r>
                    <w:rPr>
                      <w:rFonts w:hint="default" w:ascii="Times New Roman" w:hAnsi="Times New Roman" w:cs="Times New Roman"/>
                      <w:color w:val="auto"/>
                      <w:sz w:val="21"/>
                      <w:szCs w:val="21"/>
                      <w:highlight w:val="none"/>
                      <w:vertAlign w:val="superscript"/>
                      <w:lang w:val="en-US" w:eastAsia="zh-CN"/>
                    </w:rPr>
                    <w:t>3</w:t>
                  </w:r>
                  <w:r>
                    <w:rPr>
                      <w:rFonts w:hint="default" w:ascii="Times New Roman" w:hAnsi="Times New Roman" w:cs="Times New Roman"/>
                      <w:color w:val="auto"/>
                      <w:sz w:val="21"/>
                      <w:szCs w:val="21"/>
                      <w:highlight w:val="none"/>
                      <w:lang w:val="en-US" w:eastAsia="zh-CN"/>
                    </w:rPr>
                    <w:t>）</w:t>
                  </w:r>
                </w:p>
              </w:tc>
              <w:tc>
                <w:tcPr>
                  <w:tcW w:w="773" w:type="pct"/>
                  <w:vAlign w:val="center"/>
                </w:tcPr>
                <w:p>
                  <w:pPr>
                    <w:pStyle w:val="48"/>
                    <w:keepNext w:val="0"/>
                    <w:keepLines w:val="0"/>
                    <w:suppressLineNumbers w:val="0"/>
                    <w:bidi w:val="0"/>
                    <w:spacing w:before="0" w:beforeAutospacing="0" w:after="0" w:afterAutospacing="0" w:line="240" w:lineRule="auto"/>
                    <w:ind w:left="0" w:right="0"/>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60</w:t>
                  </w:r>
                </w:p>
              </w:tc>
              <w:tc>
                <w:tcPr>
                  <w:tcW w:w="2059" w:type="pct"/>
                  <w:vAlign w:val="center"/>
                </w:tcPr>
                <w:p>
                  <w:pPr>
                    <w:pStyle w:val="48"/>
                    <w:keepNext w:val="0"/>
                    <w:keepLines w:val="0"/>
                    <w:suppressLineNumbers w:val="0"/>
                    <w:bidi w:val="0"/>
                    <w:spacing w:before="0" w:beforeAutospacing="0" w:after="0" w:afterAutospacing="0" w:line="240" w:lineRule="auto"/>
                    <w:ind w:left="0" w:right="0"/>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lang w:val="en-US" w:eastAsia="zh-CN"/>
                    </w:rPr>
                    <w:t>合成树脂工业污染物排放标准</w:t>
                  </w:r>
                  <w:r>
                    <w:rPr>
                      <w:rFonts w:hint="default" w:ascii="Times New Roman" w:hAnsi="Times New Roman" w:cs="Times New Roman"/>
                      <w:color w:val="auto"/>
                      <w:sz w:val="21"/>
                      <w:szCs w:val="21"/>
                      <w:highlight w:val="none"/>
                      <w:lang w:eastAsia="zh-CN"/>
                    </w:rPr>
                    <w:t>》（GB 31572-2015，含2024年修改单）</w:t>
                  </w:r>
                </w:p>
              </w:tc>
            </w:tr>
          </w:tbl>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hint="default" w:ascii="Times New Roman" w:hAnsi="Times New Roman" w:eastAsia="宋体" w:cs="Times New Roman"/>
                <w:bCs/>
                <w:color w:val="auto"/>
                <w:kern w:val="0"/>
                <w:sz w:val="21"/>
                <w:szCs w:val="21"/>
                <w:highlight w:val="none"/>
                <w:lang w:val="en-US" w:eastAsia="zh-CN" w:bidi="ar-SA"/>
              </w:rPr>
            </w:pPr>
            <w:r>
              <w:rPr>
                <w:rFonts w:hint="eastAsia" w:ascii="Times New Roman" w:hAnsi="Times New Roman" w:cs="Times New Roman"/>
                <w:bCs/>
                <w:color w:val="auto"/>
                <w:kern w:val="0"/>
                <w:sz w:val="21"/>
                <w:szCs w:val="21"/>
                <w:highlight w:val="none"/>
                <w:lang w:val="en-US" w:eastAsia="zh-CN" w:bidi="ar-SA"/>
              </w:rPr>
              <w:t>（2）无组织废气</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360" w:lineRule="auto"/>
              <w:ind w:left="0" w:right="0" w:firstLine="420" w:firstLineChars="200"/>
              <w:jc w:val="both"/>
              <w:textAlignment w:val="auto"/>
              <w:rPr>
                <w:rFonts w:hint="default" w:ascii="Times New Roman" w:hAnsi="Times New Roman" w:cs="Times New Roman"/>
                <w:bCs/>
                <w:color w:val="auto"/>
                <w:kern w:val="0"/>
                <w:sz w:val="21"/>
                <w:szCs w:val="21"/>
                <w:highlight w:val="none"/>
                <w:lang w:val="en-US" w:eastAsia="zh-CN" w:bidi="ar-SA"/>
              </w:rPr>
            </w:pPr>
            <w:r>
              <w:rPr>
                <w:rFonts w:hint="default" w:ascii="Times New Roman" w:hAnsi="Times New Roman" w:eastAsia="宋体" w:cs="Times New Roman"/>
                <w:bCs/>
                <w:color w:val="auto"/>
                <w:kern w:val="0"/>
                <w:sz w:val="21"/>
                <w:szCs w:val="21"/>
                <w:highlight w:val="none"/>
                <w:lang w:val="en-US" w:eastAsia="zh-CN" w:bidi="ar-SA"/>
              </w:rPr>
              <w:t>厂</w:t>
            </w:r>
            <w:r>
              <w:rPr>
                <w:rFonts w:hint="default" w:ascii="Times New Roman" w:hAnsi="Times New Roman" w:cs="Times New Roman"/>
                <w:bCs/>
                <w:color w:val="auto"/>
                <w:kern w:val="0"/>
                <w:sz w:val="21"/>
                <w:szCs w:val="21"/>
                <w:highlight w:val="none"/>
                <w:lang w:val="en-US" w:eastAsia="zh-CN" w:bidi="ar-SA"/>
              </w:rPr>
              <w:t>界</w:t>
            </w:r>
            <w:r>
              <w:rPr>
                <w:rFonts w:hint="default" w:ascii="Times New Roman" w:hAnsi="Times New Roman" w:eastAsia="宋体" w:cs="Times New Roman"/>
                <w:bCs/>
                <w:color w:val="auto"/>
                <w:kern w:val="0"/>
                <w:sz w:val="21"/>
                <w:szCs w:val="21"/>
                <w:highlight w:val="none"/>
                <w:lang w:val="en-US" w:eastAsia="zh-CN" w:bidi="ar-SA"/>
              </w:rPr>
              <w:t>无组织</w:t>
            </w:r>
            <w:r>
              <w:rPr>
                <w:rFonts w:hint="default" w:ascii="Times New Roman" w:hAnsi="Times New Roman" w:cs="Times New Roman"/>
                <w:bCs/>
                <w:color w:val="auto"/>
                <w:kern w:val="0"/>
                <w:sz w:val="21"/>
                <w:szCs w:val="21"/>
                <w:highlight w:val="none"/>
                <w:lang w:eastAsia="zh-CN"/>
              </w:rPr>
              <w:t>非甲烷总烃</w:t>
            </w:r>
            <w:r>
              <w:rPr>
                <w:rFonts w:hint="default" w:ascii="Times New Roman" w:hAnsi="Times New Roman" w:eastAsia="宋体" w:cs="Times New Roman"/>
                <w:color w:val="auto"/>
                <w:sz w:val="21"/>
                <w:szCs w:val="21"/>
                <w:highlight w:val="none"/>
                <w:lang w:val="en-US" w:eastAsia="zh-CN"/>
              </w:rPr>
              <w:t>执行《合成树脂工业污染物排放标准》</w:t>
            </w:r>
            <w:r>
              <w:rPr>
                <w:rFonts w:hint="eastAsia" w:ascii="Times New Roman" w:hAnsi="Times New Roman" w:eastAsia="宋体" w:cs="Times New Roman"/>
                <w:b w:val="0"/>
                <w:bCs w:val="0"/>
                <w:color w:val="auto"/>
                <w:kern w:val="0"/>
                <w:sz w:val="21"/>
                <w:szCs w:val="21"/>
                <w:highlight w:val="none"/>
                <w:lang w:val="en-US" w:eastAsia="zh-CN"/>
              </w:rPr>
              <w:t>（GB 31572-2015，含2024年修改单）</w:t>
            </w:r>
            <w:r>
              <w:rPr>
                <w:rFonts w:hint="default" w:ascii="Times New Roman" w:hAnsi="Times New Roman" w:eastAsia="宋体" w:cs="Times New Roman"/>
                <w:color w:val="auto"/>
                <w:sz w:val="21"/>
                <w:szCs w:val="21"/>
                <w:highlight w:val="none"/>
                <w:lang w:val="en-US" w:eastAsia="zh-CN"/>
              </w:rPr>
              <w:t>中</w:t>
            </w:r>
            <w:r>
              <w:rPr>
                <w:rFonts w:hint="eastAsia" w:ascii="Times New Roman" w:hAnsi="Times New Roman" w:eastAsia="宋体" w:cs="Times New Roman"/>
                <w:color w:val="auto"/>
                <w:sz w:val="21"/>
                <w:szCs w:val="21"/>
                <w:highlight w:val="none"/>
                <w:lang w:val="en-US" w:eastAsia="zh-CN"/>
              </w:rPr>
              <w:t>企业边界</w:t>
            </w:r>
            <w:r>
              <w:rPr>
                <w:rFonts w:hint="default" w:ascii="Times New Roman" w:hAnsi="Times New Roman" w:eastAsia="宋体" w:cs="Times New Roman"/>
                <w:color w:val="auto"/>
                <w:sz w:val="21"/>
                <w:szCs w:val="21"/>
                <w:highlight w:val="none"/>
                <w:lang w:val="en-US" w:eastAsia="zh-CN"/>
              </w:rPr>
              <w:t>大气污染物限值</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lang w:val="en-US" w:eastAsia="zh-CN"/>
              </w:rPr>
              <w:t>厂内无组织非甲烷总烃执行</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lang w:val="en-US" w:eastAsia="zh-CN"/>
              </w:rPr>
              <w:t>挥发性有机物无组织排放控制标准</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lang w:val="en-US" w:eastAsia="zh-CN"/>
              </w:rPr>
              <w:t>GB38822-2019</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lang w:val="en-US" w:eastAsia="zh-CN"/>
              </w:rPr>
              <w:t>中特别排放限值</w:t>
            </w:r>
            <w:r>
              <w:rPr>
                <w:rFonts w:hint="eastAsia" w:cs="Times New Roman"/>
                <w:color w:val="auto"/>
                <w:sz w:val="21"/>
                <w:szCs w:val="21"/>
                <w:highlight w:val="none"/>
                <w:lang w:val="en-US" w:eastAsia="zh-CN"/>
              </w:rPr>
              <w:t>；厂界无组织</w:t>
            </w:r>
            <w:r>
              <w:rPr>
                <w:rFonts w:hint="default" w:ascii="Times New Roman" w:hAnsi="Times New Roman" w:cs="Times New Roman"/>
                <w:color w:val="auto"/>
                <w:sz w:val="21"/>
                <w:szCs w:val="21"/>
                <w:highlight w:val="none"/>
                <w:lang w:val="en-US" w:eastAsia="zh-CN"/>
              </w:rPr>
              <w:t>臭气浓度执行</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cs="Times New Roman"/>
                <w:color w:val="auto"/>
                <w:sz w:val="21"/>
                <w:szCs w:val="21"/>
                <w:highlight w:val="none"/>
                <w:lang w:val="en-US" w:eastAsia="zh-CN"/>
              </w:rPr>
              <w:t>恶臭污染物排放标准</w:t>
            </w:r>
            <w:r>
              <w:rPr>
                <w:rFonts w:hint="default" w:ascii="Times New Roman" w:hAnsi="Times New Roman" w:eastAsia="宋体" w:cs="Times New Roman"/>
                <w:color w:val="auto"/>
                <w:sz w:val="21"/>
                <w:szCs w:val="21"/>
                <w:highlight w:val="none"/>
                <w:lang w:eastAsia="zh-CN"/>
              </w:rPr>
              <w:t>》（GB</w:t>
            </w:r>
            <w:r>
              <w:rPr>
                <w:rFonts w:hint="default" w:ascii="Times New Roman" w:hAnsi="Times New Roman" w:cs="Times New Roman"/>
                <w:color w:val="auto"/>
                <w:sz w:val="21"/>
                <w:szCs w:val="21"/>
                <w:highlight w:val="none"/>
                <w:lang w:val="en-US" w:eastAsia="zh-CN"/>
              </w:rPr>
              <w:t>14554</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cs="Times New Roman"/>
                <w:color w:val="auto"/>
                <w:sz w:val="21"/>
                <w:szCs w:val="21"/>
                <w:highlight w:val="none"/>
                <w:lang w:val="en-US" w:eastAsia="zh-CN"/>
              </w:rPr>
              <w:t>93</w:t>
            </w:r>
            <w:r>
              <w:rPr>
                <w:rFonts w:hint="default" w:ascii="Times New Roman" w:hAnsi="Times New Roman" w:eastAsia="宋体" w:cs="Times New Roman"/>
                <w:color w:val="auto"/>
                <w:sz w:val="21"/>
                <w:szCs w:val="21"/>
                <w:highlight w:val="none"/>
                <w:lang w:eastAsia="zh-CN"/>
              </w:rPr>
              <w:t>）</w:t>
            </w:r>
            <w:r>
              <w:rPr>
                <w:rFonts w:hint="eastAsia" w:cs="Times New Roman"/>
                <w:color w:val="auto"/>
                <w:sz w:val="21"/>
                <w:szCs w:val="21"/>
                <w:highlight w:val="none"/>
                <w:lang w:val="en-US" w:eastAsia="zh-CN"/>
              </w:rPr>
              <w:t>中表1二级新扩改建标准限值要求</w:t>
            </w:r>
            <w:r>
              <w:rPr>
                <w:rFonts w:hint="default" w:ascii="Times New Roman" w:hAnsi="Times New Roman" w:cs="Times New Roman"/>
                <w:bCs/>
                <w:color w:val="auto"/>
                <w:kern w:val="0"/>
                <w:sz w:val="21"/>
                <w:szCs w:val="21"/>
                <w:highlight w:val="none"/>
                <w:lang w:val="en-US" w:eastAsia="zh-CN" w:bidi="ar-SA"/>
              </w:rPr>
              <w:t>。</w:t>
            </w:r>
          </w:p>
          <w:p>
            <w:pPr>
              <w:keepNext w:val="0"/>
              <w:keepLines w:val="0"/>
              <w:widowControl/>
              <w:suppressLineNumbers w:val="0"/>
              <w:spacing w:before="0" w:beforeAutospacing="0" w:after="0" w:afterAutospacing="0" w:line="240" w:lineRule="auto"/>
              <w:ind w:left="0" w:leftChars="0" w:right="0" w:firstLine="0" w:firstLineChars="0"/>
              <w:jc w:val="center"/>
              <w:rPr>
                <w:rFonts w:hint="default" w:ascii="Times New Roman" w:hAnsi="Times New Roman" w:cs="Times New Roman"/>
                <w:b/>
                <w:color w:val="auto"/>
                <w:sz w:val="21"/>
                <w:szCs w:val="21"/>
                <w:highlight w:val="none"/>
                <w:lang w:eastAsia="zh-CN"/>
              </w:rPr>
            </w:pPr>
            <w:r>
              <w:rPr>
                <w:rFonts w:hint="default" w:ascii="Times New Roman" w:hAnsi="Times New Roman" w:cs="Times New Roman"/>
                <w:b/>
                <w:color w:val="auto"/>
                <w:sz w:val="21"/>
                <w:szCs w:val="21"/>
                <w:highlight w:val="none"/>
              </w:rPr>
              <w:t>表3-</w:t>
            </w:r>
            <w:r>
              <w:rPr>
                <w:rFonts w:hint="eastAsia" w:cs="Times New Roman"/>
                <w:b/>
                <w:color w:val="auto"/>
                <w:sz w:val="21"/>
                <w:szCs w:val="21"/>
                <w:highlight w:val="none"/>
                <w:lang w:val="en-US" w:eastAsia="zh-CN"/>
              </w:rPr>
              <w:t>5</w:t>
            </w:r>
            <w:r>
              <w:rPr>
                <w:rFonts w:hint="default" w:ascii="Times New Roman" w:hAnsi="Times New Roman" w:cs="Times New Roman"/>
                <w:b/>
                <w:color w:val="auto"/>
                <w:sz w:val="21"/>
                <w:szCs w:val="21"/>
                <w:highlight w:val="none"/>
                <w:lang w:val="en-US" w:eastAsia="zh-CN"/>
              </w:rPr>
              <w:t xml:space="preserve">  无组织</w:t>
            </w:r>
            <w:r>
              <w:rPr>
                <w:rFonts w:hint="default" w:ascii="Times New Roman" w:hAnsi="Times New Roman" w:cs="Times New Roman"/>
                <w:b/>
                <w:color w:val="auto"/>
                <w:sz w:val="21"/>
                <w:szCs w:val="21"/>
                <w:highlight w:val="none"/>
                <w:lang w:eastAsia="zh-CN"/>
              </w:rPr>
              <w:t>大气污染物执行标准一览表</w:t>
            </w:r>
          </w:p>
          <w:tbl>
            <w:tblPr>
              <w:tblStyle w:val="2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23"/>
              <w:gridCol w:w="1927"/>
              <w:gridCol w:w="1233"/>
              <w:gridCol w:w="327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44" w:hRule="atLeast"/>
                <w:jc w:val="center"/>
              </w:trPr>
              <w:tc>
                <w:tcPr>
                  <w:tcW w:w="956" w:type="pct"/>
                  <w:vAlign w:val="center"/>
                </w:tcPr>
                <w:p>
                  <w:pPr>
                    <w:pStyle w:val="48"/>
                    <w:keepNext w:val="0"/>
                    <w:keepLines w:val="0"/>
                    <w:suppressLineNumbers w:val="0"/>
                    <w:bidi w:val="0"/>
                    <w:spacing w:before="0" w:beforeAutospacing="0" w:after="0" w:afterAutospacing="0" w:line="240" w:lineRule="auto"/>
                    <w:ind w:left="0" w:right="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污染物项目</w:t>
                  </w:r>
                </w:p>
              </w:tc>
              <w:tc>
                <w:tcPr>
                  <w:tcW w:w="1984" w:type="pct"/>
                  <w:gridSpan w:val="2"/>
                  <w:vAlign w:val="center"/>
                </w:tcPr>
                <w:p>
                  <w:pPr>
                    <w:pStyle w:val="48"/>
                    <w:keepNext w:val="0"/>
                    <w:keepLines w:val="0"/>
                    <w:suppressLineNumbers w:val="0"/>
                    <w:bidi w:val="0"/>
                    <w:spacing w:before="0" w:beforeAutospacing="0" w:after="0" w:afterAutospacing="0" w:line="240" w:lineRule="auto"/>
                    <w:ind w:left="0" w:right="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限值</w:t>
                  </w:r>
                </w:p>
              </w:tc>
              <w:tc>
                <w:tcPr>
                  <w:tcW w:w="2058" w:type="pct"/>
                  <w:vAlign w:val="center"/>
                </w:tcPr>
                <w:p>
                  <w:pPr>
                    <w:pStyle w:val="48"/>
                    <w:keepNext w:val="0"/>
                    <w:keepLines w:val="0"/>
                    <w:suppressLineNumbers w:val="0"/>
                    <w:bidi w:val="0"/>
                    <w:spacing w:before="0" w:beforeAutospacing="0" w:after="0" w:afterAutospacing="0" w:line="240" w:lineRule="auto"/>
                    <w:ind w:left="0" w:right="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采用标准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9" w:hRule="atLeast"/>
                <w:jc w:val="center"/>
              </w:trPr>
              <w:tc>
                <w:tcPr>
                  <w:tcW w:w="956" w:type="pct"/>
                  <w:vMerge w:val="restart"/>
                  <w:shd w:val="clear" w:color="auto" w:fill="auto"/>
                  <w:vAlign w:val="center"/>
                </w:tcPr>
                <w:p>
                  <w:pPr>
                    <w:pStyle w:val="48"/>
                    <w:keepNext w:val="0"/>
                    <w:keepLines w:val="0"/>
                    <w:suppressLineNumbers w:val="0"/>
                    <w:bidi w:val="0"/>
                    <w:spacing w:before="0" w:beforeAutospacing="0" w:after="0" w:afterAutospacing="0" w:line="240" w:lineRule="auto"/>
                    <w:ind w:left="0" w:leftChars="0" w:right="0" w:rightChars="0" w:firstLine="0" w:firstLineChars="0"/>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非甲烷总烃</w:t>
                  </w:r>
                </w:p>
              </w:tc>
              <w:tc>
                <w:tcPr>
                  <w:tcW w:w="1210" w:type="pct"/>
                  <w:shd w:val="clear" w:color="auto" w:fill="auto"/>
                  <w:vAlign w:val="center"/>
                </w:tcPr>
                <w:p>
                  <w:pPr>
                    <w:pStyle w:val="48"/>
                    <w:keepNext w:val="0"/>
                    <w:keepLines w:val="0"/>
                    <w:suppressLineNumbers w:val="0"/>
                    <w:bidi w:val="0"/>
                    <w:spacing w:before="0" w:beforeAutospacing="0" w:after="0" w:afterAutospacing="0" w:line="240" w:lineRule="auto"/>
                    <w:ind w:left="0" w:leftChars="0" w:right="0" w:rightChars="0"/>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cs="Times New Roman"/>
                      <w:color w:val="auto"/>
                      <w:sz w:val="21"/>
                      <w:szCs w:val="21"/>
                      <w:highlight w:val="none"/>
                      <w:lang w:val="en-US" w:eastAsia="zh-CN"/>
                    </w:rPr>
                    <w:t>厂界边界浓度限值</w:t>
                  </w:r>
                  <w:r>
                    <w:rPr>
                      <w:rFonts w:hint="default" w:ascii="Times New Roman" w:hAnsi="Times New Roman" w:cs="Times New Roman"/>
                      <w:color w:val="auto"/>
                      <w:sz w:val="21"/>
                      <w:szCs w:val="21"/>
                      <w:highlight w:val="none"/>
                      <w:lang w:val="en-US" w:eastAsia="zh-CN"/>
                    </w:rPr>
                    <w:t>（mg/m</w:t>
                  </w:r>
                  <w:r>
                    <w:rPr>
                      <w:rFonts w:hint="default" w:ascii="Times New Roman" w:hAnsi="Times New Roman" w:cs="Times New Roman"/>
                      <w:color w:val="auto"/>
                      <w:sz w:val="21"/>
                      <w:szCs w:val="21"/>
                      <w:highlight w:val="none"/>
                      <w:vertAlign w:val="superscript"/>
                      <w:lang w:val="en-US" w:eastAsia="zh-CN"/>
                    </w:rPr>
                    <w:t>3</w:t>
                  </w:r>
                  <w:r>
                    <w:rPr>
                      <w:rFonts w:hint="default" w:ascii="Times New Roman" w:hAnsi="Times New Roman" w:cs="Times New Roman"/>
                      <w:color w:val="auto"/>
                      <w:sz w:val="21"/>
                      <w:szCs w:val="21"/>
                      <w:highlight w:val="none"/>
                      <w:lang w:val="en-US" w:eastAsia="zh-CN"/>
                    </w:rPr>
                    <w:t>）</w:t>
                  </w:r>
                </w:p>
              </w:tc>
              <w:tc>
                <w:tcPr>
                  <w:tcW w:w="774" w:type="pct"/>
                  <w:shd w:val="clear" w:color="auto" w:fill="auto"/>
                  <w:vAlign w:val="center"/>
                </w:tcPr>
                <w:p>
                  <w:pPr>
                    <w:pStyle w:val="48"/>
                    <w:keepNext w:val="0"/>
                    <w:keepLines w:val="0"/>
                    <w:suppressLineNumbers w:val="0"/>
                    <w:bidi w:val="0"/>
                    <w:spacing w:before="0" w:beforeAutospacing="0" w:after="0" w:afterAutospacing="0" w:line="240" w:lineRule="auto"/>
                    <w:ind w:left="0" w:leftChars="0" w:right="0" w:rightChars="0"/>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4</w:t>
                  </w:r>
                </w:p>
              </w:tc>
              <w:tc>
                <w:tcPr>
                  <w:tcW w:w="2058" w:type="pct"/>
                  <w:shd w:val="clear" w:color="auto" w:fill="auto"/>
                  <w:vAlign w:val="center"/>
                </w:tcPr>
                <w:p>
                  <w:pPr>
                    <w:pStyle w:val="48"/>
                    <w:keepNext w:val="0"/>
                    <w:keepLines w:val="0"/>
                    <w:suppressLineNumbers w:val="0"/>
                    <w:bidi w:val="0"/>
                    <w:spacing w:before="0" w:beforeAutospacing="0" w:after="0" w:afterAutospacing="0" w:line="240" w:lineRule="auto"/>
                    <w:ind w:left="0" w:leftChars="0" w:right="0" w:rightChars="0"/>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lang w:val="en-US" w:eastAsia="zh-CN"/>
                    </w:rPr>
                    <w:t>合成树脂工业污染物排放标准</w:t>
                  </w:r>
                  <w:r>
                    <w:rPr>
                      <w:rFonts w:hint="default" w:ascii="Times New Roman" w:hAnsi="Times New Roman" w:cs="Times New Roman"/>
                      <w:color w:val="auto"/>
                      <w:sz w:val="21"/>
                      <w:szCs w:val="21"/>
                      <w:highlight w:val="none"/>
                      <w:lang w:eastAsia="zh-CN"/>
                    </w:rPr>
                    <w:t>》（GB 31572-2015，含2024年修改单）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69" w:hRule="atLeast"/>
                <w:jc w:val="center"/>
              </w:trPr>
              <w:tc>
                <w:tcPr>
                  <w:tcW w:w="956" w:type="pct"/>
                  <w:vMerge w:val="continue"/>
                  <w:shd w:val="clear" w:color="auto" w:fill="auto"/>
                  <w:vAlign w:val="center"/>
                </w:tcPr>
                <w:p>
                  <w:pPr>
                    <w:pStyle w:val="48"/>
                    <w:keepNext w:val="0"/>
                    <w:keepLines w:val="0"/>
                    <w:suppressLineNumbers w:val="0"/>
                    <w:bidi w:val="0"/>
                    <w:spacing w:before="0" w:beforeAutospacing="0" w:after="0" w:afterAutospacing="0" w:line="240" w:lineRule="auto"/>
                    <w:ind w:left="0" w:leftChars="0" w:right="0" w:rightChars="0" w:firstLine="0" w:firstLineChars="0"/>
                    <w:rPr>
                      <w:rFonts w:hint="default" w:ascii="Times New Roman" w:hAnsi="Times New Roman" w:eastAsia="宋体" w:cs="Times New Roman"/>
                      <w:color w:val="auto"/>
                      <w:kern w:val="0"/>
                      <w:sz w:val="21"/>
                      <w:szCs w:val="21"/>
                      <w:highlight w:val="none"/>
                      <w:lang w:val="en-US" w:eastAsia="zh-CN" w:bidi="ar-SA"/>
                    </w:rPr>
                  </w:pPr>
                </w:p>
              </w:tc>
              <w:tc>
                <w:tcPr>
                  <w:tcW w:w="1210" w:type="pct"/>
                  <w:shd w:val="clear" w:color="auto" w:fill="auto"/>
                  <w:vAlign w:val="center"/>
                </w:tcPr>
                <w:p>
                  <w:pPr>
                    <w:pStyle w:val="48"/>
                    <w:keepNext w:val="0"/>
                    <w:keepLines w:val="0"/>
                    <w:suppressLineNumbers w:val="0"/>
                    <w:bidi w:val="0"/>
                    <w:spacing w:before="0" w:beforeAutospacing="0" w:after="0" w:afterAutospacing="0" w:line="240" w:lineRule="auto"/>
                    <w:ind w:left="0" w:leftChars="0" w:right="0" w:rightChars="0"/>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厂区内监控点处1h平均浓度值（mg/m</w:t>
                  </w:r>
                  <w:r>
                    <w:rPr>
                      <w:rFonts w:hint="default" w:ascii="Times New Roman" w:hAnsi="Times New Roman" w:cs="Times New Roman"/>
                      <w:color w:val="auto"/>
                      <w:sz w:val="21"/>
                      <w:szCs w:val="21"/>
                      <w:highlight w:val="none"/>
                      <w:vertAlign w:val="superscript"/>
                      <w:lang w:val="en-US" w:eastAsia="zh-CN"/>
                    </w:rPr>
                    <w:t>3</w:t>
                  </w:r>
                  <w:r>
                    <w:rPr>
                      <w:rFonts w:hint="default" w:ascii="Times New Roman" w:hAnsi="Times New Roman" w:cs="Times New Roman"/>
                      <w:color w:val="auto"/>
                      <w:sz w:val="21"/>
                      <w:szCs w:val="21"/>
                      <w:highlight w:val="none"/>
                      <w:lang w:val="en-US" w:eastAsia="zh-CN"/>
                    </w:rPr>
                    <w:t>）</w:t>
                  </w:r>
                </w:p>
              </w:tc>
              <w:tc>
                <w:tcPr>
                  <w:tcW w:w="774" w:type="pct"/>
                  <w:shd w:val="clear" w:color="auto" w:fill="auto"/>
                  <w:vAlign w:val="center"/>
                </w:tcPr>
                <w:p>
                  <w:pPr>
                    <w:pStyle w:val="48"/>
                    <w:keepNext w:val="0"/>
                    <w:keepLines w:val="0"/>
                    <w:suppressLineNumbers w:val="0"/>
                    <w:bidi w:val="0"/>
                    <w:spacing w:before="0" w:beforeAutospacing="0" w:after="0" w:afterAutospacing="0" w:line="240" w:lineRule="auto"/>
                    <w:ind w:left="0" w:leftChars="0" w:right="0" w:rightChars="0"/>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lang w:val="en-US" w:eastAsia="zh-CN"/>
                    </w:rPr>
                    <w:t>6</w:t>
                  </w:r>
                </w:p>
              </w:tc>
              <w:tc>
                <w:tcPr>
                  <w:tcW w:w="2058" w:type="pct"/>
                  <w:vMerge w:val="restart"/>
                  <w:shd w:val="clear" w:color="auto" w:fill="auto"/>
                  <w:vAlign w:val="center"/>
                </w:tcPr>
                <w:p>
                  <w:pPr>
                    <w:pStyle w:val="48"/>
                    <w:keepNext w:val="0"/>
                    <w:keepLines w:val="0"/>
                    <w:suppressLineNumbers w:val="0"/>
                    <w:bidi w:val="0"/>
                    <w:spacing w:before="0" w:beforeAutospacing="0" w:after="0" w:afterAutospacing="0" w:line="240" w:lineRule="auto"/>
                    <w:ind w:left="0" w:leftChars="0" w:right="0" w:rightChars="0"/>
                    <w:rPr>
                      <w:rFonts w:hint="default" w:ascii="Times New Roman" w:hAnsi="Times New Roman" w:eastAsia="宋体" w:cs="Times New Roman"/>
                      <w:color w:val="auto"/>
                      <w:kern w:val="0"/>
                      <w:sz w:val="21"/>
                      <w:szCs w:val="21"/>
                      <w:highlight w:val="none"/>
                      <w:lang w:val="en-US" w:eastAsia="zh-CN" w:bidi="ar-SA"/>
                    </w:rPr>
                  </w:pP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lang w:val="en-US" w:eastAsia="zh-CN"/>
                    </w:rPr>
                    <w:t>挥发性有机物无组织排放控制标准</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lang w:val="en-US" w:eastAsia="zh-CN"/>
                    </w:rPr>
                    <w:t>GB38822-2019</w:t>
                  </w:r>
                  <w:r>
                    <w:rPr>
                      <w:rFonts w:hint="default" w:ascii="Times New Roman" w:hAnsi="Times New Roman" w:cs="Times New Roman"/>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69" w:hRule="atLeast"/>
                <w:jc w:val="center"/>
              </w:trPr>
              <w:tc>
                <w:tcPr>
                  <w:tcW w:w="956" w:type="pct"/>
                  <w:vMerge w:val="continue"/>
                  <w:shd w:val="clear" w:color="auto" w:fill="auto"/>
                  <w:vAlign w:val="center"/>
                </w:tcPr>
                <w:p>
                  <w:pPr>
                    <w:pStyle w:val="48"/>
                    <w:keepNext w:val="0"/>
                    <w:keepLines w:val="0"/>
                    <w:suppressLineNumbers w:val="0"/>
                    <w:bidi w:val="0"/>
                    <w:spacing w:before="0" w:beforeAutospacing="0" w:after="0" w:afterAutospacing="0" w:line="240" w:lineRule="auto"/>
                    <w:ind w:left="0" w:leftChars="0" w:right="0" w:rightChars="0" w:firstLine="0" w:firstLineChars="0"/>
                    <w:rPr>
                      <w:rFonts w:hint="default" w:ascii="Times New Roman" w:hAnsi="Times New Roman" w:cs="Times New Roman"/>
                      <w:color w:val="auto"/>
                      <w:sz w:val="21"/>
                      <w:szCs w:val="21"/>
                      <w:highlight w:val="none"/>
                      <w:lang w:val="en-US" w:eastAsia="zh-CN"/>
                    </w:rPr>
                  </w:pPr>
                </w:p>
              </w:tc>
              <w:tc>
                <w:tcPr>
                  <w:tcW w:w="1210" w:type="pct"/>
                  <w:shd w:val="clear" w:color="auto" w:fill="auto"/>
                  <w:vAlign w:val="center"/>
                </w:tcPr>
                <w:p>
                  <w:pPr>
                    <w:pStyle w:val="48"/>
                    <w:keepNext w:val="0"/>
                    <w:keepLines w:val="0"/>
                    <w:suppressLineNumbers w:val="0"/>
                    <w:bidi w:val="0"/>
                    <w:spacing w:before="0" w:beforeAutospacing="0" w:after="0" w:afterAutospacing="0" w:line="240" w:lineRule="auto"/>
                    <w:ind w:left="0" w:leftChars="0" w:right="0" w:rightChars="0"/>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eastAsiaTheme="minorEastAsia"/>
                      <w:color w:val="auto"/>
                      <w:kern w:val="0"/>
                      <w:sz w:val="21"/>
                      <w:szCs w:val="21"/>
                      <w:highlight w:val="none"/>
                      <w:vertAlign w:val="baseline"/>
                      <w:lang w:val="en-US" w:eastAsia="zh-CN" w:bidi="ar-SA"/>
                    </w:rPr>
                    <w:t>监控点处任意一次浓度值</w:t>
                  </w:r>
                  <w:r>
                    <w:rPr>
                      <w:rFonts w:hint="default" w:ascii="Times New Roman" w:hAnsi="Times New Roman" w:cs="Times New Roman"/>
                      <w:color w:val="auto"/>
                      <w:sz w:val="21"/>
                      <w:szCs w:val="21"/>
                      <w:highlight w:val="none"/>
                      <w:lang w:val="en-US" w:eastAsia="zh-CN"/>
                    </w:rPr>
                    <w:t>（mg/m</w:t>
                  </w:r>
                  <w:r>
                    <w:rPr>
                      <w:rFonts w:hint="default" w:ascii="Times New Roman" w:hAnsi="Times New Roman" w:cs="Times New Roman"/>
                      <w:color w:val="auto"/>
                      <w:sz w:val="21"/>
                      <w:szCs w:val="21"/>
                      <w:highlight w:val="none"/>
                      <w:vertAlign w:val="superscript"/>
                      <w:lang w:val="en-US" w:eastAsia="zh-CN"/>
                    </w:rPr>
                    <w:t>3</w:t>
                  </w:r>
                  <w:r>
                    <w:rPr>
                      <w:rFonts w:hint="default" w:ascii="Times New Roman" w:hAnsi="Times New Roman" w:cs="Times New Roman"/>
                      <w:color w:val="auto"/>
                      <w:sz w:val="21"/>
                      <w:szCs w:val="21"/>
                      <w:highlight w:val="none"/>
                      <w:lang w:val="en-US" w:eastAsia="zh-CN"/>
                    </w:rPr>
                    <w:t>）</w:t>
                  </w:r>
                </w:p>
              </w:tc>
              <w:tc>
                <w:tcPr>
                  <w:tcW w:w="774" w:type="pct"/>
                  <w:shd w:val="clear" w:color="auto" w:fill="auto"/>
                  <w:vAlign w:val="center"/>
                </w:tcPr>
                <w:p>
                  <w:pPr>
                    <w:pStyle w:val="48"/>
                    <w:keepNext w:val="0"/>
                    <w:keepLines w:val="0"/>
                    <w:suppressLineNumbers w:val="0"/>
                    <w:bidi w:val="0"/>
                    <w:spacing w:before="0" w:beforeAutospacing="0" w:after="0" w:afterAutospacing="0" w:line="240" w:lineRule="auto"/>
                    <w:ind w:left="0" w:leftChars="0" w:right="0" w:rightChars="0"/>
                    <w:rPr>
                      <w:rFonts w:hint="default" w:ascii="Times New Roman" w:hAnsi="Times New Roman"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20</w:t>
                  </w:r>
                </w:p>
              </w:tc>
              <w:tc>
                <w:tcPr>
                  <w:tcW w:w="2058" w:type="pct"/>
                  <w:vMerge w:val="continue"/>
                  <w:shd w:val="clear" w:color="auto" w:fill="auto"/>
                  <w:vAlign w:val="center"/>
                </w:tcPr>
                <w:p>
                  <w:pPr>
                    <w:pStyle w:val="48"/>
                    <w:keepNext w:val="0"/>
                    <w:keepLines w:val="0"/>
                    <w:suppressLineNumbers w:val="0"/>
                    <w:bidi w:val="0"/>
                    <w:spacing w:before="0" w:beforeAutospacing="0" w:after="0" w:afterAutospacing="0" w:line="240" w:lineRule="auto"/>
                    <w:ind w:left="0" w:leftChars="0" w:right="0" w:rightChars="0"/>
                    <w:rPr>
                      <w:rFonts w:hint="default" w:ascii="Times New Roman" w:hAnsi="Times New Roman" w:cs="Times New Roman"/>
                      <w:color w:val="auto"/>
                      <w:sz w:val="21"/>
                      <w:szCs w:val="21"/>
                      <w:highlight w:val="none"/>
                      <w:lang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cantSplit/>
                <w:trHeight w:val="469" w:hRule="atLeast"/>
                <w:jc w:val="center"/>
              </w:trPr>
              <w:tc>
                <w:tcPr>
                  <w:tcW w:w="956" w:type="pct"/>
                  <w:shd w:val="clear" w:color="auto" w:fill="auto"/>
                  <w:vAlign w:val="center"/>
                </w:tcPr>
                <w:p>
                  <w:pPr>
                    <w:pStyle w:val="48"/>
                    <w:keepNext w:val="0"/>
                    <w:keepLines w:val="0"/>
                    <w:suppressLineNumbers w:val="0"/>
                    <w:bidi w:val="0"/>
                    <w:spacing w:before="0" w:beforeAutospacing="0" w:after="0" w:afterAutospacing="0" w:line="240" w:lineRule="auto"/>
                    <w:ind w:left="0" w:leftChars="0" w:right="0" w:rightChars="0" w:firstLine="0" w:firstLineChars="0"/>
                    <w:rPr>
                      <w:rFonts w:hint="default" w:ascii="Times New Roman" w:hAnsi="Times New Roman"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臭气浓度</w:t>
                  </w:r>
                </w:p>
              </w:tc>
              <w:tc>
                <w:tcPr>
                  <w:tcW w:w="1210" w:type="pct"/>
                  <w:shd w:val="clear" w:color="auto" w:fill="auto"/>
                  <w:vAlign w:val="center"/>
                </w:tcPr>
                <w:p>
                  <w:pPr>
                    <w:pStyle w:val="48"/>
                    <w:keepNext w:val="0"/>
                    <w:keepLines w:val="0"/>
                    <w:suppressLineNumbers w:val="0"/>
                    <w:bidi w:val="0"/>
                    <w:spacing w:before="0" w:beforeAutospacing="0" w:after="0" w:afterAutospacing="0" w:line="240" w:lineRule="auto"/>
                    <w:ind w:left="0" w:leftChars="0" w:right="0" w:rightChars="0"/>
                    <w:rPr>
                      <w:rFonts w:hint="default" w:ascii="Times New Roman" w:hAnsi="Times New Roman" w:cs="Times New Roman" w:eastAsiaTheme="minorEastAsia"/>
                      <w:color w:val="auto"/>
                      <w:kern w:val="0"/>
                      <w:sz w:val="21"/>
                      <w:szCs w:val="21"/>
                      <w:highlight w:val="none"/>
                      <w:vertAlign w:val="baseline"/>
                      <w:lang w:val="en-US" w:eastAsia="zh-CN" w:bidi="ar-SA"/>
                    </w:rPr>
                  </w:pPr>
                  <w:r>
                    <w:rPr>
                      <w:rFonts w:hint="eastAsia" w:ascii="Times New Roman" w:cs="Times New Roman"/>
                      <w:color w:val="auto"/>
                      <w:sz w:val="21"/>
                      <w:szCs w:val="21"/>
                      <w:highlight w:val="none"/>
                      <w:lang w:val="en-US" w:eastAsia="zh-CN"/>
                    </w:rPr>
                    <w:t>厂界边界浓度限值</w:t>
                  </w:r>
                  <w:r>
                    <w:rPr>
                      <w:rFonts w:hint="default" w:ascii="Times New Roman" w:hAnsi="Times New Roman" w:cs="Times New Roman"/>
                      <w:color w:val="auto"/>
                      <w:sz w:val="21"/>
                      <w:szCs w:val="21"/>
                      <w:highlight w:val="none"/>
                      <w:lang w:val="en-US" w:eastAsia="zh-CN"/>
                    </w:rPr>
                    <w:t>（</w:t>
                  </w:r>
                  <w:r>
                    <w:rPr>
                      <w:rFonts w:hint="eastAsia" w:ascii="Times New Roman" w:cs="Times New Roman"/>
                      <w:color w:val="auto"/>
                      <w:sz w:val="21"/>
                      <w:szCs w:val="21"/>
                      <w:highlight w:val="none"/>
                      <w:lang w:val="en-US" w:eastAsia="zh-CN"/>
                    </w:rPr>
                    <w:t>无量纲</w:t>
                  </w:r>
                  <w:r>
                    <w:rPr>
                      <w:rFonts w:hint="default" w:ascii="Times New Roman" w:hAnsi="Times New Roman" w:cs="Times New Roman"/>
                      <w:color w:val="auto"/>
                      <w:sz w:val="21"/>
                      <w:szCs w:val="21"/>
                      <w:highlight w:val="none"/>
                      <w:lang w:val="en-US" w:eastAsia="zh-CN"/>
                    </w:rPr>
                    <w:t>）</w:t>
                  </w:r>
                </w:p>
              </w:tc>
              <w:tc>
                <w:tcPr>
                  <w:tcW w:w="774" w:type="pct"/>
                  <w:shd w:val="clear" w:color="auto" w:fill="auto"/>
                  <w:vAlign w:val="center"/>
                </w:tcPr>
                <w:p>
                  <w:pPr>
                    <w:pStyle w:val="48"/>
                    <w:keepNext w:val="0"/>
                    <w:keepLines w:val="0"/>
                    <w:suppressLineNumbers w:val="0"/>
                    <w:bidi w:val="0"/>
                    <w:spacing w:before="0" w:beforeAutospacing="0" w:after="0" w:afterAutospacing="0" w:line="240" w:lineRule="auto"/>
                    <w:ind w:left="0" w:leftChars="0" w:right="0" w:rightChars="0"/>
                    <w:rPr>
                      <w:rFonts w:hint="default" w:ascii="Times New Roman"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20</w:t>
                  </w:r>
                </w:p>
              </w:tc>
              <w:tc>
                <w:tcPr>
                  <w:tcW w:w="2058" w:type="pct"/>
                  <w:shd w:val="clear" w:color="auto" w:fill="auto"/>
                  <w:vAlign w:val="center"/>
                </w:tcPr>
                <w:p>
                  <w:pPr>
                    <w:pStyle w:val="48"/>
                    <w:keepNext w:val="0"/>
                    <w:keepLines w:val="0"/>
                    <w:suppressLineNumbers w:val="0"/>
                    <w:bidi w:val="0"/>
                    <w:spacing w:before="0" w:beforeAutospacing="0" w:after="0" w:afterAutospacing="0" w:line="240" w:lineRule="auto"/>
                    <w:ind w:left="0" w:leftChars="0" w:right="0" w:rightChars="0"/>
                    <w:rPr>
                      <w:rFonts w:hint="default" w:ascii="Times New Roman" w:hAnsi="Times New Roman"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w:t>
                  </w:r>
                  <w:r>
                    <w:rPr>
                      <w:rFonts w:hint="default" w:ascii="Times New Roman" w:hAnsi="Times New Roman" w:cs="Times New Roman"/>
                      <w:color w:val="auto"/>
                      <w:sz w:val="21"/>
                      <w:szCs w:val="21"/>
                      <w:highlight w:val="none"/>
                      <w:lang w:val="en-US" w:eastAsia="zh-CN"/>
                    </w:rPr>
                    <w:t>恶臭污染物排放标准</w:t>
                  </w:r>
                  <w:r>
                    <w:rPr>
                      <w:rFonts w:hint="default" w:ascii="Times New Roman" w:hAnsi="Times New Roman" w:eastAsia="宋体" w:cs="Times New Roman"/>
                      <w:color w:val="auto"/>
                      <w:sz w:val="21"/>
                      <w:szCs w:val="21"/>
                      <w:highlight w:val="none"/>
                      <w:lang w:eastAsia="zh-CN"/>
                    </w:rPr>
                    <w:t>》（GB</w:t>
                  </w:r>
                  <w:r>
                    <w:rPr>
                      <w:rFonts w:hint="default" w:ascii="Times New Roman" w:hAnsi="Times New Roman" w:cs="Times New Roman"/>
                      <w:color w:val="auto"/>
                      <w:sz w:val="21"/>
                      <w:szCs w:val="21"/>
                      <w:highlight w:val="none"/>
                      <w:lang w:val="en-US" w:eastAsia="zh-CN"/>
                    </w:rPr>
                    <w:t>14554</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cs="Times New Roman"/>
                      <w:color w:val="auto"/>
                      <w:sz w:val="21"/>
                      <w:szCs w:val="21"/>
                      <w:highlight w:val="none"/>
                      <w:lang w:val="en-US" w:eastAsia="zh-CN"/>
                    </w:rPr>
                    <w:t>93</w:t>
                  </w:r>
                  <w:r>
                    <w:rPr>
                      <w:rFonts w:hint="default" w:ascii="Times New Roman" w:hAnsi="Times New Roman" w:eastAsia="宋体" w:cs="Times New Roman"/>
                      <w:color w:val="auto"/>
                      <w:sz w:val="21"/>
                      <w:szCs w:val="21"/>
                      <w:highlight w:val="none"/>
                      <w:lang w:eastAsia="zh-CN"/>
                    </w:rPr>
                    <w:t>）</w:t>
                  </w:r>
                </w:p>
              </w:tc>
            </w:tr>
          </w:tbl>
          <w:p>
            <w:pPr>
              <w:keepNext w:val="0"/>
              <w:keepLines w:val="0"/>
              <w:widowControl/>
              <w:suppressLineNumbers w:val="0"/>
              <w:spacing w:before="0" w:beforeAutospacing="0" w:after="0" w:afterAutospacing="0" w:line="360" w:lineRule="auto"/>
              <w:ind w:left="0" w:leftChars="0" w:right="0" w:firstLine="0" w:firstLineChars="0"/>
              <w:jc w:val="both"/>
              <w:rPr>
                <w:rFonts w:hint="default" w:ascii="Times New Roman" w:hAnsi="Times New Roman" w:cs="Times New Roman"/>
                <w:b/>
                <w:color w:val="auto"/>
                <w:kern w:val="0"/>
                <w:sz w:val="21"/>
                <w:szCs w:val="21"/>
                <w:highlight w:val="none"/>
              </w:rPr>
            </w:pPr>
            <w:r>
              <w:rPr>
                <w:rFonts w:hint="default" w:ascii="Times New Roman" w:hAnsi="Times New Roman" w:cs="Times New Roman"/>
                <w:b/>
                <w:color w:val="auto"/>
                <w:kern w:val="0"/>
                <w:sz w:val="21"/>
                <w:szCs w:val="21"/>
                <w:highlight w:val="none"/>
                <w:lang w:val="en-US" w:eastAsia="zh-CN"/>
              </w:rPr>
              <w:t>2</w:t>
            </w:r>
            <w:r>
              <w:rPr>
                <w:rFonts w:hint="default" w:ascii="Times New Roman" w:hAnsi="Times New Roman" w:cs="Times New Roman"/>
                <w:b/>
                <w:color w:val="auto"/>
                <w:kern w:val="0"/>
                <w:sz w:val="21"/>
                <w:szCs w:val="21"/>
                <w:highlight w:val="none"/>
              </w:rPr>
              <w:t>噪声</w:t>
            </w:r>
          </w:p>
          <w:p>
            <w:pPr>
              <w:keepNext w:val="0"/>
              <w:keepLines w:val="0"/>
              <w:widowControl/>
              <w:suppressLineNumbers w:val="0"/>
              <w:spacing w:before="0" w:beforeAutospacing="0" w:after="0" w:afterAutospacing="0" w:line="360" w:lineRule="auto"/>
              <w:ind w:left="0" w:right="0" w:firstLine="420" w:firstLineChars="20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本项目施工期噪声执行</w:t>
            </w:r>
            <w:r>
              <w:rPr>
                <w:bCs/>
                <w:color w:val="auto"/>
                <w:kern w:val="0"/>
                <w:szCs w:val="21"/>
              </w:rPr>
              <w:t>《建筑施工噪声排放标准》（GB</w:t>
            </w:r>
            <w:r>
              <w:rPr>
                <w:rFonts w:hint="eastAsia"/>
                <w:bCs/>
                <w:color w:val="auto"/>
                <w:kern w:val="0"/>
                <w:szCs w:val="21"/>
              </w:rPr>
              <w:t xml:space="preserve"> </w:t>
            </w:r>
            <w:r>
              <w:rPr>
                <w:bCs/>
                <w:color w:val="auto"/>
                <w:kern w:val="0"/>
                <w:szCs w:val="21"/>
              </w:rPr>
              <w:t>12523-</w:t>
            </w:r>
            <w:r>
              <w:rPr>
                <w:rFonts w:hint="eastAsia"/>
                <w:bCs/>
                <w:color w:val="auto"/>
                <w:kern w:val="0"/>
                <w:szCs w:val="21"/>
                <w:lang w:val="en-US" w:eastAsia="zh-CN"/>
              </w:rPr>
              <w:t>2025</w:t>
            </w:r>
            <w:r>
              <w:rPr>
                <w:bCs/>
                <w:color w:val="auto"/>
                <w:kern w:val="0"/>
                <w:szCs w:val="21"/>
              </w:rPr>
              <w:t>）</w:t>
            </w:r>
            <w:r>
              <w:rPr>
                <w:rFonts w:hint="default" w:ascii="Times New Roman" w:hAnsi="Times New Roman" w:cs="Times New Roman"/>
                <w:color w:val="auto"/>
                <w:sz w:val="21"/>
                <w:szCs w:val="21"/>
                <w:highlight w:val="none"/>
              </w:rPr>
              <w:t>。</w:t>
            </w:r>
          </w:p>
          <w:p>
            <w:pPr>
              <w:keepNext w:val="0"/>
              <w:keepLines w:val="0"/>
              <w:suppressLineNumbers w:val="0"/>
              <w:adjustRightInd w:val="0"/>
              <w:snapToGrid w:val="0"/>
              <w:spacing w:before="0" w:beforeAutospacing="0" w:after="0" w:afterAutospacing="0" w:line="240" w:lineRule="auto"/>
              <w:ind w:left="0" w:right="0" w:firstLine="422" w:firstLineChars="200"/>
              <w:jc w:val="center"/>
              <w:rPr>
                <w:rFonts w:hint="eastAsia" w:ascii="Times New Roman" w:hAnsi="Times New Roman" w:eastAsia="宋体" w:cs="Times New Roman"/>
                <w:b/>
                <w:color w:val="auto"/>
                <w:sz w:val="21"/>
                <w:szCs w:val="21"/>
                <w:highlight w:val="none"/>
                <w:lang w:eastAsia="zh-CN"/>
              </w:rPr>
            </w:pPr>
            <w:r>
              <w:rPr>
                <w:rFonts w:hint="default" w:ascii="Times New Roman" w:hAnsi="Times New Roman" w:cs="Times New Roman"/>
                <w:b/>
                <w:color w:val="auto"/>
                <w:sz w:val="21"/>
                <w:szCs w:val="21"/>
                <w:highlight w:val="none"/>
              </w:rPr>
              <w:t>表3-</w:t>
            </w:r>
            <w:r>
              <w:rPr>
                <w:rFonts w:hint="eastAsia" w:cs="Times New Roman"/>
                <w:b/>
                <w:color w:val="auto"/>
                <w:sz w:val="21"/>
                <w:szCs w:val="21"/>
                <w:highlight w:val="none"/>
                <w:lang w:val="en-US" w:eastAsia="zh-CN"/>
              </w:rPr>
              <w:t>6</w:t>
            </w:r>
            <w:r>
              <w:rPr>
                <w:rFonts w:hint="default" w:ascii="Times New Roman" w:hAnsi="Times New Roman" w:cs="Times New Roman"/>
                <w:b/>
                <w:color w:val="auto"/>
                <w:sz w:val="21"/>
                <w:szCs w:val="21"/>
                <w:highlight w:val="none"/>
                <w:lang w:val="en-US" w:eastAsia="zh-CN"/>
              </w:rPr>
              <w:t xml:space="preserve"> </w:t>
            </w:r>
            <w:r>
              <w:rPr>
                <w:rFonts w:hint="default" w:ascii="Times New Roman" w:hAnsi="Times New Roman" w:cs="Times New Roman"/>
                <w:b/>
                <w:color w:val="auto"/>
                <w:sz w:val="21"/>
                <w:szCs w:val="21"/>
                <w:highlight w:val="none"/>
              </w:rPr>
              <w:t>建筑施工场界噪声排放标准单位：dB</w:t>
            </w:r>
            <w:r>
              <w:rPr>
                <w:rFonts w:hint="eastAsia" w:cs="Times New Roman"/>
                <w:b/>
                <w:color w:val="auto"/>
                <w:sz w:val="21"/>
                <w:szCs w:val="21"/>
                <w:highlight w:val="none"/>
                <w:lang w:eastAsia="zh-CN"/>
              </w:rPr>
              <w:t>（</w:t>
            </w:r>
            <w:r>
              <w:rPr>
                <w:rFonts w:hint="default" w:ascii="Times New Roman" w:hAnsi="Times New Roman" w:cs="Times New Roman"/>
                <w:b/>
                <w:color w:val="auto"/>
                <w:sz w:val="21"/>
                <w:szCs w:val="21"/>
                <w:highlight w:val="none"/>
              </w:rPr>
              <w:t>A</w:t>
            </w:r>
            <w:r>
              <w:rPr>
                <w:rFonts w:hint="eastAsia" w:cs="Times New Roman"/>
                <w:b/>
                <w:color w:val="auto"/>
                <w:sz w:val="21"/>
                <w:szCs w:val="21"/>
                <w:highlight w:val="none"/>
                <w:lang w:eastAsia="zh-CN"/>
              </w:rPr>
              <w:t>）</w:t>
            </w:r>
          </w:p>
          <w:tbl>
            <w:tblPr>
              <w:tblStyle w:val="21"/>
              <w:tblW w:w="4999"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058"/>
              <w:gridCol w:w="39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2548" w:type="pct"/>
                  <w:noWrap w:val="0"/>
                  <w:vAlign w:val="center"/>
                </w:tcPr>
                <w:p>
                  <w:pPr>
                    <w:pStyle w:val="48"/>
                    <w:keepNext w:val="0"/>
                    <w:keepLines w:val="0"/>
                    <w:suppressLineNumbers w:val="0"/>
                    <w:bidi w:val="0"/>
                    <w:spacing w:before="0" w:beforeAutospacing="0" w:after="0" w:afterAutospacing="0" w:line="240" w:lineRule="auto"/>
                    <w:ind w:left="0" w:right="0"/>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昼间</w:t>
                  </w:r>
                </w:p>
              </w:tc>
              <w:tc>
                <w:tcPr>
                  <w:tcW w:w="2451" w:type="pct"/>
                  <w:noWrap w:val="0"/>
                  <w:vAlign w:val="center"/>
                </w:tcPr>
                <w:p>
                  <w:pPr>
                    <w:pStyle w:val="48"/>
                    <w:keepNext w:val="0"/>
                    <w:keepLines w:val="0"/>
                    <w:suppressLineNumbers w:val="0"/>
                    <w:bidi w:val="0"/>
                    <w:spacing w:before="0" w:beforeAutospacing="0" w:after="0" w:afterAutospacing="0" w:line="240" w:lineRule="auto"/>
                    <w:ind w:left="0" w:right="0"/>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夜间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548" w:type="pct"/>
                  <w:noWrap w:val="0"/>
                  <w:vAlign w:val="center"/>
                </w:tcPr>
                <w:p>
                  <w:pPr>
                    <w:pStyle w:val="48"/>
                    <w:keepNext w:val="0"/>
                    <w:keepLines w:val="0"/>
                    <w:suppressLineNumbers w:val="0"/>
                    <w:bidi w:val="0"/>
                    <w:spacing w:before="0" w:beforeAutospacing="0" w:after="0" w:afterAutospacing="0" w:line="240" w:lineRule="auto"/>
                    <w:ind w:left="0" w:right="0"/>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70</w:t>
                  </w:r>
                </w:p>
              </w:tc>
              <w:tc>
                <w:tcPr>
                  <w:tcW w:w="2451" w:type="pct"/>
                  <w:noWrap w:val="0"/>
                  <w:vAlign w:val="center"/>
                </w:tcPr>
                <w:p>
                  <w:pPr>
                    <w:pStyle w:val="48"/>
                    <w:keepNext w:val="0"/>
                    <w:keepLines w:val="0"/>
                    <w:suppressLineNumbers w:val="0"/>
                    <w:bidi w:val="0"/>
                    <w:spacing w:before="0" w:beforeAutospacing="0" w:after="0" w:afterAutospacing="0" w:line="240" w:lineRule="auto"/>
                    <w:ind w:left="0" w:right="0"/>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55</w:t>
                  </w:r>
                </w:p>
              </w:tc>
            </w:tr>
          </w:tbl>
          <w:p>
            <w:pPr>
              <w:keepNext w:val="0"/>
              <w:keepLines w:val="0"/>
              <w:suppressLineNumbers w:val="0"/>
              <w:spacing w:before="0" w:beforeAutospacing="0" w:after="0" w:afterAutospacing="0" w:line="360" w:lineRule="auto"/>
              <w:ind w:left="0" w:right="0" w:firstLine="420" w:firstLineChars="200"/>
              <w:contextualSpacing/>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运营期项目区厂界噪声执行《工业企业厂界环境噪声排放标准》（GB12348-2008）中3类标准。</w:t>
            </w:r>
          </w:p>
          <w:p>
            <w:pPr>
              <w:keepNext w:val="0"/>
              <w:keepLines w:val="0"/>
              <w:widowControl/>
              <w:suppressLineNumbers w:val="0"/>
              <w:spacing w:before="0" w:beforeAutospacing="0" w:after="0" w:afterAutospacing="0" w:line="240" w:lineRule="auto"/>
              <w:ind w:left="0" w:right="0"/>
              <w:contextualSpacing/>
              <w:jc w:val="center"/>
              <w:rPr>
                <w:rFonts w:hint="default" w:ascii="Times New Roman" w:hAnsi="Times New Roman" w:cs="Times New Roman"/>
                <w:b/>
                <w:color w:val="auto"/>
                <w:kern w:val="0"/>
                <w:sz w:val="21"/>
                <w:szCs w:val="21"/>
                <w:highlight w:val="none"/>
              </w:rPr>
            </w:pPr>
            <w:r>
              <w:rPr>
                <w:rFonts w:hint="default" w:ascii="Times New Roman" w:hAnsi="Times New Roman" w:cs="Times New Roman"/>
                <w:b/>
                <w:color w:val="auto"/>
                <w:sz w:val="21"/>
                <w:szCs w:val="21"/>
                <w:highlight w:val="none"/>
              </w:rPr>
              <w:t>表</w:t>
            </w:r>
            <w:r>
              <w:rPr>
                <w:rFonts w:hint="default" w:ascii="Times New Roman" w:hAnsi="Times New Roman" w:cs="Times New Roman"/>
                <w:b/>
                <w:color w:val="auto"/>
                <w:sz w:val="21"/>
                <w:szCs w:val="21"/>
                <w:highlight w:val="none"/>
                <w:lang w:val="en-US" w:eastAsia="zh-CN"/>
              </w:rPr>
              <w:t>3-</w:t>
            </w:r>
            <w:r>
              <w:rPr>
                <w:rFonts w:hint="eastAsia" w:cs="Times New Roman"/>
                <w:b/>
                <w:color w:val="auto"/>
                <w:sz w:val="21"/>
                <w:szCs w:val="21"/>
                <w:highlight w:val="none"/>
                <w:lang w:val="en-US" w:eastAsia="zh-CN"/>
              </w:rPr>
              <w:t>7</w:t>
            </w:r>
            <w:r>
              <w:rPr>
                <w:rFonts w:hint="default" w:ascii="Times New Roman" w:hAnsi="Times New Roman" w:cs="Times New Roman"/>
                <w:b/>
                <w:color w:val="auto"/>
                <w:sz w:val="21"/>
                <w:szCs w:val="21"/>
                <w:highlight w:val="none"/>
                <w:lang w:val="en-US" w:eastAsia="zh-CN"/>
              </w:rPr>
              <w:t xml:space="preserve"> </w:t>
            </w:r>
            <w:r>
              <w:rPr>
                <w:rFonts w:hint="default" w:ascii="Times New Roman" w:hAnsi="Times New Roman" w:cs="Times New Roman"/>
                <w:b/>
                <w:color w:val="auto"/>
                <w:sz w:val="21"/>
                <w:szCs w:val="21"/>
                <w:highlight w:val="none"/>
              </w:rPr>
              <w:t>工业企业厂界环境噪声排放标准</w:t>
            </w:r>
          </w:p>
          <w:tbl>
            <w:tblPr>
              <w:tblStyle w:val="2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750"/>
              <w:gridCol w:w="1950"/>
              <w:gridCol w:w="2118"/>
              <w:gridCol w:w="214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99" w:type="pct"/>
                  <w:vAlign w:val="center"/>
                </w:tcPr>
                <w:p>
                  <w:pPr>
                    <w:pStyle w:val="48"/>
                    <w:keepNext w:val="0"/>
                    <w:keepLines w:val="0"/>
                    <w:suppressLineNumbers w:val="0"/>
                    <w:bidi w:val="0"/>
                    <w:spacing w:before="0" w:beforeAutospacing="0" w:after="0" w:afterAutospacing="0" w:line="240" w:lineRule="auto"/>
                    <w:ind w:left="0" w:right="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类别</w:t>
                  </w:r>
                </w:p>
              </w:tc>
              <w:tc>
                <w:tcPr>
                  <w:tcW w:w="1224" w:type="pct"/>
                  <w:vAlign w:val="center"/>
                </w:tcPr>
                <w:p>
                  <w:pPr>
                    <w:pStyle w:val="48"/>
                    <w:keepNext w:val="0"/>
                    <w:keepLines w:val="0"/>
                    <w:suppressLineNumbers w:val="0"/>
                    <w:bidi w:val="0"/>
                    <w:spacing w:before="0" w:beforeAutospacing="0" w:after="0" w:afterAutospacing="0" w:line="240" w:lineRule="auto"/>
                    <w:ind w:left="0" w:right="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单位</w:t>
                  </w:r>
                </w:p>
              </w:tc>
              <w:tc>
                <w:tcPr>
                  <w:tcW w:w="1330" w:type="pct"/>
                  <w:vAlign w:val="center"/>
                </w:tcPr>
                <w:p>
                  <w:pPr>
                    <w:pStyle w:val="48"/>
                    <w:keepNext w:val="0"/>
                    <w:keepLines w:val="0"/>
                    <w:suppressLineNumbers w:val="0"/>
                    <w:bidi w:val="0"/>
                    <w:spacing w:before="0" w:beforeAutospacing="0" w:after="0" w:afterAutospacing="0" w:line="240" w:lineRule="auto"/>
                    <w:ind w:left="0" w:right="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昼间</w:t>
                  </w:r>
                </w:p>
              </w:tc>
              <w:tc>
                <w:tcPr>
                  <w:tcW w:w="1345" w:type="pct"/>
                  <w:vAlign w:val="center"/>
                </w:tcPr>
                <w:p>
                  <w:pPr>
                    <w:pStyle w:val="48"/>
                    <w:keepNext w:val="0"/>
                    <w:keepLines w:val="0"/>
                    <w:suppressLineNumbers w:val="0"/>
                    <w:bidi w:val="0"/>
                    <w:spacing w:before="0" w:beforeAutospacing="0" w:after="0" w:afterAutospacing="0" w:line="240" w:lineRule="auto"/>
                    <w:ind w:left="0" w:right="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夜间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099" w:type="pct"/>
                  <w:vAlign w:val="center"/>
                </w:tcPr>
                <w:p>
                  <w:pPr>
                    <w:pStyle w:val="48"/>
                    <w:keepNext w:val="0"/>
                    <w:keepLines w:val="0"/>
                    <w:suppressLineNumbers w:val="0"/>
                    <w:bidi w:val="0"/>
                    <w:spacing w:before="0" w:beforeAutospacing="0" w:after="0" w:afterAutospacing="0" w:line="240" w:lineRule="auto"/>
                    <w:ind w:left="0" w:right="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3类</w:t>
                  </w:r>
                </w:p>
              </w:tc>
              <w:tc>
                <w:tcPr>
                  <w:tcW w:w="1224" w:type="pct"/>
                  <w:vAlign w:val="center"/>
                </w:tcPr>
                <w:p>
                  <w:pPr>
                    <w:pStyle w:val="48"/>
                    <w:keepNext w:val="0"/>
                    <w:keepLines w:val="0"/>
                    <w:suppressLineNumbers w:val="0"/>
                    <w:bidi w:val="0"/>
                    <w:spacing w:before="0" w:beforeAutospacing="0" w:after="0" w:afterAutospacing="0" w:line="240" w:lineRule="auto"/>
                    <w:ind w:left="0" w:right="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dB（A）</w:t>
                  </w:r>
                </w:p>
              </w:tc>
              <w:tc>
                <w:tcPr>
                  <w:tcW w:w="1330" w:type="pct"/>
                  <w:vAlign w:val="center"/>
                </w:tcPr>
                <w:p>
                  <w:pPr>
                    <w:pStyle w:val="48"/>
                    <w:keepNext w:val="0"/>
                    <w:keepLines w:val="0"/>
                    <w:suppressLineNumbers w:val="0"/>
                    <w:bidi w:val="0"/>
                    <w:spacing w:before="0" w:beforeAutospacing="0" w:after="0" w:afterAutospacing="0" w:line="240" w:lineRule="auto"/>
                    <w:ind w:left="0" w:right="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65</w:t>
                  </w:r>
                </w:p>
              </w:tc>
              <w:tc>
                <w:tcPr>
                  <w:tcW w:w="1345" w:type="pct"/>
                  <w:vAlign w:val="center"/>
                </w:tcPr>
                <w:p>
                  <w:pPr>
                    <w:pStyle w:val="48"/>
                    <w:keepNext w:val="0"/>
                    <w:keepLines w:val="0"/>
                    <w:suppressLineNumbers w:val="0"/>
                    <w:bidi w:val="0"/>
                    <w:spacing w:before="0" w:beforeAutospacing="0" w:after="0" w:afterAutospacing="0" w:line="240" w:lineRule="auto"/>
                    <w:ind w:left="0" w:right="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55</w:t>
                  </w:r>
                </w:p>
              </w:tc>
            </w:tr>
          </w:tbl>
          <w:p>
            <w:pPr>
              <w:keepNext w:val="0"/>
              <w:keepLines w:val="0"/>
              <w:pageBreakBefore w:val="0"/>
              <w:widowControl/>
              <w:suppressLineNumbers w:val="0"/>
              <w:kinsoku/>
              <w:wordWrap/>
              <w:overflowPunct/>
              <w:topLinePunct w:val="0"/>
              <w:bidi w:val="0"/>
              <w:snapToGrid/>
              <w:spacing w:before="0" w:beforeAutospacing="0" w:after="0" w:afterAutospacing="0" w:line="360" w:lineRule="auto"/>
              <w:ind w:left="0" w:right="0"/>
              <w:jc w:val="both"/>
              <w:textAlignment w:val="auto"/>
              <w:rPr>
                <w:rFonts w:hint="default" w:ascii="Times New Roman" w:hAnsi="Times New Roman" w:cs="Times New Roman"/>
                <w:b/>
                <w:color w:val="auto"/>
                <w:kern w:val="0"/>
                <w:sz w:val="21"/>
                <w:szCs w:val="21"/>
                <w:highlight w:val="none"/>
                <w:lang w:val="en-US" w:eastAsia="zh-CN"/>
              </w:rPr>
            </w:pPr>
            <w:r>
              <w:rPr>
                <w:rFonts w:hint="default" w:ascii="Times New Roman" w:hAnsi="Times New Roman" w:cs="Times New Roman"/>
                <w:b/>
                <w:color w:val="auto"/>
                <w:kern w:val="0"/>
                <w:sz w:val="21"/>
                <w:szCs w:val="21"/>
                <w:highlight w:val="none"/>
                <w:lang w:val="en-US" w:eastAsia="zh-CN"/>
              </w:rPr>
              <w:t>3废水</w:t>
            </w:r>
          </w:p>
          <w:p>
            <w:pPr>
              <w:keepNext w:val="0"/>
              <w:keepLines w:val="0"/>
              <w:suppressLineNumbers w:val="0"/>
              <w:spacing w:before="0" w:beforeAutospacing="0" w:after="0" w:afterAutospacing="0" w:line="360" w:lineRule="auto"/>
              <w:ind w:left="0" w:right="0" w:firstLine="420" w:firstLineChars="200"/>
              <w:contextualSpacing/>
              <w:jc w:val="both"/>
              <w:rPr>
                <w:color w:val="auto"/>
                <w:sz w:val="21"/>
                <w:szCs w:val="21"/>
                <w:highlight w:val="none"/>
              </w:rPr>
            </w:pPr>
            <w:bookmarkStart w:id="7" w:name="OLE_LINK291"/>
            <w:r>
              <w:rPr>
                <w:rFonts w:hint="default" w:ascii="Times New Roman" w:hAnsi="Times New Roman" w:eastAsia="宋体" w:cs="Times New Roman"/>
                <w:color w:val="auto"/>
                <w:sz w:val="21"/>
                <w:szCs w:val="21"/>
                <w:highlight w:val="none"/>
                <w:lang w:val="en-US" w:eastAsia="zh-CN"/>
              </w:rPr>
              <w:t>本项目</w:t>
            </w:r>
            <w:r>
              <w:rPr>
                <w:rFonts w:hint="eastAsia" w:cs="Times New Roman"/>
                <w:color w:val="auto"/>
                <w:kern w:val="0"/>
                <w:sz w:val="21"/>
                <w:szCs w:val="21"/>
                <w:highlight w:val="none"/>
                <w:lang w:val="en-US" w:eastAsia="zh-CN"/>
              </w:rPr>
              <w:t>外排综合废水</w:t>
            </w:r>
            <w:r>
              <w:rPr>
                <w:rFonts w:hint="default" w:ascii="Times New Roman" w:hAnsi="Times New Roman" w:cs="Times New Roman"/>
                <w:color w:val="auto"/>
                <w:kern w:val="0"/>
                <w:sz w:val="21"/>
                <w:szCs w:val="21"/>
                <w:highlight w:val="none"/>
              </w:rPr>
              <w:t>执行《污水综合排放标准》（GB8978-1996）</w:t>
            </w:r>
            <w:bookmarkEnd w:id="7"/>
            <w:r>
              <w:rPr>
                <w:rFonts w:hint="default" w:ascii="Times New Roman" w:hAnsi="Times New Roman" w:cs="Times New Roman"/>
                <w:color w:val="auto"/>
                <w:kern w:val="0"/>
                <w:sz w:val="21"/>
                <w:szCs w:val="21"/>
                <w:highlight w:val="none"/>
              </w:rPr>
              <w:t>三级标准</w:t>
            </w:r>
            <w:r>
              <w:rPr>
                <w:rFonts w:hint="eastAsia" w:ascii="Times New Roman" w:hAnsi="Times New Roman" w:cs="Times New Roman"/>
                <w:color w:val="auto"/>
                <w:kern w:val="0"/>
                <w:sz w:val="21"/>
                <w:szCs w:val="21"/>
                <w:highlight w:val="none"/>
                <w:lang w:eastAsia="zh-CN"/>
              </w:rPr>
              <w:t>。</w:t>
            </w:r>
          </w:p>
          <w:p>
            <w:pPr>
              <w:widowControl/>
              <w:spacing w:line="240" w:lineRule="auto"/>
              <w:contextualSpacing/>
              <w:jc w:val="center"/>
              <w:rPr>
                <w:rFonts w:hint="default" w:ascii="Times New Roman" w:hAnsi="Times New Roman" w:cs="Times New Roman"/>
                <w:b/>
                <w:color w:val="auto"/>
                <w:sz w:val="21"/>
                <w:szCs w:val="21"/>
                <w:highlight w:val="none"/>
                <w:lang w:val="en-US" w:eastAsia="zh-CN"/>
              </w:rPr>
            </w:pPr>
            <w:r>
              <w:rPr>
                <w:rFonts w:hint="eastAsia" w:ascii="Times New Roman" w:hAnsi="Times New Roman" w:cs="Times New Roman"/>
                <w:b/>
                <w:color w:val="auto"/>
                <w:sz w:val="21"/>
                <w:szCs w:val="21"/>
                <w:highlight w:val="none"/>
                <w:lang w:val="en-US" w:eastAsia="zh-CN"/>
              </w:rPr>
              <w:t>表3-</w:t>
            </w:r>
            <w:r>
              <w:rPr>
                <w:rFonts w:hint="eastAsia" w:cs="Times New Roman"/>
                <w:b/>
                <w:color w:val="auto"/>
                <w:sz w:val="21"/>
                <w:szCs w:val="21"/>
                <w:highlight w:val="none"/>
                <w:lang w:val="en-US" w:eastAsia="zh-CN"/>
              </w:rPr>
              <w:t>8</w:t>
            </w:r>
            <w:r>
              <w:rPr>
                <w:rFonts w:hint="eastAsia" w:ascii="Times New Roman" w:hAnsi="Times New Roman" w:cs="Times New Roman"/>
                <w:b/>
                <w:color w:val="auto"/>
                <w:sz w:val="21"/>
                <w:szCs w:val="21"/>
                <w:highlight w:val="none"/>
                <w:lang w:val="en-US" w:eastAsia="zh-CN"/>
              </w:rPr>
              <w:t xml:space="preserve"> </w:t>
            </w:r>
            <w:r>
              <w:rPr>
                <w:rFonts w:hint="default" w:ascii="Times New Roman" w:hAnsi="Times New Roman" w:cs="Times New Roman"/>
                <w:b/>
                <w:color w:val="auto"/>
                <w:sz w:val="21"/>
                <w:szCs w:val="21"/>
                <w:highlight w:val="none"/>
              </w:rPr>
              <w:t>《污水综合排放标准》（GB8978-1996）三级标准</w:t>
            </w:r>
          </w:p>
          <w:tbl>
            <w:tblPr>
              <w:tblStyle w:val="21"/>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755"/>
              <w:gridCol w:w="2599"/>
              <w:gridCol w:w="2372"/>
              <w:gridCol w:w="223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474" w:type="pct"/>
                  <w:shd w:val="clear" w:color="auto" w:fill="auto"/>
                  <w:noWrap w:val="0"/>
                  <w:vAlign w:val="center"/>
                </w:tcPr>
                <w:p>
                  <w:pPr>
                    <w:pStyle w:val="71"/>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color w:val="auto"/>
                      <w:kern w:val="0"/>
                      <w:sz w:val="21"/>
                      <w:szCs w:val="21"/>
                      <w:highlight w:val="none"/>
                      <w:vertAlign w:val="baseline"/>
                      <w:lang w:val="en-US" w:eastAsia="zh-CN" w:bidi="ar-SA"/>
                    </w:rPr>
                  </w:pPr>
                  <w:r>
                    <w:rPr>
                      <w:rFonts w:hint="default" w:ascii="Times New Roman" w:hAnsi="Times New Roman" w:eastAsia="宋体" w:cs="Times New Roman"/>
                      <w:color w:val="auto"/>
                      <w:sz w:val="21"/>
                      <w:szCs w:val="21"/>
                      <w:highlight w:val="none"/>
                      <w:vertAlign w:val="baseline"/>
                      <w:lang w:val="en-US" w:eastAsia="zh-CN"/>
                    </w:rPr>
                    <w:t>序号</w:t>
                  </w:r>
                </w:p>
              </w:tc>
              <w:tc>
                <w:tcPr>
                  <w:tcW w:w="1632" w:type="pct"/>
                  <w:shd w:val="clear" w:color="auto" w:fill="auto"/>
                  <w:noWrap w:val="0"/>
                  <w:vAlign w:val="center"/>
                </w:tcPr>
                <w:p>
                  <w:pPr>
                    <w:pStyle w:val="71"/>
                    <w:keepNext w:val="0"/>
                    <w:keepLines w:val="0"/>
                    <w:pageBreakBefore w:val="0"/>
                    <w:widowControl/>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color w:val="auto"/>
                      <w:kern w:val="0"/>
                      <w:sz w:val="21"/>
                      <w:szCs w:val="21"/>
                      <w:highlight w:val="none"/>
                      <w:vertAlign w:val="baseline"/>
                      <w:lang w:val="en-US" w:eastAsia="zh-CN" w:bidi="ar-SA"/>
                    </w:rPr>
                  </w:pPr>
                  <w:r>
                    <w:rPr>
                      <w:rFonts w:hint="default" w:ascii="Times New Roman" w:hAnsi="Times New Roman" w:eastAsia="宋体" w:cs="Times New Roman"/>
                      <w:color w:val="auto"/>
                      <w:sz w:val="21"/>
                      <w:szCs w:val="21"/>
                      <w:highlight w:val="none"/>
                      <w:vertAlign w:val="baseline"/>
                      <w:lang w:val="en-US" w:eastAsia="zh-CN"/>
                    </w:rPr>
                    <w:t>项目</w:t>
                  </w:r>
                </w:p>
              </w:tc>
              <w:tc>
                <w:tcPr>
                  <w:tcW w:w="1489" w:type="pct"/>
                  <w:shd w:val="clear" w:color="auto" w:fill="auto"/>
                  <w:noWrap w:val="0"/>
                  <w:vAlign w:val="center"/>
                </w:tcPr>
                <w:p>
                  <w:pPr>
                    <w:pStyle w:val="71"/>
                    <w:keepNext w:val="0"/>
                    <w:keepLines w:val="0"/>
                    <w:pageBreakBefore w:val="0"/>
                    <w:widowControl/>
                    <w:kinsoku/>
                    <w:wordWrap/>
                    <w:overflowPunct/>
                    <w:topLinePunct w:val="0"/>
                    <w:autoSpaceDE/>
                    <w:autoSpaceDN/>
                    <w:bidi w:val="0"/>
                    <w:adjustRightInd w:val="0"/>
                    <w:snapToGrid w:val="0"/>
                    <w:spacing w:after="0" w:line="240" w:lineRule="auto"/>
                    <w:ind w:left="0" w:leftChars="0" w:firstLine="0" w:firstLineChars="0"/>
                    <w:jc w:val="center"/>
                    <w:textAlignment w:val="auto"/>
                    <w:rPr>
                      <w:rFonts w:hint="default" w:ascii="Times New Roman" w:hAnsi="Times New Roman" w:eastAsia="宋体" w:cs="Times New Roman"/>
                      <w:color w:val="auto"/>
                      <w:kern w:val="0"/>
                      <w:sz w:val="21"/>
                      <w:szCs w:val="21"/>
                      <w:highlight w:val="none"/>
                      <w:vertAlign w:val="baseline"/>
                      <w:lang w:val="en-US" w:eastAsia="zh-CN" w:bidi="ar-SA"/>
                    </w:rPr>
                  </w:pPr>
                  <w:r>
                    <w:rPr>
                      <w:rFonts w:hint="eastAsia" w:ascii="Times New Roman" w:hAnsi="Times New Roman" w:eastAsia="宋体" w:cs="Times New Roman"/>
                      <w:color w:val="auto"/>
                      <w:sz w:val="21"/>
                      <w:szCs w:val="21"/>
                      <w:highlight w:val="none"/>
                      <w:vertAlign w:val="baseline"/>
                      <w:lang w:val="en-US" w:eastAsia="zh-CN"/>
                    </w:rPr>
                    <w:t>标准限值</w:t>
                  </w:r>
                </w:p>
              </w:tc>
              <w:tc>
                <w:tcPr>
                  <w:tcW w:w="1403" w:type="pct"/>
                  <w:noWrap w:val="0"/>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color w:val="auto"/>
                      <w:kern w:val="2"/>
                      <w:sz w:val="21"/>
                      <w:szCs w:val="21"/>
                      <w:highlight w:val="none"/>
                    </w:rPr>
                  </w:pPr>
                  <w:r>
                    <w:rPr>
                      <w:rFonts w:hint="default" w:ascii="Times New Roman" w:hAnsi="Times New Roman" w:eastAsia="宋体" w:cs="Times New Roman"/>
                      <w:bCs/>
                      <w:color w:val="auto"/>
                      <w:kern w:val="2"/>
                      <w:sz w:val="21"/>
                      <w:szCs w:val="21"/>
                      <w:highlight w:val="none"/>
                    </w:rPr>
                    <w:t>标准来源</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trPr>
              <w:tc>
                <w:tcPr>
                  <w:tcW w:w="474" w:type="pct"/>
                  <w:shd w:val="clear" w:color="auto" w:fill="auto"/>
                  <w:vAlign w:val="center"/>
                </w:tcPr>
                <w:p>
                  <w:pPr>
                    <w:pStyle w:val="72"/>
                    <w:keepNext w:val="0"/>
                    <w:keepLines w:val="0"/>
                    <w:pageBreakBefore w:val="0"/>
                    <w:kinsoku/>
                    <w:wordWrap/>
                    <w:overflowPunct/>
                    <w:topLinePunct w:val="0"/>
                    <w:bidi w:val="0"/>
                    <w:adjustRightInd w:val="0"/>
                    <w:snapToGrid w:val="0"/>
                    <w:spacing w:after="0" w:line="24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1</w:t>
                  </w:r>
                </w:p>
              </w:tc>
              <w:tc>
                <w:tcPr>
                  <w:tcW w:w="1632"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kern w:val="2"/>
                      <w:sz w:val="21"/>
                      <w:szCs w:val="21"/>
                      <w:highlight w:val="none"/>
                    </w:rPr>
                    <w:t>pH</w:t>
                  </w:r>
                </w:p>
              </w:tc>
              <w:tc>
                <w:tcPr>
                  <w:tcW w:w="1489"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kern w:val="2"/>
                      <w:sz w:val="21"/>
                      <w:szCs w:val="21"/>
                      <w:highlight w:val="none"/>
                    </w:rPr>
                    <w:t>6～9</w:t>
                  </w:r>
                </w:p>
              </w:tc>
              <w:tc>
                <w:tcPr>
                  <w:tcW w:w="1403" w:type="pct"/>
                  <w:vMerge w:val="restart"/>
                  <w:vAlign w:val="center"/>
                </w:tcPr>
                <w:p>
                  <w:pPr>
                    <w:pStyle w:val="72"/>
                    <w:keepNext w:val="0"/>
                    <w:keepLines w:val="0"/>
                    <w:pageBreakBefore w:val="0"/>
                    <w:kinsoku/>
                    <w:wordWrap/>
                    <w:overflowPunct/>
                    <w:topLinePunct w:val="0"/>
                    <w:bidi w:val="0"/>
                    <w:adjustRightInd w:val="0"/>
                    <w:snapToGrid w:val="0"/>
                    <w:spacing w:line="240" w:lineRule="auto"/>
                    <w:jc w:val="center"/>
                    <w:textAlignment w:val="auto"/>
                    <w:rPr>
                      <w:rFonts w:hint="default" w:ascii="Times New Roman" w:hAnsi="Times New Roman" w:eastAsia="宋体" w:cs="Times New Roman"/>
                      <w:color w:val="auto"/>
                      <w:kern w:val="2"/>
                      <w:sz w:val="21"/>
                      <w:szCs w:val="21"/>
                      <w:highlight w:val="none"/>
                    </w:rPr>
                  </w:pPr>
                  <w:r>
                    <w:rPr>
                      <w:rFonts w:hint="default" w:ascii="Times New Roman" w:hAnsi="Times New Roman" w:eastAsia="宋体" w:cs="Times New Roman"/>
                      <w:color w:val="auto"/>
                      <w:kern w:val="2"/>
                      <w:sz w:val="21"/>
                      <w:szCs w:val="21"/>
                      <w:highlight w:val="none"/>
                      <w:lang w:val="en-US" w:eastAsia="zh-CN"/>
                    </w:rPr>
                    <w:t>《污水综合排放标准》（GB8978-1996）中</w:t>
                  </w:r>
                  <w:r>
                    <w:rPr>
                      <w:rFonts w:hint="eastAsia" w:ascii="Times New Roman" w:hAnsi="Times New Roman" w:eastAsia="宋体" w:cs="Times New Roman"/>
                      <w:color w:val="auto"/>
                      <w:kern w:val="2"/>
                      <w:sz w:val="21"/>
                      <w:szCs w:val="21"/>
                      <w:highlight w:val="none"/>
                      <w:lang w:val="en-US" w:eastAsia="zh-CN"/>
                    </w:rPr>
                    <w:t>三</w:t>
                  </w:r>
                  <w:r>
                    <w:rPr>
                      <w:rFonts w:hint="default" w:ascii="Times New Roman" w:hAnsi="Times New Roman" w:eastAsia="宋体" w:cs="Times New Roman"/>
                      <w:color w:val="auto"/>
                      <w:kern w:val="2"/>
                      <w:sz w:val="21"/>
                      <w:szCs w:val="21"/>
                      <w:highlight w:val="none"/>
                      <w:lang w:val="en-US" w:eastAsia="zh-CN"/>
                    </w:rPr>
                    <w:t>级标准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474" w:type="pct"/>
                  <w:shd w:val="clear" w:color="auto" w:fill="auto"/>
                  <w:vAlign w:val="center"/>
                </w:tcPr>
                <w:p>
                  <w:pPr>
                    <w:pStyle w:val="72"/>
                    <w:keepNext w:val="0"/>
                    <w:keepLines w:val="0"/>
                    <w:pageBreakBefore w:val="0"/>
                    <w:kinsoku/>
                    <w:wordWrap/>
                    <w:overflowPunct/>
                    <w:topLinePunct w:val="0"/>
                    <w:bidi w:val="0"/>
                    <w:adjustRightInd w:val="0"/>
                    <w:snapToGrid w:val="0"/>
                    <w:spacing w:after="0" w:line="24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2</w:t>
                  </w:r>
                </w:p>
              </w:tc>
              <w:tc>
                <w:tcPr>
                  <w:tcW w:w="1632"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default" w:ascii="Times New Roman" w:hAnsi="Times New Roman" w:eastAsia="宋体" w:cs="Times New Roman"/>
                      <w:color w:val="auto"/>
                      <w:kern w:val="2"/>
                      <w:sz w:val="21"/>
                      <w:szCs w:val="21"/>
                      <w:highlight w:val="none"/>
                    </w:rPr>
                    <w:t>COD</w:t>
                  </w:r>
                </w:p>
              </w:tc>
              <w:tc>
                <w:tcPr>
                  <w:tcW w:w="1489"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kern w:val="2"/>
                      <w:sz w:val="21"/>
                      <w:szCs w:val="21"/>
                      <w:highlight w:val="none"/>
                      <w:lang w:val="en-US" w:eastAsia="zh-CN"/>
                    </w:rPr>
                    <w:t>500</w:t>
                  </w:r>
                </w:p>
              </w:tc>
              <w:tc>
                <w:tcPr>
                  <w:tcW w:w="1403" w:type="pct"/>
                  <w:vMerge w:val="continue"/>
                  <w:vAlign w:val="center"/>
                </w:tcPr>
                <w:p>
                  <w:pPr>
                    <w:pStyle w:val="48"/>
                    <w:keepNext w:val="0"/>
                    <w:keepLines w:val="0"/>
                    <w:pageBreakBefore w:val="0"/>
                    <w:kinsoku/>
                    <w:wordWrap/>
                    <w:overflowPunct/>
                    <w:topLinePunct w:val="0"/>
                    <w:bidi w:val="0"/>
                    <w:adjustRightInd w:val="0"/>
                    <w:snapToGrid w:val="0"/>
                    <w:spacing w:line="240" w:lineRule="auto"/>
                    <w:jc w:val="center"/>
                    <w:textAlignment w:val="auto"/>
                    <w:rPr>
                      <w:rFonts w:hint="default" w:ascii="Times New Roman" w:hAnsi="Times New Roman" w:eastAsia="宋体" w:cs="Times New Roman"/>
                      <w:color w:val="auto"/>
                      <w:kern w:val="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474" w:type="pct"/>
                  <w:shd w:val="clear" w:color="auto" w:fill="auto"/>
                  <w:vAlign w:val="center"/>
                </w:tcPr>
                <w:p>
                  <w:pPr>
                    <w:pStyle w:val="72"/>
                    <w:keepNext w:val="0"/>
                    <w:keepLines w:val="0"/>
                    <w:pageBreakBefore w:val="0"/>
                    <w:kinsoku/>
                    <w:wordWrap/>
                    <w:overflowPunct/>
                    <w:topLinePunct w:val="0"/>
                    <w:bidi w:val="0"/>
                    <w:adjustRightInd w:val="0"/>
                    <w:snapToGrid w:val="0"/>
                    <w:spacing w:after="0" w:line="24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3</w:t>
                  </w:r>
                </w:p>
              </w:tc>
              <w:tc>
                <w:tcPr>
                  <w:tcW w:w="1632"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bidi="ar-SA"/>
                    </w:rPr>
                  </w:pPr>
                  <w:r>
                    <w:rPr>
                      <w:rFonts w:hint="default" w:ascii="Times New Roman" w:hAnsi="Times New Roman" w:eastAsia="宋体" w:cs="Times New Roman"/>
                      <w:color w:val="auto"/>
                      <w:kern w:val="2"/>
                      <w:sz w:val="21"/>
                      <w:szCs w:val="21"/>
                      <w:highlight w:val="none"/>
                    </w:rPr>
                    <w:t>SS</w:t>
                  </w:r>
                </w:p>
              </w:tc>
              <w:tc>
                <w:tcPr>
                  <w:tcW w:w="1489"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lang w:val="en-US" w:eastAsia="zh-CN"/>
                    </w:rPr>
                    <w:t>400</w:t>
                  </w:r>
                </w:p>
              </w:tc>
              <w:tc>
                <w:tcPr>
                  <w:tcW w:w="1403" w:type="pct"/>
                  <w:vMerge w:val="continue"/>
                  <w:vAlign w:val="center"/>
                </w:tcPr>
                <w:p>
                  <w:pPr>
                    <w:pStyle w:val="48"/>
                    <w:keepNext w:val="0"/>
                    <w:keepLines w:val="0"/>
                    <w:pageBreakBefore w:val="0"/>
                    <w:kinsoku/>
                    <w:wordWrap/>
                    <w:overflowPunct/>
                    <w:topLinePunct w:val="0"/>
                    <w:bidi w:val="0"/>
                    <w:adjustRightInd w:val="0"/>
                    <w:snapToGrid w:val="0"/>
                    <w:spacing w:line="240" w:lineRule="auto"/>
                    <w:jc w:val="center"/>
                    <w:textAlignment w:val="auto"/>
                    <w:rPr>
                      <w:rFonts w:hint="default" w:ascii="Times New Roman" w:hAnsi="Times New Roman" w:eastAsia="宋体" w:cs="Times New Roman"/>
                      <w:color w:val="auto"/>
                      <w:kern w:val="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474" w:type="pct"/>
                  <w:shd w:val="clear" w:color="auto" w:fill="auto"/>
                  <w:vAlign w:val="center"/>
                </w:tcPr>
                <w:p>
                  <w:pPr>
                    <w:pStyle w:val="72"/>
                    <w:keepNext w:val="0"/>
                    <w:keepLines w:val="0"/>
                    <w:pageBreakBefore w:val="0"/>
                    <w:kinsoku/>
                    <w:wordWrap/>
                    <w:overflowPunct/>
                    <w:topLinePunct w:val="0"/>
                    <w:bidi w:val="0"/>
                    <w:adjustRightInd w:val="0"/>
                    <w:snapToGrid w:val="0"/>
                    <w:spacing w:after="0" w:line="24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4</w:t>
                  </w:r>
                </w:p>
              </w:tc>
              <w:tc>
                <w:tcPr>
                  <w:tcW w:w="1632" w:type="pct"/>
                  <w:shd w:val="clear" w:color="auto" w:fill="auto"/>
                  <w:vAlign w:val="center"/>
                </w:tcPr>
                <w:p>
                  <w:pPr>
                    <w:keepNext w:val="0"/>
                    <w:keepLines w:val="0"/>
                    <w:pageBreakBefore w:val="0"/>
                    <w:widowControl w:val="0"/>
                    <w:kinsoku/>
                    <w:wordWrap/>
                    <w:overflowPunct/>
                    <w:topLinePunct w:val="0"/>
                    <w:bidi w:val="0"/>
                    <w:adjustRightInd w:val="0"/>
                    <w:snapToGrid w:val="0"/>
                    <w:spacing w:after="0" w:line="240" w:lineRule="auto"/>
                    <w:jc w:val="center"/>
                    <w:textAlignment w:val="auto"/>
                    <w:rPr>
                      <w:rFonts w:hint="eastAsia" w:ascii="Times New Roman" w:hAnsi="Times New Roman" w:eastAsia="宋体" w:cs="Times New Roman"/>
                      <w:color w:val="auto"/>
                      <w:sz w:val="21"/>
                      <w:szCs w:val="21"/>
                      <w:highlight w:val="none"/>
                      <w:vertAlign w:val="baseline"/>
                      <w:lang w:val="en-US" w:eastAsia="zh-CN" w:bidi="ar-SA"/>
                    </w:rPr>
                  </w:pPr>
                  <w:r>
                    <w:rPr>
                      <w:rFonts w:hint="default" w:ascii="Times New Roman" w:hAnsi="Times New Roman" w:eastAsia="宋体" w:cs="Times New Roman"/>
                      <w:color w:val="auto"/>
                      <w:kern w:val="2"/>
                      <w:sz w:val="21"/>
                      <w:szCs w:val="21"/>
                      <w:highlight w:val="none"/>
                    </w:rPr>
                    <w:t>BOD</w:t>
                  </w:r>
                  <w:r>
                    <w:rPr>
                      <w:rFonts w:hint="eastAsia" w:ascii="Times New Roman" w:hAnsi="Times New Roman" w:eastAsia="宋体" w:cs="Times New Roman"/>
                      <w:color w:val="auto"/>
                      <w:kern w:val="2"/>
                      <w:sz w:val="21"/>
                      <w:szCs w:val="21"/>
                      <w:highlight w:val="none"/>
                      <w:vertAlign w:val="subscript"/>
                      <w:lang w:val="en-US" w:eastAsia="zh-CN"/>
                    </w:rPr>
                    <w:t>5</w:t>
                  </w:r>
                </w:p>
              </w:tc>
              <w:tc>
                <w:tcPr>
                  <w:tcW w:w="1489" w:type="pct"/>
                  <w:shd w:val="clear" w:color="auto" w:fill="auto"/>
                  <w:vAlign w:val="center"/>
                </w:tcPr>
                <w:p>
                  <w:pPr>
                    <w:keepNext w:val="0"/>
                    <w:keepLines w:val="0"/>
                    <w:pageBreakBefore w:val="0"/>
                    <w:widowControl w:val="0"/>
                    <w:kinsoku/>
                    <w:wordWrap/>
                    <w:overflowPunct/>
                    <w:topLinePunct w:val="0"/>
                    <w:bidi w:val="0"/>
                    <w:adjustRightInd w:val="0"/>
                    <w:snapToGrid w:val="0"/>
                    <w:spacing w:after="0" w:line="240" w:lineRule="auto"/>
                    <w:jc w:val="center"/>
                    <w:textAlignment w:val="auto"/>
                    <w:rPr>
                      <w:rFonts w:hint="default" w:ascii="Times New Roman" w:hAnsi="Times New Roman" w:eastAsia="宋体" w:cs="Times New Roman"/>
                      <w:color w:val="auto"/>
                      <w:sz w:val="21"/>
                      <w:szCs w:val="21"/>
                      <w:highlight w:val="none"/>
                      <w:vertAlign w:val="baseline"/>
                      <w:lang w:val="en-US" w:eastAsia="zh-CN" w:bidi="ar-SA"/>
                    </w:rPr>
                  </w:pPr>
                  <w:r>
                    <w:rPr>
                      <w:rFonts w:hint="eastAsia" w:ascii="Times New Roman" w:hAnsi="Times New Roman" w:eastAsia="宋体" w:cs="Times New Roman"/>
                      <w:color w:val="auto"/>
                      <w:kern w:val="2"/>
                      <w:sz w:val="21"/>
                      <w:szCs w:val="21"/>
                      <w:highlight w:val="none"/>
                      <w:lang w:val="en-US" w:eastAsia="zh-CN"/>
                    </w:rPr>
                    <w:t>300</w:t>
                  </w:r>
                </w:p>
              </w:tc>
              <w:tc>
                <w:tcPr>
                  <w:tcW w:w="1403" w:type="pct"/>
                  <w:vMerge w:val="continue"/>
                  <w:vAlign w:val="center"/>
                </w:tcPr>
                <w:p>
                  <w:pPr>
                    <w:pStyle w:val="48"/>
                    <w:keepNext w:val="0"/>
                    <w:keepLines w:val="0"/>
                    <w:pageBreakBefore w:val="0"/>
                    <w:kinsoku/>
                    <w:wordWrap/>
                    <w:overflowPunct/>
                    <w:topLinePunct w:val="0"/>
                    <w:bidi w:val="0"/>
                    <w:adjustRightInd w:val="0"/>
                    <w:snapToGrid w:val="0"/>
                    <w:spacing w:line="240" w:lineRule="auto"/>
                    <w:jc w:val="center"/>
                    <w:textAlignment w:val="auto"/>
                    <w:rPr>
                      <w:rFonts w:hint="default" w:ascii="Times New Roman" w:hAnsi="Times New Roman" w:eastAsia="宋体" w:cs="Times New Roman"/>
                      <w:color w:val="auto"/>
                      <w:kern w:val="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474" w:type="pct"/>
                  <w:shd w:val="clear" w:color="auto" w:fill="auto"/>
                  <w:vAlign w:val="center"/>
                </w:tcPr>
                <w:p>
                  <w:pPr>
                    <w:pStyle w:val="72"/>
                    <w:keepNext w:val="0"/>
                    <w:keepLines w:val="0"/>
                    <w:pageBreakBefore w:val="0"/>
                    <w:kinsoku/>
                    <w:wordWrap/>
                    <w:overflowPunct/>
                    <w:topLinePunct w:val="0"/>
                    <w:bidi w:val="0"/>
                    <w:adjustRightInd w:val="0"/>
                    <w:snapToGrid w:val="0"/>
                    <w:spacing w:after="0" w:line="24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ascii="Times New Roman" w:hAnsi="Times New Roman" w:eastAsia="宋体" w:cs="Times New Roman"/>
                      <w:color w:val="auto"/>
                      <w:sz w:val="21"/>
                      <w:szCs w:val="21"/>
                      <w:highlight w:val="none"/>
                      <w:vertAlign w:val="baseline"/>
                      <w:lang w:val="en-US" w:eastAsia="zh-CN"/>
                    </w:rPr>
                    <w:t>5</w:t>
                  </w:r>
                </w:p>
              </w:tc>
              <w:tc>
                <w:tcPr>
                  <w:tcW w:w="1632"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bidi="ar-SA"/>
                    </w:rPr>
                  </w:pPr>
                  <w:r>
                    <w:rPr>
                      <w:rFonts w:hint="eastAsia" w:eastAsia="宋体" w:cs="Times New Roman"/>
                      <w:color w:val="auto"/>
                      <w:kern w:val="2"/>
                      <w:sz w:val="21"/>
                      <w:szCs w:val="21"/>
                      <w:highlight w:val="none"/>
                      <w:lang w:val="en-US" w:eastAsia="zh-CN"/>
                    </w:rPr>
                    <w:t>氨氮</w:t>
                  </w:r>
                </w:p>
              </w:tc>
              <w:tc>
                <w:tcPr>
                  <w:tcW w:w="1489"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color w:val="auto"/>
                      <w:sz w:val="21"/>
                      <w:szCs w:val="21"/>
                      <w:highlight w:val="none"/>
                      <w:vertAlign w:val="baseline"/>
                      <w:lang w:val="en-US" w:eastAsia="zh-CN" w:bidi="ar-SA"/>
                    </w:rPr>
                  </w:pPr>
                  <w:r>
                    <w:rPr>
                      <w:rFonts w:hint="eastAsia" w:cs="Times New Roman"/>
                      <w:color w:val="auto"/>
                      <w:kern w:val="2"/>
                      <w:sz w:val="21"/>
                      <w:szCs w:val="21"/>
                      <w:highlight w:val="none"/>
                      <w:lang w:val="en-US" w:eastAsia="zh-CN"/>
                    </w:rPr>
                    <w:t>-</w:t>
                  </w:r>
                </w:p>
              </w:tc>
              <w:tc>
                <w:tcPr>
                  <w:tcW w:w="1403" w:type="pct"/>
                  <w:vMerge w:val="continue"/>
                  <w:vAlign w:val="center"/>
                </w:tcPr>
                <w:p>
                  <w:pPr>
                    <w:pStyle w:val="48"/>
                    <w:keepNext w:val="0"/>
                    <w:keepLines w:val="0"/>
                    <w:pageBreakBefore w:val="0"/>
                    <w:kinsoku/>
                    <w:wordWrap/>
                    <w:overflowPunct/>
                    <w:topLinePunct w:val="0"/>
                    <w:bidi w:val="0"/>
                    <w:adjustRightInd w:val="0"/>
                    <w:snapToGrid w:val="0"/>
                    <w:spacing w:line="240" w:lineRule="auto"/>
                    <w:jc w:val="center"/>
                    <w:textAlignment w:val="auto"/>
                    <w:rPr>
                      <w:rFonts w:hint="default" w:ascii="Times New Roman" w:hAnsi="Times New Roman" w:eastAsia="宋体" w:cs="Times New Roman"/>
                      <w:color w:val="auto"/>
                      <w:kern w:val="2"/>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trPr>
              <w:tc>
                <w:tcPr>
                  <w:tcW w:w="474" w:type="pct"/>
                  <w:shd w:val="clear" w:color="auto" w:fill="auto"/>
                  <w:vAlign w:val="center"/>
                </w:tcPr>
                <w:p>
                  <w:pPr>
                    <w:pStyle w:val="72"/>
                    <w:keepNext w:val="0"/>
                    <w:keepLines w:val="0"/>
                    <w:pageBreakBefore w:val="0"/>
                    <w:kinsoku/>
                    <w:wordWrap/>
                    <w:overflowPunct/>
                    <w:topLinePunct w:val="0"/>
                    <w:bidi w:val="0"/>
                    <w:adjustRightInd w:val="0"/>
                    <w:snapToGrid w:val="0"/>
                    <w:spacing w:after="0" w:line="240" w:lineRule="auto"/>
                    <w:jc w:val="center"/>
                    <w:textAlignment w:val="auto"/>
                    <w:rPr>
                      <w:rFonts w:hint="default" w:ascii="Times New Roman" w:hAnsi="Times New Roman" w:eastAsia="宋体" w:cs="Times New Roman"/>
                      <w:color w:val="auto"/>
                      <w:sz w:val="21"/>
                      <w:szCs w:val="21"/>
                      <w:highlight w:val="none"/>
                      <w:vertAlign w:val="baseline"/>
                      <w:lang w:val="en-US" w:eastAsia="zh-CN"/>
                    </w:rPr>
                  </w:pPr>
                  <w:r>
                    <w:rPr>
                      <w:rFonts w:hint="eastAsia" w:cs="Times New Roman"/>
                      <w:color w:val="auto"/>
                      <w:sz w:val="21"/>
                      <w:szCs w:val="21"/>
                      <w:highlight w:val="none"/>
                      <w:vertAlign w:val="baseline"/>
                      <w:lang w:val="en-US" w:eastAsia="zh-CN"/>
                    </w:rPr>
                    <w:t>6</w:t>
                  </w:r>
                </w:p>
              </w:tc>
              <w:tc>
                <w:tcPr>
                  <w:tcW w:w="1632"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rPr>
                  </w:pPr>
                  <w:r>
                    <w:rPr>
                      <w:rFonts w:hint="eastAsia" w:cs="Times New Roman"/>
                      <w:color w:val="auto"/>
                      <w:sz w:val="21"/>
                      <w:szCs w:val="21"/>
                      <w:highlight w:val="none"/>
                      <w:vertAlign w:val="baseline"/>
                      <w:lang w:val="en-US" w:eastAsia="zh-CN"/>
                    </w:rPr>
                    <w:t>总磷</w:t>
                  </w:r>
                </w:p>
              </w:tc>
              <w:tc>
                <w:tcPr>
                  <w:tcW w:w="1489" w:type="pct"/>
                  <w:shd w:val="clear" w:color="auto" w:fill="auto"/>
                  <w:vAlign w:val="center"/>
                </w:tcPr>
                <w:p>
                  <w:pPr>
                    <w:keepNext w:val="0"/>
                    <w:keepLines w:val="0"/>
                    <w:pageBreakBefore w:val="0"/>
                    <w:widowControl w:val="0"/>
                    <w:kinsoku/>
                    <w:wordWrap/>
                    <w:overflowPunct/>
                    <w:topLinePunct w:val="0"/>
                    <w:autoSpaceDE/>
                    <w:autoSpaceDN/>
                    <w:bidi w:val="0"/>
                    <w:adjustRightInd w:val="0"/>
                    <w:snapToGrid w:val="0"/>
                    <w:spacing w:after="0" w:line="240" w:lineRule="auto"/>
                    <w:ind w:firstLine="0" w:firstLineChars="0"/>
                    <w:jc w:val="center"/>
                    <w:textAlignment w:val="auto"/>
                    <w:rPr>
                      <w:rFonts w:hint="default" w:ascii="Times New Roman" w:hAnsi="Times New Roman" w:eastAsia="宋体" w:cs="Times New Roman"/>
                      <w:color w:val="auto"/>
                      <w:kern w:val="2"/>
                      <w:sz w:val="21"/>
                      <w:szCs w:val="21"/>
                      <w:highlight w:val="none"/>
                      <w:lang w:val="en-US" w:eastAsia="zh-CN"/>
                    </w:rPr>
                  </w:pPr>
                  <w:r>
                    <w:rPr>
                      <w:rFonts w:hint="eastAsia" w:cs="Times New Roman"/>
                      <w:color w:val="auto"/>
                      <w:kern w:val="2"/>
                      <w:sz w:val="21"/>
                      <w:szCs w:val="21"/>
                      <w:highlight w:val="none"/>
                      <w:lang w:val="en-US" w:eastAsia="zh-CN"/>
                    </w:rPr>
                    <w:t>-</w:t>
                  </w:r>
                </w:p>
              </w:tc>
              <w:tc>
                <w:tcPr>
                  <w:tcW w:w="1403" w:type="pct"/>
                  <w:vMerge w:val="continue"/>
                  <w:vAlign w:val="center"/>
                </w:tcPr>
                <w:p>
                  <w:pPr>
                    <w:pStyle w:val="48"/>
                    <w:keepNext w:val="0"/>
                    <w:keepLines w:val="0"/>
                    <w:pageBreakBefore w:val="0"/>
                    <w:kinsoku/>
                    <w:wordWrap/>
                    <w:overflowPunct/>
                    <w:topLinePunct w:val="0"/>
                    <w:bidi w:val="0"/>
                    <w:adjustRightInd w:val="0"/>
                    <w:snapToGrid w:val="0"/>
                    <w:spacing w:line="240" w:lineRule="auto"/>
                    <w:jc w:val="center"/>
                    <w:textAlignment w:val="auto"/>
                    <w:rPr>
                      <w:rFonts w:hint="default" w:ascii="Times New Roman" w:hAnsi="Times New Roman" w:eastAsia="宋体" w:cs="Times New Roman"/>
                      <w:color w:val="auto"/>
                      <w:kern w:val="2"/>
                      <w:sz w:val="21"/>
                      <w:szCs w:val="21"/>
                      <w:highlight w:val="none"/>
                    </w:rPr>
                  </w:pPr>
                </w:p>
              </w:tc>
            </w:tr>
          </w:tbl>
          <w:p>
            <w:pPr>
              <w:keepNext w:val="0"/>
              <w:keepLines w:val="0"/>
              <w:pageBreakBefore w:val="0"/>
              <w:widowControl/>
              <w:suppressLineNumbers w:val="0"/>
              <w:kinsoku/>
              <w:wordWrap/>
              <w:overflowPunct/>
              <w:topLinePunct w:val="0"/>
              <w:bidi w:val="0"/>
              <w:snapToGrid/>
              <w:spacing w:before="0" w:beforeAutospacing="0" w:after="0" w:afterAutospacing="0" w:line="360" w:lineRule="auto"/>
              <w:ind w:left="0" w:right="0"/>
              <w:jc w:val="both"/>
              <w:textAlignment w:val="auto"/>
              <w:rPr>
                <w:rFonts w:hint="default" w:ascii="Times New Roman" w:hAnsi="Times New Roman" w:eastAsia="宋体" w:cs="Times New Roman"/>
                <w:b/>
                <w:color w:val="auto"/>
                <w:kern w:val="0"/>
                <w:sz w:val="21"/>
                <w:szCs w:val="21"/>
                <w:highlight w:val="none"/>
                <w:lang w:val="en-US" w:eastAsia="zh-CN"/>
              </w:rPr>
            </w:pPr>
            <w:r>
              <w:rPr>
                <w:rFonts w:hint="default" w:ascii="Times New Roman" w:hAnsi="Times New Roman" w:eastAsia="宋体" w:cs="Times New Roman"/>
                <w:b/>
                <w:color w:val="auto"/>
                <w:kern w:val="0"/>
                <w:sz w:val="21"/>
                <w:szCs w:val="21"/>
                <w:highlight w:val="none"/>
                <w:lang w:val="en-US" w:eastAsia="zh-CN"/>
              </w:rPr>
              <w:t>4固废</w:t>
            </w:r>
          </w:p>
          <w:p>
            <w:pPr>
              <w:keepNext w:val="0"/>
              <w:keepLines w:val="0"/>
              <w:suppressLineNumbers w:val="0"/>
              <w:spacing w:before="0" w:beforeAutospacing="0" w:after="0" w:afterAutospacing="0" w:line="360" w:lineRule="auto"/>
              <w:ind w:left="0" w:right="0" w:firstLine="420" w:firstLineChars="200"/>
              <w:contextualSpacing/>
              <w:jc w:val="both"/>
              <w:rPr>
                <w:rFonts w:hint="default"/>
                <w:color w:val="auto"/>
                <w:sz w:val="21"/>
                <w:szCs w:val="21"/>
                <w:highlight w:val="none"/>
              </w:rPr>
            </w:pPr>
            <w:r>
              <w:rPr>
                <w:rFonts w:hint="eastAsia" w:ascii="Times New Roman" w:hAnsi="Times New Roman" w:eastAsia="宋体" w:cs="Times New Roman"/>
                <w:color w:val="auto"/>
                <w:lang w:val="en-US" w:eastAsia="zh-CN"/>
              </w:rPr>
              <w:t>一般固废执行《中华人民共和国固体废物污染环境防治法》（</w:t>
            </w:r>
            <w:r>
              <w:rPr>
                <w:rFonts w:hint="default" w:ascii="Times New Roman" w:hAnsi="Times New Roman" w:eastAsia="宋体" w:cs="Times New Roman"/>
                <w:color w:val="auto"/>
                <w:lang w:val="en-US" w:eastAsia="zh-CN"/>
              </w:rPr>
              <w:t>2020</w:t>
            </w:r>
            <w:r>
              <w:rPr>
                <w:rFonts w:hint="eastAsia" w:ascii="Times New Roman" w:hAnsi="Times New Roman" w:eastAsia="宋体" w:cs="Times New Roman"/>
                <w:color w:val="auto"/>
                <w:lang w:val="en-US" w:eastAsia="zh-CN"/>
              </w:rPr>
              <w:t>年</w:t>
            </w:r>
            <w:r>
              <w:rPr>
                <w:rFonts w:hint="default" w:ascii="Times New Roman" w:hAnsi="Times New Roman" w:eastAsia="宋体" w:cs="Times New Roman"/>
                <w:color w:val="auto"/>
                <w:lang w:val="en-US" w:eastAsia="zh-CN"/>
              </w:rPr>
              <w:t>9</w:t>
            </w:r>
            <w:r>
              <w:rPr>
                <w:rFonts w:hint="eastAsia" w:ascii="Times New Roman" w:hAnsi="Times New Roman" w:eastAsia="宋体" w:cs="Times New Roman"/>
                <w:color w:val="auto"/>
                <w:lang w:val="en-US" w:eastAsia="zh-CN"/>
              </w:rPr>
              <w:t>月</w:t>
            </w:r>
            <w:r>
              <w:rPr>
                <w:rFonts w:hint="default" w:ascii="Times New Roman" w:hAnsi="Times New Roman" w:eastAsia="宋体" w:cs="Times New Roman"/>
                <w:color w:val="auto"/>
                <w:lang w:val="en-US" w:eastAsia="zh-CN"/>
              </w:rPr>
              <w:t>1</w:t>
            </w:r>
            <w:r>
              <w:rPr>
                <w:rFonts w:hint="eastAsia" w:ascii="Times New Roman" w:hAnsi="Times New Roman" w:eastAsia="宋体" w:cs="Times New Roman"/>
                <w:color w:val="auto"/>
                <w:lang w:val="en-US" w:eastAsia="zh-CN"/>
              </w:rPr>
              <w:t>日起施行）及防渗漏、防雨淋、防扬尘等环境保护要求；危险废物执行《危险废物贮存污染控制标准》（</w:t>
            </w:r>
            <w:r>
              <w:rPr>
                <w:rFonts w:hint="default" w:ascii="Times New Roman" w:hAnsi="Times New Roman" w:eastAsia="宋体" w:cs="Times New Roman"/>
                <w:color w:val="auto"/>
                <w:lang w:val="en-US" w:eastAsia="zh-CN"/>
              </w:rPr>
              <w:t>GB18597</w:t>
            </w:r>
            <w:r>
              <w:rPr>
                <w:rFonts w:hint="eastAsia" w:ascii="Times New Roman" w:hAnsi="Times New Roman" w:eastAsia="宋体" w:cs="Times New Roman"/>
                <w:color w:val="auto"/>
                <w:lang w:val="en-US" w:eastAsia="zh-CN"/>
              </w:rPr>
              <w:t>-</w:t>
            </w:r>
            <w:r>
              <w:rPr>
                <w:rFonts w:hint="default" w:ascii="Times New Roman" w:hAnsi="Times New Roman" w:eastAsia="宋体" w:cs="Times New Roman"/>
                <w:color w:val="auto"/>
                <w:lang w:val="en-US" w:eastAsia="zh-CN"/>
              </w:rPr>
              <w:t>2023</w:t>
            </w:r>
            <w:r>
              <w:rPr>
                <w:rFonts w:hint="eastAsia" w:ascii="Times New Roman" w:hAnsi="Times New Roman" w:eastAsia="宋体" w:cs="Times New Roman"/>
                <w:color w:val="auto"/>
                <w:lang w:val="en-US" w:eastAsia="zh-CN"/>
              </w:rPr>
              <w:t>）标准要求</w:t>
            </w:r>
            <w:r>
              <w:rPr>
                <w:rFonts w:hint="default" w:ascii="Times New Roman" w:hAnsi="Times New Roman" w:eastAsia="宋体" w:cs="Times New Roman"/>
                <w:color w:val="auto"/>
                <w:sz w:val="21"/>
                <w:szCs w:val="21"/>
                <w:highlight w:val="none"/>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PrEx>
        <w:trPr>
          <w:trHeight w:val="3120" w:hRule="atLeast"/>
          <w:jc w:val="center"/>
        </w:trPr>
        <w:tc>
          <w:tcPr>
            <w:tcW w:w="800" w:type="dxa"/>
            <w:noWrap w:val="0"/>
            <w:vAlign w:val="center"/>
          </w:tcPr>
          <w:p>
            <w:pPr>
              <w:adjustRightInd w:val="0"/>
              <w:snapToGrid w:val="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总量</w:t>
            </w:r>
          </w:p>
          <w:p>
            <w:pPr>
              <w:adjustRightInd w:val="0"/>
              <w:snapToGrid w:val="0"/>
              <w:jc w:val="center"/>
              <w:rPr>
                <w:rFonts w:hint="eastAsia" w:ascii="宋体" w:hAnsi="宋体" w:cs="宋体"/>
                <w:color w:val="auto"/>
                <w:kern w:val="0"/>
                <w:szCs w:val="21"/>
                <w:highlight w:val="none"/>
              </w:rPr>
            </w:pPr>
            <w:r>
              <w:rPr>
                <w:rFonts w:hint="eastAsia" w:ascii="宋体" w:hAnsi="宋体" w:cs="宋体"/>
                <w:color w:val="auto"/>
                <w:kern w:val="0"/>
                <w:szCs w:val="21"/>
                <w:highlight w:val="none"/>
              </w:rPr>
              <w:t>控制</w:t>
            </w:r>
          </w:p>
          <w:p>
            <w:pPr>
              <w:adjustRightInd w:val="0"/>
              <w:snapToGrid w:val="0"/>
              <w:jc w:val="center"/>
              <w:rPr>
                <w:rFonts w:ascii="宋体" w:hAnsi="宋体" w:cs="宋体"/>
                <w:color w:val="auto"/>
                <w:kern w:val="0"/>
                <w:szCs w:val="21"/>
                <w:highlight w:val="none"/>
              </w:rPr>
            </w:pPr>
            <w:r>
              <w:rPr>
                <w:rFonts w:hint="eastAsia" w:ascii="宋体" w:hAnsi="宋体" w:cs="宋体"/>
                <w:color w:val="auto"/>
                <w:kern w:val="0"/>
                <w:szCs w:val="21"/>
                <w:highlight w:val="none"/>
              </w:rPr>
              <w:t>指标</w:t>
            </w:r>
          </w:p>
        </w:tc>
        <w:tc>
          <w:tcPr>
            <w:tcW w:w="8190" w:type="dxa"/>
            <w:noWrap w:val="0"/>
            <w:vAlign w:val="center"/>
          </w:tcPr>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420" w:firstLineChars="200"/>
              <w:jc w:val="both"/>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根据“十四五”主要污染物总量减排文件及相关环保法规与规定可知，涉及总量指标考核及区域削减的污染物总量控制因子为：</w:t>
            </w:r>
            <w:r>
              <w:rPr>
                <w:rFonts w:hint="eastAsia" w:cs="Times New Roman"/>
                <w:color w:val="auto"/>
                <w:sz w:val="21"/>
                <w:szCs w:val="21"/>
                <w:lang w:val="en-US" w:eastAsia="zh-CN"/>
              </w:rPr>
              <w:t>颗粒物、</w:t>
            </w:r>
            <w:r>
              <w:rPr>
                <w:rFonts w:hint="default" w:ascii="Times New Roman" w:hAnsi="Times New Roman" w:eastAsia="宋体" w:cs="Times New Roman"/>
                <w:color w:val="auto"/>
                <w:sz w:val="21"/>
                <w:szCs w:val="21"/>
                <w:lang w:val="en-US" w:eastAsia="zh-CN"/>
              </w:rPr>
              <w:t>氮氧化物、挥发性有机物、化学需氧量、氨氮。</w:t>
            </w:r>
          </w:p>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420" w:firstLineChars="200"/>
              <w:jc w:val="both"/>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（1）废水</w:t>
            </w:r>
          </w:p>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420" w:firstLineChars="200"/>
              <w:jc w:val="both"/>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本项目总量控制因子为COD</w:t>
            </w:r>
            <w:r>
              <w:rPr>
                <w:rFonts w:hint="eastAsia" w:ascii="Times New Roman" w:hAnsi="Times New Roman" w:eastAsia="宋体" w:cs="Times New Roman"/>
                <w:color w:val="auto"/>
                <w:sz w:val="21"/>
                <w:szCs w:val="21"/>
                <w:lang w:val="en-US" w:eastAsia="zh-CN"/>
              </w:rPr>
              <w:t>、</w:t>
            </w:r>
            <w:r>
              <w:rPr>
                <w:rFonts w:hint="default" w:ascii="Times New Roman" w:hAnsi="Times New Roman" w:eastAsia="宋体" w:cs="Times New Roman"/>
                <w:color w:val="auto"/>
                <w:sz w:val="21"/>
                <w:szCs w:val="21"/>
                <w:lang w:val="en-US" w:eastAsia="zh-CN"/>
              </w:rPr>
              <w:t>NH</w:t>
            </w:r>
            <w:r>
              <w:rPr>
                <w:rFonts w:hint="default" w:ascii="Times New Roman" w:hAnsi="Times New Roman" w:eastAsia="宋体" w:cs="Times New Roman"/>
                <w:color w:val="auto"/>
                <w:sz w:val="21"/>
                <w:szCs w:val="21"/>
                <w:vertAlign w:val="subscript"/>
                <w:lang w:val="en-US" w:eastAsia="zh-CN"/>
              </w:rPr>
              <w:t>3</w:t>
            </w:r>
            <w:r>
              <w:rPr>
                <w:rFonts w:hint="default" w:ascii="Times New Roman" w:hAnsi="Times New Roman" w:eastAsia="宋体" w:cs="Times New Roman"/>
                <w:color w:val="auto"/>
                <w:sz w:val="21"/>
                <w:szCs w:val="21"/>
                <w:lang w:val="en-US" w:eastAsia="zh-CN"/>
              </w:rPr>
              <w:t>-N。</w:t>
            </w:r>
            <w:r>
              <w:rPr>
                <w:rFonts w:hint="eastAsia" w:ascii="Times New Roman" w:hAnsi="Times New Roman" w:eastAsia="宋体" w:cs="Times New Roman"/>
                <w:color w:val="auto"/>
                <w:sz w:val="21"/>
                <w:szCs w:val="21"/>
                <w:lang w:val="en-US" w:eastAsia="zh-CN"/>
              </w:rPr>
              <w:t>本项目</w:t>
            </w:r>
            <w:r>
              <w:rPr>
                <w:rFonts w:hint="default" w:ascii="Times New Roman" w:hAnsi="Times New Roman" w:cs="Times New Roman"/>
                <w:color w:val="auto"/>
                <w:sz w:val="21"/>
                <w:szCs w:val="21"/>
                <w:highlight w:val="none"/>
                <w:lang w:val="en-US" w:eastAsia="zh-CN"/>
              </w:rPr>
              <w:t>生活污水经化粪池处理后，原料清洗废水、洗瓶废水、CIP系统清洗废水经厂区污水站处理后与纯水制备浓水、</w:t>
            </w:r>
            <w:r>
              <w:rPr>
                <w:rFonts w:hint="eastAsia" w:cs="Times New Roman"/>
                <w:color w:val="auto"/>
                <w:sz w:val="21"/>
                <w:szCs w:val="21"/>
                <w:highlight w:val="none"/>
                <w:lang w:val="en-US" w:eastAsia="zh-CN"/>
              </w:rPr>
              <w:t>锅炉</w:t>
            </w:r>
            <w:r>
              <w:rPr>
                <w:rFonts w:hint="default" w:ascii="Times New Roman" w:hAnsi="Times New Roman" w:cs="Times New Roman"/>
                <w:color w:val="auto"/>
                <w:sz w:val="21"/>
                <w:szCs w:val="21"/>
                <w:highlight w:val="none"/>
                <w:lang w:val="en-US" w:eastAsia="zh-CN"/>
              </w:rPr>
              <w:t>排污水一起排入园区下水管网，</w:t>
            </w:r>
            <w:r>
              <w:rPr>
                <w:rFonts w:hint="default" w:ascii="Times New Roman" w:hAnsi="Times New Roman" w:eastAsia="宋体" w:cs="Times New Roman"/>
                <w:b w:val="0"/>
                <w:bCs w:val="0"/>
                <w:color w:val="auto"/>
                <w:sz w:val="21"/>
                <w:szCs w:val="21"/>
                <w:highlight w:val="none"/>
                <w:lang w:val="en-US" w:eastAsia="zh-CN"/>
              </w:rPr>
              <w:t>最终</w:t>
            </w:r>
            <w:r>
              <w:rPr>
                <w:rFonts w:hint="default" w:ascii="Times New Roman" w:hAnsi="Times New Roman" w:eastAsia="宋体" w:cs="Times New Roman"/>
                <w:b w:val="0"/>
                <w:bCs w:val="0"/>
                <w:color w:val="auto"/>
                <w:sz w:val="21"/>
                <w:szCs w:val="21"/>
                <w:highlight w:val="none"/>
                <w:lang w:eastAsia="zh-CN"/>
              </w:rPr>
              <w:t>进入</w:t>
            </w:r>
            <w:r>
              <w:rPr>
                <w:rFonts w:hint="default" w:ascii="Times New Roman" w:hAnsi="Times New Roman" w:cs="Times New Roman"/>
                <w:b w:val="0"/>
                <w:bCs w:val="0"/>
                <w:color w:val="auto"/>
                <w:sz w:val="21"/>
                <w:szCs w:val="21"/>
                <w:highlight w:val="none"/>
                <w:lang w:eastAsia="zh-CN"/>
              </w:rPr>
              <w:t>库尔勒经济技术开发区工业废水处理回用厂</w:t>
            </w:r>
            <w:r>
              <w:rPr>
                <w:rFonts w:hint="default" w:ascii="Times New Roman" w:hAnsi="Times New Roman" w:cs="Times New Roman"/>
                <w:b w:val="0"/>
                <w:bCs w:val="0"/>
                <w:color w:val="auto"/>
                <w:sz w:val="21"/>
                <w:szCs w:val="21"/>
                <w:highlight w:val="none"/>
                <w:lang w:val="en-US" w:eastAsia="zh-CN"/>
              </w:rPr>
              <w:t>深度处理</w:t>
            </w:r>
            <w:r>
              <w:rPr>
                <w:rFonts w:hint="eastAsia" w:ascii="Times New Roman" w:hAnsi="Times New Roman" w:cs="Times New Roman"/>
                <w:b w:val="0"/>
                <w:bCs w:val="0"/>
                <w:color w:val="auto"/>
                <w:sz w:val="21"/>
                <w:szCs w:val="21"/>
                <w:highlight w:val="none"/>
                <w:lang w:val="en-US" w:eastAsia="zh-CN"/>
              </w:rPr>
              <w:t>。</w:t>
            </w:r>
            <w:r>
              <w:rPr>
                <w:rFonts w:hint="default" w:ascii="Times New Roman" w:hAnsi="Times New Roman" w:eastAsia="宋体" w:cs="Times New Roman"/>
                <w:color w:val="auto"/>
                <w:sz w:val="21"/>
                <w:szCs w:val="21"/>
                <w:lang w:val="en-US" w:eastAsia="zh-CN"/>
              </w:rPr>
              <w:t>则项目无需申请COD、NH</w:t>
            </w:r>
            <w:r>
              <w:rPr>
                <w:rFonts w:hint="default" w:ascii="Times New Roman" w:hAnsi="Times New Roman" w:eastAsia="宋体" w:cs="Times New Roman"/>
                <w:color w:val="auto"/>
                <w:sz w:val="21"/>
                <w:szCs w:val="21"/>
                <w:vertAlign w:val="subscript"/>
                <w:lang w:val="en-US" w:eastAsia="zh-CN"/>
              </w:rPr>
              <w:t>3</w:t>
            </w:r>
            <w:r>
              <w:rPr>
                <w:rFonts w:hint="default" w:ascii="Times New Roman" w:hAnsi="Times New Roman" w:eastAsia="宋体" w:cs="Times New Roman"/>
                <w:color w:val="auto"/>
                <w:sz w:val="21"/>
                <w:szCs w:val="21"/>
                <w:lang w:val="en-US" w:eastAsia="zh-CN"/>
              </w:rPr>
              <w:t>-N总量控制指标。</w:t>
            </w:r>
          </w:p>
          <w:p>
            <w:pPr>
              <w:keepNext w:val="0"/>
              <w:keepLines w:val="0"/>
              <w:pageBreakBefore w:val="0"/>
              <w:widowControl/>
              <w:suppressLineNumbers w:val="0"/>
              <w:kinsoku/>
              <w:wordWrap/>
              <w:overflowPunct/>
              <w:topLinePunct w:val="0"/>
              <w:autoSpaceDE/>
              <w:autoSpaceDN/>
              <w:bidi w:val="0"/>
              <w:adjustRightInd/>
              <w:snapToGrid/>
              <w:spacing w:after="0" w:line="360" w:lineRule="auto"/>
              <w:ind w:firstLine="420" w:firstLineChars="200"/>
              <w:jc w:val="both"/>
              <w:textAlignment w:val="auto"/>
              <w:rPr>
                <w:rFonts w:hint="default" w:ascii="Times New Roman" w:hAnsi="Times New Roman" w:eastAsia="宋体" w:cs="Times New Roman"/>
                <w:color w:val="auto"/>
                <w:sz w:val="21"/>
                <w:szCs w:val="21"/>
              </w:rPr>
            </w:pPr>
            <w:r>
              <w:rPr>
                <w:rFonts w:hint="default" w:ascii="Times New Roman" w:hAnsi="Times New Roman" w:eastAsia="宋体" w:cs="Times New Roman"/>
                <w:color w:val="auto"/>
                <w:sz w:val="21"/>
                <w:szCs w:val="21"/>
                <w:lang w:val="en-US" w:eastAsia="zh-CN"/>
              </w:rPr>
              <w:t>（2）废气</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jc w:val="both"/>
              <w:textAlignment w:val="auto"/>
              <w:rPr>
                <w:color w:val="auto"/>
                <w:sz w:val="21"/>
                <w:szCs w:val="21"/>
                <w:highlight w:val="none"/>
              </w:rPr>
            </w:pPr>
            <w:r>
              <w:rPr>
                <w:rFonts w:hint="default" w:ascii="Times New Roman" w:hAnsi="Times New Roman" w:eastAsia="宋体" w:cs="Times New Roman"/>
                <w:color w:val="auto"/>
                <w:sz w:val="21"/>
                <w:szCs w:val="21"/>
              </w:rPr>
              <w:t>本项目总量控制因子为</w:t>
            </w:r>
            <w:r>
              <w:rPr>
                <w:rFonts w:hint="eastAsia" w:cs="Times New Roman"/>
                <w:color w:val="auto"/>
                <w:sz w:val="21"/>
                <w:szCs w:val="21"/>
                <w:lang w:val="en-US" w:eastAsia="zh-CN"/>
              </w:rPr>
              <w:t>颗粒物、</w:t>
            </w:r>
            <w:r>
              <w:rPr>
                <w:rFonts w:hint="default" w:ascii="Times New Roman" w:hAnsi="Times New Roman" w:eastAsia="宋体" w:cs="Times New Roman"/>
                <w:color w:val="auto"/>
                <w:sz w:val="21"/>
                <w:szCs w:val="21"/>
                <w:lang w:val="en-US" w:eastAsia="zh-CN"/>
              </w:rPr>
              <w:t>氮氧化物、挥发性有机物</w:t>
            </w:r>
            <w:r>
              <w:rPr>
                <w:rFonts w:hint="default" w:ascii="Times New Roman" w:hAnsi="Times New Roman" w:eastAsia="宋体" w:cs="Times New Roman"/>
                <w:color w:val="auto"/>
                <w:sz w:val="21"/>
                <w:szCs w:val="21"/>
              </w:rPr>
              <w:t>，建议总量控制指标为</w:t>
            </w:r>
            <w:r>
              <w:rPr>
                <w:rFonts w:hint="eastAsia" w:cs="Times New Roman"/>
                <w:color w:val="auto"/>
                <w:sz w:val="21"/>
                <w:szCs w:val="21"/>
                <w:lang w:val="en-US" w:eastAsia="zh-CN"/>
              </w:rPr>
              <w:t>颗粒物：0.24</w:t>
            </w:r>
            <w:r>
              <w:rPr>
                <w:rFonts w:hint="eastAsia" w:ascii="Times New Roman" w:hAnsi="Times New Roman" w:eastAsia="宋体" w:cs="Times New Roman"/>
                <w:color w:val="auto"/>
                <w:sz w:val="21"/>
                <w:szCs w:val="21"/>
                <w:lang w:val="en-US" w:eastAsia="zh-CN"/>
              </w:rPr>
              <w:t>t</w:t>
            </w:r>
            <w:r>
              <w:rPr>
                <w:rFonts w:hint="default" w:ascii="Times New Roman" w:hAnsi="Times New Roman" w:eastAsia="宋体" w:cs="Times New Roman"/>
                <w:color w:val="auto"/>
                <w:sz w:val="21"/>
                <w:szCs w:val="21"/>
                <w:lang w:val="en-US" w:eastAsia="zh-CN"/>
              </w:rPr>
              <w:t>/a</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NO</w:t>
            </w:r>
            <w:r>
              <w:rPr>
                <w:rFonts w:hint="default" w:ascii="Times New Roman" w:hAnsi="Times New Roman" w:eastAsia="宋体" w:cs="Times New Roman"/>
                <w:color w:val="auto"/>
                <w:sz w:val="21"/>
                <w:szCs w:val="21"/>
                <w:vertAlign w:val="subscript"/>
              </w:rPr>
              <w:t>x</w:t>
            </w:r>
            <w:r>
              <w:rPr>
                <w:rFonts w:hint="default" w:ascii="Times New Roman" w:hAnsi="Times New Roman" w:eastAsia="宋体" w:cs="Times New Roman"/>
                <w:color w:val="auto"/>
                <w:sz w:val="21"/>
                <w:szCs w:val="21"/>
              </w:rPr>
              <w:t>：</w:t>
            </w:r>
            <w:r>
              <w:rPr>
                <w:rFonts w:hint="eastAsia" w:ascii="Times New Roman" w:hAnsi="Times New Roman" w:eastAsia="宋体" w:cs="Times New Roman"/>
                <w:color w:val="auto"/>
                <w:sz w:val="21"/>
                <w:szCs w:val="21"/>
                <w:lang w:val="en-US" w:eastAsia="zh-CN"/>
              </w:rPr>
              <w:t>1.0456t</w:t>
            </w:r>
            <w:r>
              <w:rPr>
                <w:rFonts w:hint="default" w:ascii="Times New Roman" w:hAnsi="Times New Roman" w:eastAsia="宋体" w:cs="Times New Roman"/>
                <w:color w:val="auto"/>
                <w:sz w:val="21"/>
                <w:szCs w:val="21"/>
                <w:lang w:val="en-US" w:eastAsia="zh-CN"/>
              </w:rPr>
              <w:t>/a</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lang w:val="en-US" w:eastAsia="zh-CN"/>
              </w:rPr>
              <w:t>VOC</w:t>
            </w:r>
            <w:r>
              <w:rPr>
                <w:rFonts w:hint="eastAsia" w:ascii="Times New Roman" w:hAnsi="Times New Roman" w:eastAsia="宋体" w:cs="Times New Roman"/>
                <w:color w:val="auto"/>
                <w:sz w:val="21"/>
                <w:szCs w:val="21"/>
                <w:lang w:val="en-US" w:eastAsia="zh-CN"/>
              </w:rPr>
              <w:t>s</w:t>
            </w:r>
            <w:r>
              <w:rPr>
                <w:rFonts w:hint="default" w:ascii="Times New Roman" w:hAnsi="Times New Roman" w:eastAsia="宋体" w:cs="Times New Roman"/>
                <w:color w:val="auto"/>
                <w:sz w:val="21"/>
                <w:szCs w:val="21"/>
                <w:lang w:val="en-US" w:eastAsia="zh-CN"/>
              </w:rPr>
              <w:t>：</w:t>
            </w:r>
            <w:r>
              <w:rPr>
                <w:rFonts w:hint="eastAsia" w:ascii="Times New Roman" w:hAnsi="Times New Roman" w:eastAsia="宋体" w:cs="Times New Roman"/>
                <w:color w:val="auto"/>
                <w:sz w:val="21"/>
                <w:szCs w:val="21"/>
                <w:lang w:val="en-US" w:eastAsia="zh-CN"/>
              </w:rPr>
              <w:t>1.1006t</w:t>
            </w:r>
            <w:r>
              <w:rPr>
                <w:rFonts w:hint="default" w:ascii="Times New Roman" w:hAnsi="Times New Roman" w:eastAsia="宋体" w:cs="Times New Roman"/>
                <w:color w:val="auto"/>
                <w:sz w:val="21"/>
                <w:szCs w:val="21"/>
                <w:lang w:val="en-US" w:eastAsia="zh-CN"/>
              </w:rPr>
              <w:t>/a</w:t>
            </w:r>
            <w:r>
              <w:rPr>
                <w:rFonts w:hint="default" w:ascii="Times New Roman" w:hAnsi="Times New Roman" w:eastAsia="宋体" w:cs="Times New Roman"/>
                <w:color w:val="auto"/>
                <w:sz w:val="21"/>
                <w:szCs w:val="21"/>
              </w:rPr>
              <w:t>。根据《建设项目主要污染物排放总量指标审核及管理暂行办法》，本项目位于</w:t>
            </w:r>
            <w:r>
              <w:rPr>
                <w:rFonts w:hint="eastAsia" w:ascii="Times New Roman" w:hAnsi="Times New Roman" w:eastAsia="宋体" w:cs="Times New Roman"/>
                <w:color w:val="auto"/>
                <w:sz w:val="21"/>
                <w:szCs w:val="21"/>
                <w:lang w:val="en-US" w:eastAsia="zh-CN"/>
              </w:rPr>
              <w:t>不达标区</w:t>
            </w:r>
            <w:r>
              <w:rPr>
                <w:rFonts w:hint="default" w:ascii="Times New Roman" w:hAnsi="Times New Roman" w:eastAsia="宋体" w:cs="Times New Roman"/>
                <w:color w:val="auto"/>
                <w:sz w:val="21"/>
                <w:szCs w:val="21"/>
              </w:rPr>
              <w:t>内，需落实区域“倍量替代”要求，</w:t>
            </w:r>
            <w:r>
              <w:rPr>
                <w:rFonts w:hint="default" w:ascii="Times New Roman" w:hAnsi="Times New Roman" w:eastAsia="宋体" w:cs="Times New Roman"/>
                <w:color w:val="auto"/>
                <w:sz w:val="21"/>
                <w:szCs w:val="21"/>
                <w:lang w:val="en-US" w:eastAsia="zh-CN"/>
              </w:rPr>
              <w:t>倍量替代</w:t>
            </w:r>
            <w:r>
              <w:rPr>
                <w:rFonts w:hint="default" w:ascii="Times New Roman" w:hAnsi="Times New Roman" w:eastAsia="宋体" w:cs="Times New Roman"/>
                <w:color w:val="auto"/>
                <w:sz w:val="21"/>
                <w:szCs w:val="21"/>
              </w:rPr>
              <w:t>：</w:t>
            </w:r>
            <w:r>
              <w:rPr>
                <w:rFonts w:hint="eastAsia" w:cs="Times New Roman"/>
                <w:color w:val="auto"/>
                <w:sz w:val="21"/>
                <w:szCs w:val="21"/>
                <w:lang w:val="en-US" w:eastAsia="zh-CN"/>
              </w:rPr>
              <w:t>颗粒物：0.48</w:t>
            </w:r>
            <w:r>
              <w:rPr>
                <w:rFonts w:hint="eastAsia" w:ascii="Times New Roman" w:hAnsi="Times New Roman" w:eastAsia="宋体" w:cs="Times New Roman"/>
                <w:color w:val="auto"/>
                <w:sz w:val="21"/>
                <w:szCs w:val="21"/>
                <w:lang w:val="en-US" w:eastAsia="zh-CN"/>
              </w:rPr>
              <w:t>t</w:t>
            </w:r>
            <w:r>
              <w:rPr>
                <w:rFonts w:hint="default" w:ascii="Times New Roman" w:hAnsi="Times New Roman" w:eastAsia="宋体" w:cs="Times New Roman"/>
                <w:color w:val="auto"/>
                <w:sz w:val="21"/>
                <w:szCs w:val="21"/>
                <w:lang w:val="en-US" w:eastAsia="zh-CN"/>
              </w:rPr>
              <w:t>/a</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rPr>
              <w:t>NO</w:t>
            </w:r>
            <w:r>
              <w:rPr>
                <w:rFonts w:hint="eastAsia" w:ascii="Times New Roman" w:hAnsi="Times New Roman" w:eastAsia="宋体" w:cs="Times New Roman"/>
                <w:color w:val="auto"/>
                <w:sz w:val="21"/>
                <w:szCs w:val="21"/>
                <w:lang w:val="en-US" w:eastAsia="zh-CN"/>
              </w:rPr>
              <w:t>x</w:t>
            </w:r>
            <w:r>
              <w:rPr>
                <w:rFonts w:hint="default" w:ascii="Times New Roman" w:hAnsi="Times New Roman" w:eastAsia="宋体" w:cs="Times New Roman"/>
                <w:color w:val="auto"/>
                <w:sz w:val="21"/>
                <w:szCs w:val="21"/>
              </w:rPr>
              <w:t>：</w:t>
            </w:r>
            <w:r>
              <w:rPr>
                <w:rFonts w:hint="eastAsia" w:ascii="Times New Roman" w:hAnsi="Times New Roman" w:eastAsia="宋体" w:cs="Times New Roman"/>
                <w:color w:val="auto"/>
                <w:sz w:val="21"/>
                <w:szCs w:val="21"/>
                <w:lang w:val="en-US" w:eastAsia="zh-CN"/>
              </w:rPr>
              <w:t>2.0912t</w:t>
            </w:r>
            <w:r>
              <w:rPr>
                <w:rFonts w:hint="default" w:ascii="Times New Roman" w:hAnsi="Times New Roman" w:eastAsia="宋体" w:cs="Times New Roman"/>
                <w:color w:val="auto"/>
                <w:sz w:val="21"/>
                <w:szCs w:val="21"/>
                <w:lang w:val="en-US" w:eastAsia="zh-CN"/>
              </w:rPr>
              <w:t>/a</w:t>
            </w:r>
            <w:r>
              <w:rPr>
                <w:rFonts w:hint="default" w:ascii="Times New Roman" w:hAnsi="Times New Roman" w:eastAsia="宋体" w:cs="Times New Roman"/>
                <w:color w:val="auto"/>
                <w:sz w:val="21"/>
                <w:szCs w:val="21"/>
                <w:lang w:eastAsia="zh-CN"/>
              </w:rPr>
              <w:t>；</w:t>
            </w:r>
            <w:r>
              <w:rPr>
                <w:rFonts w:hint="default" w:ascii="Times New Roman" w:hAnsi="Times New Roman" w:eastAsia="宋体" w:cs="Times New Roman"/>
                <w:color w:val="auto"/>
                <w:sz w:val="21"/>
                <w:szCs w:val="21"/>
                <w:lang w:val="en-US" w:eastAsia="zh-CN"/>
              </w:rPr>
              <w:t>VOC</w:t>
            </w:r>
            <w:r>
              <w:rPr>
                <w:rFonts w:hint="eastAsia" w:ascii="Times New Roman" w:hAnsi="Times New Roman" w:eastAsia="宋体" w:cs="Times New Roman"/>
                <w:color w:val="auto"/>
                <w:sz w:val="21"/>
                <w:szCs w:val="21"/>
                <w:lang w:val="en-US" w:eastAsia="zh-CN"/>
              </w:rPr>
              <w:t>s</w:t>
            </w:r>
            <w:r>
              <w:rPr>
                <w:rFonts w:hint="default" w:ascii="Times New Roman" w:hAnsi="Times New Roman" w:eastAsia="宋体" w:cs="Times New Roman"/>
                <w:color w:val="auto"/>
                <w:sz w:val="21"/>
                <w:szCs w:val="21"/>
                <w:lang w:val="en-US" w:eastAsia="zh-CN"/>
              </w:rPr>
              <w:t>：</w:t>
            </w:r>
            <w:r>
              <w:rPr>
                <w:rFonts w:hint="eastAsia" w:ascii="Times New Roman" w:hAnsi="Times New Roman" w:eastAsia="宋体" w:cs="Times New Roman"/>
                <w:color w:val="auto"/>
                <w:sz w:val="21"/>
                <w:szCs w:val="21"/>
                <w:lang w:val="en-US" w:eastAsia="zh-CN"/>
              </w:rPr>
              <w:t>2.2012t</w:t>
            </w:r>
            <w:r>
              <w:rPr>
                <w:rFonts w:hint="default" w:ascii="Times New Roman" w:hAnsi="Times New Roman" w:eastAsia="宋体" w:cs="Times New Roman"/>
                <w:color w:val="auto"/>
                <w:sz w:val="21"/>
                <w:szCs w:val="21"/>
                <w:lang w:val="en-US" w:eastAsia="zh-CN"/>
              </w:rPr>
              <w:t>/a</w:t>
            </w:r>
            <w:r>
              <w:rPr>
                <w:rFonts w:hint="default" w:ascii="Times New Roman" w:hAnsi="Times New Roman" w:eastAsia="宋体" w:cs="Times New Roman"/>
                <w:color w:val="auto"/>
                <w:sz w:val="21"/>
                <w:szCs w:val="21"/>
              </w:rPr>
              <w:t>。</w:t>
            </w:r>
          </w:p>
        </w:tc>
      </w:tr>
    </w:tbl>
    <w:p>
      <w:pPr>
        <w:pStyle w:val="18"/>
        <w:jc w:val="center"/>
        <w:outlineLvl w:val="0"/>
        <w:rPr>
          <w:rFonts w:ascii="黑体" w:hAnsi="黑体" w:eastAsia="黑体"/>
          <w:snapToGrid w:val="0"/>
          <w:color w:val="auto"/>
          <w:sz w:val="30"/>
          <w:szCs w:val="30"/>
          <w:highlight w:val="none"/>
        </w:rPr>
      </w:pPr>
      <w:r>
        <w:rPr>
          <w:rFonts w:ascii="黑体" w:hAnsi="黑体" w:eastAsia="黑体"/>
          <w:snapToGrid w:val="0"/>
          <w:color w:val="auto"/>
          <w:sz w:val="36"/>
          <w:szCs w:val="36"/>
          <w:highlight w:val="none"/>
        </w:rPr>
        <w:br w:type="page"/>
      </w:r>
      <w:r>
        <w:rPr>
          <w:rFonts w:hint="eastAsia" w:ascii="黑体" w:hAnsi="黑体" w:eastAsia="黑体"/>
          <w:snapToGrid w:val="0"/>
          <w:color w:val="auto"/>
          <w:sz w:val="30"/>
          <w:szCs w:val="30"/>
          <w:highlight w:val="none"/>
        </w:rPr>
        <w:t>四、主要环境影响和保护措施</w:t>
      </w:r>
    </w:p>
    <w:tbl>
      <w:tblPr>
        <w:tblStyle w:val="21"/>
        <w:tblW w:w="8908" w:type="dxa"/>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746"/>
        <w:gridCol w:w="8162"/>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32" w:hRule="atLeast"/>
          <w:jc w:val="center"/>
        </w:trPr>
        <w:tc>
          <w:tcPr>
            <w:tcW w:w="746" w:type="dxa"/>
            <w:noWrap w:val="0"/>
            <w:tcMar>
              <w:left w:w="28" w:type="dxa"/>
              <w:right w:w="28" w:type="dxa"/>
            </w:tcMar>
            <w:vAlign w:val="center"/>
          </w:tcPr>
          <w:p>
            <w:pPr>
              <w:pStyle w:val="18"/>
              <w:adjustRightInd w:val="0"/>
              <w:snapToGrid w:val="0"/>
              <w:spacing w:before="0" w:beforeAutospacing="0" w:after="0" w:afterAutospacing="0"/>
              <w:jc w:val="center"/>
              <w:rPr>
                <w:rFonts w:hint="eastAsia" w:cs="宋体"/>
                <w:color w:val="auto"/>
                <w:kern w:val="2"/>
                <w:sz w:val="21"/>
                <w:szCs w:val="21"/>
                <w:highlight w:val="none"/>
              </w:rPr>
            </w:pPr>
            <w:r>
              <w:rPr>
                <w:rFonts w:hint="eastAsia" w:cs="宋体"/>
                <w:color w:val="auto"/>
                <w:kern w:val="2"/>
                <w:sz w:val="21"/>
                <w:szCs w:val="21"/>
                <w:highlight w:val="none"/>
              </w:rPr>
              <w:t>施工</w:t>
            </w:r>
          </w:p>
          <w:p>
            <w:pPr>
              <w:pStyle w:val="18"/>
              <w:adjustRightInd w:val="0"/>
              <w:snapToGrid w:val="0"/>
              <w:spacing w:before="0" w:beforeAutospacing="0" w:after="0" w:afterAutospacing="0"/>
              <w:jc w:val="center"/>
              <w:rPr>
                <w:rFonts w:hint="eastAsia" w:cs="宋体"/>
                <w:color w:val="auto"/>
                <w:kern w:val="2"/>
                <w:sz w:val="21"/>
                <w:szCs w:val="21"/>
                <w:highlight w:val="none"/>
              </w:rPr>
            </w:pPr>
            <w:r>
              <w:rPr>
                <w:rFonts w:hint="eastAsia" w:cs="宋体"/>
                <w:color w:val="auto"/>
                <w:kern w:val="2"/>
                <w:sz w:val="21"/>
                <w:szCs w:val="21"/>
                <w:highlight w:val="none"/>
              </w:rPr>
              <w:t>期环</w:t>
            </w:r>
          </w:p>
          <w:p>
            <w:pPr>
              <w:pStyle w:val="18"/>
              <w:adjustRightInd w:val="0"/>
              <w:snapToGrid w:val="0"/>
              <w:spacing w:before="0" w:beforeAutospacing="0" w:after="0" w:afterAutospacing="0"/>
              <w:jc w:val="center"/>
              <w:rPr>
                <w:rFonts w:hint="eastAsia" w:cs="宋体"/>
                <w:color w:val="auto"/>
                <w:kern w:val="2"/>
                <w:sz w:val="21"/>
                <w:szCs w:val="21"/>
                <w:highlight w:val="none"/>
              </w:rPr>
            </w:pPr>
            <w:r>
              <w:rPr>
                <w:rFonts w:hint="eastAsia" w:cs="宋体"/>
                <w:color w:val="auto"/>
                <w:kern w:val="2"/>
                <w:sz w:val="21"/>
                <w:szCs w:val="21"/>
                <w:highlight w:val="none"/>
              </w:rPr>
              <w:t>境保</w:t>
            </w:r>
          </w:p>
          <w:p>
            <w:pPr>
              <w:pStyle w:val="18"/>
              <w:adjustRightInd w:val="0"/>
              <w:snapToGrid w:val="0"/>
              <w:spacing w:before="0" w:beforeAutospacing="0" w:after="0" w:afterAutospacing="0"/>
              <w:jc w:val="center"/>
              <w:rPr>
                <w:rFonts w:hint="eastAsia" w:cs="宋体"/>
                <w:color w:val="auto"/>
                <w:kern w:val="2"/>
                <w:sz w:val="21"/>
                <w:szCs w:val="21"/>
                <w:highlight w:val="none"/>
              </w:rPr>
            </w:pPr>
            <w:r>
              <w:rPr>
                <w:rFonts w:hint="eastAsia" w:cs="宋体"/>
                <w:color w:val="auto"/>
                <w:kern w:val="2"/>
                <w:sz w:val="21"/>
                <w:szCs w:val="21"/>
                <w:highlight w:val="none"/>
              </w:rPr>
              <w:t>护措</w:t>
            </w:r>
          </w:p>
          <w:p>
            <w:pPr>
              <w:pStyle w:val="18"/>
              <w:adjustRightInd w:val="0"/>
              <w:snapToGrid w:val="0"/>
              <w:spacing w:before="0" w:beforeAutospacing="0" w:after="0" w:afterAutospacing="0"/>
              <w:jc w:val="center"/>
              <w:rPr>
                <w:rFonts w:hint="eastAsia" w:cs="宋体"/>
                <w:bCs/>
                <w:color w:val="auto"/>
                <w:kern w:val="2"/>
                <w:sz w:val="21"/>
                <w:szCs w:val="21"/>
                <w:highlight w:val="none"/>
              </w:rPr>
            </w:pPr>
            <w:r>
              <w:rPr>
                <w:rFonts w:hint="eastAsia" w:cs="宋体"/>
                <w:color w:val="auto"/>
                <w:kern w:val="2"/>
                <w:sz w:val="21"/>
                <w:szCs w:val="21"/>
                <w:highlight w:val="none"/>
              </w:rPr>
              <w:t>施</w:t>
            </w:r>
          </w:p>
        </w:tc>
        <w:tc>
          <w:tcPr>
            <w:tcW w:w="8162" w:type="dxa"/>
            <w:noWrap w:val="0"/>
            <w:vAlign w:val="center"/>
          </w:tcPr>
          <w:p>
            <w:pPr>
              <w:pStyle w:val="63"/>
              <w:keepNext w:val="0"/>
              <w:keepLines w:val="0"/>
              <w:pageBreakBefore w:val="0"/>
              <w:widowControl w:val="0"/>
              <w:kinsoku/>
              <w:wordWrap/>
              <w:overflowPunct/>
              <w:topLinePunct w:val="0"/>
              <w:autoSpaceDE/>
              <w:autoSpaceDN/>
              <w:bidi w:val="0"/>
              <w:adjustRightInd w:val="0"/>
              <w:snapToGrid w:val="0"/>
              <w:spacing w:line="360" w:lineRule="auto"/>
              <w:ind w:right="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color w:val="auto"/>
                <w:spacing w:val="-3"/>
                <w:sz w:val="21"/>
                <w:szCs w:val="21"/>
                <w:highlight w:val="none"/>
              </w:rPr>
              <w:t>1</w:t>
            </w:r>
            <w:r>
              <w:rPr>
                <w:rFonts w:hint="default" w:ascii="Times New Roman" w:hAnsi="Times New Roman" w:eastAsia="宋体" w:cs="Times New Roman"/>
                <w:b/>
                <w:bCs/>
                <w:color w:val="auto"/>
                <w:sz w:val="21"/>
                <w:szCs w:val="21"/>
                <w:highlight w:val="none"/>
              </w:rPr>
              <w:t>施工期大气</w:t>
            </w:r>
            <w:r>
              <w:rPr>
                <w:rFonts w:hint="default" w:ascii="Times New Roman" w:hAnsi="Times New Roman" w:eastAsia="宋体" w:cs="Times New Roman"/>
                <w:b/>
                <w:bCs/>
                <w:color w:val="auto"/>
                <w:sz w:val="21"/>
                <w:szCs w:val="21"/>
                <w:highlight w:val="none"/>
                <w:lang w:eastAsia="zh-CN"/>
              </w:rPr>
              <w:t>污染控制措施</w:t>
            </w:r>
          </w:p>
          <w:p>
            <w:pPr>
              <w:pStyle w:val="63"/>
              <w:keepNext w:val="0"/>
              <w:keepLines w:val="0"/>
              <w:pageBreakBefore w:val="0"/>
              <w:widowControl w:val="0"/>
              <w:kinsoku/>
              <w:wordWrap/>
              <w:overflowPunct/>
              <w:topLinePunct w:val="0"/>
              <w:autoSpaceDE/>
              <w:autoSpaceDN/>
              <w:bidi w:val="0"/>
              <w:adjustRightInd w:val="0"/>
              <w:snapToGrid w:val="0"/>
              <w:spacing w:line="360" w:lineRule="auto"/>
              <w:ind w:left="0" w:right="0" w:firstLine="404"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4"/>
                <w:sz w:val="21"/>
                <w:szCs w:val="21"/>
                <w:highlight w:val="none"/>
              </w:rPr>
              <w:t>为有效控制施工期间的</w:t>
            </w:r>
            <w:r>
              <w:rPr>
                <w:rFonts w:hint="default" w:ascii="Times New Roman" w:hAnsi="Times New Roman" w:cs="Times New Roman"/>
                <w:color w:val="auto"/>
                <w:spacing w:val="-4"/>
                <w:sz w:val="21"/>
                <w:szCs w:val="21"/>
                <w:highlight w:val="none"/>
                <w:lang w:eastAsia="zh-CN"/>
              </w:rPr>
              <w:t>空气污染物</w:t>
            </w:r>
            <w:r>
              <w:rPr>
                <w:rFonts w:hint="default" w:ascii="Times New Roman" w:hAnsi="Times New Roman" w:eastAsia="宋体" w:cs="Times New Roman"/>
                <w:color w:val="auto"/>
                <w:spacing w:val="-4"/>
                <w:sz w:val="21"/>
                <w:szCs w:val="21"/>
                <w:highlight w:val="none"/>
              </w:rPr>
              <w:t>的影响，本次评价要求施工单位在施工</w:t>
            </w:r>
            <w:r>
              <w:rPr>
                <w:rFonts w:hint="default" w:ascii="Times New Roman" w:hAnsi="Times New Roman" w:cs="Times New Roman"/>
                <w:color w:val="auto"/>
                <w:spacing w:val="-4"/>
                <w:sz w:val="21"/>
                <w:szCs w:val="21"/>
                <w:highlight w:val="none"/>
                <w:lang w:eastAsia="zh-CN"/>
              </w:rPr>
              <w:t>期间</w:t>
            </w:r>
            <w:r>
              <w:rPr>
                <w:rFonts w:hint="default" w:ascii="Times New Roman" w:hAnsi="Times New Roman" w:eastAsia="宋体" w:cs="Times New Roman"/>
                <w:color w:val="auto"/>
                <w:spacing w:val="-1"/>
                <w:sz w:val="21"/>
                <w:szCs w:val="21"/>
                <w:highlight w:val="none"/>
              </w:rPr>
              <w:t>采取以下污染防治措施：</w:t>
            </w:r>
          </w:p>
          <w:p>
            <w:pPr>
              <w:pStyle w:val="63"/>
              <w:keepNext w:val="0"/>
              <w:keepLines w:val="0"/>
              <w:pageBreakBefore w:val="0"/>
              <w:widowControl w:val="0"/>
              <w:kinsoku/>
              <w:wordWrap/>
              <w:overflowPunct/>
              <w:topLinePunct w:val="0"/>
              <w:autoSpaceDE/>
              <w:autoSpaceDN/>
              <w:bidi w:val="0"/>
              <w:adjustRightInd w:val="0"/>
              <w:snapToGrid w:val="0"/>
              <w:spacing w:line="360" w:lineRule="auto"/>
              <w:ind w:left="0" w:right="0" w:firstLine="408"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3"/>
                <w:sz w:val="21"/>
                <w:szCs w:val="21"/>
                <w:highlight w:val="none"/>
                <w:lang w:eastAsia="zh-CN"/>
              </w:rPr>
              <w:t>（</w:t>
            </w:r>
            <w:r>
              <w:rPr>
                <w:rFonts w:hint="default" w:ascii="Times New Roman" w:hAnsi="Times New Roman" w:eastAsia="宋体" w:cs="Times New Roman"/>
                <w:color w:val="auto"/>
                <w:spacing w:val="-3"/>
                <w:sz w:val="21"/>
                <w:szCs w:val="21"/>
                <w:highlight w:val="none"/>
              </w:rPr>
              <w:t>1</w:t>
            </w:r>
            <w:r>
              <w:rPr>
                <w:rFonts w:hint="default" w:ascii="Times New Roman" w:hAnsi="Times New Roman" w:eastAsia="宋体" w:cs="Times New Roman"/>
                <w:color w:val="auto"/>
                <w:spacing w:val="-3"/>
                <w:sz w:val="21"/>
                <w:szCs w:val="21"/>
                <w:highlight w:val="none"/>
                <w:lang w:eastAsia="zh-CN"/>
              </w:rPr>
              <w:t>）</w:t>
            </w:r>
            <w:r>
              <w:rPr>
                <w:rFonts w:hint="default" w:ascii="Times New Roman" w:hAnsi="Times New Roman" w:eastAsia="宋体" w:cs="Times New Roman"/>
                <w:color w:val="auto"/>
                <w:spacing w:val="-3"/>
                <w:sz w:val="21"/>
                <w:szCs w:val="21"/>
                <w:highlight w:val="none"/>
              </w:rPr>
              <w:t>散装物料的堆存要加盖苫布，定期对施工场地及运输道路洒水抑尘，以降低扬尘污染。扬尘防治管理应符合《建筑工程绿色</w:t>
            </w:r>
            <w:r>
              <w:rPr>
                <w:rFonts w:hint="default" w:ascii="Times New Roman" w:hAnsi="Times New Roman" w:eastAsia="宋体" w:cs="Times New Roman"/>
                <w:color w:val="auto"/>
                <w:spacing w:val="-4"/>
                <w:sz w:val="21"/>
                <w:szCs w:val="21"/>
                <w:highlight w:val="none"/>
              </w:rPr>
              <w:t>施工规范》</w:t>
            </w:r>
            <w:r>
              <w:rPr>
                <w:rFonts w:hint="default" w:ascii="Times New Roman" w:hAnsi="Times New Roman" w:eastAsia="宋体" w:cs="Times New Roman"/>
                <w:color w:val="auto"/>
                <w:spacing w:val="-3"/>
                <w:sz w:val="21"/>
                <w:szCs w:val="21"/>
                <w:highlight w:val="none"/>
                <w:lang w:eastAsia="zh-CN"/>
              </w:rPr>
              <w:t>（</w:t>
            </w:r>
            <w:r>
              <w:rPr>
                <w:rFonts w:hint="default" w:ascii="Times New Roman" w:hAnsi="Times New Roman" w:eastAsia="宋体" w:cs="Times New Roman"/>
                <w:color w:val="auto"/>
                <w:spacing w:val="-3"/>
                <w:sz w:val="21"/>
                <w:szCs w:val="21"/>
                <w:highlight w:val="none"/>
              </w:rPr>
              <w:t>GB/T</w:t>
            </w:r>
            <w:r>
              <w:rPr>
                <w:rFonts w:hint="eastAsia" w:ascii="Times New Roman" w:hAnsi="Times New Roman" w:cs="Times New Roman"/>
                <w:color w:val="auto"/>
                <w:spacing w:val="-3"/>
                <w:sz w:val="21"/>
                <w:szCs w:val="21"/>
                <w:highlight w:val="none"/>
                <w:lang w:val="en-US" w:eastAsia="zh-CN"/>
              </w:rPr>
              <w:t xml:space="preserve"> </w:t>
            </w:r>
            <w:r>
              <w:rPr>
                <w:rFonts w:hint="default" w:ascii="Times New Roman" w:hAnsi="Times New Roman" w:eastAsia="宋体" w:cs="Times New Roman"/>
                <w:color w:val="auto"/>
                <w:spacing w:val="-3"/>
                <w:sz w:val="21"/>
                <w:szCs w:val="21"/>
                <w:highlight w:val="none"/>
              </w:rPr>
              <w:t>50905-2014</w:t>
            </w:r>
            <w:r>
              <w:rPr>
                <w:rFonts w:hint="default" w:ascii="Times New Roman" w:hAnsi="Times New Roman" w:eastAsia="宋体" w:cs="Times New Roman"/>
                <w:color w:val="auto"/>
                <w:spacing w:val="-3"/>
                <w:sz w:val="21"/>
                <w:szCs w:val="21"/>
                <w:highlight w:val="none"/>
                <w:lang w:eastAsia="zh-CN"/>
              </w:rPr>
              <w:t>）</w:t>
            </w:r>
            <w:r>
              <w:rPr>
                <w:rFonts w:hint="default" w:ascii="Times New Roman" w:hAnsi="Times New Roman" w:eastAsia="宋体" w:cs="Times New Roman"/>
                <w:color w:val="auto"/>
                <w:spacing w:val="-3"/>
                <w:sz w:val="21"/>
                <w:szCs w:val="21"/>
                <w:highlight w:val="none"/>
              </w:rPr>
              <w:t>的规定，施工现场主要道路、材料堆放场地、露天加工场</w:t>
            </w:r>
            <w:r>
              <w:rPr>
                <w:rFonts w:hint="default" w:ascii="Times New Roman" w:hAnsi="Times New Roman" w:eastAsia="宋体" w:cs="Times New Roman"/>
                <w:color w:val="auto"/>
                <w:spacing w:val="-10"/>
                <w:sz w:val="21"/>
                <w:szCs w:val="21"/>
                <w:highlight w:val="none"/>
              </w:rPr>
              <w:t>地应根据用途进行硬化</w:t>
            </w:r>
            <w:r>
              <w:rPr>
                <w:rFonts w:hint="default" w:ascii="Times New Roman" w:hAnsi="Times New Roman" w:eastAsia="宋体" w:cs="Times New Roman"/>
                <w:color w:val="auto"/>
                <w:spacing w:val="-10"/>
                <w:sz w:val="21"/>
                <w:szCs w:val="21"/>
                <w:highlight w:val="none"/>
                <w:lang w:eastAsia="zh-CN"/>
              </w:rPr>
              <w:t>，</w:t>
            </w:r>
            <w:r>
              <w:rPr>
                <w:rFonts w:hint="default" w:ascii="Times New Roman" w:hAnsi="Times New Roman" w:eastAsia="宋体" w:cs="Times New Roman"/>
                <w:color w:val="auto"/>
                <w:spacing w:val="-10"/>
                <w:sz w:val="21"/>
                <w:szCs w:val="21"/>
                <w:highlight w:val="none"/>
              </w:rPr>
              <w:t>裸露的场地和集中堆放的土方</w:t>
            </w:r>
            <w:r>
              <w:rPr>
                <w:rFonts w:hint="default" w:ascii="Times New Roman" w:hAnsi="Times New Roman" w:eastAsia="宋体" w:cs="Times New Roman"/>
                <w:color w:val="auto"/>
                <w:spacing w:val="-11"/>
                <w:sz w:val="21"/>
                <w:szCs w:val="21"/>
                <w:highlight w:val="none"/>
              </w:rPr>
              <w:t>应采取密目网进行覆盖、</w:t>
            </w:r>
            <w:r>
              <w:rPr>
                <w:rFonts w:hint="default" w:ascii="Times New Roman" w:hAnsi="Times New Roman" w:eastAsia="宋体" w:cs="Times New Roman"/>
                <w:color w:val="auto"/>
                <w:spacing w:val="-4"/>
                <w:sz w:val="21"/>
                <w:szCs w:val="21"/>
                <w:highlight w:val="none"/>
              </w:rPr>
              <w:t>洒水、固化或绿化措施。</w:t>
            </w:r>
          </w:p>
          <w:p>
            <w:pPr>
              <w:pStyle w:val="63"/>
              <w:keepNext w:val="0"/>
              <w:keepLines w:val="0"/>
              <w:pageBreakBefore w:val="0"/>
              <w:widowControl w:val="0"/>
              <w:kinsoku/>
              <w:wordWrap/>
              <w:overflowPunct/>
              <w:topLinePunct w:val="0"/>
              <w:autoSpaceDE/>
              <w:autoSpaceDN/>
              <w:bidi w:val="0"/>
              <w:adjustRightInd w:val="0"/>
              <w:snapToGrid w:val="0"/>
              <w:spacing w:line="360" w:lineRule="auto"/>
              <w:ind w:left="0" w:right="0" w:firstLine="404"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4"/>
                <w:sz w:val="21"/>
                <w:szCs w:val="21"/>
                <w:highlight w:val="none"/>
                <w:lang w:eastAsia="zh-CN"/>
              </w:rPr>
              <w:t>（</w:t>
            </w:r>
            <w:r>
              <w:rPr>
                <w:rFonts w:hint="default" w:ascii="Times New Roman" w:hAnsi="Times New Roman" w:eastAsia="宋体" w:cs="Times New Roman"/>
                <w:color w:val="auto"/>
                <w:spacing w:val="-4"/>
                <w:sz w:val="21"/>
                <w:szCs w:val="21"/>
                <w:highlight w:val="none"/>
              </w:rPr>
              <w:t>2</w:t>
            </w:r>
            <w:r>
              <w:rPr>
                <w:rFonts w:hint="default" w:ascii="Times New Roman" w:hAnsi="Times New Roman" w:eastAsia="宋体" w:cs="Times New Roman"/>
                <w:color w:val="auto"/>
                <w:spacing w:val="-4"/>
                <w:sz w:val="21"/>
                <w:szCs w:val="21"/>
                <w:highlight w:val="none"/>
                <w:lang w:eastAsia="zh-CN"/>
              </w:rPr>
              <w:t>）</w:t>
            </w:r>
            <w:r>
              <w:rPr>
                <w:rFonts w:hint="default" w:ascii="Times New Roman" w:hAnsi="Times New Roman" w:eastAsia="宋体" w:cs="Times New Roman"/>
                <w:color w:val="auto"/>
                <w:spacing w:val="-4"/>
                <w:sz w:val="21"/>
                <w:szCs w:val="21"/>
                <w:highlight w:val="none"/>
              </w:rPr>
              <w:t>在施工场地设置专人监管建筑垃圾、建筑材料、弃土的堆放、清运和</w:t>
            </w:r>
            <w:r>
              <w:rPr>
                <w:rFonts w:hint="default" w:ascii="Times New Roman" w:hAnsi="Times New Roman" w:eastAsia="宋体" w:cs="Times New Roman"/>
                <w:color w:val="auto"/>
                <w:spacing w:val="-1"/>
                <w:sz w:val="21"/>
                <w:szCs w:val="21"/>
                <w:highlight w:val="none"/>
              </w:rPr>
              <w:t>处置，防止二次扬尘污染。</w:t>
            </w:r>
          </w:p>
          <w:p>
            <w:pPr>
              <w:pStyle w:val="63"/>
              <w:keepNext w:val="0"/>
              <w:keepLines w:val="0"/>
              <w:pageBreakBefore w:val="0"/>
              <w:widowControl w:val="0"/>
              <w:kinsoku/>
              <w:wordWrap/>
              <w:overflowPunct/>
              <w:topLinePunct w:val="0"/>
              <w:autoSpaceDE/>
              <w:autoSpaceDN/>
              <w:bidi w:val="0"/>
              <w:adjustRightInd w:val="0"/>
              <w:snapToGrid w:val="0"/>
              <w:spacing w:line="360" w:lineRule="auto"/>
              <w:ind w:left="0" w:right="0" w:firstLine="404"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4"/>
                <w:sz w:val="21"/>
                <w:szCs w:val="21"/>
                <w:highlight w:val="none"/>
                <w:lang w:eastAsia="zh-CN"/>
              </w:rPr>
              <w:t>（</w:t>
            </w:r>
            <w:r>
              <w:rPr>
                <w:rFonts w:hint="default" w:ascii="Times New Roman" w:hAnsi="Times New Roman" w:eastAsia="宋体" w:cs="Times New Roman"/>
                <w:color w:val="auto"/>
                <w:spacing w:val="-4"/>
                <w:sz w:val="21"/>
                <w:szCs w:val="21"/>
                <w:highlight w:val="none"/>
              </w:rPr>
              <w:t>3</w:t>
            </w:r>
            <w:r>
              <w:rPr>
                <w:rFonts w:hint="default" w:ascii="Times New Roman" w:hAnsi="Times New Roman" w:eastAsia="宋体" w:cs="Times New Roman"/>
                <w:color w:val="auto"/>
                <w:spacing w:val="-4"/>
                <w:sz w:val="21"/>
                <w:szCs w:val="21"/>
                <w:highlight w:val="none"/>
                <w:lang w:eastAsia="zh-CN"/>
              </w:rPr>
              <w:t>）</w:t>
            </w:r>
            <w:r>
              <w:rPr>
                <w:rFonts w:hint="default" w:ascii="Times New Roman" w:hAnsi="Times New Roman" w:eastAsia="宋体" w:cs="Times New Roman"/>
                <w:color w:val="auto"/>
                <w:spacing w:val="-4"/>
                <w:sz w:val="21"/>
                <w:szCs w:val="21"/>
                <w:highlight w:val="none"/>
              </w:rPr>
              <w:t>加强运输管理，如运输车辆应加盖篷布，不能超载过量；严禁车辆在</w:t>
            </w:r>
            <w:r>
              <w:rPr>
                <w:rFonts w:hint="default" w:ascii="Times New Roman" w:hAnsi="Times New Roman" w:eastAsia="宋体" w:cs="Times New Roman"/>
                <w:color w:val="auto"/>
                <w:spacing w:val="16"/>
                <w:sz w:val="21"/>
                <w:szCs w:val="21"/>
                <w:highlight w:val="none"/>
              </w:rPr>
              <w:t xml:space="preserve"> </w:t>
            </w:r>
            <w:r>
              <w:rPr>
                <w:rFonts w:hint="default" w:ascii="Times New Roman" w:hAnsi="Times New Roman" w:eastAsia="宋体" w:cs="Times New Roman"/>
                <w:color w:val="auto"/>
                <w:spacing w:val="-1"/>
                <w:sz w:val="21"/>
                <w:szCs w:val="21"/>
                <w:highlight w:val="none"/>
              </w:rPr>
              <w:t>行驶中沿途遗撒建筑材料及建筑废料。</w:t>
            </w:r>
          </w:p>
          <w:p>
            <w:pPr>
              <w:pStyle w:val="63"/>
              <w:keepNext w:val="0"/>
              <w:keepLines w:val="0"/>
              <w:pageBreakBefore w:val="0"/>
              <w:widowControl w:val="0"/>
              <w:kinsoku/>
              <w:wordWrap/>
              <w:overflowPunct/>
              <w:topLinePunct w:val="0"/>
              <w:autoSpaceDE/>
              <w:autoSpaceDN/>
              <w:bidi w:val="0"/>
              <w:adjustRightInd w:val="0"/>
              <w:snapToGrid w:val="0"/>
              <w:spacing w:line="360" w:lineRule="auto"/>
              <w:ind w:left="0" w:right="0" w:firstLine="404"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4"/>
                <w:sz w:val="21"/>
                <w:szCs w:val="21"/>
                <w:highlight w:val="none"/>
                <w:lang w:eastAsia="zh-CN"/>
              </w:rPr>
              <w:t>（</w:t>
            </w:r>
            <w:r>
              <w:rPr>
                <w:rFonts w:hint="default" w:ascii="Times New Roman" w:hAnsi="Times New Roman" w:eastAsia="宋体" w:cs="Times New Roman"/>
                <w:color w:val="auto"/>
                <w:spacing w:val="-4"/>
                <w:sz w:val="21"/>
                <w:szCs w:val="21"/>
                <w:highlight w:val="none"/>
              </w:rPr>
              <w:t>4</w:t>
            </w:r>
            <w:r>
              <w:rPr>
                <w:rFonts w:hint="default" w:ascii="Times New Roman" w:hAnsi="Times New Roman" w:eastAsia="宋体" w:cs="Times New Roman"/>
                <w:color w:val="auto"/>
                <w:spacing w:val="-4"/>
                <w:sz w:val="21"/>
                <w:szCs w:val="21"/>
                <w:highlight w:val="none"/>
                <w:lang w:eastAsia="zh-CN"/>
              </w:rPr>
              <w:t>）</w:t>
            </w:r>
            <w:r>
              <w:rPr>
                <w:rFonts w:hint="default" w:ascii="Times New Roman" w:hAnsi="Times New Roman" w:eastAsia="宋体" w:cs="Times New Roman"/>
                <w:color w:val="auto"/>
                <w:spacing w:val="-4"/>
                <w:sz w:val="21"/>
                <w:szCs w:val="21"/>
                <w:highlight w:val="none"/>
              </w:rPr>
              <w:t>施工现场对粉状材料必须封闭存放，对易产生扬尘的堆放材料应采取</w:t>
            </w:r>
            <w:r>
              <w:rPr>
                <w:rFonts w:hint="default" w:ascii="Times New Roman" w:hAnsi="Times New Roman" w:eastAsia="宋体" w:cs="Times New Roman"/>
                <w:color w:val="auto"/>
                <w:spacing w:val="6"/>
                <w:sz w:val="21"/>
                <w:szCs w:val="21"/>
                <w:highlight w:val="none"/>
              </w:rPr>
              <w:t xml:space="preserve"> </w:t>
            </w:r>
            <w:r>
              <w:rPr>
                <w:rFonts w:hint="default" w:ascii="Times New Roman" w:hAnsi="Times New Roman" w:eastAsia="宋体" w:cs="Times New Roman"/>
                <w:color w:val="auto"/>
                <w:spacing w:val="-3"/>
                <w:sz w:val="21"/>
                <w:szCs w:val="21"/>
                <w:highlight w:val="none"/>
              </w:rPr>
              <w:t>封闭、半封闭和覆盖措施；可能引起扬尘的材料及建</w:t>
            </w:r>
            <w:r>
              <w:rPr>
                <w:rFonts w:hint="default" w:ascii="Times New Roman" w:hAnsi="Times New Roman" w:eastAsia="宋体" w:cs="Times New Roman"/>
                <w:color w:val="auto"/>
                <w:spacing w:val="-4"/>
                <w:sz w:val="21"/>
                <w:szCs w:val="21"/>
                <w:highlight w:val="none"/>
              </w:rPr>
              <w:t>筑垃圾搬运时必须有防尘</w:t>
            </w:r>
            <w:r>
              <w:rPr>
                <w:rFonts w:hint="default" w:ascii="Times New Roman" w:hAnsi="Times New Roman" w:eastAsia="宋体" w:cs="Times New Roman"/>
                <w:color w:val="auto"/>
                <w:sz w:val="21"/>
                <w:szCs w:val="21"/>
                <w:highlight w:val="none"/>
              </w:rPr>
              <w:t xml:space="preserve"> </w:t>
            </w:r>
            <w:r>
              <w:rPr>
                <w:rFonts w:hint="default" w:ascii="Times New Roman" w:hAnsi="Times New Roman" w:eastAsia="宋体" w:cs="Times New Roman"/>
                <w:color w:val="auto"/>
                <w:spacing w:val="-2"/>
                <w:sz w:val="21"/>
                <w:szCs w:val="21"/>
                <w:highlight w:val="none"/>
              </w:rPr>
              <w:t>措施。</w:t>
            </w:r>
          </w:p>
          <w:p>
            <w:pPr>
              <w:keepNext w:val="0"/>
              <w:keepLines w:val="0"/>
              <w:pageBreakBefore w:val="0"/>
              <w:widowControl w:val="0"/>
              <w:kinsoku/>
              <w:wordWrap/>
              <w:overflowPunct/>
              <w:topLinePunct w:val="0"/>
              <w:autoSpaceDE/>
              <w:autoSpaceDN/>
              <w:bidi w:val="0"/>
              <w:adjustRightInd w:val="0"/>
              <w:snapToGrid w:val="0"/>
              <w:spacing w:line="360" w:lineRule="auto"/>
              <w:ind w:left="0" w:right="0" w:firstLine="404"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4"/>
                <w:sz w:val="21"/>
                <w:szCs w:val="21"/>
                <w:highlight w:val="none"/>
                <w:lang w:eastAsia="zh-CN"/>
              </w:rPr>
              <w:t>（</w:t>
            </w:r>
            <w:r>
              <w:rPr>
                <w:rFonts w:hint="default" w:ascii="Times New Roman" w:hAnsi="Times New Roman" w:eastAsia="宋体" w:cs="Times New Roman"/>
                <w:color w:val="auto"/>
                <w:spacing w:val="-4"/>
                <w:sz w:val="21"/>
                <w:szCs w:val="21"/>
                <w:highlight w:val="none"/>
              </w:rPr>
              <w:t>5</w:t>
            </w:r>
            <w:r>
              <w:rPr>
                <w:rFonts w:hint="default" w:ascii="Times New Roman" w:hAnsi="Times New Roman" w:eastAsia="宋体" w:cs="Times New Roman"/>
                <w:color w:val="auto"/>
                <w:spacing w:val="-4"/>
                <w:sz w:val="21"/>
                <w:szCs w:val="21"/>
                <w:highlight w:val="none"/>
                <w:lang w:eastAsia="zh-CN"/>
              </w:rPr>
              <w:t>）</w:t>
            </w:r>
            <w:r>
              <w:rPr>
                <w:rFonts w:hint="default" w:ascii="Times New Roman" w:hAnsi="Times New Roman" w:eastAsia="宋体" w:cs="Times New Roman"/>
                <w:color w:val="auto"/>
                <w:spacing w:val="-4"/>
                <w:sz w:val="21"/>
                <w:szCs w:val="21"/>
                <w:highlight w:val="none"/>
              </w:rPr>
              <w:t>在施工过程中应该尽量使用符合国家现行有关标准规定的、低污染排</w:t>
            </w:r>
            <w:r>
              <w:rPr>
                <w:rFonts w:hint="default" w:ascii="Times New Roman" w:hAnsi="Times New Roman" w:eastAsia="宋体" w:cs="Times New Roman"/>
                <w:color w:val="auto"/>
                <w:spacing w:val="-3"/>
                <w:sz w:val="21"/>
                <w:szCs w:val="21"/>
                <w:highlight w:val="none"/>
              </w:rPr>
              <w:t>放的车辆和设备，采取控制速度，缩短怠速、减速和加速</w:t>
            </w:r>
            <w:r>
              <w:rPr>
                <w:rFonts w:hint="default" w:ascii="Times New Roman" w:hAnsi="Times New Roman" w:eastAsia="宋体" w:cs="Times New Roman"/>
                <w:color w:val="auto"/>
                <w:spacing w:val="-4"/>
                <w:sz w:val="21"/>
                <w:szCs w:val="21"/>
                <w:highlight w:val="none"/>
              </w:rPr>
              <w:t>的时间；并注意设备</w:t>
            </w:r>
            <w:r>
              <w:rPr>
                <w:rFonts w:hint="default" w:ascii="Times New Roman" w:hAnsi="Times New Roman" w:eastAsia="宋体" w:cs="Times New Roman"/>
                <w:color w:val="auto"/>
                <w:sz w:val="21"/>
                <w:szCs w:val="21"/>
                <w:highlight w:val="none"/>
              </w:rPr>
              <w:t>的日常检修和维护，保证设备在正常工况条件下运转，以减轻尾气污染。</w:t>
            </w:r>
          </w:p>
          <w:p>
            <w:pPr>
              <w:pStyle w:val="63"/>
              <w:keepNext w:val="0"/>
              <w:keepLines w:val="0"/>
              <w:pageBreakBefore w:val="0"/>
              <w:widowControl w:val="0"/>
              <w:kinsoku/>
              <w:wordWrap/>
              <w:overflowPunct/>
              <w:topLinePunct w:val="0"/>
              <w:autoSpaceDE/>
              <w:autoSpaceDN/>
              <w:bidi w:val="0"/>
              <w:adjustRightInd w:val="0"/>
              <w:snapToGrid w:val="0"/>
              <w:spacing w:line="360" w:lineRule="auto"/>
              <w:ind w:left="0" w:right="0" w:firstLine="404"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4"/>
                <w:sz w:val="21"/>
                <w:szCs w:val="21"/>
                <w:highlight w:val="none"/>
                <w:lang w:eastAsia="zh-CN"/>
              </w:rPr>
              <w:t>（</w:t>
            </w:r>
            <w:r>
              <w:rPr>
                <w:rFonts w:hint="default" w:ascii="Times New Roman" w:hAnsi="Times New Roman" w:eastAsia="宋体" w:cs="Times New Roman"/>
                <w:color w:val="auto"/>
                <w:spacing w:val="-4"/>
                <w:sz w:val="21"/>
                <w:szCs w:val="21"/>
                <w:highlight w:val="none"/>
              </w:rPr>
              <w:t>6</w:t>
            </w:r>
            <w:r>
              <w:rPr>
                <w:rFonts w:hint="default" w:ascii="Times New Roman" w:hAnsi="Times New Roman" w:eastAsia="宋体" w:cs="Times New Roman"/>
                <w:color w:val="auto"/>
                <w:spacing w:val="-4"/>
                <w:sz w:val="21"/>
                <w:szCs w:val="21"/>
                <w:highlight w:val="none"/>
                <w:lang w:eastAsia="zh-CN"/>
              </w:rPr>
              <w:t>）</w:t>
            </w:r>
            <w:r>
              <w:rPr>
                <w:rFonts w:hint="default" w:ascii="Times New Roman" w:hAnsi="Times New Roman" w:eastAsia="宋体" w:cs="Times New Roman"/>
                <w:color w:val="auto"/>
                <w:spacing w:val="-4"/>
                <w:sz w:val="21"/>
                <w:szCs w:val="21"/>
                <w:highlight w:val="none"/>
              </w:rPr>
              <w:t>加强对施工人员的环保教育，提高全体施工人员的环保意识，坚持文</w:t>
            </w:r>
            <w:r>
              <w:rPr>
                <w:rFonts w:hint="default" w:ascii="Times New Roman" w:hAnsi="Times New Roman" w:eastAsia="宋体" w:cs="Times New Roman"/>
                <w:color w:val="auto"/>
                <w:spacing w:val="-1"/>
                <w:sz w:val="21"/>
                <w:szCs w:val="21"/>
                <w:highlight w:val="none"/>
              </w:rPr>
              <w:t>明施工、科学施工，减少施工</w:t>
            </w:r>
            <w:r>
              <w:rPr>
                <w:rFonts w:hint="default" w:ascii="Times New Roman" w:hAnsi="Times New Roman" w:cs="Times New Roman"/>
                <w:color w:val="auto"/>
                <w:spacing w:val="-1"/>
                <w:sz w:val="21"/>
                <w:szCs w:val="21"/>
                <w:highlight w:val="none"/>
                <w:lang w:eastAsia="zh-CN"/>
              </w:rPr>
              <w:t>期间</w:t>
            </w:r>
            <w:r>
              <w:rPr>
                <w:rFonts w:hint="default" w:ascii="Times New Roman" w:hAnsi="Times New Roman" w:eastAsia="宋体" w:cs="Times New Roman"/>
                <w:color w:val="auto"/>
                <w:spacing w:val="-1"/>
                <w:sz w:val="21"/>
                <w:szCs w:val="21"/>
                <w:highlight w:val="none"/>
              </w:rPr>
              <w:t>的大气污染。</w:t>
            </w:r>
          </w:p>
          <w:p>
            <w:pPr>
              <w:pStyle w:val="63"/>
              <w:keepNext w:val="0"/>
              <w:keepLines w:val="0"/>
              <w:pageBreakBefore w:val="0"/>
              <w:widowControl w:val="0"/>
              <w:kinsoku/>
              <w:wordWrap/>
              <w:overflowPunct/>
              <w:topLinePunct w:val="0"/>
              <w:autoSpaceDE/>
              <w:autoSpaceDN/>
              <w:bidi w:val="0"/>
              <w:adjustRightInd w:val="0"/>
              <w:snapToGrid w:val="0"/>
              <w:spacing w:line="360" w:lineRule="auto"/>
              <w:ind w:left="0" w:right="0" w:firstLine="404"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4"/>
                <w:sz w:val="21"/>
                <w:szCs w:val="21"/>
                <w:highlight w:val="none"/>
                <w:lang w:eastAsia="zh-CN"/>
              </w:rPr>
              <w:t>（</w:t>
            </w:r>
            <w:r>
              <w:rPr>
                <w:rFonts w:hint="default" w:ascii="Times New Roman" w:hAnsi="Times New Roman" w:eastAsia="宋体" w:cs="Times New Roman"/>
                <w:color w:val="auto"/>
                <w:spacing w:val="-4"/>
                <w:sz w:val="21"/>
                <w:szCs w:val="21"/>
                <w:highlight w:val="none"/>
              </w:rPr>
              <w:t>7</w:t>
            </w:r>
            <w:r>
              <w:rPr>
                <w:rFonts w:hint="default" w:ascii="Times New Roman" w:hAnsi="Times New Roman" w:eastAsia="宋体" w:cs="Times New Roman"/>
                <w:color w:val="auto"/>
                <w:spacing w:val="-4"/>
                <w:sz w:val="21"/>
                <w:szCs w:val="21"/>
                <w:highlight w:val="none"/>
                <w:lang w:eastAsia="zh-CN"/>
              </w:rPr>
              <w:t>）</w:t>
            </w:r>
            <w:r>
              <w:rPr>
                <w:rFonts w:hint="default" w:ascii="Times New Roman" w:hAnsi="Times New Roman" w:eastAsia="宋体" w:cs="Times New Roman"/>
                <w:color w:val="auto"/>
                <w:spacing w:val="-4"/>
                <w:sz w:val="21"/>
                <w:szCs w:val="21"/>
                <w:highlight w:val="none"/>
              </w:rPr>
              <w:t>遇到四级以上大风天气，不应进行土方回填、转运以及</w:t>
            </w:r>
            <w:r>
              <w:rPr>
                <w:rFonts w:hint="default" w:ascii="Times New Roman" w:hAnsi="Times New Roman" w:cs="Times New Roman"/>
                <w:color w:val="auto"/>
                <w:spacing w:val="-4"/>
                <w:sz w:val="21"/>
                <w:szCs w:val="21"/>
                <w:highlight w:val="none"/>
                <w:lang w:eastAsia="zh-CN"/>
              </w:rPr>
              <w:t>其他可能</w:t>
            </w:r>
            <w:r>
              <w:rPr>
                <w:rFonts w:hint="default" w:ascii="Times New Roman" w:hAnsi="Times New Roman" w:eastAsia="宋体" w:cs="Times New Roman"/>
                <w:color w:val="auto"/>
                <w:spacing w:val="-4"/>
                <w:sz w:val="21"/>
                <w:szCs w:val="21"/>
                <w:highlight w:val="none"/>
              </w:rPr>
              <w:t>产生</w:t>
            </w:r>
            <w:r>
              <w:rPr>
                <w:rFonts w:hint="default" w:ascii="Times New Roman" w:hAnsi="Times New Roman" w:eastAsia="宋体" w:cs="Times New Roman"/>
                <w:color w:val="auto"/>
                <w:spacing w:val="-3"/>
                <w:sz w:val="21"/>
                <w:szCs w:val="21"/>
                <w:highlight w:val="none"/>
              </w:rPr>
              <w:t>扬尘污染的施工；五级及以上大风天气，施工现场应停止工地室外作业及室内</w:t>
            </w:r>
            <w:r>
              <w:rPr>
                <w:rFonts w:hint="default" w:ascii="Times New Roman" w:hAnsi="Times New Roman" w:eastAsia="宋体" w:cs="Times New Roman"/>
                <w:color w:val="auto"/>
                <w:spacing w:val="-1"/>
                <w:sz w:val="21"/>
                <w:szCs w:val="21"/>
                <w:highlight w:val="none"/>
              </w:rPr>
              <w:t>喷涂粉刷作业，并对作业面进行覆盖。</w:t>
            </w:r>
          </w:p>
          <w:p>
            <w:pPr>
              <w:pStyle w:val="63"/>
              <w:keepNext w:val="0"/>
              <w:keepLines w:val="0"/>
              <w:pageBreakBefore w:val="0"/>
              <w:widowControl w:val="0"/>
              <w:kinsoku/>
              <w:wordWrap/>
              <w:overflowPunct/>
              <w:topLinePunct w:val="0"/>
              <w:autoSpaceDE/>
              <w:autoSpaceDN/>
              <w:bidi w:val="0"/>
              <w:adjustRightInd w:val="0"/>
              <w:snapToGrid w:val="0"/>
              <w:spacing w:line="360" w:lineRule="auto"/>
              <w:ind w:left="0" w:right="0" w:firstLine="404" w:firstLineChars="200"/>
              <w:textAlignment w:val="auto"/>
              <w:rPr>
                <w:rFonts w:hint="default" w:ascii="Times New Roman" w:hAnsi="Times New Roman" w:eastAsia="宋体" w:cs="Times New Roman"/>
                <w:color w:val="auto"/>
                <w:spacing w:val="-4"/>
                <w:sz w:val="21"/>
                <w:szCs w:val="21"/>
                <w:highlight w:val="none"/>
              </w:rPr>
            </w:pPr>
            <w:r>
              <w:rPr>
                <w:rFonts w:hint="default" w:ascii="Times New Roman" w:hAnsi="Times New Roman" w:eastAsia="宋体" w:cs="Times New Roman"/>
                <w:color w:val="auto"/>
                <w:spacing w:val="-4"/>
                <w:sz w:val="21"/>
                <w:szCs w:val="21"/>
                <w:highlight w:val="none"/>
                <w:lang w:eastAsia="zh-CN"/>
              </w:rPr>
              <w:t>（</w:t>
            </w:r>
            <w:r>
              <w:rPr>
                <w:rFonts w:hint="default" w:ascii="Times New Roman" w:hAnsi="Times New Roman" w:eastAsia="宋体" w:cs="Times New Roman"/>
                <w:color w:val="auto"/>
                <w:spacing w:val="-4"/>
                <w:sz w:val="21"/>
                <w:szCs w:val="21"/>
                <w:highlight w:val="none"/>
              </w:rPr>
              <w:t>8</w:t>
            </w:r>
            <w:r>
              <w:rPr>
                <w:rFonts w:hint="default" w:ascii="Times New Roman" w:hAnsi="Times New Roman" w:eastAsia="宋体" w:cs="Times New Roman"/>
                <w:color w:val="auto"/>
                <w:spacing w:val="-4"/>
                <w:sz w:val="21"/>
                <w:szCs w:val="21"/>
                <w:highlight w:val="none"/>
                <w:lang w:eastAsia="zh-CN"/>
              </w:rPr>
              <w:t>）</w:t>
            </w:r>
            <w:r>
              <w:rPr>
                <w:rFonts w:hint="default" w:ascii="Times New Roman" w:hAnsi="Times New Roman" w:eastAsia="宋体" w:cs="Times New Roman"/>
                <w:color w:val="auto"/>
                <w:spacing w:val="-4"/>
                <w:sz w:val="21"/>
                <w:szCs w:val="21"/>
                <w:highlight w:val="none"/>
              </w:rPr>
              <w:t>施工现场严禁焚烧各类废弃物。</w:t>
            </w:r>
          </w:p>
          <w:p>
            <w:pPr>
              <w:pStyle w:val="63"/>
              <w:keepNext w:val="0"/>
              <w:keepLines w:val="0"/>
              <w:pageBreakBefore w:val="0"/>
              <w:widowControl w:val="0"/>
              <w:kinsoku/>
              <w:wordWrap/>
              <w:overflowPunct/>
              <w:topLinePunct w:val="0"/>
              <w:autoSpaceDE/>
              <w:autoSpaceDN/>
              <w:bidi w:val="0"/>
              <w:adjustRightInd w:val="0"/>
              <w:snapToGrid w:val="0"/>
              <w:spacing w:line="360" w:lineRule="auto"/>
              <w:ind w:left="0" w:right="0" w:firstLine="404"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4"/>
                <w:sz w:val="21"/>
                <w:szCs w:val="21"/>
                <w:highlight w:val="none"/>
              </w:rPr>
              <w:t>通过采取上述防尘、降尘措施，尽量将施工期间产生的废气对周围环境空</w:t>
            </w:r>
            <w:r>
              <w:rPr>
                <w:rFonts w:hint="default" w:ascii="Times New Roman" w:hAnsi="Times New Roman" w:eastAsia="宋体" w:cs="Times New Roman"/>
                <w:color w:val="auto"/>
                <w:spacing w:val="-1"/>
                <w:sz w:val="21"/>
                <w:szCs w:val="21"/>
                <w:highlight w:val="none"/>
              </w:rPr>
              <w:t>气的影响降低到最低限度。</w:t>
            </w:r>
          </w:p>
          <w:p>
            <w:pPr>
              <w:pStyle w:val="63"/>
              <w:keepNext w:val="0"/>
              <w:keepLines w:val="0"/>
              <w:pageBreakBefore w:val="0"/>
              <w:kinsoku/>
              <w:wordWrap/>
              <w:overflowPunct/>
              <w:topLinePunct w:val="0"/>
              <w:autoSpaceDE/>
              <w:autoSpaceDN/>
              <w:bidi w:val="0"/>
              <w:adjustRightInd w:val="0"/>
              <w:snapToGrid w:val="0"/>
              <w:spacing w:line="360" w:lineRule="auto"/>
              <w:ind w:right="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color w:val="auto"/>
                <w:spacing w:val="-4"/>
                <w:sz w:val="21"/>
                <w:szCs w:val="21"/>
                <w:highlight w:val="none"/>
              </w:rPr>
              <w:t>2水污染防治措施</w:t>
            </w:r>
          </w:p>
          <w:p>
            <w:pPr>
              <w:pStyle w:val="63"/>
              <w:keepNext w:val="0"/>
              <w:keepLines w:val="0"/>
              <w:pageBreakBefore w:val="0"/>
              <w:kinsoku/>
              <w:wordWrap/>
              <w:overflowPunct/>
              <w:topLinePunct w:val="0"/>
              <w:autoSpaceDE/>
              <w:autoSpaceDN/>
              <w:bidi w:val="0"/>
              <w:adjustRightInd w:val="0"/>
              <w:snapToGrid w:val="0"/>
              <w:spacing w:line="360" w:lineRule="auto"/>
              <w:ind w:left="0" w:right="0" w:firstLine="404" w:firstLineChars="200"/>
              <w:jc w:val="both"/>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4"/>
                <w:sz w:val="21"/>
                <w:szCs w:val="21"/>
                <w:highlight w:val="none"/>
              </w:rPr>
              <w:t>施工期的废水主要来自建筑施工废水和部分工人的生活污水。建筑废水主</w:t>
            </w:r>
            <w:r>
              <w:rPr>
                <w:rFonts w:hint="default" w:ascii="Times New Roman" w:hAnsi="Times New Roman" w:eastAsia="宋体" w:cs="Times New Roman"/>
                <w:color w:val="auto"/>
                <w:spacing w:val="-3"/>
                <w:sz w:val="21"/>
                <w:szCs w:val="21"/>
                <w:highlight w:val="none"/>
              </w:rPr>
              <w:t>要来自施工过程中的养护等施工工序</w:t>
            </w:r>
            <w:r>
              <w:rPr>
                <w:rFonts w:hint="default" w:ascii="Times New Roman" w:hAnsi="Times New Roman" w:eastAsia="宋体" w:cs="Times New Roman"/>
                <w:color w:val="auto"/>
                <w:sz w:val="21"/>
                <w:szCs w:val="21"/>
                <w:highlight w:val="none"/>
              </w:rPr>
              <w:t>，主要污染物是SS，废</w:t>
            </w:r>
            <w:r>
              <w:rPr>
                <w:rFonts w:hint="default" w:ascii="Times New Roman" w:hAnsi="Times New Roman" w:eastAsia="宋体" w:cs="Times New Roman"/>
                <w:color w:val="auto"/>
                <w:spacing w:val="-1"/>
                <w:sz w:val="21"/>
                <w:szCs w:val="21"/>
                <w:highlight w:val="none"/>
              </w:rPr>
              <w:t>水量较少。</w:t>
            </w:r>
          </w:p>
          <w:p>
            <w:pPr>
              <w:pStyle w:val="63"/>
              <w:keepNext w:val="0"/>
              <w:keepLines w:val="0"/>
              <w:pageBreakBefore w:val="0"/>
              <w:kinsoku/>
              <w:wordWrap/>
              <w:overflowPunct/>
              <w:topLinePunct w:val="0"/>
              <w:autoSpaceDE/>
              <w:autoSpaceDN/>
              <w:bidi w:val="0"/>
              <w:adjustRightInd w:val="0"/>
              <w:snapToGrid w:val="0"/>
              <w:spacing w:line="360" w:lineRule="auto"/>
              <w:ind w:left="0" w:right="0" w:firstLine="404" w:firstLineChars="200"/>
              <w:jc w:val="both"/>
              <w:textAlignment w:val="auto"/>
              <w:rPr>
                <w:rFonts w:hint="default" w:ascii="Times New Roman" w:hAnsi="Times New Roman" w:eastAsia="宋体" w:cs="Times New Roman"/>
                <w:color w:val="auto"/>
                <w:spacing w:val="-4"/>
                <w:sz w:val="21"/>
                <w:szCs w:val="21"/>
                <w:highlight w:val="none"/>
                <w:lang w:val="zh-CN" w:eastAsia="zh-CN"/>
              </w:rPr>
            </w:pPr>
            <w:r>
              <w:rPr>
                <w:rFonts w:hint="default" w:ascii="Times New Roman" w:hAnsi="Times New Roman" w:eastAsia="宋体" w:cs="Times New Roman"/>
                <w:color w:val="auto"/>
                <w:spacing w:val="-4"/>
                <w:sz w:val="21"/>
                <w:szCs w:val="21"/>
                <w:highlight w:val="none"/>
                <w:lang w:val="zh-CN" w:eastAsia="zh-CN"/>
              </w:rPr>
              <w:t>本项目施工过程中产生的生活污水</w:t>
            </w:r>
            <w:r>
              <w:rPr>
                <w:rFonts w:hint="default" w:ascii="Times New Roman" w:hAnsi="Times New Roman" w:eastAsia="宋体" w:cs="Times New Roman"/>
                <w:color w:val="auto"/>
                <w:spacing w:val="-4"/>
                <w:sz w:val="21"/>
                <w:szCs w:val="21"/>
                <w:highlight w:val="none"/>
                <w:lang w:val="en-US" w:eastAsia="zh-CN"/>
              </w:rPr>
              <w:t>依托项目区已建成办公楼，经化粪池预处理后排入园区下水管网</w:t>
            </w:r>
            <w:r>
              <w:rPr>
                <w:rFonts w:hint="default" w:ascii="Times New Roman" w:hAnsi="Times New Roman" w:eastAsia="宋体" w:cs="Times New Roman"/>
                <w:color w:val="auto"/>
                <w:spacing w:val="-4"/>
                <w:sz w:val="21"/>
                <w:szCs w:val="21"/>
                <w:highlight w:val="none"/>
                <w:lang w:val="zh-CN" w:eastAsia="zh-CN"/>
              </w:rPr>
              <w:t>。</w:t>
            </w:r>
          </w:p>
          <w:p>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zh-CN" w:eastAsia="zh-CN"/>
              </w:rPr>
              <w:t>生产废水</w:t>
            </w:r>
            <w:r>
              <w:rPr>
                <w:rFonts w:hint="default" w:ascii="Times New Roman" w:hAnsi="Times New Roman" w:eastAsia="宋体" w:cs="Times New Roman"/>
                <w:color w:val="auto"/>
                <w:sz w:val="21"/>
                <w:szCs w:val="21"/>
                <w:highlight w:val="none"/>
              </w:rPr>
              <w:t>施工期间的生产</w:t>
            </w:r>
            <w:r>
              <w:rPr>
                <w:rFonts w:hint="default" w:ascii="Times New Roman" w:hAnsi="Times New Roman" w:eastAsia="宋体" w:cs="Times New Roman"/>
                <w:color w:val="auto"/>
                <w:sz w:val="21"/>
                <w:szCs w:val="21"/>
                <w:highlight w:val="none"/>
                <w:lang w:eastAsia="zh-CN"/>
              </w:rPr>
              <w:t>用</w:t>
            </w:r>
            <w:r>
              <w:rPr>
                <w:rFonts w:hint="default" w:ascii="Times New Roman" w:hAnsi="Times New Roman" w:eastAsia="宋体" w:cs="Times New Roman"/>
                <w:color w:val="auto"/>
                <w:sz w:val="21"/>
                <w:szCs w:val="21"/>
                <w:highlight w:val="none"/>
              </w:rPr>
              <w:t>水主要为混凝土养护用水</w:t>
            </w:r>
            <w:r>
              <w:rPr>
                <w:rFonts w:hint="default" w:ascii="Times New Roman" w:hAnsi="Times New Roman" w:eastAsia="宋体" w:cs="Times New Roman"/>
                <w:color w:val="auto"/>
                <w:sz w:val="21"/>
                <w:szCs w:val="21"/>
                <w:highlight w:val="none"/>
                <w:lang w:eastAsia="zh-CN"/>
              </w:rPr>
              <w:t>和</w:t>
            </w:r>
            <w:r>
              <w:rPr>
                <w:rFonts w:hint="default" w:ascii="Times New Roman" w:hAnsi="Times New Roman" w:eastAsia="宋体" w:cs="Times New Roman"/>
                <w:color w:val="auto"/>
                <w:sz w:val="21"/>
                <w:szCs w:val="21"/>
                <w:highlight w:val="none"/>
              </w:rPr>
              <w:t>地面喷洒水，</w:t>
            </w:r>
            <w:r>
              <w:rPr>
                <w:rFonts w:hint="default" w:ascii="Times New Roman" w:hAnsi="Times New Roman" w:eastAsia="宋体" w:cs="Times New Roman"/>
                <w:color w:val="auto"/>
                <w:sz w:val="21"/>
                <w:szCs w:val="21"/>
                <w:highlight w:val="none"/>
                <w:lang w:eastAsia="zh-CN"/>
              </w:rPr>
              <w:t>自然蒸干，不外排，</w:t>
            </w:r>
            <w:r>
              <w:rPr>
                <w:rFonts w:hint="default" w:ascii="Times New Roman" w:hAnsi="Times New Roman" w:eastAsia="宋体" w:cs="Times New Roman"/>
                <w:color w:val="auto"/>
                <w:sz w:val="21"/>
                <w:szCs w:val="21"/>
                <w:highlight w:val="none"/>
              </w:rPr>
              <w:t>不会对周围环境造成不利影响。</w:t>
            </w:r>
          </w:p>
          <w:p>
            <w:pPr>
              <w:pStyle w:val="9"/>
              <w:keepNext w:val="0"/>
              <w:keepLines w:val="0"/>
              <w:pageBreakBefore w:val="0"/>
              <w:kinsoku/>
              <w:wordWrap/>
              <w:overflowPunct/>
              <w:topLinePunct w:val="0"/>
              <w:autoSpaceDE/>
              <w:autoSpaceDN/>
              <w:bidi w:val="0"/>
              <w:adjustRightInd w:val="0"/>
              <w:snapToGrid w:val="0"/>
              <w:spacing w:before="0" w:after="0" w:line="360" w:lineRule="auto"/>
              <w:ind w:left="0" w:right="0" w:firstLine="408" w:firstLineChars="200"/>
              <w:textAlignment w:val="auto"/>
              <w:rPr>
                <w:rFonts w:hint="default" w:ascii="Times New Roman" w:hAnsi="Times New Roman" w:eastAsia="宋体" w:cs="Times New Roman"/>
                <w:color w:val="auto"/>
                <w:spacing w:val="-3"/>
                <w:sz w:val="21"/>
                <w:szCs w:val="21"/>
                <w:highlight w:val="none"/>
              </w:rPr>
            </w:pPr>
            <w:r>
              <w:rPr>
                <w:rFonts w:hint="default" w:ascii="Times New Roman" w:hAnsi="Times New Roman" w:eastAsia="宋体" w:cs="Times New Roman"/>
                <w:color w:val="auto"/>
                <w:spacing w:val="-3"/>
                <w:sz w:val="21"/>
                <w:szCs w:val="21"/>
                <w:highlight w:val="none"/>
              </w:rPr>
              <w:t>采取以上措施，施工期废水对环境影响不大。</w:t>
            </w:r>
          </w:p>
          <w:p>
            <w:pPr>
              <w:pStyle w:val="9"/>
              <w:keepNext w:val="0"/>
              <w:keepLines w:val="0"/>
              <w:pageBreakBefore w:val="0"/>
              <w:kinsoku/>
              <w:wordWrap/>
              <w:overflowPunct/>
              <w:topLinePunct w:val="0"/>
              <w:autoSpaceDE/>
              <w:autoSpaceDN/>
              <w:bidi w:val="0"/>
              <w:adjustRightInd w:val="0"/>
              <w:snapToGrid w:val="0"/>
              <w:spacing w:before="0" w:after="0" w:line="360" w:lineRule="auto"/>
              <w:ind w:right="0"/>
              <w:textAlignment w:val="auto"/>
              <w:outlineLvl w:val="6"/>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color w:val="auto"/>
                <w:spacing w:val="-1"/>
                <w:sz w:val="21"/>
                <w:szCs w:val="21"/>
                <w:highlight w:val="none"/>
                <w:lang w:val="en-US" w:eastAsia="zh-CN"/>
              </w:rPr>
              <w:t>3</w:t>
            </w:r>
            <w:r>
              <w:rPr>
                <w:rFonts w:hint="default" w:ascii="Times New Roman" w:hAnsi="Times New Roman" w:eastAsia="宋体" w:cs="Times New Roman"/>
                <w:b/>
                <w:bCs/>
                <w:color w:val="auto"/>
                <w:spacing w:val="-1"/>
                <w:sz w:val="21"/>
                <w:szCs w:val="21"/>
                <w:highlight w:val="none"/>
              </w:rPr>
              <w:t>噪声控制措施</w:t>
            </w:r>
          </w:p>
          <w:p>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zh-CN"/>
              </w:rPr>
              <w:t>土石方开挖、</w:t>
            </w:r>
            <w:r>
              <w:rPr>
                <w:rFonts w:hint="default" w:ascii="Times New Roman" w:hAnsi="Times New Roman" w:eastAsia="宋体" w:cs="Times New Roman"/>
                <w:color w:val="auto"/>
                <w:sz w:val="21"/>
                <w:szCs w:val="21"/>
                <w:highlight w:val="none"/>
                <w:lang w:val="en-US" w:eastAsia="zh-CN"/>
              </w:rPr>
              <w:t>厂房</w:t>
            </w:r>
            <w:r>
              <w:rPr>
                <w:rFonts w:hint="default" w:ascii="Times New Roman" w:hAnsi="Times New Roman" w:eastAsia="宋体" w:cs="Times New Roman"/>
                <w:color w:val="auto"/>
                <w:sz w:val="21"/>
                <w:szCs w:val="21"/>
                <w:highlight w:val="none"/>
              </w:rPr>
              <w:t>、仓库等建构物</w:t>
            </w:r>
            <w:r>
              <w:rPr>
                <w:rFonts w:hint="default" w:ascii="Times New Roman" w:hAnsi="Times New Roman" w:eastAsia="宋体" w:cs="Times New Roman"/>
                <w:color w:val="auto"/>
                <w:sz w:val="21"/>
                <w:szCs w:val="21"/>
                <w:highlight w:val="none"/>
                <w:lang w:val="zh-CN"/>
              </w:rPr>
              <w:t>建设和设备安装等过程，特别是大型机械和一些特殊操作环节会产生较强的噪声，对周边声环境造成影响。</w:t>
            </w:r>
          </w:p>
          <w:p>
            <w:pPr>
              <w:keepNext w:val="0"/>
              <w:keepLines w:val="0"/>
              <w:pageBreakBefore w:val="0"/>
              <w:widowControl w:val="0"/>
              <w:kinsoku/>
              <w:wordWrap/>
              <w:overflowPunct/>
              <w:topLinePunct w:val="0"/>
              <w:autoSpaceDE/>
              <w:autoSpaceDN/>
              <w:bidi w:val="0"/>
              <w:spacing w:line="360" w:lineRule="auto"/>
              <w:ind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施工中应采取以下措施以减少对声环境的影响：</w:t>
            </w:r>
          </w:p>
          <w:p>
            <w:pPr>
              <w:pStyle w:val="9"/>
              <w:keepNext w:val="0"/>
              <w:keepLines w:val="0"/>
              <w:pageBreakBefore w:val="0"/>
              <w:kinsoku/>
              <w:wordWrap/>
              <w:overflowPunct/>
              <w:topLinePunct w:val="0"/>
              <w:autoSpaceDE/>
              <w:autoSpaceDN/>
              <w:bidi w:val="0"/>
              <w:adjustRightInd w:val="0"/>
              <w:snapToGrid w:val="0"/>
              <w:spacing w:before="0" w:after="0" w:line="360" w:lineRule="auto"/>
              <w:ind w:left="0" w:right="0" w:firstLine="432"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3"/>
                <w:sz w:val="21"/>
                <w:szCs w:val="21"/>
                <w:highlight w:val="none"/>
                <w:lang w:eastAsia="zh-CN"/>
              </w:rPr>
              <w:t>（</w:t>
            </w:r>
            <w:r>
              <w:rPr>
                <w:rFonts w:hint="default" w:ascii="Times New Roman" w:hAnsi="Times New Roman" w:eastAsia="宋体" w:cs="Times New Roman"/>
                <w:color w:val="auto"/>
                <w:spacing w:val="3"/>
                <w:sz w:val="21"/>
                <w:szCs w:val="21"/>
                <w:highlight w:val="none"/>
              </w:rPr>
              <w:t>1</w:t>
            </w:r>
            <w:r>
              <w:rPr>
                <w:rFonts w:hint="default" w:ascii="Times New Roman" w:hAnsi="Times New Roman" w:eastAsia="宋体" w:cs="Times New Roman"/>
                <w:color w:val="auto"/>
                <w:spacing w:val="3"/>
                <w:sz w:val="21"/>
                <w:szCs w:val="21"/>
                <w:highlight w:val="none"/>
                <w:lang w:eastAsia="zh-CN"/>
              </w:rPr>
              <w:t>）</w:t>
            </w:r>
            <w:r>
              <w:rPr>
                <w:rFonts w:hint="default" w:ascii="Times New Roman" w:hAnsi="Times New Roman" w:eastAsia="宋体" w:cs="Times New Roman"/>
                <w:color w:val="auto"/>
                <w:spacing w:val="3"/>
                <w:sz w:val="21"/>
                <w:szCs w:val="21"/>
                <w:highlight w:val="none"/>
              </w:rPr>
              <w:t>合理安排好施工时间，尽量缩短施工期。施工作业时间必须严格遵守</w:t>
            </w:r>
            <w:r>
              <w:rPr>
                <w:rFonts w:hint="default" w:ascii="Times New Roman" w:hAnsi="Times New Roman" w:eastAsia="宋体" w:cs="Times New Roman"/>
                <w:color w:val="auto"/>
                <w:spacing w:val="4"/>
                <w:sz w:val="21"/>
                <w:szCs w:val="21"/>
                <w:highlight w:val="none"/>
              </w:rPr>
              <w:t>施工禁令时间规定。本评价要求建设方禁止在午休时间和夜间进行施工，如特</w:t>
            </w:r>
            <w:r>
              <w:rPr>
                <w:rFonts w:hint="default" w:ascii="Times New Roman" w:hAnsi="Times New Roman" w:eastAsia="宋体" w:cs="Times New Roman"/>
                <w:color w:val="auto"/>
                <w:spacing w:val="3"/>
                <w:sz w:val="21"/>
                <w:szCs w:val="21"/>
                <w:highlight w:val="none"/>
              </w:rPr>
              <w:t>殊工序需进行夜间施工，应按相关规定到环保管</w:t>
            </w:r>
            <w:r>
              <w:rPr>
                <w:rFonts w:hint="default" w:ascii="Times New Roman" w:hAnsi="Times New Roman" w:eastAsia="宋体" w:cs="Times New Roman"/>
                <w:color w:val="auto"/>
                <w:spacing w:val="2"/>
                <w:sz w:val="21"/>
                <w:szCs w:val="21"/>
                <w:highlight w:val="none"/>
              </w:rPr>
              <w:t>理部门办理夜间施工许可证，</w:t>
            </w:r>
            <w:r>
              <w:rPr>
                <w:rFonts w:hint="default" w:ascii="Times New Roman" w:hAnsi="Times New Roman" w:eastAsia="宋体" w:cs="Times New Roman"/>
                <w:color w:val="auto"/>
                <w:spacing w:val="4"/>
                <w:sz w:val="21"/>
                <w:szCs w:val="21"/>
                <w:highlight w:val="none"/>
              </w:rPr>
              <w:t>并通告受影响人群，让其早做准备。场界环境噪声排放应符合</w:t>
            </w:r>
            <w:r>
              <w:rPr>
                <w:bCs/>
                <w:color w:val="auto"/>
                <w:kern w:val="0"/>
                <w:sz w:val="21"/>
                <w:szCs w:val="21"/>
              </w:rPr>
              <w:t>《建筑施工噪声排放标准》（GB</w:t>
            </w:r>
            <w:r>
              <w:rPr>
                <w:rFonts w:hint="eastAsia"/>
                <w:bCs/>
                <w:color w:val="auto"/>
                <w:kern w:val="0"/>
                <w:sz w:val="21"/>
                <w:szCs w:val="21"/>
              </w:rPr>
              <w:t xml:space="preserve"> </w:t>
            </w:r>
            <w:r>
              <w:rPr>
                <w:bCs/>
                <w:color w:val="auto"/>
                <w:kern w:val="0"/>
                <w:sz w:val="21"/>
                <w:szCs w:val="21"/>
              </w:rPr>
              <w:t>12523-</w:t>
            </w:r>
            <w:r>
              <w:rPr>
                <w:rFonts w:hint="eastAsia"/>
                <w:bCs/>
                <w:color w:val="auto"/>
                <w:kern w:val="0"/>
                <w:sz w:val="21"/>
                <w:szCs w:val="21"/>
                <w:lang w:val="en-US" w:eastAsia="zh-CN"/>
              </w:rPr>
              <w:t>2025</w:t>
            </w:r>
            <w:r>
              <w:rPr>
                <w:bCs/>
                <w:color w:val="auto"/>
                <w:kern w:val="0"/>
                <w:sz w:val="21"/>
                <w:szCs w:val="21"/>
              </w:rPr>
              <w:t>）</w:t>
            </w:r>
            <w:r>
              <w:rPr>
                <w:rFonts w:hint="default" w:ascii="Times New Roman" w:hAnsi="Times New Roman" w:eastAsia="宋体" w:cs="Times New Roman"/>
                <w:color w:val="auto"/>
                <w:spacing w:val="6"/>
                <w:sz w:val="21"/>
                <w:szCs w:val="21"/>
                <w:highlight w:val="none"/>
              </w:rPr>
              <w:t>的规定。</w:t>
            </w:r>
          </w:p>
          <w:p>
            <w:pPr>
              <w:pStyle w:val="9"/>
              <w:keepNext w:val="0"/>
              <w:keepLines w:val="0"/>
              <w:pageBreakBefore w:val="0"/>
              <w:kinsoku/>
              <w:wordWrap/>
              <w:overflowPunct/>
              <w:topLinePunct w:val="0"/>
              <w:autoSpaceDE/>
              <w:autoSpaceDN/>
              <w:bidi w:val="0"/>
              <w:adjustRightInd w:val="0"/>
              <w:snapToGrid w:val="0"/>
              <w:spacing w:before="0" w:after="0" w:line="360" w:lineRule="auto"/>
              <w:ind w:left="0" w:right="0" w:firstLine="416"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1"/>
                <w:sz w:val="21"/>
                <w:szCs w:val="21"/>
                <w:highlight w:val="none"/>
                <w:lang w:eastAsia="zh-CN"/>
              </w:rPr>
              <w:t>（</w:t>
            </w:r>
            <w:r>
              <w:rPr>
                <w:rFonts w:hint="default" w:ascii="Times New Roman" w:hAnsi="Times New Roman" w:eastAsia="宋体" w:cs="Times New Roman"/>
                <w:color w:val="auto"/>
                <w:spacing w:val="-1"/>
                <w:sz w:val="21"/>
                <w:szCs w:val="21"/>
                <w:highlight w:val="none"/>
              </w:rPr>
              <w:t>2</w:t>
            </w:r>
            <w:r>
              <w:rPr>
                <w:rFonts w:hint="default" w:ascii="Times New Roman" w:hAnsi="Times New Roman" w:eastAsia="宋体" w:cs="Times New Roman"/>
                <w:color w:val="auto"/>
                <w:spacing w:val="-1"/>
                <w:sz w:val="21"/>
                <w:szCs w:val="21"/>
                <w:highlight w:val="none"/>
                <w:lang w:eastAsia="zh-CN"/>
              </w:rPr>
              <w:t>）</w:t>
            </w:r>
            <w:r>
              <w:rPr>
                <w:rFonts w:hint="default" w:ascii="Times New Roman" w:hAnsi="Times New Roman" w:eastAsia="宋体" w:cs="Times New Roman"/>
                <w:color w:val="auto"/>
                <w:spacing w:val="-1"/>
                <w:sz w:val="21"/>
                <w:szCs w:val="21"/>
                <w:highlight w:val="none"/>
              </w:rPr>
              <w:t>施工现场必须使用低噪音、低振动的机具，并采取隔</w:t>
            </w:r>
            <w:r>
              <w:rPr>
                <w:rFonts w:hint="default" w:ascii="Times New Roman" w:hAnsi="Times New Roman" w:eastAsia="宋体" w:cs="Times New Roman"/>
                <w:color w:val="auto"/>
                <w:spacing w:val="-2"/>
                <w:sz w:val="21"/>
                <w:szCs w:val="21"/>
                <w:highlight w:val="none"/>
              </w:rPr>
              <w:t>音与隔振动措施。</w:t>
            </w:r>
            <w:r>
              <w:rPr>
                <w:rFonts w:hint="default" w:ascii="Times New Roman" w:hAnsi="Times New Roman" w:eastAsia="宋体" w:cs="Times New Roman"/>
                <w:color w:val="auto"/>
                <w:spacing w:val="4"/>
                <w:sz w:val="21"/>
                <w:szCs w:val="21"/>
                <w:highlight w:val="none"/>
              </w:rPr>
              <w:t>加强施工机械的维护保养，并加强对现场工作人员进行培训，严格按操作规范</w:t>
            </w:r>
            <w:r>
              <w:rPr>
                <w:rFonts w:hint="default" w:ascii="Times New Roman" w:hAnsi="Times New Roman" w:eastAsia="宋体" w:cs="Times New Roman"/>
                <w:color w:val="auto"/>
                <w:sz w:val="21"/>
                <w:szCs w:val="21"/>
                <w:highlight w:val="none"/>
              </w:rPr>
              <w:t>使用各类机械设备。</w:t>
            </w:r>
          </w:p>
          <w:p>
            <w:pPr>
              <w:keepNext w:val="0"/>
              <w:keepLines w:val="0"/>
              <w:pageBreakBefore w:val="0"/>
              <w:widowControl w:val="0"/>
              <w:kinsoku/>
              <w:wordWrap/>
              <w:overflowPunct/>
              <w:topLinePunct w:val="0"/>
              <w:autoSpaceDE/>
              <w:autoSpaceDN/>
              <w:bidi w:val="0"/>
              <w:spacing w:line="360" w:lineRule="auto"/>
              <w:ind w:firstLine="432" w:firstLineChars="200"/>
              <w:textAlignment w:val="auto"/>
              <w:rPr>
                <w:rFonts w:hint="default" w:ascii="Times New Roman" w:hAnsi="Times New Roman" w:eastAsia="宋体" w:cs="Times New Roman"/>
                <w:color w:val="auto"/>
                <w:spacing w:val="-1"/>
                <w:sz w:val="21"/>
                <w:szCs w:val="21"/>
                <w:highlight w:val="none"/>
              </w:rPr>
            </w:pPr>
            <w:r>
              <w:rPr>
                <w:rFonts w:hint="default" w:ascii="Times New Roman" w:hAnsi="Times New Roman" w:eastAsia="宋体" w:cs="Times New Roman"/>
                <w:color w:val="auto"/>
                <w:spacing w:val="3"/>
                <w:sz w:val="21"/>
                <w:szCs w:val="21"/>
                <w:highlight w:val="none"/>
                <w:lang w:eastAsia="zh-CN"/>
              </w:rPr>
              <w:t>（</w:t>
            </w:r>
            <w:r>
              <w:rPr>
                <w:rFonts w:hint="default" w:ascii="Times New Roman" w:hAnsi="Times New Roman" w:eastAsia="宋体" w:cs="Times New Roman"/>
                <w:color w:val="auto"/>
                <w:spacing w:val="3"/>
                <w:sz w:val="21"/>
                <w:szCs w:val="21"/>
                <w:highlight w:val="none"/>
              </w:rPr>
              <w:t>3</w:t>
            </w:r>
            <w:r>
              <w:rPr>
                <w:rFonts w:hint="default" w:ascii="Times New Roman" w:hAnsi="Times New Roman" w:eastAsia="宋体" w:cs="Times New Roman"/>
                <w:color w:val="auto"/>
                <w:spacing w:val="3"/>
                <w:sz w:val="21"/>
                <w:szCs w:val="21"/>
                <w:highlight w:val="none"/>
                <w:lang w:eastAsia="zh-CN"/>
              </w:rPr>
              <w:t>）</w:t>
            </w:r>
            <w:r>
              <w:rPr>
                <w:rFonts w:hint="default" w:ascii="Times New Roman" w:hAnsi="Times New Roman" w:eastAsia="宋体" w:cs="Times New Roman"/>
                <w:color w:val="auto"/>
                <w:sz w:val="21"/>
                <w:szCs w:val="21"/>
                <w:highlight w:val="none"/>
                <w:lang w:val="zh-CN"/>
              </w:rPr>
              <w:t>强噪声机械采取降噪措施，如安装消声器、减震垫等，从源头减少噪声污染；</w:t>
            </w:r>
          </w:p>
          <w:p>
            <w:pPr>
              <w:pStyle w:val="63"/>
              <w:keepNext w:val="0"/>
              <w:keepLines w:val="0"/>
              <w:pageBreakBefore w:val="0"/>
              <w:kinsoku/>
              <w:wordWrap/>
              <w:overflowPunct/>
              <w:topLinePunct w:val="0"/>
              <w:autoSpaceDE/>
              <w:autoSpaceDN/>
              <w:bidi w:val="0"/>
              <w:adjustRightInd w:val="0"/>
              <w:snapToGrid w:val="0"/>
              <w:spacing w:line="360" w:lineRule="auto"/>
              <w:ind w:left="0" w:right="0" w:firstLine="376" w:firstLineChars="200"/>
              <w:jc w:val="left"/>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11"/>
                <w:sz w:val="21"/>
                <w:szCs w:val="21"/>
                <w:highlight w:val="none"/>
                <w:lang w:eastAsia="zh-CN"/>
              </w:rPr>
              <w:t>（</w:t>
            </w:r>
            <w:r>
              <w:rPr>
                <w:rFonts w:hint="default" w:ascii="Times New Roman" w:hAnsi="Times New Roman" w:eastAsia="宋体" w:cs="Times New Roman"/>
                <w:color w:val="auto"/>
                <w:spacing w:val="-11"/>
                <w:sz w:val="21"/>
                <w:szCs w:val="21"/>
                <w:highlight w:val="none"/>
              </w:rPr>
              <w:t>4</w:t>
            </w:r>
            <w:r>
              <w:rPr>
                <w:rFonts w:hint="default" w:ascii="Times New Roman" w:hAnsi="Times New Roman" w:eastAsia="宋体" w:cs="Times New Roman"/>
                <w:color w:val="auto"/>
                <w:spacing w:val="-11"/>
                <w:sz w:val="21"/>
                <w:szCs w:val="21"/>
                <w:highlight w:val="none"/>
                <w:lang w:eastAsia="zh-CN"/>
              </w:rPr>
              <w:t>）</w:t>
            </w:r>
            <w:r>
              <w:rPr>
                <w:rFonts w:hint="default" w:ascii="Times New Roman" w:hAnsi="Times New Roman" w:eastAsia="宋体" w:cs="Times New Roman"/>
                <w:color w:val="auto"/>
                <w:sz w:val="21"/>
                <w:szCs w:val="21"/>
                <w:highlight w:val="none"/>
              </w:rPr>
              <w:t>合理安排施工布局。</w:t>
            </w:r>
          </w:p>
          <w:p>
            <w:pPr>
              <w:pStyle w:val="63"/>
              <w:keepNext w:val="0"/>
              <w:keepLines w:val="0"/>
              <w:pageBreakBefore w:val="0"/>
              <w:kinsoku/>
              <w:wordWrap/>
              <w:overflowPunct/>
              <w:topLinePunct w:val="0"/>
              <w:autoSpaceDE/>
              <w:autoSpaceDN/>
              <w:bidi w:val="0"/>
              <w:adjustRightInd w:val="0"/>
              <w:snapToGrid w:val="0"/>
              <w:spacing w:line="360" w:lineRule="auto"/>
              <w:ind w:left="0" w:right="0" w:firstLine="408"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3"/>
                <w:sz w:val="21"/>
                <w:szCs w:val="21"/>
                <w:highlight w:val="none"/>
                <w:lang w:eastAsia="zh-CN"/>
              </w:rPr>
              <w:t>（</w:t>
            </w:r>
            <w:r>
              <w:rPr>
                <w:rFonts w:hint="default" w:ascii="Times New Roman" w:hAnsi="Times New Roman" w:eastAsia="宋体" w:cs="Times New Roman"/>
                <w:color w:val="auto"/>
                <w:spacing w:val="-3"/>
                <w:sz w:val="21"/>
                <w:szCs w:val="21"/>
                <w:highlight w:val="none"/>
              </w:rPr>
              <w:t>5</w:t>
            </w:r>
            <w:r>
              <w:rPr>
                <w:rFonts w:hint="default" w:ascii="Times New Roman" w:hAnsi="Times New Roman" w:eastAsia="宋体" w:cs="Times New Roman"/>
                <w:color w:val="auto"/>
                <w:spacing w:val="-3"/>
                <w:sz w:val="21"/>
                <w:szCs w:val="21"/>
                <w:highlight w:val="none"/>
                <w:lang w:eastAsia="zh-CN"/>
              </w:rPr>
              <w:t>）</w:t>
            </w:r>
            <w:r>
              <w:rPr>
                <w:rFonts w:hint="default" w:ascii="Times New Roman" w:hAnsi="Times New Roman" w:eastAsia="宋体" w:cs="Times New Roman"/>
                <w:color w:val="auto"/>
                <w:spacing w:val="-3"/>
                <w:sz w:val="21"/>
                <w:szCs w:val="21"/>
                <w:highlight w:val="none"/>
              </w:rPr>
              <w:t>施工车辆的运行路线应尽量避开噪声敏感区域</w:t>
            </w:r>
            <w:r>
              <w:rPr>
                <w:rFonts w:hint="default" w:ascii="Times New Roman" w:hAnsi="Times New Roman" w:eastAsia="宋体" w:cs="Times New Roman"/>
                <w:color w:val="auto"/>
                <w:spacing w:val="-4"/>
                <w:sz w:val="21"/>
                <w:szCs w:val="21"/>
                <w:highlight w:val="none"/>
              </w:rPr>
              <w:t>，严禁夜间装卸物料，</w:t>
            </w:r>
            <w:r>
              <w:rPr>
                <w:rFonts w:hint="default" w:ascii="Times New Roman" w:hAnsi="Times New Roman" w:eastAsia="宋体" w:cs="Times New Roman"/>
                <w:color w:val="auto"/>
                <w:spacing w:val="-6"/>
                <w:sz w:val="21"/>
                <w:szCs w:val="21"/>
                <w:highlight w:val="none"/>
              </w:rPr>
              <w:t>材料运输车辆进入场地需安排专人指挥，场内禁止汽</w:t>
            </w:r>
            <w:r>
              <w:rPr>
                <w:rFonts w:hint="default" w:ascii="Times New Roman" w:hAnsi="Times New Roman" w:eastAsia="宋体" w:cs="Times New Roman"/>
                <w:color w:val="auto"/>
                <w:spacing w:val="-7"/>
                <w:sz w:val="21"/>
                <w:szCs w:val="21"/>
                <w:highlight w:val="none"/>
              </w:rPr>
              <w:t>车鸣笛，材料装卸采用人</w:t>
            </w:r>
            <w:r>
              <w:rPr>
                <w:rFonts w:hint="default" w:ascii="Times New Roman" w:hAnsi="Times New Roman" w:eastAsia="宋体" w:cs="Times New Roman"/>
                <w:color w:val="auto"/>
                <w:spacing w:val="-3"/>
                <w:sz w:val="21"/>
                <w:szCs w:val="21"/>
                <w:highlight w:val="none"/>
              </w:rPr>
              <w:t>工传递，装卸材料应做到轻拿轻放，严禁抛掷或汽</w:t>
            </w:r>
            <w:r>
              <w:rPr>
                <w:rFonts w:hint="default" w:ascii="Times New Roman" w:hAnsi="Times New Roman" w:eastAsia="宋体" w:cs="Times New Roman"/>
                <w:color w:val="auto"/>
                <w:spacing w:val="-4"/>
                <w:sz w:val="21"/>
                <w:szCs w:val="21"/>
                <w:highlight w:val="none"/>
              </w:rPr>
              <w:t>车一次性下料。</w:t>
            </w:r>
          </w:p>
          <w:p>
            <w:pPr>
              <w:pStyle w:val="63"/>
              <w:keepNext w:val="0"/>
              <w:keepLines w:val="0"/>
              <w:pageBreakBefore w:val="0"/>
              <w:kinsoku/>
              <w:wordWrap/>
              <w:overflowPunct/>
              <w:topLinePunct w:val="0"/>
              <w:autoSpaceDE/>
              <w:autoSpaceDN/>
              <w:bidi w:val="0"/>
              <w:adjustRightInd w:val="0"/>
              <w:snapToGrid w:val="0"/>
              <w:spacing w:line="360" w:lineRule="auto"/>
              <w:ind w:left="0" w:right="0" w:firstLine="404"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pacing w:val="-4"/>
                <w:sz w:val="21"/>
                <w:szCs w:val="21"/>
                <w:highlight w:val="none"/>
              </w:rPr>
              <w:t>综上所述，在采取相应措施并严格按照本评价要求进行施工的前提下，本</w:t>
            </w:r>
            <w:r>
              <w:rPr>
                <w:rFonts w:hint="default" w:ascii="Times New Roman" w:hAnsi="Times New Roman" w:eastAsia="宋体" w:cs="Times New Roman"/>
                <w:color w:val="auto"/>
                <w:spacing w:val="18"/>
                <w:sz w:val="21"/>
                <w:szCs w:val="21"/>
                <w:highlight w:val="none"/>
              </w:rPr>
              <w:t xml:space="preserve"> </w:t>
            </w:r>
            <w:r>
              <w:rPr>
                <w:rFonts w:hint="default" w:ascii="Times New Roman" w:hAnsi="Times New Roman" w:eastAsia="宋体" w:cs="Times New Roman"/>
                <w:color w:val="auto"/>
                <w:sz w:val="21"/>
                <w:szCs w:val="21"/>
                <w:highlight w:val="none"/>
              </w:rPr>
              <w:t>项目施工噪声对周围声环境影响可大大减轻，且随施工</w:t>
            </w:r>
            <w:r>
              <w:rPr>
                <w:rFonts w:hint="default" w:ascii="Times New Roman" w:hAnsi="Times New Roman" w:eastAsia="宋体" w:cs="Times New Roman"/>
                <w:color w:val="auto"/>
                <w:spacing w:val="-1"/>
                <w:sz w:val="21"/>
                <w:szCs w:val="21"/>
                <w:highlight w:val="none"/>
              </w:rPr>
              <w:t>结束而消除。</w:t>
            </w:r>
          </w:p>
          <w:p>
            <w:pPr>
              <w:pStyle w:val="63"/>
              <w:keepNext w:val="0"/>
              <w:keepLines w:val="0"/>
              <w:pageBreakBefore w:val="0"/>
              <w:kinsoku/>
              <w:wordWrap/>
              <w:overflowPunct/>
              <w:topLinePunct w:val="0"/>
              <w:autoSpaceDE/>
              <w:autoSpaceDN/>
              <w:bidi w:val="0"/>
              <w:adjustRightInd w:val="0"/>
              <w:snapToGrid w:val="0"/>
              <w:spacing w:line="360" w:lineRule="auto"/>
              <w:ind w:right="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bCs/>
                <w:color w:val="auto"/>
                <w:spacing w:val="-4"/>
                <w:sz w:val="21"/>
                <w:szCs w:val="21"/>
                <w:highlight w:val="none"/>
              </w:rPr>
              <w:t>4固体废物治理措施</w:t>
            </w:r>
          </w:p>
          <w:p>
            <w:pPr>
              <w:pStyle w:val="63"/>
              <w:keepNext w:val="0"/>
              <w:keepLines w:val="0"/>
              <w:pageBreakBefore w:val="0"/>
              <w:kinsoku/>
              <w:wordWrap/>
              <w:overflowPunct/>
              <w:topLinePunct w:val="0"/>
              <w:autoSpaceDE/>
              <w:autoSpaceDN/>
              <w:bidi w:val="0"/>
              <w:adjustRightInd w:val="0"/>
              <w:snapToGrid w:val="0"/>
              <w:spacing w:line="360" w:lineRule="auto"/>
              <w:ind w:left="0" w:right="0" w:firstLine="404" w:firstLineChars="200"/>
              <w:textAlignment w:val="auto"/>
              <w:rPr>
                <w:rFonts w:hint="default" w:ascii="Times New Roman" w:hAnsi="Times New Roman" w:eastAsia="宋体" w:cs="Times New Roman"/>
                <w:color w:val="auto"/>
                <w:spacing w:val="-4"/>
                <w:sz w:val="21"/>
                <w:szCs w:val="21"/>
                <w:highlight w:val="none"/>
              </w:rPr>
            </w:pPr>
            <w:r>
              <w:rPr>
                <w:rFonts w:hint="default" w:ascii="Times New Roman" w:hAnsi="Times New Roman" w:eastAsia="宋体" w:cs="Times New Roman"/>
                <w:color w:val="auto"/>
                <w:spacing w:val="-4"/>
                <w:sz w:val="21"/>
                <w:szCs w:val="21"/>
                <w:highlight w:val="none"/>
              </w:rPr>
              <w:t>施工中产生的固体废物主要是建筑垃圾</w:t>
            </w:r>
            <w:r>
              <w:rPr>
                <w:rFonts w:hint="default" w:ascii="Times New Roman" w:hAnsi="Times New Roman" w:eastAsia="宋体" w:cs="Times New Roman"/>
                <w:color w:val="auto"/>
                <w:spacing w:val="-4"/>
                <w:sz w:val="21"/>
                <w:szCs w:val="21"/>
                <w:highlight w:val="none"/>
                <w:lang w:eastAsia="zh-CN"/>
              </w:rPr>
              <w:t>、</w:t>
            </w:r>
            <w:r>
              <w:rPr>
                <w:rFonts w:hint="default" w:ascii="Times New Roman" w:hAnsi="Times New Roman" w:eastAsia="宋体" w:cs="Times New Roman"/>
                <w:color w:val="auto"/>
                <w:spacing w:val="-4"/>
                <w:sz w:val="21"/>
                <w:szCs w:val="21"/>
                <w:highlight w:val="none"/>
              </w:rPr>
              <w:t>地基挖掘产生的弃土和生活垃圾。</w:t>
            </w:r>
          </w:p>
          <w:p>
            <w:pPr>
              <w:pStyle w:val="63"/>
              <w:keepNext w:val="0"/>
              <w:keepLines w:val="0"/>
              <w:pageBreakBefore w:val="0"/>
              <w:kinsoku/>
              <w:wordWrap/>
              <w:overflowPunct/>
              <w:topLinePunct w:val="0"/>
              <w:autoSpaceDE/>
              <w:autoSpaceDN/>
              <w:bidi w:val="0"/>
              <w:adjustRightInd w:val="0"/>
              <w:snapToGrid w:val="0"/>
              <w:spacing w:line="360" w:lineRule="auto"/>
              <w:ind w:left="0" w:right="0" w:firstLine="404" w:firstLineChars="200"/>
              <w:textAlignment w:val="auto"/>
              <w:rPr>
                <w:rFonts w:hint="default" w:ascii="Times New Roman" w:hAnsi="Times New Roman" w:eastAsia="宋体" w:cs="Times New Roman"/>
                <w:color w:val="auto"/>
                <w:spacing w:val="-4"/>
                <w:sz w:val="21"/>
                <w:szCs w:val="21"/>
                <w:highlight w:val="none"/>
              </w:rPr>
            </w:pPr>
            <w:r>
              <w:rPr>
                <w:rFonts w:hint="default" w:ascii="Times New Roman" w:hAnsi="Times New Roman" w:eastAsia="宋体" w:cs="Times New Roman"/>
                <w:color w:val="auto"/>
                <w:spacing w:val="-4"/>
                <w:sz w:val="21"/>
                <w:szCs w:val="21"/>
                <w:highlight w:val="none"/>
              </w:rPr>
              <w:t>施工过程中产生的固体废物均为一般固体废物。工程中产生的弃土大部分用于回填地基，剩余部分用于厂区沟坑的填埋及厂区的平整，建筑垃圾送市政部门指定地点堆存，不会对环境产生明显影响；生活垃圾产生量较小，收集后统一交由环卫部门处置。</w:t>
            </w:r>
          </w:p>
          <w:p>
            <w:pPr>
              <w:widowControl/>
              <w:spacing w:line="360" w:lineRule="auto"/>
              <w:jc w:val="left"/>
              <w:rPr>
                <w:rFonts w:hint="default" w:ascii="Times New Roman" w:hAnsi="Times New Roman" w:eastAsia="宋体" w:cs="Times New Roman"/>
                <w:b/>
                <w:bCs/>
                <w:color w:val="auto"/>
                <w:kern w:val="0"/>
                <w:sz w:val="21"/>
                <w:szCs w:val="21"/>
                <w:highlight w:val="none"/>
                <w:lang w:val="en-US" w:eastAsia="zh-CN" w:bidi="ar"/>
              </w:rPr>
            </w:pPr>
            <w:r>
              <w:rPr>
                <w:rFonts w:hint="default" w:ascii="Times New Roman" w:hAnsi="Times New Roman" w:cs="Times New Roman"/>
                <w:color w:val="auto"/>
                <w:spacing w:val="-4"/>
                <w:sz w:val="21"/>
                <w:szCs w:val="21"/>
                <w:highlight w:val="none"/>
                <w:lang w:val="en-US" w:eastAsia="zh-CN"/>
              </w:rPr>
              <w:t>5</w:t>
            </w:r>
            <w:r>
              <w:rPr>
                <w:rFonts w:hint="default" w:ascii="Times New Roman" w:hAnsi="Times New Roman" w:eastAsia="宋体" w:cs="Times New Roman"/>
                <w:b/>
                <w:bCs/>
                <w:color w:val="auto"/>
                <w:kern w:val="0"/>
                <w:sz w:val="21"/>
                <w:szCs w:val="21"/>
                <w:highlight w:val="none"/>
                <w:lang w:val="en-US" w:eastAsia="zh-CN" w:bidi="ar"/>
              </w:rPr>
              <w:t>施工期防沙治沙控制措施</w:t>
            </w:r>
          </w:p>
          <w:p>
            <w:pPr>
              <w:widowControl/>
              <w:spacing w:line="360" w:lineRule="auto"/>
              <w:ind w:firstLine="420" w:firstLineChars="200"/>
              <w:jc w:val="left"/>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为防止土地沙化建设单位应采取以下预防措施：</w:t>
            </w:r>
          </w:p>
          <w:p>
            <w:pPr>
              <w:widowControl/>
              <w:spacing w:line="360" w:lineRule="auto"/>
              <w:ind w:firstLine="420" w:firstLineChars="200"/>
              <w:jc w:val="left"/>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（1）施工开挖过程中，临时堆土应集中堆放，严禁任意堆放并及时进行苫盖，在施工过程中尽可能减少对不必要区域的扰动，严格控制施工临时占地，减少施工过程中风沙的流动。</w:t>
            </w:r>
          </w:p>
          <w:p>
            <w:pPr>
              <w:widowControl/>
              <w:spacing w:line="360" w:lineRule="auto"/>
              <w:ind w:firstLine="420" w:firstLineChars="200"/>
              <w:jc w:val="left"/>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（2）对开挖处及时进行回填、压实，以降低临时堆土侵蚀模数；要求在堆土区边界设置临时拦挡措施。</w:t>
            </w:r>
          </w:p>
          <w:p>
            <w:pPr>
              <w:widowControl/>
              <w:spacing w:line="360" w:lineRule="auto"/>
              <w:ind w:firstLine="420" w:firstLineChars="200"/>
              <w:jc w:val="left"/>
              <w:rPr>
                <w:rFonts w:hint="default" w:ascii="Times New Roman" w:hAnsi="Times New Roman" w:eastAsia="宋体" w:cs="Times New Roman"/>
                <w:color w:val="auto"/>
                <w:kern w:val="0"/>
                <w:sz w:val="21"/>
                <w:szCs w:val="21"/>
                <w:highlight w:val="none"/>
                <w:lang w:val="en-US" w:eastAsia="zh-CN" w:bidi="ar"/>
              </w:rPr>
            </w:pPr>
            <w:r>
              <w:rPr>
                <w:rFonts w:hint="default" w:ascii="Times New Roman" w:hAnsi="Times New Roman" w:eastAsia="宋体" w:cs="Times New Roman"/>
                <w:color w:val="auto"/>
                <w:kern w:val="0"/>
                <w:sz w:val="21"/>
                <w:szCs w:val="21"/>
                <w:highlight w:val="none"/>
                <w:lang w:val="en-US" w:eastAsia="zh-CN" w:bidi="ar"/>
              </w:rPr>
              <w:t>（3）实行施工全过程管理，加强施工队伍环保意识教育，加强施工期环境监理，文明施工。</w:t>
            </w:r>
          </w:p>
          <w:p>
            <w:pPr>
              <w:widowControl/>
              <w:spacing w:line="360" w:lineRule="auto"/>
              <w:ind w:firstLine="420" w:firstLineChars="200"/>
              <w:jc w:val="left"/>
              <w:rPr>
                <w:rFonts w:ascii="宋体" w:hAnsi="宋体" w:cs="宋体"/>
                <w:bCs/>
                <w:color w:val="auto"/>
                <w:spacing w:val="-10"/>
                <w:szCs w:val="21"/>
                <w:highlight w:val="none"/>
              </w:rPr>
            </w:pPr>
            <w:r>
              <w:rPr>
                <w:rFonts w:hint="default" w:ascii="Times New Roman" w:hAnsi="Times New Roman" w:eastAsia="宋体" w:cs="Times New Roman"/>
                <w:color w:val="auto"/>
                <w:kern w:val="0"/>
                <w:sz w:val="21"/>
                <w:szCs w:val="21"/>
                <w:highlight w:val="none"/>
                <w:lang w:val="en-US" w:eastAsia="zh-CN" w:bidi="ar"/>
              </w:rPr>
              <w:t>（4）加强工程施工期的环境监测工作，严格按照设计要求和施工规范划定施工场地，施工车辆要在规定的线路上行驶，以减少对表土和植被的破坏。</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0" w:hRule="atLeast"/>
          <w:jc w:val="center"/>
        </w:trPr>
        <w:tc>
          <w:tcPr>
            <w:tcW w:w="746" w:type="dxa"/>
            <w:noWrap w:val="0"/>
            <w:tcMar>
              <w:left w:w="28" w:type="dxa"/>
              <w:right w:w="28" w:type="dxa"/>
            </w:tcMar>
            <w:vAlign w:val="center"/>
          </w:tcPr>
          <w:p>
            <w:pPr>
              <w:adjustRightInd w:val="0"/>
              <w:snapToGrid w:val="0"/>
              <w:jc w:val="center"/>
              <w:rPr>
                <w:rFonts w:hint="eastAsia" w:ascii="宋体" w:hAnsi="宋体" w:cs="宋体"/>
                <w:bCs/>
                <w:color w:val="auto"/>
                <w:szCs w:val="21"/>
                <w:highlight w:val="none"/>
              </w:rPr>
            </w:pPr>
            <w:r>
              <w:rPr>
                <w:rFonts w:hint="eastAsia" w:ascii="宋体" w:hAnsi="宋体" w:cs="宋体"/>
                <w:bCs/>
                <w:color w:val="auto"/>
                <w:szCs w:val="21"/>
                <w:highlight w:val="none"/>
              </w:rPr>
              <w:t>运营</w:t>
            </w:r>
          </w:p>
          <w:p>
            <w:pPr>
              <w:adjustRightInd w:val="0"/>
              <w:snapToGrid w:val="0"/>
              <w:jc w:val="center"/>
              <w:rPr>
                <w:rFonts w:hint="eastAsia" w:ascii="宋体" w:hAnsi="宋体" w:cs="宋体"/>
                <w:bCs/>
                <w:color w:val="auto"/>
                <w:szCs w:val="21"/>
                <w:highlight w:val="none"/>
              </w:rPr>
            </w:pPr>
            <w:r>
              <w:rPr>
                <w:rFonts w:hint="eastAsia" w:ascii="宋体" w:hAnsi="宋体" w:cs="宋体"/>
                <w:bCs/>
                <w:color w:val="auto"/>
                <w:szCs w:val="21"/>
                <w:highlight w:val="none"/>
              </w:rPr>
              <w:t>期环</w:t>
            </w:r>
          </w:p>
          <w:p>
            <w:pPr>
              <w:adjustRightInd w:val="0"/>
              <w:snapToGrid w:val="0"/>
              <w:jc w:val="center"/>
              <w:rPr>
                <w:rFonts w:hint="eastAsia" w:ascii="宋体" w:hAnsi="宋体" w:cs="宋体"/>
                <w:bCs/>
                <w:color w:val="auto"/>
                <w:szCs w:val="21"/>
                <w:highlight w:val="none"/>
              </w:rPr>
            </w:pPr>
            <w:r>
              <w:rPr>
                <w:rFonts w:hint="eastAsia" w:ascii="宋体" w:hAnsi="宋体" w:cs="宋体"/>
                <w:bCs/>
                <w:color w:val="auto"/>
                <w:szCs w:val="21"/>
                <w:highlight w:val="none"/>
              </w:rPr>
              <w:t>境影</w:t>
            </w:r>
          </w:p>
          <w:p>
            <w:pPr>
              <w:adjustRightInd w:val="0"/>
              <w:snapToGrid w:val="0"/>
              <w:jc w:val="center"/>
              <w:rPr>
                <w:rFonts w:hint="eastAsia" w:ascii="宋体" w:hAnsi="宋体" w:cs="宋体"/>
                <w:bCs/>
                <w:color w:val="auto"/>
                <w:szCs w:val="21"/>
                <w:highlight w:val="none"/>
              </w:rPr>
            </w:pPr>
            <w:r>
              <w:rPr>
                <w:rFonts w:hint="eastAsia" w:ascii="宋体" w:hAnsi="宋体" w:cs="宋体"/>
                <w:bCs/>
                <w:color w:val="auto"/>
                <w:szCs w:val="21"/>
                <w:highlight w:val="none"/>
              </w:rPr>
              <w:t>响和</w:t>
            </w:r>
          </w:p>
          <w:p>
            <w:pPr>
              <w:adjustRightInd w:val="0"/>
              <w:snapToGrid w:val="0"/>
              <w:jc w:val="center"/>
              <w:rPr>
                <w:rFonts w:hint="eastAsia" w:ascii="宋体" w:hAnsi="宋体" w:cs="宋体"/>
                <w:bCs/>
                <w:color w:val="auto"/>
                <w:szCs w:val="21"/>
                <w:highlight w:val="none"/>
              </w:rPr>
            </w:pPr>
            <w:r>
              <w:rPr>
                <w:rFonts w:hint="eastAsia" w:ascii="宋体" w:hAnsi="宋体" w:cs="宋体"/>
                <w:bCs/>
                <w:color w:val="auto"/>
                <w:szCs w:val="21"/>
                <w:highlight w:val="none"/>
              </w:rPr>
              <w:t>保护</w:t>
            </w:r>
          </w:p>
          <w:p>
            <w:pPr>
              <w:adjustRightInd w:val="0"/>
              <w:snapToGrid w:val="0"/>
              <w:jc w:val="center"/>
              <w:rPr>
                <w:rFonts w:ascii="宋体" w:hAnsi="宋体" w:cs="宋体"/>
                <w:bCs/>
                <w:color w:val="auto"/>
                <w:szCs w:val="21"/>
                <w:highlight w:val="none"/>
              </w:rPr>
            </w:pPr>
            <w:r>
              <w:rPr>
                <w:rFonts w:hint="eastAsia" w:ascii="宋体" w:hAnsi="宋体" w:cs="宋体"/>
                <w:bCs/>
                <w:color w:val="auto"/>
                <w:szCs w:val="21"/>
                <w:highlight w:val="none"/>
              </w:rPr>
              <w:t>措施</w:t>
            </w:r>
          </w:p>
        </w:tc>
        <w:tc>
          <w:tcPr>
            <w:tcW w:w="8162" w:type="dxa"/>
            <w:noWrap w:val="0"/>
            <w:vAlign w:val="center"/>
          </w:tcPr>
          <w:p>
            <w:pPr>
              <w:pStyle w:val="63"/>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0" w:leftChars="0" w:right="0" w:rightChars="0" w:firstLine="422" w:firstLineChars="200"/>
              <w:jc w:val="both"/>
              <w:textAlignment w:val="auto"/>
              <w:rPr>
                <w:rFonts w:hint="eastAsia" w:ascii="Times New Roman" w:hAnsi="Times New Roman" w:cs="Times New Roman"/>
                <w:b/>
                <w:bCs/>
                <w:color w:val="auto"/>
                <w:sz w:val="21"/>
                <w:szCs w:val="21"/>
                <w:highlight w:val="none"/>
                <w:lang w:val="en-US" w:eastAsia="zh-CN"/>
              </w:rPr>
            </w:pPr>
            <w:r>
              <w:rPr>
                <w:rFonts w:hint="eastAsia" w:ascii="Times New Roman" w:hAnsi="Times New Roman" w:cs="Times New Roman"/>
                <w:b/>
                <w:bCs/>
                <w:color w:val="auto"/>
                <w:sz w:val="21"/>
                <w:szCs w:val="21"/>
                <w:highlight w:val="none"/>
                <w:lang w:val="en-US" w:eastAsia="zh-CN"/>
              </w:rPr>
              <w:t>一、废气</w:t>
            </w:r>
          </w:p>
          <w:p>
            <w:pPr>
              <w:pStyle w:val="63"/>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leftChars="0" w:right="0" w:rightChars="0" w:firstLine="420" w:firstLineChars="200"/>
              <w:jc w:val="both"/>
              <w:textAlignment w:val="auto"/>
              <w:rPr>
                <w:rFonts w:hint="eastAsia"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本项目运营期产生的废气主要为天然气燃烧废气、瓶胚预热废气、包装缩膜废气、污水站臭气及坏果、果渣暂存产生的臭气。</w:t>
            </w:r>
          </w:p>
          <w:p>
            <w:pPr>
              <w:pStyle w:val="63"/>
              <w:keepNext w:val="0"/>
              <w:keepLines w:val="0"/>
              <w:pageBreakBefore w:val="0"/>
              <w:widowControl w:val="0"/>
              <w:kinsoku/>
              <w:wordWrap/>
              <w:overflowPunct/>
              <w:topLinePunct w:val="0"/>
              <w:autoSpaceDE/>
              <w:autoSpaceDN/>
              <w:bidi w:val="0"/>
              <w:adjustRightInd w:val="0"/>
              <w:snapToGrid w:val="0"/>
              <w:spacing w:line="360" w:lineRule="auto"/>
              <w:ind w:left="0" w:right="0" w:firstLine="422" w:firstLineChars="200"/>
              <w:jc w:val="both"/>
              <w:textAlignment w:val="auto"/>
              <w:rPr>
                <w:rFonts w:hint="default" w:ascii="Times New Roman" w:hAnsi="Times New Roman" w:cs="Times New Roman"/>
                <w:b/>
                <w:bCs/>
                <w:color w:val="auto"/>
                <w:sz w:val="21"/>
                <w:szCs w:val="21"/>
                <w:highlight w:val="none"/>
                <w:lang w:val="en-US" w:eastAsia="zh-CN"/>
              </w:rPr>
            </w:pPr>
            <w:r>
              <w:rPr>
                <w:rFonts w:hint="eastAsia" w:ascii="Times New Roman" w:hAnsi="Times New Roman" w:cs="Times New Roman"/>
                <w:b/>
                <w:bCs/>
                <w:color w:val="auto"/>
                <w:sz w:val="21"/>
                <w:szCs w:val="21"/>
                <w:highlight w:val="none"/>
                <w:lang w:val="en-US" w:eastAsia="zh-CN"/>
              </w:rPr>
              <w:t>1、废气源强</w:t>
            </w:r>
          </w:p>
          <w:p>
            <w:pPr>
              <w:pStyle w:val="63"/>
              <w:keepNext w:val="0"/>
              <w:keepLines w:val="0"/>
              <w:pageBreakBefore w:val="0"/>
              <w:kinsoku/>
              <w:wordWrap/>
              <w:overflowPunct/>
              <w:topLinePunct w:val="0"/>
              <w:autoSpaceDE/>
              <w:autoSpaceDN/>
              <w:bidi w:val="0"/>
              <w:adjustRightInd w:val="0"/>
              <w:snapToGrid w:val="0"/>
              <w:spacing w:line="360" w:lineRule="auto"/>
              <w:ind w:left="0" w:right="0" w:firstLine="404" w:firstLineChars="200"/>
              <w:textAlignment w:val="auto"/>
              <w:rPr>
                <w:rFonts w:hint="default" w:ascii="Times New Roman" w:hAnsi="Times New Roman" w:eastAsia="宋体" w:cs="Times New Roman"/>
                <w:color w:val="auto"/>
                <w:spacing w:val="-4"/>
                <w:sz w:val="21"/>
                <w:szCs w:val="21"/>
                <w:highlight w:val="none"/>
                <w:lang w:val="en-US" w:eastAsia="zh-CN"/>
              </w:rPr>
            </w:pPr>
            <w:r>
              <w:rPr>
                <w:rFonts w:hint="eastAsia" w:ascii="Times New Roman" w:hAnsi="Times New Roman" w:eastAsia="宋体" w:cs="Times New Roman"/>
                <w:color w:val="auto"/>
                <w:spacing w:val="-4"/>
                <w:sz w:val="21"/>
                <w:szCs w:val="21"/>
                <w:highlight w:val="none"/>
                <w:lang w:val="en-US" w:eastAsia="zh-CN"/>
              </w:rPr>
              <w:t>（1）</w:t>
            </w:r>
            <w:r>
              <w:rPr>
                <w:rFonts w:hint="eastAsia" w:ascii="Times New Roman" w:hAnsi="Times New Roman" w:cs="Times New Roman"/>
                <w:color w:val="auto"/>
                <w:spacing w:val="-4"/>
                <w:sz w:val="21"/>
                <w:szCs w:val="21"/>
                <w:highlight w:val="none"/>
                <w:lang w:val="en-US" w:eastAsia="zh-CN"/>
              </w:rPr>
              <w:t>有组织废气</w:t>
            </w:r>
          </w:p>
          <w:p>
            <w:pPr>
              <w:pStyle w:val="63"/>
              <w:keepNext w:val="0"/>
              <w:keepLines w:val="0"/>
              <w:pageBreakBefore w:val="0"/>
              <w:kinsoku/>
              <w:wordWrap/>
              <w:overflowPunct/>
              <w:topLinePunct w:val="0"/>
              <w:autoSpaceDE/>
              <w:autoSpaceDN/>
              <w:bidi w:val="0"/>
              <w:adjustRightInd w:val="0"/>
              <w:snapToGrid w:val="0"/>
              <w:spacing w:line="360" w:lineRule="auto"/>
              <w:ind w:left="0" w:right="0" w:firstLine="404" w:firstLineChars="200"/>
              <w:textAlignment w:val="auto"/>
              <w:rPr>
                <w:rFonts w:hint="default" w:ascii="Times New Roman" w:hAnsi="Times New Roman" w:cs="Times New Roman"/>
                <w:color w:val="auto"/>
                <w:spacing w:val="-4"/>
                <w:sz w:val="21"/>
                <w:szCs w:val="21"/>
                <w:highlight w:val="none"/>
                <w:lang w:val="en-US" w:eastAsia="zh-CN"/>
              </w:rPr>
            </w:pPr>
            <w:r>
              <w:rPr>
                <w:rFonts w:hint="eastAsia" w:ascii="Times New Roman" w:hAnsi="Times New Roman" w:cs="Times New Roman"/>
                <w:color w:val="auto"/>
                <w:spacing w:val="-4"/>
                <w:sz w:val="21"/>
                <w:szCs w:val="21"/>
                <w:highlight w:val="none"/>
                <w:lang w:val="en-US" w:eastAsia="zh-CN"/>
              </w:rPr>
              <w:t>①天然气燃烧废气</w:t>
            </w:r>
          </w:p>
          <w:p>
            <w:pPr>
              <w:pStyle w:val="63"/>
              <w:keepNext w:val="0"/>
              <w:keepLines w:val="0"/>
              <w:pageBreakBefore w:val="0"/>
              <w:kinsoku/>
              <w:wordWrap/>
              <w:overflowPunct/>
              <w:topLinePunct w:val="0"/>
              <w:autoSpaceDE/>
              <w:autoSpaceDN/>
              <w:bidi w:val="0"/>
              <w:adjustRightInd w:val="0"/>
              <w:snapToGrid w:val="0"/>
              <w:spacing w:line="360" w:lineRule="auto"/>
              <w:ind w:left="0" w:right="0" w:firstLine="404" w:firstLineChars="200"/>
              <w:textAlignment w:val="auto"/>
              <w:rPr>
                <w:rFonts w:hint="default" w:ascii="Times New Roman" w:hAnsi="Times New Roman" w:eastAsia="宋体" w:cs="Times New Roman"/>
                <w:color w:val="auto"/>
                <w:spacing w:val="-4"/>
                <w:sz w:val="21"/>
                <w:szCs w:val="21"/>
                <w:highlight w:val="none"/>
                <w:lang w:val="en-US" w:eastAsia="zh-CN"/>
              </w:rPr>
            </w:pPr>
            <w:r>
              <w:rPr>
                <w:rFonts w:hint="default" w:ascii="Times New Roman" w:hAnsi="Times New Roman" w:eastAsia="宋体" w:cs="Times New Roman"/>
                <w:color w:val="auto"/>
                <w:spacing w:val="-4"/>
                <w:sz w:val="21"/>
                <w:szCs w:val="21"/>
                <w:highlight w:val="none"/>
                <w:lang w:val="en-US" w:eastAsia="zh-CN"/>
              </w:rPr>
              <w:t>本项目</w:t>
            </w:r>
            <w:r>
              <w:rPr>
                <w:rFonts w:hint="eastAsia" w:ascii="Times New Roman" w:hAnsi="Times New Roman" w:cs="Times New Roman"/>
                <w:color w:val="auto"/>
                <w:spacing w:val="-4"/>
                <w:sz w:val="21"/>
                <w:szCs w:val="21"/>
                <w:highlight w:val="none"/>
                <w:lang w:val="en-US" w:eastAsia="zh-CN"/>
              </w:rPr>
              <w:t>设置1</w:t>
            </w:r>
            <w:r>
              <w:rPr>
                <w:rFonts w:hint="default" w:ascii="Times New Roman" w:hAnsi="Times New Roman" w:eastAsia="宋体" w:cs="Times New Roman"/>
                <w:color w:val="auto"/>
                <w:spacing w:val="-4"/>
                <w:sz w:val="21"/>
                <w:szCs w:val="21"/>
                <w:highlight w:val="none"/>
                <w:lang w:val="en-US" w:eastAsia="zh-CN"/>
              </w:rPr>
              <w:t>台</w:t>
            </w:r>
            <w:r>
              <w:rPr>
                <w:rFonts w:hint="eastAsia" w:ascii="Times New Roman" w:hAnsi="Times New Roman" w:cs="Times New Roman"/>
                <w:color w:val="auto"/>
                <w:spacing w:val="-4"/>
                <w:sz w:val="21"/>
                <w:szCs w:val="21"/>
                <w:highlight w:val="none"/>
                <w:lang w:val="en-US" w:eastAsia="zh-CN"/>
              </w:rPr>
              <w:t>4</w:t>
            </w:r>
            <w:r>
              <w:rPr>
                <w:rFonts w:hint="default" w:ascii="Times New Roman" w:hAnsi="Times New Roman" w:eastAsia="宋体" w:cs="Times New Roman"/>
                <w:color w:val="auto"/>
                <w:spacing w:val="-4"/>
                <w:sz w:val="21"/>
                <w:szCs w:val="21"/>
                <w:highlight w:val="none"/>
                <w:lang w:val="en-US" w:eastAsia="zh-CN"/>
              </w:rPr>
              <w:t>t/h天然气</w:t>
            </w:r>
            <w:r>
              <w:rPr>
                <w:rFonts w:hint="eastAsia" w:ascii="Times New Roman" w:hAnsi="Times New Roman" w:cs="Times New Roman"/>
                <w:color w:val="auto"/>
                <w:spacing w:val="-4"/>
                <w:sz w:val="21"/>
                <w:szCs w:val="21"/>
                <w:highlight w:val="none"/>
                <w:lang w:val="en-US" w:eastAsia="zh-CN"/>
              </w:rPr>
              <w:t>锅炉</w:t>
            </w:r>
            <w:r>
              <w:rPr>
                <w:rFonts w:hint="default" w:ascii="Times New Roman" w:hAnsi="Times New Roman" w:eastAsia="宋体" w:cs="Times New Roman"/>
                <w:color w:val="auto"/>
                <w:spacing w:val="-4"/>
                <w:sz w:val="21"/>
                <w:szCs w:val="21"/>
                <w:highlight w:val="none"/>
                <w:lang w:val="en-US" w:eastAsia="zh-CN"/>
              </w:rPr>
              <w:t>为杀菌工序提供热能，</w:t>
            </w:r>
            <w:r>
              <w:rPr>
                <w:rFonts w:hint="eastAsia" w:ascii="Times New Roman" w:hAnsi="Times New Roman" w:cs="Times New Roman"/>
                <w:color w:val="auto"/>
                <w:spacing w:val="-4"/>
                <w:sz w:val="21"/>
                <w:szCs w:val="21"/>
                <w:highlight w:val="none"/>
                <w:lang w:val="en-US" w:eastAsia="zh-CN"/>
              </w:rPr>
              <w:t>采用低氮燃烧技术，根据建设单位提供的资料，本项目天然气总用量为150万</w:t>
            </w:r>
            <w:r>
              <w:rPr>
                <w:rFonts w:hint="default" w:ascii="Times New Roman" w:hAnsi="Times New Roman" w:cs="Times New Roman"/>
                <w:color w:val="auto"/>
                <w:sz w:val="21"/>
                <w:szCs w:val="21"/>
                <w:highlight w:val="none"/>
              </w:rPr>
              <w:t>Nm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rPr>
              <w:t>/a</w:t>
            </w:r>
            <w:r>
              <w:rPr>
                <w:rFonts w:hint="default" w:ascii="Times New Roman" w:hAnsi="Times New Roman" w:cs="Times New Roman"/>
                <w:color w:val="auto"/>
                <w:sz w:val="21"/>
                <w:szCs w:val="21"/>
                <w:highlight w:val="none"/>
                <w:lang w:eastAsia="zh-CN"/>
              </w:rPr>
              <w:t>，</w:t>
            </w:r>
            <w:r>
              <w:rPr>
                <w:rFonts w:hint="eastAsia" w:ascii="Times New Roman" w:hAnsi="Times New Roman" w:cs="Times New Roman"/>
                <w:color w:val="auto"/>
                <w:sz w:val="21"/>
                <w:szCs w:val="21"/>
                <w:highlight w:val="none"/>
                <w:lang w:val="en-US" w:eastAsia="zh-CN"/>
              </w:rPr>
              <w:t>首先大致估算天然气用量数据合理性如下：</w:t>
            </w:r>
            <w:r>
              <w:rPr>
                <w:rFonts w:hint="default" w:ascii="Times New Roman" w:hAnsi="Times New Roman" w:cs="Times New Roman"/>
                <w:color w:val="auto"/>
                <w:sz w:val="21"/>
                <w:szCs w:val="21"/>
                <w:highlight w:val="none"/>
                <w:lang w:val="en-US" w:eastAsia="zh-CN"/>
              </w:rPr>
              <w:t>企业杀菌工序使用</w:t>
            </w:r>
            <w:r>
              <w:rPr>
                <w:rFonts w:hint="default" w:ascii="Times New Roman" w:hAnsi="Times New Roman" w:eastAsia="宋体" w:cs="Times New Roman"/>
                <w:color w:val="auto"/>
                <w:spacing w:val="-4"/>
                <w:sz w:val="21"/>
                <w:szCs w:val="21"/>
                <w:highlight w:val="none"/>
                <w:lang w:val="en-US" w:eastAsia="zh-CN"/>
              </w:rPr>
              <w:t>天然气</w:t>
            </w:r>
            <w:r>
              <w:rPr>
                <w:rFonts w:hint="eastAsia" w:ascii="Times New Roman" w:hAnsi="Times New Roman" w:cs="Times New Roman"/>
                <w:color w:val="auto"/>
                <w:spacing w:val="-4"/>
                <w:sz w:val="21"/>
                <w:szCs w:val="21"/>
                <w:highlight w:val="none"/>
                <w:lang w:val="en-US" w:eastAsia="zh-CN"/>
              </w:rPr>
              <w:t>锅炉</w:t>
            </w:r>
            <w:r>
              <w:rPr>
                <w:rFonts w:hint="default" w:ascii="Times New Roman" w:hAnsi="Times New Roman" w:cs="Times New Roman"/>
                <w:color w:val="auto"/>
                <w:spacing w:val="-4"/>
                <w:sz w:val="21"/>
                <w:szCs w:val="21"/>
                <w:highlight w:val="none"/>
                <w:lang w:val="en-US" w:eastAsia="zh-CN"/>
              </w:rPr>
              <w:t>产出的蒸汽进行间接供热，提供蒸汽为170℃、0.7MPa饱和蒸汽，</w:t>
            </w:r>
            <w:r>
              <w:rPr>
                <w:rFonts w:hint="eastAsia" w:ascii="Times New Roman" w:hAnsi="Times New Roman" w:cs="Times New Roman"/>
                <w:color w:val="auto"/>
                <w:spacing w:val="-4"/>
                <w:sz w:val="21"/>
                <w:szCs w:val="21"/>
                <w:highlight w:val="none"/>
                <w:lang w:val="en-US" w:eastAsia="zh-CN"/>
              </w:rPr>
              <w:t>1</w:t>
            </w:r>
            <w:r>
              <w:rPr>
                <w:rFonts w:hint="default" w:ascii="Times New Roman" w:hAnsi="Times New Roman" w:eastAsia="宋体" w:cs="Times New Roman"/>
                <w:color w:val="auto"/>
                <w:spacing w:val="-4"/>
                <w:sz w:val="21"/>
                <w:szCs w:val="21"/>
                <w:highlight w:val="none"/>
                <w:lang w:val="en-US" w:eastAsia="zh-CN"/>
              </w:rPr>
              <w:t>台</w:t>
            </w:r>
            <w:r>
              <w:rPr>
                <w:rFonts w:hint="eastAsia" w:ascii="Times New Roman" w:hAnsi="Times New Roman" w:cs="Times New Roman"/>
                <w:color w:val="auto"/>
                <w:spacing w:val="-4"/>
                <w:sz w:val="21"/>
                <w:szCs w:val="21"/>
                <w:highlight w:val="none"/>
                <w:lang w:val="en-US" w:eastAsia="zh-CN"/>
              </w:rPr>
              <w:t>4</w:t>
            </w:r>
            <w:r>
              <w:rPr>
                <w:rFonts w:hint="default" w:ascii="Times New Roman" w:hAnsi="Times New Roman" w:eastAsia="宋体" w:cs="Times New Roman"/>
                <w:color w:val="auto"/>
                <w:spacing w:val="-4"/>
                <w:sz w:val="21"/>
                <w:szCs w:val="21"/>
                <w:highlight w:val="none"/>
                <w:lang w:val="en-US" w:eastAsia="zh-CN"/>
              </w:rPr>
              <w:t>t/h天然气</w:t>
            </w:r>
            <w:r>
              <w:rPr>
                <w:rFonts w:hint="eastAsia" w:ascii="Times New Roman" w:hAnsi="Times New Roman" w:cs="Times New Roman"/>
                <w:color w:val="auto"/>
                <w:spacing w:val="-4"/>
                <w:sz w:val="21"/>
                <w:szCs w:val="21"/>
                <w:highlight w:val="none"/>
                <w:lang w:val="en-US" w:eastAsia="zh-CN"/>
              </w:rPr>
              <w:t>锅炉</w:t>
            </w:r>
            <w:r>
              <w:rPr>
                <w:rFonts w:hint="default" w:ascii="Times New Roman" w:hAnsi="Times New Roman" w:cs="Times New Roman"/>
                <w:color w:val="auto"/>
                <w:spacing w:val="-4"/>
                <w:sz w:val="21"/>
                <w:szCs w:val="21"/>
                <w:highlight w:val="none"/>
                <w:lang w:val="en-US" w:eastAsia="zh-CN"/>
              </w:rPr>
              <w:t>年运行4368h，则年总产气量为4×4368=17472t/a，即17472000kg/a；天然气</w:t>
            </w:r>
            <w:r>
              <w:rPr>
                <w:rFonts w:hint="eastAsia" w:ascii="Times New Roman" w:hAnsi="Times New Roman" w:cs="Times New Roman"/>
                <w:color w:val="auto"/>
                <w:spacing w:val="-4"/>
                <w:sz w:val="21"/>
                <w:szCs w:val="21"/>
                <w:highlight w:val="none"/>
                <w:lang w:val="en-US" w:eastAsia="zh-CN"/>
              </w:rPr>
              <w:t>锅炉</w:t>
            </w:r>
            <w:r>
              <w:rPr>
                <w:rFonts w:hint="default" w:ascii="Times New Roman" w:hAnsi="Times New Roman" w:cs="Times New Roman"/>
                <w:color w:val="auto"/>
                <w:spacing w:val="-4"/>
                <w:sz w:val="21"/>
                <w:szCs w:val="21"/>
                <w:highlight w:val="none"/>
                <w:lang w:val="en-US" w:eastAsia="zh-CN"/>
              </w:rPr>
              <w:t>给水温度取20℃，0.7MPa饱和蒸汽焓值为2762kJ/kg，20℃给水焓值为84kJ/kg，不考虑蒸汽冷凝回水带有一定温度情况下，同时天然气</w:t>
            </w:r>
            <w:r>
              <w:rPr>
                <w:rFonts w:hint="eastAsia" w:ascii="Times New Roman" w:hAnsi="Times New Roman" w:cs="Times New Roman"/>
                <w:color w:val="auto"/>
                <w:spacing w:val="-4"/>
                <w:sz w:val="21"/>
                <w:szCs w:val="21"/>
                <w:highlight w:val="none"/>
                <w:lang w:val="en-US" w:eastAsia="zh-CN"/>
              </w:rPr>
              <w:t>锅炉</w:t>
            </w:r>
            <w:r>
              <w:rPr>
                <w:rFonts w:hint="default" w:ascii="Times New Roman" w:hAnsi="Times New Roman" w:cs="Times New Roman"/>
                <w:color w:val="auto"/>
                <w:spacing w:val="-4"/>
                <w:sz w:val="21"/>
                <w:szCs w:val="21"/>
                <w:highlight w:val="none"/>
                <w:lang w:val="en-US" w:eastAsia="zh-CN"/>
              </w:rPr>
              <w:t>热效率取90%，由此计算可得项目产蒸汽年总有效吸收热量为17472000×（2762-84）/0.9=51988906.67MJ；天然气低位热值取35.16MJ/</w:t>
            </w:r>
            <w:r>
              <w:rPr>
                <w:rFonts w:hint="default" w:ascii="Times New Roman" w:hAnsi="Times New Roman" w:cs="Times New Roman"/>
                <w:color w:val="auto"/>
                <w:sz w:val="21"/>
                <w:szCs w:val="21"/>
                <w:highlight w:val="none"/>
              </w:rPr>
              <w:t>Nm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lang w:val="en-US" w:eastAsia="zh-CN"/>
              </w:rPr>
              <w:t>，则项目年消耗天然气量为</w:t>
            </w:r>
            <w:r>
              <w:rPr>
                <w:rFonts w:hint="default" w:ascii="Times New Roman" w:hAnsi="Times New Roman" w:cs="Times New Roman"/>
                <w:color w:val="auto"/>
                <w:spacing w:val="-4"/>
                <w:sz w:val="21"/>
                <w:szCs w:val="21"/>
                <w:highlight w:val="none"/>
                <w:lang w:val="en-US" w:eastAsia="zh-CN"/>
              </w:rPr>
              <w:t>51988906.67/35.16=147.86万</w:t>
            </w:r>
            <w:r>
              <w:rPr>
                <w:rFonts w:hint="default" w:ascii="Times New Roman" w:hAnsi="Times New Roman" w:cs="Times New Roman"/>
                <w:color w:val="auto"/>
                <w:sz w:val="21"/>
                <w:szCs w:val="21"/>
                <w:highlight w:val="none"/>
              </w:rPr>
              <w:t>Nm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rPr>
              <w:t>/a</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lang w:val="en-US" w:eastAsia="zh-CN"/>
              </w:rPr>
              <w:t>企业提供数据为</w:t>
            </w:r>
            <w:r>
              <w:rPr>
                <w:rFonts w:hint="default" w:ascii="Times New Roman" w:hAnsi="Times New Roman" w:cs="Times New Roman"/>
                <w:color w:val="auto"/>
                <w:spacing w:val="-4"/>
                <w:sz w:val="21"/>
                <w:szCs w:val="21"/>
                <w:highlight w:val="none"/>
                <w:lang w:val="en-US" w:eastAsia="zh-CN"/>
              </w:rPr>
              <w:t>1</w:t>
            </w:r>
            <w:r>
              <w:rPr>
                <w:rFonts w:hint="eastAsia" w:ascii="Times New Roman" w:hAnsi="Times New Roman" w:cs="Times New Roman"/>
                <w:color w:val="auto"/>
                <w:spacing w:val="-4"/>
                <w:sz w:val="21"/>
                <w:szCs w:val="21"/>
                <w:highlight w:val="none"/>
                <w:lang w:val="en-US" w:eastAsia="zh-CN"/>
              </w:rPr>
              <w:t>50</w:t>
            </w:r>
            <w:r>
              <w:rPr>
                <w:rFonts w:hint="default" w:ascii="Times New Roman" w:hAnsi="Times New Roman" w:cs="Times New Roman"/>
                <w:color w:val="auto"/>
                <w:spacing w:val="-4"/>
                <w:sz w:val="21"/>
                <w:szCs w:val="21"/>
                <w:highlight w:val="none"/>
                <w:lang w:val="en-US" w:eastAsia="zh-CN"/>
              </w:rPr>
              <w:t>万</w:t>
            </w:r>
            <w:r>
              <w:rPr>
                <w:rFonts w:hint="default" w:ascii="Times New Roman" w:hAnsi="Times New Roman" w:cs="Times New Roman"/>
                <w:color w:val="auto"/>
                <w:sz w:val="21"/>
                <w:szCs w:val="21"/>
                <w:highlight w:val="none"/>
              </w:rPr>
              <w:t>Nm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rPr>
              <w:t>/a</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lang w:val="en-US" w:eastAsia="zh-CN"/>
              </w:rPr>
              <w:t>与估算数据接近，因此采用建设单位提供数据进行核算是合理的。</w:t>
            </w:r>
          </w:p>
          <w:p>
            <w:pPr>
              <w:pStyle w:val="73"/>
              <w:bidi w:val="0"/>
              <w:jc w:val="both"/>
              <w:rPr>
                <w:rFonts w:hint="eastAsia"/>
                <w:b w:val="0"/>
                <w:bCs w:val="0"/>
                <w:color w:val="auto"/>
                <w:highlight w:val="none"/>
                <w:lang w:val="en-US" w:eastAsia="zh-CN"/>
              </w:rPr>
            </w:pPr>
            <w:r>
              <w:rPr>
                <w:rFonts w:hint="eastAsia"/>
                <w:b w:val="0"/>
                <w:bCs w:val="0"/>
                <w:color w:val="auto"/>
                <w:highlight w:val="none"/>
                <w:lang w:val="en-US" w:eastAsia="zh-CN"/>
              </w:rPr>
              <w:t>天然气燃烧产生的主要污染物为NOx、SO</w:t>
            </w:r>
            <w:r>
              <w:rPr>
                <w:rFonts w:hint="eastAsia"/>
                <w:b w:val="0"/>
                <w:bCs w:val="0"/>
                <w:color w:val="auto"/>
                <w:highlight w:val="none"/>
                <w:vertAlign w:val="subscript"/>
                <w:lang w:val="en-US" w:eastAsia="zh-CN"/>
              </w:rPr>
              <w:t>2</w:t>
            </w:r>
            <w:r>
              <w:rPr>
                <w:rFonts w:hint="eastAsia"/>
                <w:b w:val="0"/>
                <w:bCs w:val="0"/>
                <w:color w:val="auto"/>
                <w:highlight w:val="none"/>
                <w:lang w:val="en-US" w:eastAsia="zh-CN"/>
              </w:rPr>
              <w:t>和颗粒物，污染物产生量参考《第二次全国污染源普查工业污染源产排污系数手册》4430热力生产和供应行业中燃天然气锅炉的产排污系数和《环境保护实用数据手册》（公告2021年 第24号）进行计算，具体参数见下表。</w:t>
            </w:r>
          </w:p>
          <w:p>
            <w:pPr>
              <w:pStyle w:val="73"/>
              <w:bidi w:val="0"/>
              <w:spacing w:line="240" w:lineRule="auto"/>
              <w:jc w:val="center"/>
              <w:rPr>
                <w:rFonts w:hint="eastAsia" w:ascii="Times New Roman" w:hAnsi="Times New Roman" w:eastAsia="宋体" w:cs="Times New Roman"/>
                <w:b/>
                <w:color w:val="auto"/>
                <w:kern w:val="2"/>
                <w:sz w:val="21"/>
                <w:szCs w:val="21"/>
                <w:highlight w:val="none"/>
                <w:lang w:val="en-US" w:eastAsia="zh-CN" w:bidi="ar-SA"/>
              </w:rPr>
            </w:pPr>
            <w:r>
              <w:rPr>
                <w:rFonts w:hint="eastAsia" w:ascii="Times New Roman" w:hAnsi="Times New Roman" w:eastAsia="宋体" w:cs="Times New Roman"/>
                <w:b/>
                <w:color w:val="auto"/>
                <w:kern w:val="2"/>
                <w:sz w:val="21"/>
                <w:szCs w:val="21"/>
                <w:highlight w:val="none"/>
                <w:lang w:val="en-US" w:eastAsia="zh-CN" w:bidi="ar-SA"/>
              </w:rPr>
              <w:t>表4-</w:t>
            </w:r>
            <w:r>
              <w:rPr>
                <w:rFonts w:hint="eastAsia" w:eastAsia="宋体" w:cs="Times New Roman"/>
                <w:b/>
                <w:color w:val="auto"/>
                <w:kern w:val="2"/>
                <w:sz w:val="21"/>
                <w:szCs w:val="21"/>
                <w:highlight w:val="none"/>
                <w:lang w:val="en-US" w:eastAsia="zh-CN" w:bidi="ar-SA"/>
              </w:rPr>
              <w:t>1</w:t>
            </w:r>
            <w:r>
              <w:rPr>
                <w:rFonts w:hint="eastAsia" w:cs="Times New Roman"/>
                <w:b/>
                <w:color w:val="auto"/>
                <w:kern w:val="2"/>
                <w:sz w:val="21"/>
                <w:szCs w:val="21"/>
                <w:highlight w:val="none"/>
                <w:lang w:val="en-US" w:eastAsia="zh-CN" w:bidi="ar-SA"/>
              </w:rPr>
              <w:t>（1）</w:t>
            </w:r>
            <w:r>
              <w:rPr>
                <w:rFonts w:hint="eastAsia" w:ascii="Times New Roman" w:hAnsi="Times New Roman" w:eastAsia="宋体" w:cs="Times New Roman"/>
                <w:b/>
                <w:color w:val="auto"/>
                <w:kern w:val="2"/>
                <w:sz w:val="21"/>
                <w:szCs w:val="21"/>
                <w:highlight w:val="none"/>
                <w:lang w:val="en-US" w:eastAsia="zh-CN" w:bidi="ar-SA"/>
              </w:rPr>
              <w:t xml:space="preserve"> 燃气（天然气）产排污系数一览表</w:t>
            </w:r>
          </w:p>
          <w:tbl>
            <w:tblPr>
              <w:tblStyle w:val="21"/>
              <w:tblW w:w="4998" w:type="pct"/>
              <w:jc w:val="center"/>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Layout w:type="fixed"/>
              <w:tblCellMar>
                <w:top w:w="0" w:type="dxa"/>
                <w:left w:w="0" w:type="dxa"/>
                <w:bottom w:w="0" w:type="dxa"/>
                <w:right w:w="0" w:type="dxa"/>
              </w:tblCellMar>
            </w:tblPr>
            <w:tblGrid>
              <w:gridCol w:w="878"/>
              <w:gridCol w:w="1094"/>
              <w:gridCol w:w="2128"/>
              <w:gridCol w:w="2730"/>
              <w:gridCol w:w="1098"/>
            </w:tblGrid>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40" w:hRule="atLeast"/>
                <w:jc w:val="center"/>
              </w:trPr>
              <w:tc>
                <w:tcPr>
                  <w:tcW w:w="554" w:type="pct"/>
                  <w:noWrap w:val="0"/>
                  <w:vAlign w:val="center"/>
                </w:tcPr>
                <w:p>
                  <w:pPr>
                    <w:bidi w:val="0"/>
                    <w:jc w:val="center"/>
                    <w:rPr>
                      <w:rFonts w:hint="eastAsia" w:ascii="Times New Roman" w:hAnsi="Times New Roman" w:eastAsia="宋体" w:cs="Times New Roman"/>
                      <w:b/>
                      <w:bCs/>
                      <w:color w:val="auto"/>
                      <w:sz w:val="21"/>
                      <w:szCs w:val="21"/>
                      <w:highlight w:val="none"/>
                      <w:lang w:val="en-US" w:eastAsia="zh-CN"/>
                    </w:rPr>
                  </w:pPr>
                  <w:r>
                    <w:rPr>
                      <w:rFonts w:hint="eastAsia" w:ascii="Times New Roman" w:hAnsi="Times New Roman" w:eastAsia="宋体" w:cs="Times New Roman"/>
                      <w:b/>
                      <w:bCs/>
                      <w:color w:val="auto"/>
                      <w:sz w:val="21"/>
                      <w:szCs w:val="21"/>
                      <w:highlight w:val="none"/>
                      <w:lang w:val="en-US" w:eastAsia="zh-CN"/>
                    </w:rPr>
                    <w:t>燃料名称</w:t>
                  </w:r>
                </w:p>
              </w:tc>
              <w:tc>
                <w:tcPr>
                  <w:tcW w:w="690" w:type="pct"/>
                  <w:noWrap w:val="0"/>
                  <w:vAlign w:val="center"/>
                </w:tcPr>
                <w:p>
                  <w:pPr>
                    <w:bidi w:val="0"/>
                    <w:jc w:val="center"/>
                    <w:rPr>
                      <w:rFonts w:hint="eastAsia" w:ascii="Times New Roman" w:hAnsi="Times New Roman" w:eastAsia="宋体" w:cs="Times New Roman"/>
                      <w:b/>
                      <w:bCs/>
                      <w:color w:val="auto"/>
                      <w:sz w:val="21"/>
                      <w:szCs w:val="21"/>
                      <w:highlight w:val="none"/>
                      <w:lang w:val="en-US" w:eastAsia="zh-CN"/>
                    </w:rPr>
                  </w:pPr>
                  <w:r>
                    <w:rPr>
                      <w:rFonts w:hint="eastAsia" w:ascii="Times New Roman" w:hAnsi="Times New Roman" w:eastAsia="宋体" w:cs="Times New Roman"/>
                      <w:b/>
                      <w:bCs/>
                      <w:color w:val="auto"/>
                      <w:sz w:val="21"/>
                      <w:szCs w:val="21"/>
                      <w:highlight w:val="none"/>
                      <w:lang w:val="en-US" w:eastAsia="zh-CN"/>
                    </w:rPr>
                    <w:t>污染物</w:t>
                  </w:r>
                </w:p>
              </w:tc>
              <w:tc>
                <w:tcPr>
                  <w:tcW w:w="1342" w:type="pct"/>
                  <w:noWrap w:val="0"/>
                  <w:vAlign w:val="center"/>
                </w:tcPr>
                <w:p>
                  <w:pPr>
                    <w:bidi w:val="0"/>
                    <w:jc w:val="center"/>
                    <w:rPr>
                      <w:rFonts w:hint="eastAsia" w:ascii="Times New Roman" w:hAnsi="Times New Roman" w:eastAsia="宋体" w:cs="Times New Roman"/>
                      <w:b/>
                      <w:bCs/>
                      <w:color w:val="auto"/>
                      <w:sz w:val="21"/>
                      <w:szCs w:val="21"/>
                      <w:highlight w:val="none"/>
                      <w:lang w:val="en-US" w:eastAsia="zh-CN"/>
                    </w:rPr>
                  </w:pPr>
                  <w:r>
                    <w:rPr>
                      <w:rFonts w:hint="eastAsia" w:ascii="Times New Roman" w:hAnsi="Times New Roman" w:eastAsia="宋体" w:cs="Times New Roman"/>
                      <w:b/>
                      <w:bCs/>
                      <w:color w:val="auto"/>
                      <w:sz w:val="21"/>
                      <w:szCs w:val="21"/>
                      <w:highlight w:val="none"/>
                      <w:lang w:val="en-US" w:eastAsia="zh-CN"/>
                    </w:rPr>
                    <w:t>单位</w:t>
                  </w:r>
                </w:p>
              </w:tc>
              <w:tc>
                <w:tcPr>
                  <w:tcW w:w="1722" w:type="pct"/>
                  <w:noWrap w:val="0"/>
                  <w:vAlign w:val="center"/>
                </w:tcPr>
                <w:p>
                  <w:pPr>
                    <w:bidi w:val="0"/>
                    <w:jc w:val="center"/>
                    <w:rPr>
                      <w:rFonts w:hint="eastAsia" w:ascii="Times New Roman" w:hAnsi="Times New Roman" w:eastAsia="宋体" w:cs="Times New Roman"/>
                      <w:b/>
                      <w:bCs/>
                      <w:color w:val="auto"/>
                      <w:sz w:val="21"/>
                      <w:szCs w:val="21"/>
                      <w:highlight w:val="none"/>
                      <w:lang w:val="en-US" w:eastAsia="zh-CN"/>
                    </w:rPr>
                  </w:pPr>
                  <w:r>
                    <w:rPr>
                      <w:rFonts w:hint="eastAsia" w:ascii="Times New Roman" w:hAnsi="Times New Roman" w:eastAsia="宋体" w:cs="Times New Roman"/>
                      <w:b/>
                      <w:bCs/>
                      <w:color w:val="auto"/>
                      <w:sz w:val="21"/>
                      <w:szCs w:val="21"/>
                      <w:highlight w:val="none"/>
                      <w:lang w:val="en-US" w:eastAsia="zh-CN"/>
                    </w:rPr>
                    <w:t>产污系数</w:t>
                  </w:r>
                </w:p>
              </w:tc>
              <w:tc>
                <w:tcPr>
                  <w:tcW w:w="690" w:type="pct"/>
                  <w:noWrap w:val="0"/>
                  <w:vAlign w:val="center"/>
                </w:tcPr>
                <w:p>
                  <w:pPr>
                    <w:bidi w:val="0"/>
                    <w:jc w:val="center"/>
                    <w:rPr>
                      <w:rFonts w:hint="eastAsia" w:ascii="Times New Roman" w:hAnsi="Times New Roman" w:eastAsia="宋体" w:cs="Times New Roman"/>
                      <w:b/>
                      <w:bCs/>
                      <w:color w:val="auto"/>
                      <w:sz w:val="21"/>
                      <w:szCs w:val="21"/>
                      <w:highlight w:val="none"/>
                      <w:lang w:val="en-US" w:eastAsia="zh-CN"/>
                    </w:rPr>
                  </w:pPr>
                  <w:r>
                    <w:rPr>
                      <w:rFonts w:hint="eastAsia" w:ascii="Times New Roman" w:hAnsi="Times New Roman" w:eastAsia="宋体" w:cs="Times New Roman"/>
                      <w:b/>
                      <w:bCs/>
                      <w:color w:val="auto"/>
                      <w:sz w:val="21"/>
                      <w:szCs w:val="21"/>
                      <w:highlight w:val="none"/>
                      <w:lang w:val="en-US" w:eastAsia="zh-CN"/>
                    </w:rPr>
                    <w:t>本项目取值</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90" w:hRule="atLeast"/>
                <w:jc w:val="center"/>
              </w:trPr>
              <w:tc>
                <w:tcPr>
                  <w:tcW w:w="554" w:type="pct"/>
                  <w:vMerge w:val="restart"/>
                  <w:noWrap w:val="0"/>
                  <w:vAlign w:val="center"/>
                </w:tcPr>
                <w:p>
                  <w:pPr>
                    <w:bidi w:val="0"/>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天然气</w:t>
                  </w:r>
                </w:p>
              </w:tc>
              <w:tc>
                <w:tcPr>
                  <w:tcW w:w="690" w:type="pct"/>
                  <w:noWrap w:val="0"/>
                  <w:vAlign w:val="center"/>
                </w:tcPr>
                <w:p>
                  <w:pPr>
                    <w:bidi w:val="0"/>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工业废气量</w:t>
                  </w:r>
                </w:p>
              </w:tc>
              <w:tc>
                <w:tcPr>
                  <w:tcW w:w="1342" w:type="pct"/>
                  <w:noWrap w:val="0"/>
                  <w:vAlign w:val="center"/>
                </w:tcPr>
                <w:p>
                  <w:pPr>
                    <w:bidi w:val="0"/>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标立方米/万m</w:t>
                  </w:r>
                  <w:r>
                    <w:rPr>
                      <w:rFonts w:hint="eastAsia" w:ascii="Times New Roman" w:hAnsi="Times New Roman" w:eastAsia="宋体" w:cs="Times New Roman"/>
                      <w:color w:val="auto"/>
                      <w:sz w:val="21"/>
                      <w:szCs w:val="21"/>
                      <w:highlight w:val="none"/>
                      <w:vertAlign w:val="superscript"/>
                      <w:lang w:val="en-US" w:eastAsia="zh-CN"/>
                    </w:rPr>
                    <w:t>3</w:t>
                  </w:r>
                  <w:r>
                    <w:rPr>
                      <w:rFonts w:hint="eastAsia" w:ascii="Times New Roman" w:hAnsi="Times New Roman" w:eastAsia="宋体" w:cs="Times New Roman"/>
                      <w:color w:val="auto"/>
                      <w:sz w:val="21"/>
                      <w:szCs w:val="21"/>
                      <w:highlight w:val="none"/>
                      <w:lang w:val="en-US" w:eastAsia="zh-CN"/>
                    </w:rPr>
                    <w:t>天然气</w:t>
                  </w:r>
                </w:p>
              </w:tc>
              <w:tc>
                <w:tcPr>
                  <w:tcW w:w="1722" w:type="pct"/>
                  <w:noWrap w:val="0"/>
                  <w:vAlign w:val="center"/>
                </w:tcPr>
                <w:p>
                  <w:pPr>
                    <w:bidi w:val="0"/>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107753</w:t>
                  </w:r>
                </w:p>
              </w:tc>
              <w:tc>
                <w:tcPr>
                  <w:tcW w:w="690" w:type="pct"/>
                  <w:noWrap w:val="0"/>
                  <w:vAlign w:val="center"/>
                </w:tcPr>
                <w:p>
                  <w:pPr>
                    <w:bidi w:val="0"/>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107753</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54" w:type="pct"/>
                  <w:vMerge w:val="continue"/>
                  <w:noWrap w:val="0"/>
                  <w:vAlign w:val="center"/>
                </w:tcPr>
                <w:p>
                  <w:pPr>
                    <w:bidi w:val="0"/>
                    <w:jc w:val="center"/>
                    <w:rPr>
                      <w:rFonts w:hint="eastAsia" w:ascii="Times New Roman" w:hAnsi="Times New Roman" w:eastAsia="宋体" w:cs="Times New Roman"/>
                      <w:color w:val="auto"/>
                      <w:sz w:val="21"/>
                      <w:szCs w:val="21"/>
                      <w:highlight w:val="none"/>
                      <w:lang w:val="en-US" w:eastAsia="zh-CN"/>
                    </w:rPr>
                  </w:pPr>
                </w:p>
              </w:tc>
              <w:tc>
                <w:tcPr>
                  <w:tcW w:w="690" w:type="pct"/>
                  <w:noWrap w:val="0"/>
                  <w:vAlign w:val="center"/>
                </w:tcPr>
                <w:p>
                  <w:pPr>
                    <w:bidi w:val="0"/>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二氧化硫</w:t>
                  </w:r>
                </w:p>
              </w:tc>
              <w:tc>
                <w:tcPr>
                  <w:tcW w:w="1342" w:type="pct"/>
                  <w:noWrap w:val="0"/>
                  <w:vAlign w:val="center"/>
                </w:tcPr>
                <w:p>
                  <w:pPr>
                    <w:bidi w:val="0"/>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kg/万m</w:t>
                  </w:r>
                  <w:r>
                    <w:rPr>
                      <w:rFonts w:hint="eastAsia" w:ascii="Times New Roman" w:hAnsi="Times New Roman" w:eastAsia="宋体" w:cs="Times New Roman"/>
                      <w:color w:val="auto"/>
                      <w:sz w:val="21"/>
                      <w:szCs w:val="21"/>
                      <w:highlight w:val="none"/>
                      <w:vertAlign w:val="superscript"/>
                      <w:lang w:val="en-US" w:eastAsia="zh-CN"/>
                    </w:rPr>
                    <w:t>3</w:t>
                  </w:r>
                  <w:r>
                    <w:rPr>
                      <w:rFonts w:hint="eastAsia" w:ascii="Times New Roman" w:hAnsi="Times New Roman" w:eastAsia="宋体" w:cs="Times New Roman"/>
                      <w:color w:val="auto"/>
                      <w:sz w:val="21"/>
                      <w:szCs w:val="21"/>
                      <w:highlight w:val="none"/>
                      <w:lang w:val="en-US" w:eastAsia="zh-CN"/>
                    </w:rPr>
                    <w:t>天然气</w:t>
                  </w:r>
                </w:p>
              </w:tc>
              <w:tc>
                <w:tcPr>
                  <w:tcW w:w="1722" w:type="pct"/>
                  <w:noWrap w:val="0"/>
                  <w:vAlign w:val="center"/>
                </w:tcPr>
                <w:p>
                  <w:pPr>
                    <w:bidi w:val="0"/>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0.02S</w:t>
                  </w:r>
                </w:p>
              </w:tc>
              <w:tc>
                <w:tcPr>
                  <w:tcW w:w="690" w:type="pct"/>
                  <w:noWrap w:val="0"/>
                  <w:vAlign w:val="center"/>
                </w:tcPr>
                <w:p>
                  <w:pPr>
                    <w:bidi w:val="0"/>
                    <w:jc w:val="center"/>
                    <w:rPr>
                      <w:rFonts w:hint="default" w:ascii="Times New Roman" w:hAnsi="Times New Roman"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0.02</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CellMar>
                  <w:top w:w="0" w:type="dxa"/>
                  <w:left w:w="0" w:type="dxa"/>
                  <w:bottom w:w="0" w:type="dxa"/>
                  <w:right w:w="0" w:type="dxa"/>
                </w:tblCellMar>
              </w:tblPrEx>
              <w:trPr>
                <w:trHeight w:val="340" w:hRule="atLeast"/>
                <w:jc w:val="center"/>
              </w:trPr>
              <w:tc>
                <w:tcPr>
                  <w:tcW w:w="554" w:type="pct"/>
                  <w:vMerge w:val="continue"/>
                  <w:noWrap w:val="0"/>
                  <w:vAlign w:val="center"/>
                </w:tcPr>
                <w:p>
                  <w:pPr>
                    <w:bidi w:val="0"/>
                    <w:jc w:val="center"/>
                    <w:rPr>
                      <w:rFonts w:hint="eastAsia" w:ascii="Times New Roman" w:hAnsi="Times New Roman" w:eastAsia="宋体" w:cs="Times New Roman"/>
                      <w:color w:val="auto"/>
                      <w:sz w:val="21"/>
                      <w:szCs w:val="21"/>
                      <w:highlight w:val="none"/>
                      <w:lang w:val="en-US" w:eastAsia="zh-CN"/>
                    </w:rPr>
                  </w:pPr>
                </w:p>
              </w:tc>
              <w:tc>
                <w:tcPr>
                  <w:tcW w:w="690" w:type="pct"/>
                  <w:vMerge w:val="restart"/>
                  <w:noWrap w:val="0"/>
                  <w:vAlign w:val="center"/>
                </w:tcPr>
                <w:p>
                  <w:pPr>
                    <w:bidi w:val="0"/>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氮氧化物</w:t>
                  </w:r>
                </w:p>
              </w:tc>
              <w:tc>
                <w:tcPr>
                  <w:tcW w:w="1342" w:type="pct"/>
                  <w:noWrap w:val="0"/>
                  <w:vAlign w:val="center"/>
                </w:tcPr>
                <w:p>
                  <w:pPr>
                    <w:bidi w:val="0"/>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kg/万m</w:t>
                  </w:r>
                  <w:r>
                    <w:rPr>
                      <w:rFonts w:hint="eastAsia" w:ascii="Times New Roman" w:hAnsi="Times New Roman" w:eastAsia="宋体" w:cs="Times New Roman"/>
                      <w:color w:val="auto"/>
                      <w:sz w:val="21"/>
                      <w:szCs w:val="21"/>
                      <w:highlight w:val="none"/>
                      <w:vertAlign w:val="superscript"/>
                      <w:lang w:val="en-US" w:eastAsia="zh-CN"/>
                    </w:rPr>
                    <w:t>3</w:t>
                  </w:r>
                  <w:r>
                    <w:rPr>
                      <w:rFonts w:hint="eastAsia" w:ascii="Times New Roman" w:hAnsi="Times New Roman" w:eastAsia="宋体" w:cs="Times New Roman"/>
                      <w:color w:val="auto"/>
                      <w:sz w:val="21"/>
                      <w:szCs w:val="21"/>
                      <w:highlight w:val="none"/>
                      <w:lang w:val="en-US" w:eastAsia="zh-CN"/>
                    </w:rPr>
                    <w:t>天然气</w:t>
                  </w:r>
                </w:p>
              </w:tc>
              <w:tc>
                <w:tcPr>
                  <w:tcW w:w="1722" w:type="pct"/>
                  <w:noWrap w:val="0"/>
                  <w:vAlign w:val="center"/>
                </w:tcPr>
                <w:p>
                  <w:pPr>
                    <w:bidi w:val="0"/>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15.87（低氮燃烧-国内一般）</w:t>
                  </w:r>
                </w:p>
              </w:tc>
              <w:tc>
                <w:tcPr>
                  <w:tcW w:w="690" w:type="pct"/>
                  <w:vMerge w:val="restart"/>
                  <w:noWrap w:val="0"/>
                  <w:vAlign w:val="center"/>
                </w:tcPr>
                <w:p>
                  <w:pPr>
                    <w:bidi w:val="0"/>
                    <w:jc w:val="center"/>
                    <w:rPr>
                      <w:rFonts w:hint="default" w:ascii="Times New Roman" w:hAnsi="Times New Roman"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6.97</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40" w:hRule="atLeast"/>
                <w:jc w:val="center"/>
              </w:trPr>
              <w:tc>
                <w:tcPr>
                  <w:tcW w:w="554" w:type="pct"/>
                  <w:vMerge w:val="continue"/>
                  <w:noWrap w:val="0"/>
                  <w:vAlign w:val="center"/>
                </w:tcPr>
                <w:p>
                  <w:pPr>
                    <w:bidi w:val="0"/>
                    <w:jc w:val="center"/>
                    <w:rPr>
                      <w:rFonts w:hint="eastAsia" w:ascii="Times New Roman" w:hAnsi="Times New Roman" w:eastAsia="宋体" w:cs="Times New Roman"/>
                      <w:color w:val="auto"/>
                      <w:sz w:val="21"/>
                      <w:szCs w:val="21"/>
                      <w:highlight w:val="none"/>
                      <w:lang w:val="en-US" w:eastAsia="zh-CN"/>
                    </w:rPr>
                  </w:pPr>
                </w:p>
              </w:tc>
              <w:tc>
                <w:tcPr>
                  <w:tcW w:w="690" w:type="pct"/>
                  <w:vMerge w:val="continue"/>
                  <w:noWrap w:val="0"/>
                  <w:vAlign w:val="center"/>
                </w:tcPr>
                <w:p>
                  <w:pPr>
                    <w:bidi w:val="0"/>
                    <w:jc w:val="center"/>
                    <w:rPr>
                      <w:rFonts w:hint="eastAsia" w:ascii="Times New Roman" w:hAnsi="Times New Roman" w:eastAsia="宋体" w:cs="Times New Roman"/>
                      <w:color w:val="auto"/>
                      <w:sz w:val="21"/>
                      <w:szCs w:val="21"/>
                      <w:highlight w:val="none"/>
                      <w:lang w:val="en-US" w:eastAsia="zh-CN"/>
                    </w:rPr>
                  </w:pPr>
                </w:p>
              </w:tc>
              <w:tc>
                <w:tcPr>
                  <w:tcW w:w="1342" w:type="pct"/>
                  <w:noWrap w:val="0"/>
                  <w:vAlign w:val="center"/>
                </w:tcPr>
                <w:p>
                  <w:pPr>
                    <w:bidi w:val="0"/>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kg/万m</w:t>
                  </w:r>
                  <w:r>
                    <w:rPr>
                      <w:rFonts w:hint="eastAsia" w:ascii="Times New Roman" w:hAnsi="Times New Roman" w:eastAsia="宋体" w:cs="Times New Roman"/>
                      <w:color w:val="auto"/>
                      <w:sz w:val="21"/>
                      <w:szCs w:val="21"/>
                      <w:highlight w:val="none"/>
                      <w:vertAlign w:val="superscript"/>
                      <w:lang w:val="en-US" w:eastAsia="zh-CN"/>
                    </w:rPr>
                    <w:t>3</w:t>
                  </w:r>
                  <w:r>
                    <w:rPr>
                      <w:rFonts w:hint="eastAsia" w:ascii="Times New Roman" w:hAnsi="Times New Roman" w:eastAsia="宋体" w:cs="Times New Roman"/>
                      <w:color w:val="auto"/>
                      <w:sz w:val="21"/>
                      <w:szCs w:val="21"/>
                      <w:highlight w:val="none"/>
                      <w:lang w:val="en-US" w:eastAsia="zh-CN"/>
                    </w:rPr>
                    <w:t>天然气</w:t>
                  </w:r>
                </w:p>
              </w:tc>
              <w:tc>
                <w:tcPr>
                  <w:tcW w:w="1722" w:type="pct"/>
                  <w:noWrap w:val="0"/>
                  <w:vAlign w:val="center"/>
                </w:tcPr>
                <w:p>
                  <w:pPr>
                    <w:bidi w:val="0"/>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6.97（低氮燃烧-国内领先）</w:t>
                  </w:r>
                </w:p>
              </w:tc>
              <w:tc>
                <w:tcPr>
                  <w:tcW w:w="690" w:type="pct"/>
                  <w:vMerge w:val="continue"/>
                  <w:noWrap w:val="0"/>
                  <w:vAlign w:val="center"/>
                </w:tcPr>
                <w:p>
                  <w:pPr>
                    <w:bidi w:val="0"/>
                    <w:jc w:val="center"/>
                    <w:rPr>
                      <w:rFonts w:hint="eastAsia" w:ascii="Times New Roman" w:hAnsi="Times New Roman" w:eastAsia="宋体" w:cs="Times New Roman"/>
                      <w:color w:val="auto"/>
                      <w:sz w:val="21"/>
                      <w:szCs w:val="21"/>
                      <w:highlight w:val="none"/>
                      <w:lang w:val="en-US" w:eastAsia="zh-C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40" w:hRule="atLeast"/>
                <w:jc w:val="center"/>
              </w:trPr>
              <w:tc>
                <w:tcPr>
                  <w:tcW w:w="554" w:type="pct"/>
                  <w:vMerge w:val="continue"/>
                  <w:noWrap w:val="0"/>
                  <w:vAlign w:val="center"/>
                </w:tcPr>
                <w:p>
                  <w:pPr>
                    <w:bidi w:val="0"/>
                    <w:jc w:val="center"/>
                    <w:rPr>
                      <w:rFonts w:hint="eastAsia" w:ascii="Times New Roman" w:hAnsi="Times New Roman" w:eastAsia="宋体" w:cs="Times New Roman"/>
                      <w:color w:val="auto"/>
                      <w:sz w:val="21"/>
                      <w:szCs w:val="21"/>
                      <w:highlight w:val="none"/>
                      <w:lang w:val="en-US" w:eastAsia="zh-CN"/>
                    </w:rPr>
                  </w:pPr>
                </w:p>
              </w:tc>
              <w:tc>
                <w:tcPr>
                  <w:tcW w:w="690" w:type="pct"/>
                  <w:vMerge w:val="continue"/>
                  <w:noWrap w:val="0"/>
                  <w:vAlign w:val="center"/>
                </w:tcPr>
                <w:p>
                  <w:pPr>
                    <w:bidi w:val="0"/>
                    <w:jc w:val="center"/>
                    <w:rPr>
                      <w:rFonts w:hint="eastAsia" w:ascii="Times New Roman" w:hAnsi="Times New Roman" w:eastAsia="宋体" w:cs="Times New Roman"/>
                      <w:color w:val="auto"/>
                      <w:sz w:val="21"/>
                      <w:szCs w:val="21"/>
                      <w:highlight w:val="none"/>
                      <w:lang w:val="en-US" w:eastAsia="zh-CN"/>
                    </w:rPr>
                  </w:pPr>
                </w:p>
              </w:tc>
              <w:tc>
                <w:tcPr>
                  <w:tcW w:w="1342" w:type="pct"/>
                  <w:noWrap w:val="0"/>
                  <w:vAlign w:val="center"/>
                </w:tcPr>
                <w:p>
                  <w:pPr>
                    <w:bidi w:val="0"/>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kg/万m</w:t>
                  </w:r>
                  <w:r>
                    <w:rPr>
                      <w:rFonts w:hint="eastAsia" w:ascii="Times New Roman" w:hAnsi="Times New Roman" w:eastAsia="宋体" w:cs="Times New Roman"/>
                      <w:color w:val="auto"/>
                      <w:sz w:val="21"/>
                      <w:szCs w:val="21"/>
                      <w:highlight w:val="none"/>
                      <w:vertAlign w:val="superscript"/>
                      <w:lang w:val="en-US" w:eastAsia="zh-CN"/>
                    </w:rPr>
                    <w:t>3</w:t>
                  </w:r>
                  <w:r>
                    <w:rPr>
                      <w:rFonts w:hint="eastAsia" w:ascii="Times New Roman" w:hAnsi="Times New Roman" w:eastAsia="宋体" w:cs="Times New Roman"/>
                      <w:color w:val="auto"/>
                      <w:sz w:val="21"/>
                      <w:szCs w:val="21"/>
                      <w:highlight w:val="none"/>
                      <w:lang w:val="en-US" w:eastAsia="zh-CN"/>
                    </w:rPr>
                    <w:t>天然气</w:t>
                  </w:r>
                </w:p>
              </w:tc>
              <w:tc>
                <w:tcPr>
                  <w:tcW w:w="1722" w:type="pct"/>
                  <w:noWrap w:val="0"/>
                  <w:vAlign w:val="center"/>
                </w:tcPr>
                <w:p>
                  <w:pPr>
                    <w:bidi w:val="0"/>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3.03（低氮燃烧-国际领先）</w:t>
                  </w:r>
                </w:p>
              </w:tc>
              <w:tc>
                <w:tcPr>
                  <w:tcW w:w="690" w:type="pct"/>
                  <w:vMerge w:val="continue"/>
                  <w:noWrap w:val="0"/>
                  <w:vAlign w:val="center"/>
                </w:tcPr>
                <w:p>
                  <w:pPr>
                    <w:bidi w:val="0"/>
                    <w:jc w:val="center"/>
                    <w:rPr>
                      <w:rFonts w:hint="eastAsia" w:ascii="Times New Roman" w:hAnsi="Times New Roman" w:eastAsia="宋体" w:cs="Times New Roman"/>
                      <w:color w:val="auto"/>
                      <w:sz w:val="21"/>
                      <w:szCs w:val="21"/>
                      <w:highlight w:val="none"/>
                      <w:lang w:val="en-US" w:eastAsia="zh-CN"/>
                    </w:rPr>
                  </w:pP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40" w:hRule="atLeast"/>
                <w:jc w:val="center"/>
              </w:trPr>
              <w:tc>
                <w:tcPr>
                  <w:tcW w:w="554" w:type="pct"/>
                  <w:vMerge w:val="continue"/>
                  <w:noWrap w:val="0"/>
                  <w:vAlign w:val="center"/>
                </w:tcPr>
                <w:p>
                  <w:pPr>
                    <w:bidi w:val="0"/>
                    <w:jc w:val="center"/>
                    <w:rPr>
                      <w:rFonts w:hint="eastAsia" w:ascii="Times New Roman" w:hAnsi="Times New Roman" w:eastAsia="宋体" w:cs="Times New Roman"/>
                      <w:color w:val="auto"/>
                      <w:sz w:val="21"/>
                      <w:szCs w:val="21"/>
                      <w:highlight w:val="none"/>
                      <w:lang w:val="en-US" w:eastAsia="zh-CN"/>
                    </w:rPr>
                  </w:pPr>
                </w:p>
              </w:tc>
              <w:tc>
                <w:tcPr>
                  <w:tcW w:w="690" w:type="pct"/>
                  <w:noWrap w:val="0"/>
                  <w:vAlign w:val="center"/>
                </w:tcPr>
                <w:p>
                  <w:pPr>
                    <w:bidi w:val="0"/>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颗粒物</w:t>
                  </w:r>
                </w:p>
              </w:tc>
              <w:tc>
                <w:tcPr>
                  <w:tcW w:w="1342" w:type="pct"/>
                  <w:noWrap w:val="0"/>
                  <w:vAlign w:val="center"/>
                </w:tcPr>
                <w:p>
                  <w:pPr>
                    <w:bidi w:val="0"/>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kg/万m</w:t>
                  </w:r>
                  <w:r>
                    <w:rPr>
                      <w:rFonts w:hint="eastAsia" w:ascii="Times New Roman" w:hAnsi="Times New Roman" w:eastAsia="宋体" w:cs="Times New Roman"/>
                      <w:color w:val="auto"/>
                      <w:sz w:val="21"/>
                      <w:szCs w:val="21"/>
                      <w:highlight w:val="none"/>
                      <w:vertAlign w:val="superscript"/>
                      <w:lang w:val="en-US" w:eastAsia="zh-CN"/>
                    </w:rPr>
                    <w:t>3</w:t>
                  </w:r>
                  <w:r>
                    <w:rPr>
                      <w:rFonts w:hint="eastAsia" w:ascii="Times New Roman" w:hAnsi="Times New Roman" w:eastAsia="宋体" w:cs="Times New Roman"/>
                      <w:color w:val="auto"/>
                      <w:sz w:val="21"/>
                      <w:szCs w:val="21"/>
                      <w:highlight w:val="none"/>
                      <w:lang w:val="en-US" w:eastAsia="zh-CN"/>
                    </w:rPr>
                    <w:t>天然气</w:t>
                  </w:r>
                </w:p>
              </w:tc>
              <w:tc>
                <w:tcPr>
                  <w:tcW w:w="1722" w:type="pct"/>
                  <w:noWrap w:val="0"/>
                  <w:vAlign w:val="center"/>
                </w:tcPr>
                <w:p>
                  <w:pPr>
                    <w:bidi w:val="0"/>
                    <w:jc w:val="center"/>
                    <w:rPr>
                      <w:rFonts w:hint="eastAsia"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0.8~2.4</w:t>
                  </w:r>
                </w:p>
              </w:tc>
              <w:tc>
                <w:tcPr>
                  <w:tcW w:w="690" w:type="pct"/>
                  <w:noWrap w:val="0"/>
                  <w:vAlign w:val="center"/>
                </w:tcPr>
                <w:p>
                  <w:pPr>
                    <w:bidi w:val="0"/>
                    <w:jc w:val="center"/>
                    <w:rPr>
                      <w:rFonts w:hint="default" w:ascii="Times New Roman" w:hAnsi="Times New Roman" w:eastAsia="宋体" w:cs="Times New Roman"/>
                      <w:color w:val="auto"/>
                      <w:sz w:val="21"/>
                      <w:szCs w:val="21"/>
                      <w:highlight w:val="none"/>
                      <w:lang w:val="en-US" w:eastAsia="zh-CN"/>
                    </w:rPr>
                  </w:pPr>
                  <w:r>
                    <w:rPr>
                      <w:rFonts w:hint="eastAsia" w:eastAsia="宋体" w:cs="Times New Roman"/>
                      <w:color w:val="auto"/>
                      <w:sz w:val="21"/>
                      <w:szCs w:val="21"/>
                      <w:highlight w:val="none"/>
                      <w:lang w:val="en-US" w:eastAsia="zh-CN"/>
                    </w:rPr>
                    <w:t>1.6</w:t>
                  </w:r>
                </w:p>
              </w:tc>
            </w:tr>
            <w:tr>
              <w:tblPrEx>
                <w:tblBorders>
                  <w:top w:val="single" w:color="auto" w:sz="6" w:space="0"/>
                  <w:left w:val="single" w:color="auto" w:sz="6" w:space="0"/>
                  <w:bottom w:val="single" w:color="auto" w:sz="6" w:space="0"/>
                  <w:right w:val="single" w:color="auto" w:sz="6" w:space="0"/>
                  <w:insideH w:val="single" w:color="auto" w:sz="6" w:space="0"/>
                  <w:insideV w:val="single" w:color="auto" w:sz="6" w:space="0"/>
                </w:tblBorders>
              </w:tblPrEx>
              <w:trPr>
                <w:trHeight w:val="340" w:hRule="atLeast"/>
                <w:jc w:val="center"/>
              </w:trPr>
              <w:tc>
                <w:tcPr>
                  <w:tcW w:w="5000" w:type="pct"/>
                  <w:gridSpan w:val="5"/>
                  <w:noWrap w:val="0"/>
                  <w:vAlign w:val="center"/>
                </w:tcPr>
                <w:p>
                  <w:pPr>
                    <w:pStyle w:val="73"/>
                    <w:bidi w:val="0"/>
                    <w:spacing w:line="240" w:lineRule="auto"/>
                    <w:ind w:left="0" w:leftChars="0" w:firstLine="0" w:firstLineChars="0"/>
                    <w:jc w:val="both"/>
                    <w:rPr>
                      <w:rFonts w:hint="eastAsia" w:ascii="Times New Roman" w:hAnsi="Times New Roman" w:eastAsia="宋体" w:cs="Times New Roman"/>
                      <w:color w:val="auto"/>
                      <w:sz w:val="21"/>
                      <w:szCs w:val="21"/>
                      <w:highlight w:val="none"/>
                      <w:lang w:val="en-US" w:eastAsia="zh-CN"/>
                    </w:rPr>
                  </w:pPr>
                  <w:r>
                    <w:rPr>
                      <w:rFonts w:hint="eastAsia"/>
                      <w:b w:val="0"/>
                      <w:bCs w:val="0"/>
                      <w:color w:val="auto"/>
                      <w:highlight w:val="none"/>
                      <w:lang w:val="en-US" w:eastAsia="zh-CN"/>
                    </w:rPr>
                    <w:t>注：含硫量（S）是指燃气收到基硫分含量，单位为毫克/立方米；本次评价附件给出的燃气分析报告中总硫数据1.0mg/m</w:t>
                  </w:r>
                  <w:r>
                    <w:rPr>
                      <w:rFonts w:hint="eastAsia"/>
                      <w:b w:val="0"/>
                      <w:bCs w:val="0"/>
                      <w:color w:val="auto"/>
                      <w:highlight w:val="none"/>
                      <w:vertAlign w:val="superscript"/>
                      <w:lang w:val="en-US" w:eastAsia="zh-CN"/>
                    </w:rPr>
                    <w:t>3</w:t>
                  </w:r>
                  <w:r>
                    <w:rPr>
                      <w:rFonts w:hint="eastAsia"/>
                      <w:b w:val="0"/>
                      <w:bCs w:val="0"/>
                      <w:color w:val="auto"/>
                      <w:highlight w:val="none"/>
                      <w:lang w:val="en-US" w:eastAsia="zh-CN"/>
                    </w:rPr>
                    <w:t>，则S=1.0；出于保守考虑，本项目氮氧化物产生量按6.97kg/万m</w:t>
                  </w:r>
                  <w:r>
                    <w:rPr>
                      <w:rFonts w:hint="eastAsia"/>
                      <w:b w:val="0"/>
                      <w:bCs w:val="0"/>
                      <w:color w:val="auto"/>
                      <w:highlight w:val="none"/>
                      <w:vertAlign w:val="superscript"/>
                      <w:lang w:val="en-US" w:eastAsia="zh-CN"/>
                    </w:rPr>
                    <w:t>3</w:t>
                  </w:r>
                  <w:r>
                    <w:rPr>
                      <w:rFonts w:hint="eastAsia"/>
                      <w:b w:val="0"/>
                      <w:bCs w:val="0"/>
                      <w:color w:val="auto"/>
                      <w:highlight w:val="none"/>
                      <w:lang w:val="en-US" w:eastAsia="zh-CN"/>
                    </w:rPr>
                    <w:t>天然气，即处于国内领先水平。</w:t>
                  </w:r>
                </w:p>
              </w:tc>
            </w:tr>
          </w:tbl>
          <w:p>
            <w:pPr>
              <w:pStyle w:val="73"/>
              <w:bidi w:val="0"/>
              <w:jc w:val="both"/>
              <w:rPr>
                <w:rFonts w:hint="default" w:ascii="Times New Roman" w:hAnsi="Times New Roman" w:cs="Times New Roman"/>
                <w:b w:val="0"/>
                <w:bCs/>
                <w:color w:val="auto"/>
                <w:sz w:val="21"/>
                <w:szCs w:val="21"/>
                <w:highlight w:val="none"/>
              </w:rPr>
            </w:pPr>
            <w:r>
              <w:rPr>
                <w:rFonts w:hint="eastAsia"/>
                <w:b w:val="0"/>
                <w:bCs w:val="0"/>
                <w:color w:val="auto"/>
                <w:highlight w:val="none"/>
                <w:lang w:val="en-US" w:eastAsia="zh-CN"/>
              </w:rPr>
              <w:t>项目锅炉天然气用量为150</w:t>
            </w:r>
            <w:r>
              <w:rPr>
                <w:rFonts w:hint="eastAsia" w:ascii="Times New Roman" w:hAnsi="Times New Roman" w:cs="Times New Roman"/>
                <w:color w:val="auto"/>
                <w:spacing w:val="-4"/>
                <w:sz w:val="21"/>
                <w:szCs w:val="21"/>
                <w:highlight w:val="none"/>
                <w:lang w:val="en-US" w:eastAsia="zh-CN"/>
              </w:rPr>
              <w:t>万</w:t>
            </w:r>
            <w:r>
              <w:rPr>
                <w:rFonts w:hint="default" w:ascii="Times New Roman" w:hAnsi="Times New Roman" w:cs="Times New Roman"/>
                <w:color w:val="auto"/>
                <w:sz w:val="21"/>
                <w:szCs w:val="21"/>
                <w:highlight w:val="none"/>
              </w:rPr>
              <w:t>Nm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rPr>
              <w:t>/a</w:t>
            </w:r>
            <w:r>
              <w:rPr>
                <w:rFonts w:hint="default" w:ascii="Times New Roman" w:hAnsi="Times New Roman" w:cs="Times New Roman"/>
                <w:color w:val="auto"/>
                <w:sz w:val="21"/>
                <w:szCs w:val="21"/>
                <w:highlight w:val="none"/>
                <w:lang w:eastAsia="zh-CN"/>
              </w:rPr>
              <w:t>，</w:t>
            </w:r>
            <w:r>
              <w:rPr>
                <w:rFonts w:hint="eastAsia" w:cs="Times New Roman"/>
                <w:color w:val="auto"/>
                <w:sz w:val="21"/>
                <w:szCs w:val="21"/>
                <w:highlight w:val="none"/>
                <w:lang w:val="en-US" w:eastAsia="zh-CN"/>
              </w:rPr>
              <w:t>则</w:t>
            </w:r>
            <w:r>
              <w:rPr>
                <w:rFonts w:hint="eastAsia"/>
                <w:b w:val="0"/>
                <w:bCs w:val="0"/>
                <w:color w:val="auto"/>
                <w:highlight w:val="none"/>
                <w:lang w:val="en-US" w:eastAsia="zh-CN"/>
              </w:rPr>
              <w:t>根据表4-1中产污系数计算得天然气锅炉燃烧废气量为1616.3</w:t>
            </w:r>
            <w:r>
              <w:rPr>
                <w:rFonts w:hint="eastAsia" w:ascii="Times New Roman" w:hAnsi="Times New Roman" w:eastAsia="宋体" w:cs="Times New Roman"/>
                <w:color w:val="auto"/>
                <w:sz w:val="21"/>
                <w:szCs w:val="21"/>
                <w:highlight w:val="none"/>
                <w:lang w:val="en-US" w:eastAsia="zh-CN"/>
              </w:rPr>
              <w:t>万m</w:t>
            </w:r>
            <w:r>
              <w:rPr>
                <w:rFonts w:hint="eastAsia" w:ascii="Times New Roman" w:hAnsi="Times New Roman" w:eastAsia="宋体" w:cs="Times New Roman"/>
                <w:color w:val="auto"/>
                <w:sz w:val="21"/>
                <w:szCs w:val="21"/>
                <w:highlight w:val="none"/>
                <w:vertAlign w:val="superscript"/>
                <w:lang w:val="en-US" w:eastAsia="zh-CN"/>
              </w:rPr>
              <w:t>3</w:t>
            </w:r>
            <w:r>
              <w:rPr>
                <w:rFonts w:hint="eastAsia" w:ascii="Times New Roman" w:hAnsi="Times New Roman" w:eastAsia="宋体" w:cs="Times New Roman"/>
                <w:color w:val="auto"/>
                <w:sz w:val="21"/>
                <w:szCs w:val="21"/>
                <w:highlight w:val="none"/>
                <w:lang w:val="en-US" w:eastAsia="zh-CN"/>
              </w:rPr>
              <w:t>/a（</w:t>
            </w:r>
            <w:r>
              <w:rPr>
                <w:rFonts w:hint="eastAsia" w:cs="Times New Roman"/>
                <w:color w:val="auto"/>
                <w:sz w:val="21"/>
                <w:szCs w:val="21"/>
                <w:highlight w:val="none"/>
                <w:lang w:val="en-US" w:eastAsia="zh-CN"/>
              </w:rPr>
              <w:t>3700</w:t>
            </w:r>
            <w:r>
              <w:rPr>
                <w:rFonts w:hint="eastAsia" w:ascii="Times New Roman" w:hAnsi="Times New Roman" w:eastAsia="宋体" w:cs="Times New Roman"/>
                <w:color w:val="auto"/>
                <w:sz w:val="21"/>
                <w:szCs w:val="21"/>
                <w:highlight w:val="none"/>
                <w:lang w:val="en-US" w:eastAsia="zh-CN"/>
              </w:rPr>
              <w:t>m</w:t>
            </w:r>
            <w:r>
              <w:rPr>
                <w:rFonts w:hint="eastAsia" w:ascii="Times New Roman" w:hAnsi="Times New Roman" w:eastAsia="宋体" w:cs="Times New Roman"/>
                <w:color w:val="auto"/>
                <w:sz w:val="21"/>
                <w:szCs w:val="21"/>
                <w:highlight w:val="none"/>
                <w:vertAlign w:val="superscript"/>
                <w:lang w:val="en-US" w:eastAsia="zh-CN"/>
              </w:rPr>
              <w:t>3</w:t>
            </w:r>
            <w:r>
              <w:rPr>
                <w:rFonts w:hint="eastAsia" w:ascii="Times New Roman" w:hAnsi="Times New Roman" w:eastAsia="宋体" w:cs="Times New Roman"/>
                <w:color w:val="auto"/>
                <w:sz w:val="21"/>
                <w:szCs w:val="21"/>
                <w:highlight w:val="none"/>
                <w:lang w:val="en-US" w:eastAsia="zh-CN"/>
              </w:rPr>
              <w:t>/h），SO</w:t>
            </w:r>
            <w:r>
              <w:rPr>
                <w:rFonts w:hint="eastAsia" w:ascii="Times New Roman" w:hAnsi="Times New Roman" w:eastAsia="宋体" w:cs="Times New Roman"/>
                <w:color w:val="auto"/>
                <w:sz w:val="21"/>
                <w:szCs w:val="21"/>
                <w:highlight w:val="none"/>
                <w:vertAlign w:val="subscript"/>
                <w:lang w:val="en-US" w:eastAsia="zh-CN"/>
              </w:rPr>
              <w:t>2</w:t>
            </w:r>
            <w:r>
              <w:rPr>
                <w:rFonts w:hint="eastAsia" w:ascii="Times New Roman" w:hAnsi="Times New Roman" w:eastAsia="宋体" w:cs="Times New Roman"/>
                <w:color w:val="auto"/>
                <w:sz w:val="21"/>
                <w:szCs w:val="21"/>
                <w:highlight w:val="none"/>
                <w:lang w:val="en-US" w:eastAsia="zh-CN"/>
              </w:rPr>
              <w:t>、NO</w:t>
            </w:r>
            <w:r>
              <w:rPr>
                <w:rFonts w:hint="eastAsia" w:ascii="Times New Roman" w:hAnsi="Times New Roman" w:eastAsia="宋体" w:cs="Times New Roman"/>
                <w:color w:val="auto"/>
                <w:sz w:val="21"/>
                <w:szCs w:val="21"/>
                <w:highlight w:val="none"/>
                <w:vertAlign w:val="baseline"/>
                <w:lang w:val="en-US" w:eastAsia="zh-CN"/>
              </w:rPr>
              <w:t>x</w:t>
            </w:r>
            <w:r>
              <w:rPr>
                <w:rFonts w:hint="eastAsia" w:ascii="Times New Roman" w:hAnsi="Times New Roman" w:eastAsia="宋体" w:cs="Times New Roman"/>
                <w:color w:val="auto"/>
                <w:sz w:val="21"/>
                <w:szCs w:val="21"/>
                <w:highlight w:val="none"/>
                <w:lang w:val="en-US" w:eastAsia="zh-CN"/>
              </w:rPr>
              <w:t>和颗粒物排放量分别为</w:t>
            </w:r>
            <w:r>
              <w:rPr>
                <w:rFonts w:hint="eastAsia" w:eastAsia="宋体" w:cs="Times New Roman"/>
                <w:color w:val="auto"/>
                <w:sz w:val="21"/>
                <w:szCs w:val="21"/>
                <w:highlight w:val="none"/>
                <w:lang w:val="en-US" w:eastAsia="zh-CN"/>
              </w:rPr>
              <w:t>0.00</w:t>
            </w:r>
            <w:r>
              <w:rPr>
                <w:rFonts w:hint="eastAsia" w:cs="Times New Roman"/>
                <w:color w:val="auto"/>
                <w:sz w:val="21"/>
                <w:szCs w:val="21"/>
                <w:highlight w:val="none"/>
                <w:lang w:val="en-US" w:eastAsia="zh-CN"/>
              </w:rPr>
              <w:t>3</w:t>
            </w:r>
            <w:r>
              <w:rPr>
                <w:rFonts w:hint="eastAsia" w:ascii="Times New Roman" w:hAnsi="Times New Roman" w:eastAsia="宋体" w:cs="Times New Roman"/>
                <w:color w:val="auto"/>
                <w:sz w:val="21"/>
                <w:szCs w:val="21"/>
                <w:highlight w:val="none"/>
                <w:lang w:val="en-US" w:eastAsia="zh-CN"/>
              </w:rPr>
              <w:t>t/a、</w:t>
            </w:r>
            <w:r>
              <w:rPr>
                <w:rFonts w:hint="eastAsia" w:cs="Times New Roman"/>
                <w:color w:val="auto"/>
                <w:sz w:val="21"/>
                <w:szCs w:val="21"/>
                <w:highlight w:val="none"/>
                <w:lang w:val="en-US" w:eastAsia="zh-CN"/>
              </w:rPr>
              <w:t>1.0456</w:t>
            </w:r>
            <w:r>
              <w:rPr>
                <w:rFonts w:hint="eastAsia" w:ascii="Times New Roman" w:hAnsi="Times New Roman" w:eastAsia="宋体" w:cs="Times New Roman"/>
                <w:color w:val="auto"/>
                <w:sz w:val="21"/>
                <w:szCs w:val="21"/>
                <w:highlight w:val="none"/>
                <w:lang w:val="en-US" w:eastAsia="zh-CN"/>
              </w:rPr>
              <w:t>t/a和</w:t>
            </w:r>
            <w:r>
              <w:rPr>
                <w:rFonts w:hint="eastAsia" w:eastAsia="宋体" w:cs="Times New Roman"/>
                <w:color w:val="auto"/>
                <w:sz w:val="21"/>
                <w:szCs w:val="21"/>
                <w:highlight w:val="none"/>
                <w:lang w:val="en-US" w:eastAsia="zh-CN"/>
              </w:rPr>
              <w:t>0.</w:t>
            </w:r>
            <w:r>
              <w:rPr>
                <w:rFonts w:hint="eastAsia" w:cs="Times New Roman"/>
                <w:color w:val="auto"/>
                <w:sz w:val="21"/>
                <w:szCs w:val="21"/>
                <w:highlight w:val="none"/>
                <w:lang w:val="en-US" w:eastAsia="zh-CN"/>
              </w:rPr>
              <w:t>24</w:t>
            </w:r>
            <w:r>
              <w:rPr>
                <w:rFonts w:hint="eastAsia" w:ascii="Times New Roman" w:hAnsi="Times New Roman" w:eastAsia="宋体" w:cs="Times New Roman"/>
                <w:color w:val="auto"/>
                <w:sz w:val="21"/>
                <w:szCs w:val="21"/>
                <w:highlight w:val="none"/>
                <w:lang w:val="en-US" w:eastAsia="zh-CN"/>
              </w:rPr>
              <w:t>t/a，排放浓度分别为</w:t>
            </w:r>
            <w:r>
              <w:rPr>
                <w:rFonts w:hint="eastAsia" w:eastAsia="宋体" w:cs="Times New Roman"/>
                <w:color w:val="auto"/>
                <w:sz w:val="21"/>
                <w:szCs w:val="21"/>
                <w:highlight w:val="none"/>
                <w:lang w:val="en-US" w:eastAsia="zh-CN"/>
              </w:rPr>
              <w:t>0.2</w:t>
            </w:r>
            <w:r>
              <w:rPr>
                <w:rFonts w:hint="eastAsia" w:ascii="Times New Roman" w:hAnsi="Times New Roman" w:eastAsia="宋体" w:cs="Times New Roman"/>
                <w:color w:val="auto"/>
                <w:sz w:val="21"/>
                <w:szCs w:val="21"/>
                <w:highlight w:val="none"/>
                <w:lang w:val="en-US" w:eastAsia="zh-CN"/>
              </w:rPr>
              <w:t>mg/m</w:t>
            </w:r>
            <w:r>
              <w:rPr>
                <w:rFonts w:hint="eastAsia" w:ascii="Times New Roman" w:hAnsi="Times New Roman" w:eastAsia="宋体" w:cs="Times New Roman"/>
                <w:color w:val="auto"/>
                <w:sz w:val="21"/>
                <w:szCs w:val="21"/>
                <w:highlight w:val="none"/>
                <w:vertAlign w:val="superscript"/>
                <w:lang w:val="en-US" w:eastAsia="zh-CN"/>
              </w:rPr>
              <w:t>3</w:t>
            </w:r>
            <w:r>
              <w:rPr>
                <w:rFonts w:hint="eastAsia" w:ascii="Times New Roman" w:hAnsi="Times New Roman" w:eastAsia="宋体" w:cs="Times New Roman"/>
                <w:color w:val="auto"/>
                <w:sz w:val="21"/>
                <w:szCs w:val="21"/>
                <w:highlight w:val="none"/>
                <w:lang w:val="en-US" w:eastAsia="zh-CN"/>
              </w:rPr>
              <w:t>、</w:t>
            </w:r>
            <w:r>
              <w:rPr>
                <w:rFonts w:hint="eastAsia" w:eastAsia="宋体" w:cs="Times New Roman"/>
                <w:color w:val="auto"/>
                <w:sz w:val="21"/>
                <w:szCs w:val="21"/>
                <w:highlight w:val="none"/>
                <w:lang w:val="en-US" w:eastAsia="zh-CN"/>
              </w:rPr>
              <w:t>64.7</w:t>
            </w:r>
            <w:r>
              <w:rPr>
                <w:rFonts w:hint="eastAsia" w:ascii="Times New Roman" w:hAnsi="Times New Roman" w:eastAsia="宋体" w:cs="Times New Roman"/>
                <w:color w:val="auto"/>
                <w:sz w:val="21"/>
                <w:szCs w:val="21"/>
                <w:highlight w:val="none"/>
                <w:lang w:val="en-US" w:eastAsia="zh-CN"/>
              </w:rPr>
              <w:t>mg/m</w:t>
            </w:r>
            <w:r>
              <w:rPr>
                <w:rFonts w:hint="eastAsia" w:ascii="Times New Roman" w:hAnsi="Times New Roman" w:eastAsia="宋体" w:cs="Times New Roman"/>
                <w:color w:val="auto"/>
                <w:sz w:val="21"/>
                <w:szCs w:val="21"/>
                <w:highlight w:val="none"/>
                <w:vertAlign w:val="superscript"/>
                <w:lang w:val="en-US" w:eastAsia="zh-CN"/>
              </w:rPr>
              <w:t>3</w:t>
            </w:r>
            <w:r>
              <w:rPr>
                <w:rFonts w:hint="eastAsia" w:ascii="Times New Roman" w:hAnsi="Times New Roman" w:eastAsia="宋体" w:cs="Times New Roman"/>
                <w:color w:val="auto"/>
                <w:sz w:val="21"/>
                <w:szCs w:val="21"/>
                <w:highlight w:val="none"/>
                <w:lang w:val="en-US" w:eastAsia="zh-CN"/>
              </w:rPr>
              <w:t>、</w:t>
            </w:r>
            <w:r>
              <w:rPr>
                <w:rFonts w:hint="eastAsia" w:eastAsia="宋体" w:cs="Times New Roman"/>
                <w:color w:val="auto"/>
                <w:sz w:val="21"/>
                <w:szCs w:val="21"/>
                <w:highlight w:val="none"/>
                <w:lang w:val="en-US" w:eastAsia="zh-CN"/>
              </w:rPr>
              <w:t>14.8</w:t>
            </w:r>
            <w:r>
              <w:rPr>
                <w:rFonts w:hint="eastAsia" w:ascii="Times New Roman" w:hAnsi="Times New Roman" w:eastAsia="宋体" w:cs="Times New Roman"/>
                <w:color w:val="auto"/>
                <w:sz w:val="21"/>
                <w:szCs w:val="21"/>
                <w:highlight w:val="none"/>
                <w:lang w:val="en-US" w:eastAsia="zh-CN"/>
              </w:rPr>
              <w:t>mg/m</w:t>
            </w:r>
            <w:r>
              <w:rPr>
                <w:rFonts w:hint="eastAsia" w:ascii="Times New Roman" w:hAnsi="Times New Roman" w:eastAsia="宋体" w:cs="Times New Roman"/>
                <w:color w:val="auto"/>
                <w:sz w:val="21"/>
                <w:szCs w:val="21"/>
                <w:highlight w:val="none"/>
                <w:vertAlign w:val="superscript"/>
                <w:lang w:val="en-US" w:eastAsia="zh-CN"/>
              </w:rPr>
              <w:t>3</w:t>
            </w:r>
            <w:r>
              <w:rPr>
                <w:rFonts w:hint="eastAsia" w:eastAsia="宋体" w:cs="Times New Roman"/>
                <w:color w:val="auto"/>
                <w:sz w:val="21"/>
                <w:szCs w:val="21"/>
                <w:highlight w:val="none"/>
                <w:lang w:val="en-US" w:eastAsia="zh-CN"/>
              </w:rPr>
              <w:t>，</w:t>
            </w:r>
            <w:r>
              <w:rPr>
                <w:rFonts w:hint="default" w:ascii="Times New Roman" w:hAnsi="Times New Roman" w:cs="Times New Roman"/>
                <w:b w:val="0"/>
                <w:bCs/>
                <w:color w:val="auto"/>
                <w:sz w:val="21"/>
                <w:szCs w:val="21"/>
                <w:highlight w:val="none"/>
              </w:rPr>
              <w:t>满足《锅炉大气污染物排放标准》（GB13271-2014）中表3大气污染物特别排放浓度限值要求。</w:t>
            </w:r>
          </w:p>
          <w:p>
            <w:pPr>
              <w:pStyle w:val="73"/>
              <w:bidi w:val="0"/>
              <w:jc w:val="both"/>
              <w:rPr>
                <w:rFonts w:hint="default" w:ascii="Times New Roman" w:hAnsi="Times New Roman" w:eastAsia="宋体" w:cs="Times New Roman"/>
                <w:b w:val="0"/>
                <w:bCs/>
                <w:color w:val="auto"/>
                <w:sz w:val="21"/>
                <w:szCs w:val="21"/>
                <w:highlight w:val="none"/>
                <w:lang w:val="en-US" w:eastAsia="zh-CN"/>
              </w:rPr>
            </w:pPr>
            <w:r>
              <w:rPr>
                <w:rFonts w:hint="eastAsia" w:cs="Times New Roman"/>
                <w:b w:val="0"/>
                <w:bCs/>
                <w:color w:val="auto"/>
                <w:sz w:val="21"/>
                <w:szCs w:val="21"/>
                <w:highlight w:val="none"/>
                <w:lang w:val="en-US" w:eastAsia="zh-CN"/>
              </w:rPr>
              <w:t>综上可知，本项目天然气锅炉排放污染物总量为颗粒物0.24t/a、二氧化硫0.003t/a、氮氧化物1.0456t/a。</w:t>
            </w:r>
          </w:p>
          <w:p>
            <w:pPr>
              <w:keepNext w:val="0"/>
              <w:keepLines w:val="0"/>
              <w:pageBreakBefore w:val="0"/>
              <w:kinsoku/>
              <w:wordWrap/>
              <w:overflowPunct/>
              <w:topLinePunct w:val="0"/>
              <w:bidi w:val="0"/>
              <w:spacing w:line="360" w:lineRule="auto"/>
              <w:ind w:firstLine="420" w:firstLineChars="200"/>
              <w:textAlignment w:val="auto"/>
              <w:rPr>
                <w:rFonts w:hint="default" w:ascii="Times New Roman" w:hAnsi="Times New Roman" w:eastAsia="宋体" w:cs="Times New Roman"/>
                <w:bCs/>
                <w:color w:val="auto"/>
                <w:sz w:val="21"/>
                <w:szCs w:val="21"/>
                <w:highlight w:val="none"/>
                <w:lang w:val="en-US" w:eastAsia="zh-CN"/>
              </w:rPr>
            </w:pPr>
            <w:r>
              <w:rPr>
                <w:rFonts w:hint="eastAsia" w:cs="Times New Roman"/>
                <w:bCs/>
                <w:color w:val="auto"/>
                <w:sz w:val="21"/>
                <w:szCs w:val="21"/>
                <w:highlight w:val="none"/>
                <w:lang w:val="en-US" w:eastAsia="zh-CN"/>
              </w:rPr>
              <w:t>②瓶胚预热</w:t>
            </w:r>
            <w:r>
              <w:rPr>
                <w:rFonts w:hint="default" w:ascii="Times New Roman" w:hAnsi="Times New Roman" w:eastAsia="宋体" w:cs="Times New Roman"/>
                <w:bCs/>
                <w:color w:val="auto"/>
                <w:sz w:val="21"/>
                <w:szCs w:val="21"/>
                <w:highlight w:val="none"/>
                <w:lang w:val="en-US" w:eastAsia="zh-CN"/>
              </w:rPr>
              <w:t>废气</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bCs/>
                <w:color w:val="auto"/>
                <w:sz w:val="21"/>
                <w:szCs w:val="21"/>
                <w:highlight w:val="none"/>
                <w:lang w:val="en-US" w:eastAsia="zh-CN"/>
              </w:rPr>
              <w:t>根据《排放源统计调查产排污核算方法和系数手册》292 塑料制品行业系数手册中塑料包装箱及容器中挥</w:t>
            </w:r>
            <w:r>
              <w:rPr>
                <w:rFonts w:hint="default" w:ascii="Times New Roman" w:hAnsi="Times New Roman" w:eastAsia="宋体" w:cs="Times New Roman"/>
                <w:color w:val="auto"/>
                <w:sz w:val="21"/>
                <w:szCs w:val="21"/>
                <w:highlight w:val="none"/>
                <w:lang w:val="en-US" w:eastAsia="zh-CN"/>
              </w:rPr>
              <w:t>发性有机物（以非甲烷总烃计）产生系数为2.7kg/t产品。本项目瓶坯用量为</w:t>
            </w:r>
            <w:r>
              <w:rPr>
                <w:rFonts w:hint="eastAsia" w:cs="Times New Roman"/>
                <w:color w:val="auto"/>
                <w:sz w:val="21"/>
                <w:szCs w:val="21"/>
                <w:highlight w:val="none"/>
                <w:lang w:val="en-US" w:eastAsia="zh-CN"/>
              </w:rPr>
              <w:t>8860.5</w:t>
            </w:r>
            <w:r>
              <w:rPr>
                <w:rFonts w:hint="eastAsia" w:ascii="Times New Roman" w:hAnsi="Times New Roman" w:eastAsia="宋体" w:cs="Times New Roman"/>
                <w:color w:val="auto"/>
                <w:sz w:val="21"/>
                <w:szCs w:val="21"/>
                <w:highlight w:val="none"/>
                <w:lang w:val="en-US" w:eastAsia="zh-CN"/>
              </w:rPr>
              <w:t>万</w:t>
            </w:r>
            <w:r>
              <w:rPr>
                <w:rFonts w:hint="eastAsia" w:cs="Times New Roman"/>
                <w:color w:val="auto"/>
                <w:sz w:val="21"/>
                <w:szCs w:val="21"/>
                <w:highlight w:val="none"/>
                <w:lang w:val="en-US" w:eastAsia="zh-CN"/>
              </w:rPr>
              <w:t>只</w:t>
            </w:r>
            <w:r>
              <w:rPr>
                <w:rFonts w:hint="eastAsia" w:ascii="Times New Roman" w:hAnsi="Times New Roman" w:eastAsia="宋体" w:cs="Times New Roman"/>
                <w:color w:val="auto"/>
                <w:sz w:val="21"/>
                <w:szCs w:val="21"/>
                <w:highlight w:val="none"/>
                <w:lang w:val="en-US" w:eastAsia="zh-CN"/>
              </w:rPr>
              <w:t>/年，</w:t>
            </w:r>
            <w:r>
              <w:rPr>
                <w:rFonts w:hint="eastAsia" w:cs="Times New Roman"/>
                <w:color w:val="auto"/>
                <w:sz w:val="21"/>
                <w:szCs w:val="21"/>
                <w:highlight w:val="none"/>
                <w:lang w:val="en-US" w:eastAsia="zh-CN"/>
              </w:rPr>
              <w:t>单</w:t>
            </w:r>
            <w:r>
              <w:rPr>
                <w:rFonts w:hint="eastAsia" w:ascii="Times New Roman" w:hAnsi="Times New Roman" w:eastAsia="宋体" w:cs="Times New Roman"/>
                <w:color w:val="auto"/>
                <w:sz w:val="21"/>
                <w:szCs w:val="21"/>
                <w:highlight w:val="none"/>
                <w:lang w:val="en-US" w:eastAsia="zh-CN"/>
              </w:rPr>
              <w:t>个</w:t>
            </w:r>
            <w:r>
              <w:rPr>
                <w:rFonts w:hint="eastAsia" w:cs="Times New Roman"/>
                <w:color w:val="auto"/>
                <w:sz w:val="21"/>
                <w:szCs w:val="21"/>
                <w:highlight w:val="none"/>
                <w:lang w:val="en-US" w:eastAsia="zh-CN"/>
              </w:rPr>
              <w:t>瓶胚平均重</w:t>
            </w:r>
            <w:r>
              <w:rPr>
                <w:rFonts w:hint="eastAsia" w:ascii="Times New Roman" w:hAnsi="Times New Roman" w:eastAsia="宋体" w:cs="Times New Roman"/>
                <w:color w:val="auto"/>
                <w:sz w:val="21"/>
                <w:szCs w:val="21"/>
                <w:highlight w:val="none"/>
                <w:lang w:val="en-US" w:eastAsia="zh-CN"/>
              </w:rPr>
              <w:t>约</w:t>
            </w:r>
            <w:r>
              <w:rPr>
                <w:rFonts w:hint="eastAsia" w:cs="Times New Roman"/>
                <w:color w:val="auto"/>
                <w:sz w:val="21"/>
                <w:szCs w:val="21"/>
                <w:highlight w:val="none"/>
                <w:lang w:val="en-US" w:eastAsia="zh-CN"/>
              </w:rPr>
              <w:t>18</w:t>
            </w:r>
            <w:r>
              <w:rPr>
                <w:rFonts w:hint="eastAsia" w:ascii="Times New Roman" w:hAnsi="Times New Roman" w:eastAsia="宋体" w:cs="Times New Roman"/>
                <w:color w:val="auto"/>
                <w:sz w:val="21"/>
                <w:szCs w:val="21"/>
                <w:highlight w:val="none"/>
                <w:lang w:val="en-US" w:eastAsia="zh-CN"/>
              </w:rPr>
              <w:t>g，</w:t>
            </w:r>
            <w:r>
              <w:rPr>
                <w:rFonts w:hint="default" w:ascii="Times New Roman" w:hAnsi="Times New Roman" w:eastAsia="宋体" w:cs="Times New Roman"/>
                <w:color w:val="auto"/>
                <w:sz w:val="21"/>
                <w:szCs w:val="21"/>
                <w:highlight w:val="none"/>
                <w:lang w:val="en-US" w:eastAsia="zh-CN"/>
              </w:rPr>
              <w:t>则非甲烷总烃的产生量为</w:t>
            </w:r>
            <w:r>
              <w:rPr>
                <w:rFonts w:hint="eastAsia" w:cs="Times New Roman"/>
                <w:color w:val="auto"/>
                <w:sz w:val="21"/>
                <w:szCs w:val="21"/>
                <w:highlight w:val="none"/>
                <w:lang w:val="en-US" w:eastAsia="zh-CN"/>
              </w:rPr>
              <w:t>4.3062</w:t>
            </w:r>
            <w:r>
              <w:rPr>
                <w:rFonts w:hint="default" w:ascii="Times New Roman" w:hAnsi="Times New Roman" w:eastAsia="宋体" w:cs="Times New Roman"/>
                <w:color w:val="auto"/>
                <w:sz w:val="21"/>
                <w:szCs w:val="21"/>
                <w:highlight w:val="none"/>
                <w:lang w:val="en-US" w:eastAsia="zh-CN"/>
              </w:rPr>
              <w:t>t/a。项目在吹瓶</w:t>
            </w:r>
            <w:r>
              <w:rPr>
                <w:rFonts w:hint="eastAsia" w:ascii="Times New Roman" w:hAnsi="Times New Roman" w:eastAsia="宋体" w:cs="Times New Roman"/>
                <w:color w:val="auto"/>
                <w:sz w:val="21"/>
                <w:szCs w:val="21"/>
                <w:highlight w:val="none"/>
                <w:lang w:val="en-US" w:eastAsia="zh-CN"/>
              </w:rPr>
              <w:t>设备</w:t>
            </w:r>
            <w:r>
              <w:rPr>
                <w:rFonts w:hint="default" w:ascii="Times New Roman" w:hAnsi="Times New Roman" w:eastAsia="宋体" w:cs="Times New Roman"/>
                <w:color w:val="auto"/>
                <w:sz w:val="21"/>
                <w:szCs w:val="21"/>
                <w:highlight w:val="none"/>
                <w:lang w:val="en-US" w:eastAsia="zh-CN"/>
              </w:rPr>
              <w:t>上方设置集气罩集气效率为</w:t>
            </w:r>
            <w:r>
              <w:rPr>
                <w:rFonts w:hint="eastAsia" w:cs="Times New Roman"/>
                <w:color w:val="auto"/>
                <w:sz w:val="21"/>
                <w:szCs w:val="21"/>
                <w:highlight w:val="none"/>
                <w:lang w:val="en-US" w:eastAsia="zh-CN"/>
              </w:rPr>
              <w:t>8</w:t>
            </w:r>
            <w:r>
              <w:rPr>
                <w:rFonts w:hint="default" w:ascii="Times New Roman" w:hAnsi="Times New Roman" w:eastAsia="宋体" w:cs="Times New Roman"/>
                <w:color w:val="auto"/>
                <w:sz w:val="21"/>
                <w:szCs w:val="21"/>
                <w:highlight w:val="none"/>
                <w:lang w:val="en-US" w:eastAsia="zh-CN"/>
              </w:rPr>
              <w:t>0%</w:t>
            </w:r>
            <w:r>
              <w:rPr>
                <w:rFonts w:hint="eastAsia" w:cs="Times New Roman"/>
                <w:color w:val="auto"/>
                <w:sz w:val="21"/>
                <w:szCs w:val="21"/>
                <w:highlight w:val="none"/>
                <w:lang w:val="en-US" w:eastAsia="zh-CN"/>
              </w:rPr>
              <w:t>（参照《VOCs废气收集率和治理设施去除率通用系数》）</w:t>
            </w:r>
            <w:r>
              <w:rPr>
                <w:rFonts w:hint="default" w:ascii="Times New Roman" w:hAnsi="Times New Roman" w:eastAsia="宋体" w:cs="Times New Roman"/>
                <w:color w:val="auto"/>
                <w:sz w:val="21"/>
                <w:szCs w:val="21"/>
                <w:highlight w:val="none"/>
                <w:lang w:val="en-US" w:eastAsia="zh-CN"/>
              </w:rPr>
              <w:t>，风机风量为</w:t>
            </w:r>
            <w:r>
              <w:rPr>
                <w:rFonts w:hint="eastAsia" w:cs="Times New Roman"/>
                <w:color w:val="auto"/>
                <w:sz w:val="21"/>
                <w:szCs w:val="21"/>
                <w:highlight w:val="none"/>
                <w:lang w:val="en-US" w:eastAsia="zh-CN"/>
              </w:rPr>
              <w:t>1</w:t>
            </w:r>
            <w:r>
              <w:rPr>
                <w:rFonts w:hint="eastAsia" w:ascii="Times New Roman" w:hAnsi="Times New Roman" w:cs="Times New Roman"/>
                <w:color w:val="auto"/>
                <w:sz w:val="21"/>
                <w:szCs w:val="21"/>
                <w:highlight w:val="none"/>
                <w:lang w:val="en-US" w:eastAsia="zh-CN"/>
              </w:rPr>
              <w:t>5</w:t>
            </w:r>
            <w:r>
              <w:rPr>
                <w:rFonts w:hint="default" w:ascii="Times New Roman" w:hAnsi="Times New Roman" w:eastAsia="宋体" w:cs="Times New Roman"/>
                <w:color w:val="auto"/>
                <w:sz w:val="21"/>
                <w:szCs w:val="21"/>
                <w:highlight w:val="none"/>
                <w:lang w:val="en-US" w:eastAsia="zh-CN"/>
              </w:rPr>
              <w:t>000m</w:t>
            </w:r>
            <w:r>
              <w:rPr>
                <w:rFonts w:hint="default" w:ascii="Times New Roman" w:hAnsi="Times New Roman" w:eastAsia="宋体" w:cs="Times New Roman"/>
                <w:color w:val="auto"/>
                <w:sz w:val="21"/>
                <w:szCs w:val="21"/>
                <w:highlight w:val="none"/>
                <w:vertAlign w:val="superscript"/>
                <w:lang w:val="en-US" w:eastAsia="zh-CN"/>
              </w:rPr>
              <w:t>3</w:t>
            </w:r>
            <w:r>
              <w:rPr>
                <w:rFonts w:hint="default" w:ascii="Times New Roman" w:hAnsi="Times New Roman" w:eastAsia="宋体" w:cs="Times New Roman"/>
                <w:color w:val="auto"/>
                <w:sz w:val="21"/>
                <w:szCs w:val="21"/>
                <w:highlight w:val="none"/>
                <w:lang w:val="en-US" w:eastAsia="zh-CN"/>
              </w:rPr>
              <w:t>/h。则项目有组织非甲烷总烃的产生量为</w:t>
            </w:r>
            <w:r>
              <w:rPr>
                <w:rFonts w:hint="eastAsia" w:cs="Times New Roman"/>
                <w:color w:val="auto"/>
                <w:sz w:val="21"/>
                <w:szCs w:val="21"/>
                <w:highlight w:val="none"/>
                <w:lang w:val="en-US" w:eastAsia="zh-CN"/>
              </w:rPr>
              <w:t>3.445</w:t>
            </w:r>
            <w:r>
              <w:rPr>
                <w:rFonts w:hint="default" w:ascii="Times New Roman" w:hAnsi="Times New Roman" w:eastAsia="宋体" w:cs="Times New Roman"/>
                <w:color w:val="auto"/>
                <w:sz w:val="21"/>
                <w:szCs w:val="21"/>
                <w:highlight w:val="none"/>
                <w:lang w:val="en-US" w:eastAsia="zh-CN"/>
              </w:rPr>
              <w:t>t/a，</w:t>
            </w:r>
            <w:r>
              <w:rPr>
                <w:rFonts w:hint="default" w:ascii="Times New Roman" w:hAnsi="Times New Roman" w:cs="Times New Roman"/>
                <w:color w:val="auto"/>
                <w:sz w:val="21"/>
                <w:szCs w:val="21"/>
                <w:highlight w:val="none"/>
                <w:lang w:val="en-US" w:eastAsia="zh-CN"/>
              </w:rPr>
              <w:t>有组织</w:t>
            </w:r>
            <w:r>
              <w:rPr>
                <w:rFonts w:hint="default" w:ascii="Times New Roman" w:hAnsi="Times New Roman" w:eastAsia="宋体" w:cs="Times New Roman"/>
                <w:color w:val="auto"/>
                <w:sz w:val="21"/>
                <w:szCs w:val="21"/>
                <w:highlight w:val="none"/>
                <w:lang w:val="en-US" w:eastAsia="zh-CN"/>
              </w:rPr>
              <w:t>产生速率为</w:t>
            </w:r>
            <w:r>
              <w:rPr>
                <w:rFonts w:hint="eastAsia" w:cs="Times New Roman"/>
                <w:color w:val="auto"/>
                <w:sz w:val="21"/>
                <w:szCs w:val="21"/>
                <w:highlight w:val="none"/>
                <w:lang w:val="en-US" w:eastAsia="zh-CN"/>
              </w:rPr>
              <w:t>0.7887</w:t>
            </w:r>
            <w:r>
              <w:rPr>
                <w:rFonts w:hint="default" w:ascii="Times New Roman" w:hAnsi="Times New Roman" w:eastAsia="宋体" w:cs="Times New Roman"/>
                <w:color w:val="auto"/>
                <w:sz w:val="21"/>
                <w:szCs w:val="21"/>
                <w:highlight w:val="none"/>
                <w:lang w:val="en-US" w:eastAsia="zh-CN"/>
              </w:rPr>
              <w:t>kg/h，有组织产生浓度为</w:t>
            </w:r>
            <w:r>
              <w:rPr>
                <w:rFonts w:hint="eastAsia" w:cs="Times New Roman"/>
                <w:color w:val="auto"/>
                <w:sz w:val="21"/>
                <w:szCs w:val="21"/>
                <w:highlight w:val="none"/>
                <w:lang w:val="en-US" w:eastAsia="zh-CN"/>
              </w:rPr>
              <w:t>52.58</w:t>
            </w:r>
            <w:r>
              <w:rPr>
                <w:rFonts w:hint="default" w:ascii="Times New Roman" w:hAnsi="Times New Roman" w:eastAsia="宋体" w:cs="Times New Roman"/>
                <w:color w:val="auto"/>
                <w:sz w:val="21"/>
                <w:szCs w:val="21"/>
                <w:highlight w:val="none"/>
                <w:lang w:val="en-US" w:eastAsia="zh-CN"/>
              </w:rPr>
              <w:t>mg/m</w:t>
            </w:r>
            <w:r>
              <w:rPr>
                <w:rFonts w:hint="default" w:ascii="Times New Roman" w:hAnsi="Times New Roman" w:eastAsia="宋体" w:cs="Times New Roman"/>
                <w:color w:val="auto"/>
                <w:sz w:val="21"/>
                <w:szCs w:val="21"/>
                <w:highlight w:val="none"/>
                <w:vertAlign w:val="superscript"/>
                <w:lang w:val="en-US" w:eastAsia="zh-CN"/>
              </w:rPr>
              <w:t>3</w:t>
            </w:r>
            <w:r>
              <w:rPr>
                <w:rFonts w:hint="default" w:ascii="Times New Roman" w:hAnsi="Times New Roman" w:eastAsia="宋体" w:cs="Times New Roman"/>
                <w:color w:val="auto"/>
                <w:sz w:val="21"/>
                <w:szCs w:val="21"/>
                <w:highlight w:val="none"/>
                <w:lang w:val="en-US" w:eastAsia="zh-CN"/>
              </w:rPr>
              <w:t>。项目非甲烷总烃通过二级活性炭吸附（治理效率</w:t>
            </w:r>
            <w:r>
              <w:rPr>
                <w:rFonts w:hint="eastAsia" w:cs="Times New Roman"/>
                <w:color w:val="auto"/>
                <w:sz w:val="21"/>
                <w:szCs w:val="21"/>
                <w:highlight w:val="none"/>
                <w:lang w:val="en-US" w:eastAsia="zh-CN"/>
              </w:rPr>
              <w:t>70</w:t>
            </w:r>
            <w:r>
              <w:rPr>
                <w:rFonts w:hint="default" w:ascii="Times New Roman" w:hAnsi="Times New Roman" w:eastAsia="宋体" w:cs="Times New Roman"/>
                <w:color w:val="auto"/>
                <w:sz w:val="21"/>
                <w:szCs w:val="21"/>
                <w:highlight w:val="none"/>
                <w:lang w:val="en-US" w:eastAsia="zh-CN"/>
              </w:rPr>
              <w:t>%）后经15m高排气筒排放。有组织排放量为</w:t>
            </w:r>
            <w:r>
              <w:rPr>
                <w:rFonts w:hint="eastAsia" w:cs="Times New Roman"/>
                <w:color w:val="auto"/>
                <w:sz w:val="21"/>
                <w:szCs w:val="21"/>
                <w:highlight w:val="none"/>
                <w:lang w:val="en-US" w:eastAsia="zh-CN"/>
              </w:rPr>
              <w:t>1.0335</w:t>
            </w:r>
            <w:r>
              <w:rPr>
                <w:rFonts w:hint="default" w:ascii="Times New Roman" w:hAnsi="Times New Roman" w:eastAsia="宋体" w:cs="Times New Roman"/>
                <w:color w:val="auto"/>
                <w:sz w:val="21"/>
                <w:szCs w:val="21"/>
                <w:highlight w:val="none"/>
                <w:lang w:val="en-US" w:eastAsia="zh-CN"/>
              </w:rPr>
              <w:t>t/a，有组织排放速率为</w:t>
            </w:r>
            <w:r>
              <w:rPr>
                <w:rFonts w:hint="eastAsia" w:cs="Times New Roman"/>
                <w:color w:val="auto"/>
                <w:sz w:val="21"/>
                <w:szCs w:val="21"/>
                <w:highlight w:val="none"/>
                <w:lang w:val="en-US" w:eastAsia="zh-CN"/>
              </w:rPr>
              <w:t>0.2366</w:t>
            </w:r>
            <w:r>
              <w:rPr>
                <w:rFonts w:hint="default" w:ascii="Times New Roman" w:hAnsi="Times New Roman" w:eastAsia="宋体" w:cs="Times New Roman"/>
                <w:color w:val="auto"/>
                <w:sz w:val="21"/>
                <w:szCs w:val="21"/>
                <w:highlight w:val="none"/>
                <w:lang w:val="en-US" w:eastAsia="zh-CN"/>
              </w:rPr>
              <w:t>kg/h，有组织排放浓度为</w:t>
            </w:r>
            <w:r>
              <w:rPr>
                <w:rFonts w:hint="eastAsia" w:cs="Times New Roman"/>
                <w:color w:val="auto"/>
                <w:sz w:val="21"/>
                <w:szCs w:val="21"/>
                <w:highlight w:val="none"/>
                <w:lang w:val="en-US" w:eastAsia="zh-CN"/>
              </w:rPr>
              <w:t>15.77</w:t>
            </w:r>
            <w:r>
              <w:rPr>
                <w:rFonts w:hint="default" w:ascii="Times New Roman" w:hAnsi="Times New Roman" w:eastAsia="宋体" w:cs="Times New Roman"/>
                <w:color w:val="auto"/>
                <w:sz w:val="21"/>
                <w:szCs w:val="21"/>
                <w:highlight w:val="none"/>
                <w:lang w:val="en-US" w:eastAsia="zh-CN"/>
              </w:rPr>
              <w:t>mg/m</w:t>
            </w:r>
            <w:r>
              <w:rPr>
                <w:rFonts w:hint="default" w:ascii="Times New Roman" w:hAnsi="Times New Roman" w:eastAsia="宋体" w:cs="Times New Roman"/>
                <w:color w:val="auto"/>
                <w:sz w:val="21"/>
                <w:szCs w:val="21"/>
                <w:highlight w:val="none"/>
                <w:vertAlign w:val="superscript"/>
                <w:lang w:val="en-US" w:eastAsia="zh-CN"/>
              </w:rPr>
              <w:t>3</w:t>
            </w:r>
            <w:r>
              <w:rPr>
                <w:rFonts w:hint="default" w:ascii="Times New Roman" w:hAnsi="Times New Roman" w:eastAsia="宋体" w:cs="Times New Roman"/>
                <w:color w:val="auto"/>
                <w:sz w:val="21"/>
                <w:szCs w:val="21"/>
                <w:highlight w:val="none"/>
                <w:lang w:val="en-US" w:eastAsia="zh-CN"/>
              </w:rPr>
              <w:t>。满足《合成树脂工业污染物排放标准》</w:t>
            </w:r>
            <w:r>
              <w:rPr>
                <w:rFonts w:hint="default" w:ascii="Times New Roman" w:hAnsi="Times New Roman" w:cs="Times New Roman"/>
                <w:color w:val="auto"/>
                <w:sz w:val="21"/>
                <w:szCs w:val="21"/>
                <w:highlight w:val="none"/>
                <w:lang w:val="en-US" w:eastAsia="zh-CN"/>
              </w:rPr>
              <w:t>（</w:t>
            </w:r>
            <w:r>
              <w:rPr>
                <w:rFonts w:hint="default" w:ascii="Times New Roman" w:hAnsi="Times New Roman" w:eastAsia="宋体" w:cs="Times New Roman"/>
                <w:color w:val="auto"/>
                <w:kern w:val="0"/>
                <w:sz w:val="21"/>
                <w:szCs w:val="21"/>
                <w:highlight w:val="none"/>
                <w:lang w:val="en-US" w:eastAsia="zh-CN" w:bidi="ar-SA"/>
              </w:rPr>
              <w:t>GB 31572-2015，</w:t>
            </w:r>
            <w:r>
              <w:rPr>
                <w:rFonts w:hint="eastAsia" w:cs="Times New Roman"/>
                <w:color w:val="auto"/>
                <w:kern w:val="0"/>
                <w:sz w:val="21"/>
                <w:szCs w:val="21"/>
                <w:highlight w:val="none"/>
                <w:lang w:val="en-US" w:eastAsia="zh-CN" w:bidi="ar-SA"/>
              </w:rPr>
              <w:t>含</w:t>
            </w:r>
            <w:r>
              <w:rPr>
                <w:rFonts w:hint="default" w:ascii="Times New Roman" w:hAnsi="Times New Roman" w:eastAsia="宋体" w:cs="Times New Roman"/>
                <w:color w:val="auto"/>
                <w:kern w:val="0"/>
                <w:sz w:val="21"/>
                <w:szCs w:val="21"/>
                <w:highlight w:val="none"/>
                <w:lang w:val="en-US" w:eastAsia="zh-CN" w:bidi="ar-SA"/>
              </w:rPr>
              <w:t>2024年修改单</w:t>
            </w:r>
            <w:r>
              <w:rPr>
                <w:rFonts w:hint="default" w:ascii="Times New Roman" w:hAnsi="Times New Roman" w:eastAsia="宋体" w:cs="Times New Roman"/>
                <w:color w:val="auto"/>
                <w:sz w:val="21"/>
                <w:szCs w:val="21"/>
                <w:highlight w:val="none"/>
                <w:lang w:val="en-US" w:eastAsia="zh-CN"/>
              </w:rPr>
              <w:t>）中表</w:t>
            </w:r>
            <w:r>
              <w:rPr>
                <w:rFonts w:hint="eastAsia" w:cs="Times New Roman"/>
                <w:color w:val="auto"/>
                <w:sz w:val="21"/>
                <w:szCs w:val="21"/>
                <w:highlight w:val="none"/>
                <w:lang w:val="en-US" w:eastAsia="zh-CN"/>
              </w:rPr>
              <w:t>5</w:t>
            </w:r>
            <w:r>
              <w:rPr>
                <w:rFonts w:hint="default" w:ascii="Times New Roman" w:hAnsi="Times New Roman" w:eastAsia="宋体" w:cs="Times New Roman"/>
                <w:color w:val="auto"/>
                <w:sz w:val="21"/>
                <w:szCs w:val="21"/>
                <w:highlight w:val="none"/>
                <w:lang w:val="en-US" w:eastAsia="zh-CN"/>
              </w:rPr>
              <w:t>排放限值要求。</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未被收集的非甲烷总烃为无组织排放，</w:t>
            </w:r>
            <w:r>
              <w:rPr>
                <w:rFonts w:hint="default" w:ascii="Times New Roman" w:hAnsi="Times New Roman" w:eastAsia="宋体" w:cs="Times New Roman"/>
                <w:color w:val="auto"/>
                <w:sz w:val="21"/>
                <w:szCs w:val="21"/>
                <w:highlight w:val="none"/>
                <w:lang w:val="en-US" w:eastAsia="zh-CN"/>
              </w:rPr>
              <w:t>排放量为</w:t>
            </w:r>
            <w:r>
              <w:rPr>
                <w:rFonts w:hint="eastAsia" w:cs="Times New Roman"/>
                <w:color w:val="auto"/>
                <w:sz w:val="21"/>
                <w:szCs w:val="21"/>
                <w:highlight w:val="none"/>
                <w:lang w:val="en-US" w:eastAsia="zh-CN"/>
              </w:rPr>
              <w:t>0.8612</w:t>
            </w:r>
            <w:r>
              <w:rPr>
                <w:rFonts w:hint="default" w:ascii="Times New Roman" w:hAnsi="Times New Roman" w:eastAsia="宋体" w:cs="Times New Roman"/>
                <w:color w:val="auto"/>
                <w:sz w:val="21"/>
                <w:szCs w:val="21"/>
                <w:highlight w:val="none"/>
                <w:lang w:val="en-US" w:eastAsia="zh-CN"/>
              </w:rPr>
              <w:t>t/a</w:t>
            </w:r>
            <w:r>
              <w:rPr>
                <w:rFonts w:hint="eastAsia" w:cs="Times New Roman"/>
                <w:color w:val="auto"/>
                <w:sz w:val="21"/>
                <w:szCs w:val="21"/>
                <w:highlight w:val="none"/>
                <w:lang w:val="en-US" w:eastAsia="zh-CN"/>
              </w:rPr>
              <w:t>，排放速率为0.1972</w:t>
            </w:r>
            <w:r>
              <w:rPr>
                <w:rFonts w:hint="default" w:ascii="Times New Roman" w:hAnsi="Times New Roman" w:eastAsia="宋体" w:cs="Times New Roman"/>
                <w:color w:val="auto"/>
                <w:sz w:val="21"/>
                <w:szCs w:val="21"/>
                <w:highlight w:val="none"/>
                <w:lang w:val="en-US" w:eastAsia="zh-CN"/>
              </w:rPr>
              <w:t>kg/h。</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③</w:t>
            </w:r>
            <w:r>
              <w:rPr>
                <w:rFonts w:hint="default" w:ascii="Times New Roman" w:hAnsi="Times New Roman" w:eastAsia="宋体" w:cs="Times New Roman"/>
                <w:color w:val="auto"/>
                <w:sz w:val="21"/>
                <w:szCs w:val="21"/>
                <w:highlight w:val="none"/>
                <w:lang w:val="en-US" w:eastAsia="zh-CN"/>
              </w:rPr>
              <w:t>包装缩膜废气</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本项目包装原料为塑封膜（聚乙烯PE），将产品热收缩薄膜包裹后再进行加热，使薄膜收缩后将产品紧紧包裹起来</w:t>
            </w:r>
            <w:r>
              <w:rPr>
                <w:rFonts w:hint="eastAsia"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加热过程会产生少量的非甲烷总烃气体。</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根据《排放源统计调查产排污核算方法和系数手册》292 塑料制品行业系数手册中塑料包装箱及容器中挥发性有机物（以非甲烷总烃计）产生系数为2.7kg/t产品。本项目使用热缩膜</w:t>
            </w:r>
            <w:r>
              <w:rPr>
                <w:rFonts w:hint="eastAsia" w:cs="Times New Roman"/>
                <w:color w:val="auto"/>
                <w:sz w:val="21"/>
                <w:szCs w:val="21"/>
                <w:highlight w:val="none"/>
                <w:lang w:val="en-US" w:eastAsia="zh-CN"/>
              </w:rPr>
              <w:t>约103.5</w:t>
            </w:r>
            <w:r>
              <w:rPr>
                <w:rFonts w:hint="default" w:ascii="Times New Roman" w:hAnsi="Times New Roman" w:eastAsia="宋体" w:cs="Times New Roman"/>
                <w:color w:val="auto"/>
                <w:sz w:val="21"/>
                <w:szCs w:val="21"/>
                <w:highlight w:val="none"/>
                <w:lang w:val="en-US" w:eastAsia="zh-CN"/>
              </w:rPr>
              <w:t>t/a，则非甲烷总烃产生量为</w:t>
            </w:r>
            <w:r>
              <w:rPr>
                <w:rFonts w:hint="eastAsia" w:cs="Times New Roman"/>
                <w:color w:val="auto"/>
                <w:sz w:val="21"/>
                <w:szCs w:val="21"/>
                <w:highlight w:val="none"/>
                <w:lang w:val="en-US" w:eastAsia="zh-CN"/>
              </w:rPr>
              <w:t>0.2795</w:t>
            </w:r>
            <w:r>
              <w:rPr>
                <w:rFonts w:hint="default" w:ascii="Times New Roman" w:hAnsi="Times New Roman" w:eastAsia="宋体" w:cs="Times New Roman"/>
                <w:color w:val="auto"/>
                <w:sz w:val="21"/>
                <w:szCs w:val="21"/>
                <w:highlight w:val="none"/>
                <w:lang w:val="en-US" w:eastAsia="zh-CN"/>
              </w:rPr>
              <w:t>t/a</w:t>
            </w:r>
            <w:r>
              <w:rPr>
                <w:rFonts w:hint="default" w:ascii="Times New Roman" w:hAnsi="Times New Roman" w:cs="Times New Roman"/>
                <w:color w:val="auto"/>
                <w:sz w:val="21"/>
                <w:szCs w:val="21"/>
                <w:highlight w:val="none"/>
                <w:lang w:val="en-US" w:eastAsia="zh-CN"/>
              </w:rPr>
              <w:t>。在热缩环节设置</w:t>
            </w:r>
            <w:r>
              <w:rPr>
                <w:rFonts w:hint="default" w:ascii="Times New Roman" w:hAnsi="Times New Roman" w:eastAsia="宋体" w:cs="Times New Roman"/>
                <w:color w:val="auto"/>
                <w:sz w:val="21"/>
                <w:szCs w:val="21"/>
                <w:highlight w:val="none"/>
                <w:lang w:val="en-US" w:eastAsia="zh-CN"/>
              </w:rPr>
              <w:t>集气罩</w:t>
            </w:r>
            <w:r>
              <w:rPr>
                <w:rFonts w:hint="eastAsia"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集气效率为</w:t>
            </w:r>
            <w:r>
              <w:rPr>
                <w:rFonts w:hint="eastAsia" w:cs="Times New Roman"/>
                <w:color w:val="auto"/>
                <w:sz w:val="21"/>
                <w:szCs w:val="21"/>
                <w:highlight w:val="none"/>
                <w:lang w:val="en-US" w:eastAsia="zh-CN"/>
              </w:rPr>
              <w:t>8</w:t>
            </w:r>
            <w:r>
              <w:rPr>
                <w:rFonts w:hint="default" w:ascii="Times New Roman" w:hAnsi="Times New Roman" w:eastAsia="宋体" w:cs="Times New Roman"/>
                <w:color w:val="auto"/>
                <w:sz w:val="21"/>
                <w:szCs w:val="21"/>
                <w:highlight w:val="none"/>
                <w:lang w:val="en-US" w:eastAsia="zh-CN"/>
              </w:rPr>
              <w:t>0%</w:t>
            </w:r>
            <w:r>
              <w:rPr>
                <w:rFonts w:hint="eastAsia" w:cs="Times New Roman"/>
                <w:color w:val="auto"/>
                <w:sz w:val="21"/>
                <w:szCs w:val="21"/>
                <w:highlight w:val="none"/>
                <w:lang w:val="en-US" w:eastAsia="zh-CN"/>
              </w:rPr>
              <w:t>（参照《VOCs废气收集率和治理设施去除率通用系数》）</w:t>
            </w:r>
            <w:r>
              <w:rPr>
                <w:rFonts w:hint="default" w:ascii="Times New Roman" w:hAnsi="Times New Roman" w:eastAsia="宋体" w:cs="Times New Roman"/>
                <w:color w:val="auto"/>
                <w:sz w:val="21"/>
                <w:szCs w:val="21"/>
                <w:highlight w:val="none"/>
                <w:lang w:val="en-US" w:eastAsia="zh-CN"/>
              </w:rPr>
              <w:t>，风机风量为2000m</w:t>
            </w:r>
            <w:r>
              <w:rPr>
                <w:rFonts w:hint="default" w:ascii="Times New Roman" w:hAnsi="Times New Roman" w:eastAsia="宋体" w:cs="Times New Roman"/>
                <w:color w:val="auto"/>
                <w:sz w:val="21"/>
                <w:szCs w:val="21"/>
                <w:highlight w:val="none"/>
                <w:vertAlign w:val="superscript"/>
                <w:lang w:val="en-US" w:eastAsia="zh-CN"/>
              </w:rPr>
              <w:t>3</w:t>
            </w:r>
            <w:r>
              <w:rPr>
                <w:rFonts w:hint="default" w:ascii="Times New Roman" w:hAnsi="Times New Roman" w:eastAsia="宋体" w:cs="Times New Roman"/>
                <w:color w:val="auto"/>
                <w:sz w:val="21"/>
                <w:szCs w:val="21"/>
                <w:highlight w:val="none"/>
                <w:lang w:val="en-US" w:eastAsia="zh-CN"/>
              </w:rPr>
              <w:t>/h</w:t>
            </w:r>
            <w:r>
              <w:rPr>
                <w:rFonts w:hint="default" w:ascii="Times New Roman" w:hAnsi="Times New Roman" w:cs="Times New Roman"/>
                <w:color w:val="auto"/>
                <w:sz w:val="21"/>
                <w:szCs w:val="21"/>
                <w:highlight w:val="none"/>
                <w:lang w:val="en-US" w:eastAsia="zh-CN"/>
              </w:rPr>
              <w:t>，则项目有组织产生量为0.</w:t>
            </w:r>
            <w:r>
              <w:rPr>
                <w:rFonts w:hint="eastAsia" w:cs="Times New Roman"/>
                <w:color w:val="auto"/>
                <w:sz w:val="21"/>
                <w:szCs w:val="21"/>
                <w:highlight w:val="none"/>
                <w:lang w:val="en-US" w:eastAsia="zh-CN"/>
              </w:rPr>
              <w:t>2236</w:t>
            </w:r>
            <w:r>
              <w:rPr>
                <w:rFonts w:hint="default" w:ascii="Times New Roman" w:hAnsi="Times New Roman" w:cs="Times New Roman"/>
                <w:color w:val="auto"/>
                <w:sz w:val="21"/>
                <w:szCs w:val="21"/>
                <w:highlight w:val="none"/>
                <w:lang w:val="en-US" w:eastAsia="zh-CN"/>
              </w:rPr>
              <w:t>t/a，产生速率为0.</w:t>
            </w:r>
            <w:r>
              <w:rPr>
                <w:rFonts w:hint="eastAsia" w:cs="Times New Roman"/>
                <w:color w:val="auto"/>
                <w:sz w:val="21"/>
                <w:szCs w:val="21"/>
                <w:highlight w:val="none"/>
                <w:lang w:val="en-US" w:eastAsia="zh-CN"/>
              </w:rPr>
              <w:t>0512</w:t>
            </w:r>
            <w:r>
              <w:rPr>
                <w:rFonts w:hint="default" w:ascii="Times New Roman" w:hAnsi="Times New Roman" w:cs="Times New Roman"/>
                <w:color w:val="auto"/>
                <w:sz w:val="21"/>
                <w:szCs w:val="21"/>
                <w:highlight w:val="none"/>
                <w:lang w:val="en-US" w:eastAsia="zh-CN"/>
              </w:rPr>
              <w:t>kg/h，产生浓度为</w:t>
            </w:r>
            <w:r>
              <w:rPr>
                <w:rFonts w:hint="eastAsia" w:cs="Times New Roman"/>
                <w:color w:val="auto"/>
                <w:sz w:val="21"/>
                <w:szCs w:val="21"/>
                <w:highlight w:val="none"/>
                <w:lang w:val="en-US" w:eastAsia="zh-CN"/>
              </w:rPr>
              <w:t>25.6</w:t>
            </w:r>
            <w:r>
              <w:rPr>
                <w:rFonts w:hint="default" w:ascii="Times New Roman" w:hAnsi="Times New Roman" w:cs="Times New Roman"/>
                <w:color w:val="auto"/>
                <w:sz w:val="21"/>
                <w:szCs w:val="21"/>
                <w:highlight w:val="none"/>
                <w:lang w:val="en-US" w:eastAsia="zh-CN"/>
              </w:rPr>
              <w:t>mg/m</w:t>
            </w:r>
            <w:r>
              <w:rPr>
                <w:rFonts w:hint="default" w:ascii="Times New Roman" w:hAnsi="Times New Roman" w:cs="Times New Roman"/>
                <w:color w:val="auto"/>
                <w:sz w:val="21"/>
                <w:szCs w:val="21"/>
                <w:highlight w:val="none"/>
                <w:vertAlign w:val="superscript"/>
                <w:lang w:val="en-US" w:eastAsia="zh-CN"/>
              </w:rPr>
              <w:t>3</w:t>
            </w:r>
            <w:r>
              <w:rPr>
                <w:rFonts w:hint="default" w:ascii="Times New Roman" w:hAnsi="Times New Roman"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项目非甲烷总烃通过二级活性炭吸附（治理效率</w:t>
            </w:r>
            <w:r>
              <w:rPr>
                <w:rFonts w:hint="eastAsia" w:cs="Times New Roman"/>
                <w:color w:val="auto"/>
                <w:sz w:val="21"/>
                <w:szCs w:val="21"/>
                <w:highlight w:val="none"/>
                <w:lang w:val="en-US" w:eastAsia="zh-CN"/>
              </w:rPr>
              <w:t>70</w:t>
            </w:r>
            <w:r>
              <w:rPr>
                <w:rFonts w:hint="default" w:ascii="Times New Roman" w:hAnsi="Times New Roman" w:eastAsia="宋体" w:cs="Times New Roman"/>
                <w:color w:val="auto"/>
                <w:sz w:val="21"/>
                <w:szCs w:val="21"/>
                <w:highlight w:val="none"/>
                <w:lang w:val="en-US" w:eastAsia="zh-CN"/>
              </w:rPr>
              <w:t>%）后经15m高排气筒排放</w:t>
            </w:r>
            <w:r>
              <w:rPr>
                <w:rFonts w:hint="default" w:ascii="Times New Roman" w:hAnsi="Times New Roman" w:cs="Times New Roman"/>
                <w:color w:val="auto"/>
                <w:sz w:val="21"/>
                <w:szCs w:val="21"/>
                <w:highlight w:val="none"/>
                <w:lang w:val="en-US" w:eastAsia="zh-CN"/>
              </w:rPr>
              <w:t>。有组织排放量为0.</w:t>
            </w:r>
            <w:r>
              <w:rPr>
                <w:rFonts w:hint="eastAsia" w:cs="Times New Roman"/>
                <w:color w:val="auto"/>
                <w:sz w:val="21"/>
                <w:szCs w:val="21"/>
                <w:highlight w:val="none"/>
                <w:lang w:val="en-US" w:eastAsia="zh-CN"/>
              </w:rPr>
              <w:t>0671</w:t>
            </w:r>
            <w:r>
              <w:rPr>
                <w:rFonts w:hint="default" w:ascii="Times New Roman" w:hAnsi="Times New Roman" w:cs="Times New Roman"/>
                <w:color w:val="auto"/>
                <w:sz w:val="21"/>
                <w:szCs w:val="21"/>
                <w:highlight w:val="none"/>
                <w:lang w:val="en-US" w:eastAsia="zh-CN"/>
              </w:rPr>
              <w:t>t/a，排放速率为0.0</w:t>
            </w:r>
            <w:r>
              <w:rPr>
                <w:rFonts w:hint="eastAsia" w:cs="Times New Roman"/>
                <w:color w:val="auto"/>
                <w:sz w:val="21"/>
                <w:szCs w:val="21"/>
                <w:highlight w:val="none"/>
                <w:lang w:val="en-US" w:eastAsia="zh-CN"/>
              </w:rPr>
              <w:t>154</w:t>
            </w:r>
            <w:r>
              <w:rPr>
                <w:rFonts w:hint="default" w:ascii="Times New Roman" w:hAnsi="Times New Roman" w:cs="Times New Roman"/>
                <w:color w:val="auto"/>
                <w:sz w:val="21"/>
                <w:szCs w:val="21"/>
                <w:highlight w:val="none"/>
                <w:lang w:val="en-US" w:eastAsia="zh-CN"/>
              </w:rPr>
              <w:t>kg/h，排放浓度为</w:t>
            </w:r>
            <w:r>
              <w:rPr>
                <w:rFonts w:hint="eastAsia" w:cs="Times New Roman"/>
                <w:color w:val="auto"/>
                <w:sz w:val="21"/>
                <w:szCs w:val="21"/>
                <w:highlight w:val="none"/>
                <w:lang w:val="en-US" w:eastAsia="zh-CN"/>
              </w:rPr>
              <w:t>7.70</w:t>
            </w:r>
            <w:r>
              <w:rPr>
                <w:rFonts w:hint="default" w:ascii="Times New Roman" w:hAnsi="Times New Roman" w:cs="Times New Roman"/>
                <w:color w:val="auto"/>
                <w:sz w:val="21"/>
                <w:szCs w:val="21"/>
                <w:highlight w:val="none"/>
                <w:lang w:val="en-US" w:eastAsia="zh-CN"/>
              </w:rPr>
              <w:t>mg/m</w:t>
            </w:r>
            <w:r>
              <w:rPr>
                <w:rFonts w:hint="default" w:ascii="Times New Roman" w:hAnsi="Times New Roman" w:cs="Times New Roman"/>
                <w:color w:val="auto"/>
                <w:sz w:val="21"/>
                <w:szCs w:val="21"/>
                <w:highlight w:val="none"/>
                <w:vertAlign w:val="superscript"/>
                <w:lang w:val="en-US" w:eastAsia="zh-CN"/>
              </w:rPr>
              <w:t>3</w:t>
            </w:r>
            <w:r>
              <w:rPr>
                <w:rFonts w:hint="default" w:ascii="Times New Roman" w:hAnsi="Times New Roman"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满足《合成树脂工业污染物排放标准》（</w:t>
            </w:r>
            <w:r>
              <w:rPr>
                <w:rFonts w:hint="default" w:ascii="Times New Roman" w:hAnsi="Times New Roman" w:eastAsia="宋体" w:cs="Times New Roman"/>
                <w:color w:val="auto"/>
                <w:kern w:val="0"/>
                <w:sz w:val="21"/>
                <w:szCs w:val="21"/>
                <w:highlight w:val="none"/>
                <w:lang w:val="en-US" w:eastAsia="zh-CN" w:bidi="ar-SA"/>
              </w:rPr>
              <w:t>GB 31572-2015，</w:t>
            </w:r>
            <w:r>
              <w:rPr>
                <w:rFonts w:hint="eastAsia" w:cs="Times New Roman"/>
                <w:color w:val="auto"/>
                <w:kern w:val="0"/>
                <w:sz w:val="21"/>
                <w:szCs w:val="21"/>
                <w:highlight w:val="none"/>
                <w:lang w:val="en-US" w:eastAsia="zh-CN" w:bidi="ar-SA"/>
              </w:rPr>
              <w:t>含</w:t>
            </w:r>
            <w:r>
              <w:rPr>
                <w:rFonts w:hint="default" w:ascii="Times New Roman" w:hAnsi="Times New Roman" w:eastAsia="宋体" w:cs="Times New Roman"/>
                <w:color w:val="auto"/>
                <w:kern w:val="0"/>
                <w:sz w:val="21"/>
                <w:szCs w:val="21"/>
                <w:highlight w:val="none"/>
                <w:lang w:val="en-US" w:eastAsia="zh-CN" w:bidi="ar-SA"/>
              </w:rPr>
              <w:t>2024年修改单</w:t>
            </w:r>
            <w:r>
              <w:rPr>
                <w:rFonts w:hint="default" w:ascii="Times New Roman" w:hAnsi="Times New Roman" w:eastAsia="宋体" w:cs="Times New Roman"/>
                <w:color w:val="auto"/>
                <w:sz w:val="21"/>
                <w:szCs w:val="21"/>
                <w:highlight w:val="none"/>
                <w:lang w:val="en-US" w:eastAsia="zh-CN"/>
              </w:rPr>
              <w:t>）中表</w:t>
            </w:r>
            <w:r>
              <w:rPr>
                <w:rFonts w:hint="eastAsia" w:cs="Times New Roman"/>
                <w:color w:val="auto"/>
                <w:sz w:val="21"/>
                <w:szCs w:val="21"/>
                <w:highlight w:val="none"/>
                <w:lang w:val="en-US" w:eastAsia="zh-CN"/>
              </w:rPr>
              <w:t>5</w:t>
            </w:r>
            <w:r>
              <w:rPr>
                <w:rFonts w:hint="default" w:ascii="Times New Roman" w:hAnsi="Times New Roman" w:eastAsia="宋体" w:cs="Times New Roman"/>
                <w:color w:val="auto"/>
                <w:sz w:val="21"/>
                <w:szCs w:val="21"/>
                <w:highlight w:val="none"/>
                <w:lang w:val="en-US" w:eastAsia="zh-CN"/>
              </w:rPr>
              <w:t>排放限值要求。</w:t>
            </w:r>
          </w:p>
          <w:p>
            <w:pPr>
              <w:keepNext w:val="0"/>
              <w:keepLines w:val="0"/>
              <w:pageBreakBefore w:val="0"/>
              <w:widowControl w:val="0"/>
              <w:kinsoku/>
              <w:wordWrap/>
              <w:overflowPunct/>
              <w:topLinePunct w:val="0"/>
              <w:autoSpaceDE/>
              <w:autoSpaceDN/>
              <w:bidi w:val="0"/>
              <w:adjustRightInd w:val="0"/>
              <w:snapToGrid w:val="0"/>
              <w:spacing w:line="360" w:lineRule="auto"/>
              <w:ind w:firstLine="420" w:firstLineChars="200"/>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未被收集的非甲烷总烃为无组织排放，</w:t>
            </w:r>
            <w:r>
              <w:rPr>
                <w:rFonts w:hint="default" w:ascii="Times New Roman" w:hAnsi="Times New Roman" w:eastAsia="宋体" w:cs="Times New Roman"/>
                <w:color w:val="auto"/>
                <w:sz w:val="21"/>
                <w:szCs w:val="21"/>
                <w:highlight w:val="none"/>
                <w:lang w:val="en-US" w:eastAsia="zh-CN"/>
              </w:rPr>
              <w:t>排放量为0.</w:t>
            </w:r>
            <w:r>
              <w:rPr>
                <w:rFonts w:hint="eastAsia" w:cs="Times New Roman"/>
                <w:color w:val="auto"/>
                <w:sz w:val="21"/>
                <w:szCs w:val="21"/>
                <w:highlight w:val="none"/>
                <w:lang w:val="en-US" w:eastAsia="zh-CN"/>
              </w:rPr>
              <w:t>0559</w:t>
            </w:r>
            <w:r>
              <w:rPr>
                <w:rFonts w:hint="default" w:ascii="Times New Roman" w:hAnsi="Times New Roman" w:eastAsia="宋体" w:cs="Times New Roman"/>
                <w:color w:val="auto"/>
                <w:sz w:val="21"/>
                <w:szCs w:val="21"/>
                <w:highlight w:val="none"/>
                <w:lang w:val="en-US" w:eastAsia="zh-CN"/>
              </w:rPr>
              <w:t>t/a</w:t>
            </w:r>
            <w:r>
              <w:rPr>
                <w:rFonts w:hint="eastAsia" w:cs="Times New Roman"/>
                <w:color w:val="auto"/>
                <w:sz w:val="21"/>
                <w:szCs w:val="21"/>
                <w:highlight w:val="none"/>
                <w:lang w:val="en-US" w:eastAsia="zh-CN"/>
              </w:rPr>
              <w:t>，排放速率为0.0128</w:t>
            </w:r>
            <w:r>
              <w:rPr>
                <w:rFonts w:hint="default" w:ascii="Times New Roman" w:hAnsi="Times New Roman" w:eastAsia="宋体" w:cs="Times New Roman"/>
                <w:color w:val="auto"/>
                <w:sz w:val="21"/>
                <w:szCs w:val="21"/>
                <w:highlight w:val="none"/>
                <w:lang w:val="en-US" w:eastAsia="zh-CN"/>
              </w:rPr>
              <w:t>kg/h</w:t>
            </w:r>
            <w:r>
              <w:rPr>
                <w:rFonts w:hint="eastAsia" w:cs="Times New Roman"/>
                <w:color w:val="auto"/>
                <w:sz w:val="21"/>
                <w:szCs w:val="21"/>
                <w:highlight w:val="none"/>
                <w:lang w:val="en-US" w:eastAsia="zh-CN"/>
              </w:rPr>
              <w:t>。</w:t>
            </w:r>
          </w:p>
          <w:p>
            <w:pPr>
              <w:keepNext w:val="0"/>
              <w:keepLines w:val="0"/>
              <w:pageBreakBefore w:val="0"/>
              <w:widowControl w:val="0"/>
              <w:numPr>
                <w:ilvl w:val="0"/>
                <w:numId w:val="3"/>
              </w:numPr>
              <w:kinsoku/>
              <w:wordWrap/>
              <w:overflowPunct/>
              <w:topLinePunct w:val="0"/>
              <w:autoSpaceDE/>
              <w:autoSpaceDN/>
              <w:bidi w:val="0"/>
              <w:adjustRightInd w:val="0"/>
              <w:snapToGrid w:val="0"/>
              <w:spacing w:line="360" w:lineRule="auto"/>
              <w:ind w:firstLine="420" w:firstLineChars="200"/>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无组织废气</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本项目无组织排放的废气主要为污水站臭气、坏果及果汁暂存产生的臭气。</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①污水站臭气</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本项目污水站臭气主要来源于污水处理的生物氧化处理单元，为果汁饮料生产废水生化处理过程产生的常规轻微臭气，主要成分为无剧毒、无强刺激性臭气物质，臭气产生源强较低。为进一步减轻污水处理站运行过程中产生的臭气对周围环境造成的影响，企业拟采取以下措施：</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1）对污水站相关设备及装置进行加盖密闭，将污水站生物处理单元产生的少量氨、硫化氢等恶臭气体封闭在构筑物/设备内部，减少无组织逸散，从源头控制臭气扩散；同时有效减小臭气逸散范围与强度，避免对厂界及周边环境敏感目标产生明显影响；</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2）污水处理站周边定期喷洒除臭剂，进一步削减臭气排放强度。</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经上述措施治理后，污水站臭气对外环境及厂界周边影响微弱，厂界臭气浓度能够满足《恶臭污染物排放标准》（GB 14554-93）表1新扩改建二级标准要求。</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②坏果及果渣暂存臭气</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本项目鲜榨果汁生产线原料挑拣过程中产生坏果，双道打浆工序产生果渣，坏果收集至专用密闭收集箱内，果渣则经果渣料斗进入密闭的清运车，均送入专用贮存点暂存；坏果及果渣均日产日清，不在厂区长时间贮存。不能及时清运时，坏果及果渣在专用贮存点密闭储存，该过程产生极少量坏果及果渣暂存臭气，企业拟采取以下措施控制臭气：</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1）坏果采用专用密闭收集箱收集，果渣经密闭料斗直接进入密闭清运车，减少臭气无组织逸散；</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2）坏果及果渣均做到日产日清，不在厂区内长时间堆放，从源头降低臭气产生量；</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3）若遇特殊情况不能及时清运，坏果及果渣在专用贮存点密闭暂存，贮存点保持密闭、防雨、防渗，并定期喷洒除臭剂，进一步抑制臭气扩散；</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4）加强贮存点及周边环境卫生管理，定期清扫、冲洗、消毒，避免腐败发酵加剧臭气产生。</w:t>
            </w:r>
          </w:p>
          <w:p>
            <w:pPr>
              <w:keepNext w:val="0"/>
              <w:keepLines w:val="0"/>
              <w:pageBreakBefore w:val="0"/>
              <w:widowControl w:val="0"/>
              <w:numPr>
                <w:ilvl w:val="0"/>
                <w:numId w:val="0"/>
              </w:numPr>
              <w:kinsoku/>
              <w:wordWrap/>
              <w:overflowPunct/>
              <w:topLinePunct w:val="0"/>
              <w:autoSpaceDE/>
              <w:autoSpaceDN/>
              <w:bidi w:val="0"/>
              <w:adjustRightInd w:val="0"/>
              <w:snapToGrid w:val="0"/>
              <w:spacing w:line="360" w:lineRule="auto"/>
              <w:ind w:firstLine="420" w:firstLineChars="200"/>
              <w:textAlignment w:val="auto"/>
              <w:rPr>
                <w:rFonts w:hint="default" w:cs="Times New Roman"/>
                <w:color w:val="auto"/>
                <w:sz w:val="21"/>
                <w:szCs w:val="21"/>
                <w:highlight w:val="none"/>
                <w:lang w:val="en-US" w:eastAsia="zh-CN"/>
              </w:rPr>
            </w:pPr>
            <w:r>
              <w:rPr>
                <w:rFonts w:hint="default" w:cs="Times New Roman"/>
                <w:color w:val="auto"/>
                <w:sz w:val="21"/>
                <w:szCs w:val="21"/>
                <w:highlight w:val="none"/>
                <w:lang w:val="en-US" w:eastAsia="zh-CN"/>
              </w:rPr>
              <w:t>经上述措施控制后，坏果及果渣暂存过程产生的臭气排放量小、影响范围有限，对外环境及厂界影响轻微。</w:t>
            </w:r>
          </w:p>
        </w:tc>
      </w:tr>
    </w:tbl>
    <w:p>
      <w:pPr>
        <w:adjustRightInd w:val="0"/>
        <w:snapToGrid w:val="0"/>
        <w:spacing w:line="360" w:lineRule="auto"/>
        <w:rPr>
          <w:rFonts w:hint="eastAsia" w:ascii="宋体" w:cs="宋体"/>
          <w:b/>
          <w:color w:val="auto"/>
          <w:kern w:val="0"/>
          <w:sz w:val="28"/>
          <w:szCs w:val="28"/>
          <w:highlight w:val="none"/>
        </w:rPr>
        <w:sectPr>
          <w:pgSz w:w="11907" w:h="16840"/>
          <w:pgMar w:top="1701" w:right="1531" w:bottom="2127" w:left="1531" w:header="851" w:footer="851" w:gutter="0"/>
          <w:cols w:space="720" w:num="1"/>
          <w:docGrid w:linePitch="312" w:charSpace="0"/>
        </w:sectPr>
      </w:pP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2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336" w:hRule="atLeast"/>
        </w:trPr>
        <w:tc>
          <w:tcPr>
            <w:tcW w:w="13228" w:type="dxa"/>
          </w:tcPr>
          <w:p>
            <w:pPr>
              <w:spacing w:line="520" w:lineRule="exact"/>
              <w:jc w:val="center"/>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4"/>
                <w:szCs w:val="24"/>
                <w:highlight w:val="none"/>
              </w:rPr>
              <w:t>表</w:t>
            </w:r>
            <w:r>
              <w:rPr>
                <w:rFonts w:hint="default" w:ascii="Times New Roman" w:hAnsi="Times New Roman" w:cs="Times New Roman"/>
                <w:b/>
                <w:bCs/>
                <w:color w:val="auto"/>
                <w:sz w:val="24"/>
                <w:szCs w:val="24"/>
                <w:highlight w:val="none"/>
                <w:lang w:val="en-US" w:eastAsia="zh-CN"/>
              </w:rPr>
              <w:t>4-</w:t>
            </w:r>
            <w:r>
              <w:rPr>
                <w:rFonts w:hint="eastAsia" w:cs="Times New Roman"/>
                <w:b/>
                <w:bCs/>
                <w:color w:val="auto"/>
                <w:sz w:val="24"/>
                <w:szCs w:val="24"/>
                <w:highlight w:val="none"/>
                <w:lang w:val="en-US" w:eastAsia="zh-CN"/>
              </w:rPr>
              <w:t>1（2）</w:t>
            </w:r>
            <w:r>
              <w:rPr>
                <w:rFonts w:hint="default" w:ascii="Times New Roman" w:hAnsi="Times New Roman" w:cs="Times New Roman"/>
                <w:b/>
                <w:bCs/>
                <w:color w:val="auto"/>
                <w:sz w:val="24"/>
                <w:szCs w:val="24"/>
                <w:highlight w:val="none"/>
              </w:rPr>
              <w:t xml:space="preserve">  废气污染源强核算结果一览表</w:t>
            </w:r>
          </w:p>
          <w:tbl>
            <w:tblPr>
              <w:tblStyle w:val="21"/>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3"/>
              <w:gridCol w:w="424"/>
              <w:gridCol w:w="651"/>
              <w:gridCol w:w="663"/>
              <w:gridCol w:w="867"/>
              <w:gridCol w:w="973"/>
              <w:gridCol w:w="987"/>
              <w:gridCol w:w="1385"/>
              <w:gridCol w:w="980"/>
              <w:gridCol w:w="781"/>
              <w:gridCol w:w="681"/>
              <w:gridCol w:w="670"/>
              <w:gridCol w:w="806"/>
              <w:gridCol w:w="917"/>
              <w:gridCol w:w="938"/>
              <w:gridCol w:w="851"/>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1" w:hRule="atLeast"/>
                <w:jc w:val="center"/>
              </w:trPr>
              <w:tc>
                <w:tcPr>
                  <w:tcW w:w="162" w:type="pct"/>
                  <w:vMerge w:val="restart"/>
                  <w:noWrap w:val="0"/>
                  <w:vAlign w:val="center"/>
                </w:tcPr>
                <w:p>
                  <w:pPr>
                    <w:pStyle w:val="48"/>
                    <w:bidi w:val="0"/>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rPr>
                    <w:t>序号</w:t>
                  </w:r>
                </w:p>
              </w:tc>
              <w:tc>
                <w:tcPr>
                  <w:tcW w:w="1756" w:type="pct"/>
                  <w:gridSpan w:val="6"/>
                  <w:noWrap w:val="0"/>
                  <w:vAlign w:val="center"/>
                </w:tcPr>
                <w:p>
                  <w:pPr>
                    <w:pStyle w:val="48"/>
                    <w:bidi w:val="0"/>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rPr>
                    <w:t>污染物产生情况</w:t>
                  </w:r>
                </w:p>
              </w:tc>
              <w:tc>
                <w:tcPr>
                  <w:tcW w:w="1730" w:type="pct"/>
                  <w:gridSpan w:val="5"/>
                  <w:noWrap w:val="0"/>
                  <w:vAlign w:val="center"/>
                </w:tcPr>
                <w:p>
                  <w:pPr>
                    <w:pStyle w:val="48"/>
                    <w:bidi w:val="0"/>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rPr>
                    <w:t>污染物治理设施</w:t>
                  </w:r>
                </w:p>
              </w:tc>
              <w:tc>
                <w:tcPr>
                  <w:tcW w:w="1351" w:type="pct"/>
                  <w:gridSpan w:val="4"/>
                  <w:noWrap w:val="0"/>
                  <w:vAlign w:val="center"/>
                </w:tcPr>
                <w:p>
                  <w:pPr>
                    <w:pStyle w:val="48"/>
                    <w:bidi w:val="0"/>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rPr>
                    <w:t>污染物排放情况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162" w:type="pct"/>
                  <w:vMerge w:val="continue"/>
                  <w:noWrap w:val="0"/>
                  <w:vAlign w:val="center"/>
                </w:tcPr>
                <w:p>
                  <w:pPr>
                    <w:pStyle w:val="48"/>
                    <w:bidi w:val="0"/>
                    <w:rPr>
                      <w:rFonts w:hint="default" w:ascii="Times New Roman" w:hAnsi="Times New Roman" w:cs="Times New Roman"/>
                      <w:b w:val="0"/>
                      <w:bCs w:val="0"/>
                      <w:color w:val="auto"/>
                      <w:sz w:val="21"/>
                      <w:szCs w:val="21"/>
                      <w:highlight w:val="none"/>
                    </w:rPr>
                  </w:pPr>
                </w:p>
              </w:tc>
              <w:tc>
                <w:tcPr>
                  <w:tcW w:w="163" w:type="pct"/>
                  <w:noWrap w:val="0"/>
                  <w:vAlign w:val="center"/>
                </w:tcPr>
                <w:p>
                  <w:pPr>
                    <w:pStyle w:val="48"/>
                    <w:bidi w:val="0"/>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rPr>
                    <w:t>产排污环节</w:t>
                  </w:r>
                </w:p>
              </w:tc>
              <w:tc>
                <w:tcPr>
                  <w:tcW w:w="250" w:type="pct"/>
                  <w:noWrap w:val="0"/>
                  <w:vAlign w:val="center"/>
                </w:tcPr>
                <w:p>
                  <w:pPr>
                    <w:pStyle w:val="48"/>
                    <w:bidi w:val="0"/>
                    <w:rPr>
                      <w:rFonts w:hint="default" w:ascii="Times New Roman" w:hAnsi="Times New Roman" w:eastAsia="宋体" w:cs="Times New Roman"/>
                      <w:b w:val="0"/>
                      <w:bCs w:val="0"/>
                      <w:color w:val="auto"/>
                      <w:kern w:val="0"/>
                      <w:sz w:val="21"/>
                      <w:szCs w:val="21"/>
                      <w:highlight w:val="none"/>
                      <w:lang w:val="en-US" w:eastAsia="zh-CN" w:bidi="ar-SA"/>
                    </w:rPr>
                  </w:pPr>
                  <w:r>
                    <w:rPr>
                      <w:rFonts w:hint="default" w:ascii="Times New Roman" w:hAnsi="Times New Roman" w:cs="Times New Roman"/>
                      <w:b w:val="0"/>
                      <w:bCs w:val="0"/>
                      <w:color w:val="auto"/>
                      <w:sz w:val="21"/>
                      <w:szCs w:val="21"/>
                      <w:highlight w:val="none"/>
                    </w:rPr>
                    <w:t>污染种类物</w:t>
                  </w:r>
                </w:p>
              </w:tc>
              <w:tc>
                <w:tcPr>
                  <w:tcW w:w="255" w:type="pct"/>
                  <w:noWrap w:val="0"/>
                  <w:vAlign w:val="center"/>
                </w:tcPr>
                <w:p>
                  <w:pPr>
                    <w:pStyle w:val="48"/>
                    <w:bidi w:val="0"/>
                    <w:rPr>
                      <w:rFonts w:hint="default" w:ascii="Times New Roman" w:hAnsi="Times New Roman" w:eastAsia="宋体" w:cs="Times New Roman"/>
                      <w:b w:val="0"/>
                      <w:bCs w:val="0"/>
                      <w:color w:val="auto"/>
                      <w:kern w:val="0"/>
                      <w:sz w:val="21"/>
                      <w:szCs w:val="21"/>
                      <w:highlight w:val="none"/>
                      <w:lang w:val="en-US" w:eastAsia="zh-CN" w:bidi="ar-SA"/>
                    </w:rPr>
                  </w:pPr>
                  <w:r>
                    <w:rPr>
                      <w:rFonts w:hint="default" w:ascii="Times New Roman" w:hAnsi="Times New Roman" w:cs="Times New Roman"/>
                      <w:b w:val="0"/>
                      <w:bCs w:val="0"/>
                      <w:color w:val="auto"/>
                      <w:sz w:val="21"/>
                      <w:szCs w:val="21"/>
                      <w:highlight w:val="none"/>
                    </w:rPr>
                    <w:t>排放形式</w:t>
                  </w:r>
                </w:p>
              </w:tc>
              <w:tc>
                <w:tcPr>
                  <w:tcW w:w="333" w:type="pct"/>
                  <w:noWrap w:val="0"/>
                  <w:vAlign w:val="center"/>
                </w:tcPr>
                <w:p>
                  <w:pPr>
                    <w:pStyle w:val="48"/>
                    <w:bidi w:val="0"/>
                    <w:rPr>
                      <w:rFonts w:hint="default" w:ascii="Times New Roman" w:hAnsi="Times New Roman" w:eastAsia="宋体" w:cs="Times New Roman"/>
                      <w:b w:val="0"/>
                      <w:bCs w:val="0"/>
                      <w:color w:val="auto"/>
                      <w:kern w:val="0"/>
                      <w:sz w:val="21"/>
                      <w:szCs w:val="21"/>
                      <w:highlight w:val="none"/>
                      <w:lang w:val="en-US" w:eastAsia="zh-CN" w:bidi="ar-SA"/>
                    </w:rPr>
                  </w:pPr>
                  <w:r>
                    <w:rPr>
                      <w:rFonts w:hint="default" w:ascii="Times New Roman" w:hAnsi="Times New Roman" w:cs="Times New Roman"/>
                      <w:b w:val="0"/>
                      <w:bCs w:val="0"/>
                      <w:color w:val="auto"/>
                      <w:sz w:val="21"/>
                      <w:szCs w:val="21"/>
                      <w:highlight w:val="none"/>
                    </w:rPr>
                    <w:t>产生量（t/a）</w:t>
                  </w:r>
                </w:p>
              </w:tc>
              <w:tc>
                <w:tcPr>
                  <w:tcW w:w="374" w:type="pct"/>
                  <w:noWrap w:val="0"/>
                  <w:vAlign w:val="center"/>
                </w:tcPr>
                <w:p>
                  <w:pPr>
                    <w:pStyle w:val="48"/>
                    <w:bidi w:val="0"/>
                    <w:rPr>
                      <w:rFonts w:hint="default" w:ascii="Times New Roman" w:hAnsi="Times New Roman" w:eastAsia="宋体" w:cs="Times New Roman"/>
                      <w:b w:val="0"/>
                      <w:bCs w:val="0"/>
                      <w:color w:val="auto"/>
                      <w:kern w:val="0"/>
                      <w:sz w:val="21"/>
                      <w:szCs w:val="21"/>
                      <w:highlight w:val="none"/>
                      <w:lang w:val="en-US" w:eastAsia="zh-CN" w:bidi="ar-SA"/>
                    </w:rPr>
                  </w:pPr>
                  <w:r>
                    <w:rPr>
                      <w:rFonts w:hint="default" w:ascii="Times New Roman" w:hAnsi="Times New Roman" w:cs="Times New Roman"/>
                      <w:b w:val="0"/>
                      <w:bCs w:val="0"/>
                      <w:color w:val="auto"/>
                      <w:sz w:val="21"/>
                      <w:szCs w:val="21"/>
                      <w:highlight w:val="none"/>
                    </w:rPr>
                    <w:t>产生速率（kg/h）</w:t>
                  </w:r>
                </w:p>
              </w:tc>
              <w:tc>
                <w:tcPr>
                  <w:tcW w:w="379" w:type="pct"/>
                  <w:noWrap w:val="0"/>
                  <w:vAlign w:val="center"/>
                </w:tcPr>
                <w:p>
                  <w:pPr>
                    <w:pStyle w:val="48"/>
                    <w:bidi w:val="0"/>
                    <w:rPr>
                      <w:rFonts w:hint="eastAsia" w:ascii="Times New Roman" w:hAnsi="Times New Roman" w:eastAsia="宋体" w:cs="Times New Roman"/>
                      <w:b w:val="0"/>
                      <w:bCs w:val="0"/>
                      <w:color w:val="auto"/>
                      <w:sz w:val="21"/>
                      <w:szCs w:val="21"/>
                      <w:highlight w:val="none"/>
                      <w:lang w:val="en-US" w:eastAsia="zh-CN"/>
                    </w:rPr>
                  </w:pPr>
                  <w:r>
                    <w:rPr>
                      <w:rFonts w:hint="eastAsia" w:ascii="Times New Roman" w:cs="Times New Roman"/>
                      <w:b w:val="0"/>
                      <w:bCs w:val="0"/>
                      <w:color w:val="auto"/>
                      <w:sz w:val="21"/>
                      <w:szCs w:val="21"/>
                      <w:highlight w:val="none"/>
                      <w:lang w:val="en-US" w:eastAsia="zh-CN"/>
                    </w:rPr>
                    <w:t>产生浓度(</w:t>
                  </w:r>
                  <w:r>
                    <w:rPr>
                      <w:rFonts w:hint="default" w:ascii="Times New Roman" w:hAnsi="Times New Roman" w:cs="Times New Roman"/>
                      <w:b w:val="0"/>
                      <w:bCs w:val="0"/>
                      <w:color w:val="auto"/>
                      <w:sz w:val="21"/>
                      <w:szCs w:val="21"/>
                      <w:highlight w:val="none"/>
                    </w:rPr>
                    <w:t>mg/m</w:t>
                  </w:r>
                  <w:r>
                    <w:rPr>
                      <w:rFonts w:hint="eastAsia" w:ascii="Times New Roman" w:cs="Times New Roman"/>
                      <w:b w:val="0"/>
                      <w:bCs w:val="0"/>
                      <w:color w:val="auto"/>
                      <w:sz w:val="21"/>
                      <w:szCs w:val="21"/>
                      <w:highlight w:val="none"/>
                      <w:vertAlign w:val="superscript"/>
                      <w:lang w:val="en-US" w:eastAsia="zh-CN"/>
                    </w:rPr>
                    <w:t>3</w:t>
                  </w:r>
                  <w:r>
                    <w:rPr>
                      <w:rFonts w:hint="eastAsia" w:ascii="Times New Roman" w:cs="Times New Roman"/>
                      <w:b w:val="0"/>
                      <w:bCs w:val="0"/>
                      <w:color w:val="auto"/>
                      <w:sz w:val="21"/>
                      <w:szCs w:val="21"/>
                      <w:highlight w:val="none"/>
                      <w:lang w:val="en-US" w:eastAsia="zh-CN"/>
                    </w:rPr>
                    <w:t>)</w:t>
                  </w:r>
                </w:p>
              </w:tc>
              <w:tc>
                <w:tcPr>
                  <w:tcW w:w="532" w:type="pct"/>
                  <w:noWrap w:val="0"/>
                  <w:vAlign w:val="center"/>
                </w:tcPr>
                <w:p>
                  <w:pPr>
                    <w:pStyle w:val="48"/>
                    <w:bidi w:val="0"/>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rPr>
                    <w:t>治理设施</w:t>
                  </w:r>
                </w:p>
              </w:tc>
              <w:tc>
                <w:tcPr>
                  <w:tcW w:w="377" w:type="pct"/>
                  <w:noWrap w:val="0"/>
                  <w:vAlign w:val="center"/>
                </w:tcPr>
                <w:p>
                  <w:pPr>
                    <w:pStyle w:val="48"/>
                    <w:bidi w:val="0"/>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rPr>
                    <w:t>处理能力（m³/h）</w:t>
                  </w:r>
                </w:p>
              </w:tc>
              <w:tc>
                <w:tcPr>
                  <w:tcW w:w="300" w:type="pct"/>
                  <w:noWrap w:val="0"/>
                  <w:vAlign w:val="center"/>
                </w:tcPr>
                <w:p>
                  <w:pPr>
                    <w:pStyle w:val="48"/>
                    <w:bidi w:val="0"/>
                    <w:rPr>
                      <w:rFonts w:hint="default" w:ascii="Times New Roman" w:hAnsi="Times New Roman"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rPr>
                    <w:t>收集效率</w:t>
                  </w:r>
                  <w:r>
                    <w:rPr>
                      <w:rFonts w:hint="default" w:ascii="Times New Roman" w:hAnsi="Times New Roman" w:cs="Times New Roman"/>
                      <w:b w:val="0"/>
                      <w:bCs w:val="0"/>
                      <w:color w:val="auto"/>
                      <w:sz w:val="21"/>
                      <w:szCs w:val="21"/>
                      <w:highlight w:val="none"/>
                      <w:lang w:val="en-US" w:eastAsia="zh-CN"/>
                    </w:rPr>
                    <w:t>%</w:t>
                  </w:r>
                </w:p>
              </w:tc>
              <w:tc>
                <w:tcPr>
                  <w:tcW w:w="261" w:type="pct"/>
                  <w:noWrap w:val="0"/>
                  <w:vAlign w:val="center"/>
                </w:tcPr>
                <w:p>
                  <w:pPr>
                    <w:pStyle w:val="48"/>
                    <w:bidi w:val="0"/>
                    <w:rPr>
                      <w:rFonts w:hint="default" w:ascii="Times New Roman" w:hAnsi="Times New Roman"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rPr>
                    <w:t>处理效率</w:t>
                  </w:r>
                  <w:r>
                    <w:rPr>
                      <w:rFonts w:hint="default" w:ascii="Times New Roman" w:hAnsi="Times New Roman" w:cs="Times New Roman"/>
                      <w:b w:val="0"/>
                      <w:bCs w:val="0"/>
                      <w:color w:val="auto"/>
                      <w:sz w:val="21"/>
                      <w:szCs w:val="21"/>
                      <w:highlight w:val="none"/>
                      <w:lang w:val="en-US" w:eastAsia="zh-CN"/>
                    </w:rPr>
                    <w:t>%</w:t>
                  </w:r>
                </w:p>
              </w:tc>
              <w:tc>
                <w:tcPr>
                  <w:tcW w:w="257" w:type="pct"/>
                  <w:noWrap w:val="0"/>
                  <w:vAlign w:val="center"/>
                </w:tcPr>
                <w:p>
                  <w:pPr>
                    <w:pStyle w:val="48"/>
                    <w:bidi w:val="0"/>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rPr>
                    <w:t>是否为可行性技术</w:t>
                  </w:r>
                </w:p>
              </w:tc>
              <w:tc>
                <w:tcPr>
                  <w:tcW w:w="310" w:type="pct"/>
                  <w:noWrap w:val="0"/>
                  <w:vAlign w:val="center"/>
                </w:tcPr>
                <w:p>
                  <w:pPr>
                    <w:pStyle w:val="48"/>
                    <w:bidi w:val="0"/>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rPr>
                    <w:t>排放量（t/a）</w:t>
                  </w:r>
                </w:p>
              </w:tc>
              <w:tc>
                <w:tcPr>
                  <w:tcW w:w="352" w:type="pct"/>
                  <w:noWrap w:val="0"/>
                  <w:vAlign w:val="center"/>
                </w:tcPr>
                <w:p>
                  <w:pPr>
                    <w:pStyle w:val="48"/>
                    <w:bidi w:val="0"/>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rPr>
                    <w:t>排放速率（kg/h）</w:t>
                  </w:r>
                </w:p>
              </w:tc>
              <w:tc>
                <w:tcPr>
                  <w:tcW w:w="360" w:type="pct"/>
                  <w:noWrap w:val="0"/>
                  <w:vAlign w:val="center"/>
                </w:tcPr>
                <w:p>
                  <w:pPr>
                    <w:pStyle w:val="48"/>
                    <w:bidi w:val="0"/>
                    <w:rPr>
                      <w:rFonts w:hint="eastAsia" w:ascii="Times New Roman" w:hAnsi="Times New Roman" w:eastAsia="宋体" w:cs="Times New Roman"/>
                      <w:b w:val="0"/>
                      <w:bCs w:val="0"/>
                      <w:color w:val="auto"/>
                      <w:sz w:val="21"/>
                      <w:szCs w:val="21"/>
                      <w:highlight w:val="none"/>
                      <w:lang w:eastAsia="zh-CN"/>
                    </w:rPr>
                  </w:pPr>
                  <w:r>
                    <w:rPr>
                      <w:rFonts w:hint="default" w:ascii="Times New Roman" w:hAnsi="Times New Roman" w:cs="Times New Roman"/>
                      <w:b w:val="0"/>
                      <w:bCs w:val="0"/>
                      <w:color w:val="auto"/>
                      <w:sz w:val="21"/>
                      <w:szCs w:val="21"/>
                      <w:highlight w:val="none"/>
                    </w:rPr>
                    <w:t>排放浓度</w:t>
                  </w:r>
                  <w:r>
                    <w:rPr>
                      <w:rFonts w:hint="eastAsia" w:ascii="Times New Roman" w:cs="Times New Roman"/>
                      <w:b w:val="0"/>
                      <w:bCs w:val="0"/>
                      <w:color w:val="auto"/>
                      <w:sz w:val="21"/>
                      <w:szCs w:val="21"/>
                      <w:highlight w:val="none"/>
                      <w:lang w:val="en-US" w:eastAsia="zh-CN"/>
                    </w:rPr>
                    <w:t>(</w:t>
                  </w:r>
                  <w:r>
                    <w:rPr>
                      <w:rFonts w:hint="default" w:ascii="Times New Roman" w:hAnsi="Times New Roman" w:cs="Times New Roman"/>
                      <w:b w:val="0"/>
                      <w:bCs w:val="0"/>
                      <w:color w:val="auto"/>
                      <w:sz w:val="21"/>
                      <w:szCs w:val="21"/>
                      <w:highlight w:val="none"/>
                    </w:rPr>
                    <w:t>mg/m</w:t>
                  </w:r>
                  <w:r>
                    <w:rPr>
                      <w:rFonts w:hint="eastAsia" w:ascii="Times New Roman" w:cs="Times New Roman"/>
                      <w:b w:val="0"/>
                      <w:bCs w:val="0"/>
                      <w:color w:val="auto"/>
                      <w:sz w:val="21"/>
                      <w:szCs w:val="21"/>
                      <w:highlight w:val="none"/>
                      <w:vertAlign w:val="superscript"/>
                      <w:lang w:val="en-US" w:eastAsia="zh-CN"/>
                    </w:rPr>
                    <w:t>3</w:t>
                  </w:r>
                  <w:r>
                    <w:rPr>
                      <w:rFonts w:hint="eastAsia" w:ascii="Times New Roman" w:cs="Times New Roman"/>
                      <w:b w:val="0"/>
                      <w:bCs w:val="0"/>
                      <w:color w:val="auto"/>
                      <w:sz w:val="21"/>
                      <w:szCs w:val="21"/>
                      <w:highlight w:val="none"/>
                      <w:lang w:val="en-US" w:eastAsia="zh-CN"/>
                    </w:rPr>
                    <w:t>)</w:t>
                  </w:r>
                </w:p>
              </w:tc>
              <w:tc>
                <w:tcPr>
                  <w:tcW w:w="327" w:type="pct"/>
                  <w:noWrap w:val="0"/>
                  <w:vAlign w:val="center"/>
                </w:tcPr>
                <w:p>
                  <w:pPr>
                    <w:pStyle w:val="48"/>
                    <w:bidi w:val="0"/>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rPr>
                    <w:t>排放口名称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1" w:hRule="atLeast"/>
                <w:jc w:val="center"/>
              </w:trPr>
              <w:tc>
                <w:tcPr>
                  <w:tcW w:w="162" w:type="pct"/>
                  <w:vMerge w:val="restart"/>
                  <w:noWrap w:val="0"/>
                  <w:vAlign w:val="center"/>
                </w:tcPr>
                <w:p>
                  <w:pPr>
                    <w:pStyle w:val="48"/>
                    <w:bidi w:val="0"/>
                    <w:rPr>
                      <w:rFonts w:hint="default" w:ascii="Times New Roman" w:hAnsi="Times New Roman"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1</w:t>
                  </w:r>
                </w:p>
              </w:tc>
              <w:tc>
                <w:tcPr>
                  <w:tcW w:w="163" w:type="pct"/>
                  <w:vMerge w:val="restart"/>
                  <w:noWrap w:val="0"/>
                  <w:vAlign w:val="center"/>
                </w:tcPr>
                <w:p>
                  <w:pPr>
                    <w:pStyle w:val="48"/>
                    <w:bidi w:val="0"/>
                    <w:rPr>
                      <w:rFonts w:hint="default" w:ascii="Times New Roman" w:hAnsi="Times New Roman" w:cs="Times New Roman"/>
                      <w:b w:val="0"/>
                      <w:bCs w:val="0"/>
                      <w:color w:val="auto"/>
                      <w:sz w:val="21"/>
                      <w:szCs w:val="21"/>
                      <w:highlight w:val="none"/>
                      <w:lang w:val="en-US" w:eastAsia="zh-CN"/>
                    </w:rPr>
                  </w:pPr>
                  <w:r>
                    <w:rPr>
                      <w:rFonts w:hint="eastAsia" w:ascii="Times New Roman" w:cs="Times New Roman"/>
                      <w:b w:val="0"/>
                      <w:bCs w:val="0"/>
                      <w:color w:val="auto"/>
                      <w:sz w:val="21"/>
                      <w:szCs w:val="21"/>
                      <w:highlight w:val="none"/>
                      <w:lang w:val="en-US" w:eastAsia="zh-CN"/>
                    </w:rPr>
                    <w:t>锅炉</w:t>
                  </w:r>
                </w:p>
              </w:tc>
              <w:tc>
                <w:tcPr>
                  <w:tcW w:w="250" w:type="pct"/>
                  <w:noWrap w:val="0"/>
                  <w:vAlign w:val="center"/>
                </w:tcPr>
                <w:p>
                  <w:pPr>
                    <w:pStyle w:val="48"/>
                    <w:bidi w:val="0"/>
                    <w:rPr>
                      <w:rFonts w:hint="default" w:ascii="Times New Roman" w:hAnsi="Times New Roman" w:eastAsia="宋体" w:cs="Times New Roman"/>
                      <w:b w:val="0"/>
                      <w:bCs w:val="0"/>
                      <w:color w:val="auto"/>
                      <w:kern w:val="0"/>
                      <w:sz w:val="21"/>
                      <w:szCs w:val="21"/>
                      <w:highlight w:val="none"/>
                      <w:lang w:val="en-US" w:eastAsia="zh-CN" w:bidi="ar-SA"/>
                    </w:rPr>
                  </w:pPr>
                  <w:r>
                    <w:rPr>
                      <w:rFonts w:hint="eastAsia" w:ascii="Times New Roman" w:cs="Times New Roman"/>
                      <w:b w:val="0"/>
                      <w:bCs w:val="0"/>
                      <w:color w:val="auto"/>
                      <w:kern w:val="0"/>
                      <w:sz w:val="21"/>
                      <w:szCs w:val="21"/>
                      <w:highlight w:val="none"/>
                      <w:lang w:val="en-US" w:eastAsia="zh-CN" w:bidi="ar-SA"/>
                    </w:rPr>
                    <w:t>颗粒物</w:t>
                  </w:r>
                </w:p>
              </w:tc>
              <w:tc>
                <w:tcPr>
                  <w:tcW w:w="255" w:type="pct"/>
                  <w:vMerge w:val="restart"/>
                  <w:noWrap w:val="0"/>
                  <w:vAlign w:val="center"/>
                </w:tcPr>
                <w:p>
                  <w:pPr>
                    <w:pStyle w:val="48"/>
                    <w:bidi w:val="0"/>
                    <w:ind w:firstLine="0" w:firstLineChars="0"/>
                    <w:rPr>
                      <w:rFonts w:hint="default" w:ascii="Times New Roman" w:hAnsi="Times New Roman" w:eastAsia="宋体" w:cs="Times New Roman"/>
                      <w:b w:val="0"/>
                      <w:bCs w:val="0"/>
                      <w:color w:val="auto"/>
                      <w:kern w:val="0"/>
                      <w:sz w:val="21"/>
                      <w:szCs w:val="21"/>
                      <w:highlight w:val="none"/>
                      <w:lang w:val="en-US" w:eastAsia="zh-CN" w:bidi="ar-SA"/>
                    </w:rPr>
                  </w:pPr>
                  <w:r>
                    <w:rPr>
                      <w:rFonts w:hint="eastAsia" w:ascii="Times New Roman" w:cs="Times New Roman"/>
                      <w:b w:val="0"/>
                      <w:bCs w:val="0"/>
                      <w:color w:val="auto"/>
                      <w:kern w:val="0"/>
                      <w:sz w:val="21"/>
                      <w:szCs w:val="21"/>
                      <w:highlight w:val="none"/>
                      <w:lang w:val="en-US" w:eastAsia="zh-CN" w:bidi="ar-SA"/>
                    </w:rPr>
                    <w:t>有</w:t>
                  </w:r>
                  <w:r>
                    <w:rPr>
                      <w:rFonts w:hint="default" w:ascii="Times New Roman" w:hAnsi="Times New Roman" w:cs="Times New Roman"/>
                      <w:b w:val="0"/>
                      <w:bCs w:val="0"/>
                      <w:color w:val="auto"/>
                      <w:kern w:val="0"/>
                      <w:sz w:val="21"/>
                      <w:szCs w:val="21"/>
                      <w:highlight w:val="none"/>
                      <w:lang w:val="en-US" w:eastAsia="zh-CN" w:bidi="ar-SA"/>
                    </w:rPr>
                    <w:t>组织</w:t>
                  </w:r>
                </w:p>
              </w:tc>
              <w:tc>
                <w:tcPr>
                  <w:tcW w:w="333" w:type="pct"/>
                  <w:noWrap w:val="0"/>
                  <w:vAlign w:val="center"/>
                </w:tcPr>
                <w:p>
                  <w:pPr>
                    <w:pStyle w:val="48"/>
                    <w:bidi w:val="0"/>
                    <w:ind w:firstLine="0" w:firstLineChars="0"/>
                    <w:rPr>
                      <w:rFonts w:hint="default" w:ascii="Times New Roman" w:hAnsi="Times New Roman" w:cs="Times New Roman"/>
                      <w:b w:val="0"/>
                      <w:bCs w:val="0"/>
                      <w:color w:val="auto"/>
                      <w:sz w:val="21"/>
                      <w:szCs w:val="21"/>
                      <w:highlight w:val="none"/>
                      <w:lang w:val="en-US" w:eastAsia="zh-CN"/>
                    </w:rPr>
                  </w:pPr>
                  <w:r>
                    <w:rPr>
                      <w:rFonts w:hint="eastAsia" w:ascii="Times New Roman" w:cs="Times New Roman"/>
                      <w:b w:val="0"/>
                      <w:bCs w:val="0"/>
                      <w:color w:val="auto"/>
                      <w:sz w:val="21"/>
                      <w:szCs w:val="21"/>
                      <w:highlight w:val="none"/>
                      <w:lang w:val="en-US" w:eastAsia="zh-CN"/>
                    </w:rPr>
                    <w:t>0.24</w:t>
                  </w:r>
                </w:p>
              </w:tc>
              <w:tc>
                <w:tcPr>
                  <w:tcW w:w="374" w:type="pct"/>
                  <w:noWrap w:val="0"/>
                  <w:vAlign w:val="center"/>
                </w:tcPr>
                <w:p>
                  <w:pPr>
                    <w:pStyle w:val="48"/>
                    <w:bidi w:val="0"/>
                    <w:ind w:firstLine="0" w:firstLineChars="0"/>
                    <w:rPr>
                      <w:rFonts w:hint="default" w:ascii="Times New Roman" w:hAnsi="Times New Roman" w:cs="Times New Roman"/>
                      <w:b w:val="0"/>
                      <w:bCs w:val="0"/>
                      <w:color w:val="auto"/>
                      <w:sz w:val="21"/>
                      <w:szCs w:val="21"/>
                      <w:highlight w:val="none"/>
                      <w:lang w:val="en-US" w:eastAsia="zh-CN"/>
                    </w:rPr>
                  </w:pPr>
                  <w:r>
                    <w:rPr>
                      <w:rFonts w:hint="eastAsia" w:ascii="Times New Roman" w:cs="Times New Roman"/>
                      <w:b w:val="0"/>
                      <w:bCs w:val="0"/>
                      <w:color w:val="auto"/>
                      <w:sz w:val="21"/>
                      <w:szCs w:val="21"/>
                      <w:highlight w:val="none"/>
                      <w:lang w:val="en-US" w:eastAsia="zh-CN"/>
                    </w:rPr>
                    <w:t>0.0549</w:t>
                  </w:r>
                </w:p>
              </w:tc>
              <w:tc>
                <w:tcPr>
                  <w:tcW w:w="379" w:type="pct"/>
                  <w:noWrap w:val="0"/>
                  <w:vAlign w:val="center"/>
                </w:tcPr>
                <w:p>
                  <w:pPr>
                    <w:pStyle w:val="48"/>
                    <w:bidi w:val="0"/>
                    <w:ind w:firstLine="0" w:firstLineChars="0"/>
                    <w:rPr>
                      <w:rFonts w:hint="default" w:ascii="Times New Roman" w:cs="Times New Roman"/>
                      <w:b w:val="0"/>
                      <w:bCs w:val="0"/>
                      <w:color w:val="auto"/>
                      <w:sz w:val="21"/>
                      <w:szCs w:val="21"/>
                      <w:highlight w:val="none"/>
                      <w:lang w:val="en-US" w:eastAsia="zh-CN"/>
                    </w:rPr>
                  </w:pPr>
                  <w:r>
                    <w:rPr>
                      <w:rFonts w:hint="eastAsia" w:ascii="Times New Roman" w:cs="Times New Roman"/>
                      <w:b w:val="0"/>
                      <w:bCs w:val="0"/>
                      <w:color w:val="auto"/>
                      <w:sz w:val="21"/>
                      <w:szCs w:val="21"/>
                      <w:highlight w:val="none"/>
                      <w:lang w:val="en-US" w:eastAsia="zh-CN"/>
                    </w:rPr>
                    <w:t>14.8</w:t>
                  </w:r>
                </w:p>
              </w:tc>
              <w:tc>
                <w:tcPr>
                  <w:tcW w:w="532" w:type="pct"/>
                  <w:vMerge w:val="restart"/>
                  <w:noWrap w:val="0"/>
                  <w:vAlign w:val="center"/>
                </w:tcPr>
                <w:p>
                  <w:pPr>
                    <w:pStyle w:val="48"/>
                    <w:bidi w:val="0"/>
                    <w:ind w:firstLine="0" w:firstLineChars="0"/>
                    <w:rPr>
                      <w:rFonts w:hint="default" w:ascii="Times New Roman" w:hAnsi="Times New Roman" w:cs="Times New Roman"/>
                      <w:b w:val="0"/>
                      <w:bCs w:val="0"/>
                      <w:color w:val="auto"/>
                      <w:sz w:val="21"/>
                      <w:szCs w:val="21"/>
                      <w:highlight w:val="none"/>
                      <w:lang w:val="en-US" w:eastAsia="zh-CN"/>
                    </w:rPr>
                  </w:pPr>
                  <w:r>
                    <w:rPr>
                      <w:rFonts w:hint="eastAsia" w:ascii="Times New Roman" w:cs="Times New Roman"/>
                      <w:b w:val="0"/>
                      <w:bCs w:val="0"/>
                      <w:color w:val="auto"/>
                      <w:sz w:val="21"/>
                      <w:szCs w:val="21"/>
                      <w:highlight w:val="none"/>
                      <w:lang w:val="en-US" w:eastAsia="zh-CN"/>
                    </w:rPr>
                    <w:t>低氮燃烧+8m排气筒</w:t>
                  </w:r>
                </w:p>
              </w:tc>
              <w:tc>
                <w:tcPr>
                  <w:tcW w:w="377" w:type="pct"/>
                  <w:vMerge w:val="restart"/>
                  <w:noWrap w:val="0"/>
                  <w:vAlign w:val="center"/>
                </w:tcPr>
                <w:p>
                  <w:pPr>
                    <w:pStyle w:val="48"/>
                    <w:bidi w:val="0"/>
                    <w:ind w:firstLine="0" w:firstLineChars="0"/>
                    <w:rPr>
                      <w:rFonts w:hint="default" w:ascii="Times New Roman" w:hAnsi="Times New Roman" w:cs="Times New Roman"/>
                      <w:b w:val="0"/>
                      <w:bCs w:val="0"/>
                      <w:color w:val="auto"/>
                      <w:sz w:val="21"/>
                      <w:szCs w:val="21"/>
                      <w:highlight w:val="none"/>
                      <w:lang w:val="en-US" w:eastAsia="zh-CN"/>
                    </w:rPr>
                  </w:pPr>
                  <w:r>
                    <w:rPr>
                      <w:rFonts w:hint="eastAsia" w:ascii="Times New Roman" w:cs="Times New Roman"/>
                      <w:b w:val="0"/>
                      <w:bCs w:val="0"/>
                      <w:color w:val="auto"/>
                      <w:sz w:val="21"/>
                      <w:szCs w:val="21"/>
                      <w:highlight w:val="none"/>
                      <w:lang w:val="en-US" w:eastAsia="zh-CN"/>
                    </w:rPr>
                    <w:t>3700</w:t>
                  </w:r>
                </w:p>
              </w:tc>
              <w:tc>
                <w:tcPr>
                  <w:tcW w:w="300" w:type="pct"/>
                  <w:noWrap w:val="0"/>
                  <w:vAlign w:val="center"/>
                </w:tcPr>
                <w:p>
                  <w:pPr>
                    <w:pStyle w:val="48"/>
                    <w:bidi w:val="0"/>
                    <w:ind w:firstLine="0" w:firstLineChars="0"/>
                    <w:rPr>
                      <w:rFonts w:hint="default" w:ascii="Times New Roman" w:hAnsi="Times New Roman"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100%</w:t>
                  </w:r>
                </w:p>
              </w:tc>
              <w:tc>
                <w:tcPr>
                  <w:tcW w:w="261" w:type="pct"/>
                  <w:noWrap w:val="0"/>
                  <w:vAlign w:val="center"/>
                </w:tcPr>
                <w:p>
                  <w:pPr>
                    <w:pStyle w:val="48"/>
                    <w:bidi w:val="0"/>
                    <w:ind w:firstLine="0" w:firstLineChars="0"/>
                    <w:rPr>
                      <w:rFonts w:hint="default" w:ascii="Times New Roman" w:hAnsi="Times New Roman" w:cs="Times New Roman"/>
                      <w:b w:val="0"/>
                      <w:bCs w:val="0"/>
                      <w:color w:val="auto"/>
                      <w:sz w:val="21"/>
                      <w:szCs w:val="21"/>
                      <w:highlight w:val="none"/>
                      <w:lang w:val="en-US" w:eastAsia="zh-CN"/>
                    </w:rPr>
                  </w:pPr>
                  <w:r>
                    <w:rPr>
                      <w:rFonts w:hint="eastAsia" w:ascii="Times New Roman" w:cs="Times New Roman"/>
                      <w:b w:val="0"/>
                      <w:bCs w:val="0"/>
                      <w:color w:val="auto"/>
                      <w:sz w:val="21"/>
                      <w:szCs w:val="21"/>
                      <w:highlight w:val="none"/>
                      <w:lang w:val="en-US" w:eastAsia="zh-CN"/>
                    </w:rPr>
                    <w:t>/</w:t>
                  </w:r>
                </w:p>
              </w:tc>
              <w:tc>
                <w:tcPr>
                  <w:tcW w:w="257" w:type="pct"/>
                  <w:noWrap w:val="0"/>
                  <w:vAlign w:val="center"/>
                </w:tcPr>
                <w:p>
                  <w:pPr>
                    <w:pStyle w:val="16"/>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806" w:type="dxa"/>
                  <w:noWrap w:val="0"/>
                  <w:vAlign w:val="center"/>
                </w:tcPr>
                <w:p>
                  <w:pPr>
                    <w:pStyle w:val="48"/>
                    <w:bidi w:val="0"/>
                    <w:ind w:firstLine="0" w:firstLineChars="0"/>
                    <w:rPr>
                      <w:rFonts w:hint="default" w:ascii="Times New Roman" w:hAnsi="Times New Roman" w:cs="Times New Roman"/>
                      <w:b w:val="0"/>
                      <w:bCs w:val="0"/>
                      <w:color w:val="auto"/>
                      <w:sz w:val="21"/>
                      <w:szCs w:val="21"/>
                      <w:highlight w:val="none"/>
                      <w:lang w:val="en-US" w:eastAsia="zh-CN"/>
                    </w:rPr>
                  </w:pPr>
                  <w:r>
                    <w:rPr>
                      <w:rFonts w:hint="eastAsia" w:ascii="Times New Roman" w:cs="Times New Roman"/>
                      <w:b w:val="0"/>
                      <w:bCs w:val="0"/>
                      <w:color w:val="auto"/>
                      <w:sz w:val="21"/>
                      <w:szCs w:val="21"/>
                      <w:highlight w:val="none"/>
                      <w:lang w:val="en-US" w:eastAsia="zh-CN"/>
                    </w:rPr>
                    <w:t>0.24</w:t>
                  </w:r>
                </w:p>
              </w:tc>
              <w:tc>
                <w:tcPr>
                  <w:tcW w:w="917" w:type="dxa"/>
                  <w:noWrap w:val="0"/>
                  <w:vAlign w:val="center"/>
                </w:tcPr>
                <w:p>
                  <w:pPr>
                    <w:pStyle w:val="48"/>
                    <w:bidi w:val="0"/>
                    <w:ind w:firstLine="0" w:firstLineChars="0"/>
                    <w:rPr>
                      <w:rFonts w:hint="default" w:ascii="Times New Roman" w:hAnsi="Times New Roman" w:cs="Times New Roman"/>
                      <w:b w:val="0"/>
                      <w:bCs w:val="0"/>
                      <w:color w:val="auto"/>
                      <w:sz w:val="21"/>
                      <w:szCs w:val="21"/>
                      <w:highlight w:val="none"/>
                      <w:lang w:val="en-US" w:eastAsia="zh-CN"/>
                    </w:rPr>
                  </w:pPr>
                  <w:r>
                    <w:rPr>
                      <w:rFonts w:hint="eastAsia" w:ascii="Times New Roman" w:cs="Times New Roman"/>
                      <w:b w:val="0"/>
                      <w:bCs w:val="0"/>
                      <w:color w:val="auto"/>
                      <w:sz w:val="21"/>
                      <w:szCs w:val="21"/>
                      <w:highlight w:val="none"/>
                      <w:lang w:val="en-US" w:eastAsia="zh-CN"/>
                    </w:rPr>
                    <w:t>0.0549</w:t>
                  </w:r>
                </w:p>
              </w:tc>
              <w:tc>
                <w:tcPr>
                  <w:tcW w:w="938" w:type="dxa"/>
                  <w:noWrap w:val="0"/>
                  <w:vAlign w:val="center"/>
                </w:tcPr>
                <w:p>
                  <w:pPr>
                    <w:pStyle w:val="48"/>
                    <w:bidi w:val="0"/>
                    <w:ind w:firstLine="0" w:firstLineChars="0"/>
                    <w:rPr>
                      <w:rFonts w:hint="default" w:ascii="Times New Roman" w:hAnsi="Times New Roman" w:cs="Times New Roman"/>
                      <w:b w:val="0"/>
                      <w:bCs w:val="0"/>
                      <w:color w:val="auto"/>
                      <w:sz w:val="21"/>
                      <w:szCs w:val="21"/>
                      <w:highlight w:val="none"/>
                      <w:lang w:val="en-US" w:eastAsia="zh-CN"/>
                    </w:rPr>
                  </w:pPr>
                  <w:r>
                    <w:rPr>
                      <w:rFonts w:hint="eastAsia" w:ascii="Times New Roman" w:cs="Times New Roman"/>
                      <w:b w:val="0"/>
                      <w:bCs w:val="0"/>
                      <w:color w:val="auto"/>
                      <w:sz w:val="21"/>
                      <w:szCs w:val="21"/>
                      <w:highlight w:val="none"/>
                      <w:lang w:val="en-US" w:eastAsia="zh-CN"/>
                    </w:rPr>
                    <w:t>14.8</w:t>
                  </w:r>
                </w:p>
              </w:tc>
              <w:tc>
                <w:tcPr>
                  <w:tcW w:w="327" w:type="pct"/>
                  <w:vMerge w:val="restar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DA001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45" w:hRule="atLeast"/>
                <w:jc w:val="center"/>
              </w:trPr>
              <w:tc>
                <w:tcPr>
                  <w:tcW w:w="162" w:type="pct"/>
                  <w:vMerge w:val="continue"/>
                  <w:noWrap w:val="0"/>
                  <w:vAlign w:val="center"/>
                </w:tcPr>
                <w:p>
                  <w:pPr>
                    <w:pStyle w:val="48"/>
                    <w:bidi w:val="0"/>
                    <w:rPr>
                      <w:rFonts w:hint="default" w:ascii="Times New Roman" w:hAnsi="Times New Roman" w:cs="Times New Roman"/>
                      <w:b w:val="0"/>
                      <w:bCs w:val="0"/>
                      <w:color w:val="auto"/>
                      <w:sz w:val="21"/>
                      <w:szCs w:val="21"/>
                      <w:highlight w:val="none"/>
                      <w:lang w:val="en-US" w:eastAsia="zh-CN"/>
                    </w:rPr>
                  </w:pPr>
                </w:p>
              </w:tc>
              <w:tc>
                <w:tcPr>
                  <w:tcW w:w="163" w:type="pct"/>
                  <w:vMerge w:val="continue"/>
                  <w:noWrap w:val="0"/>
                  <w:vAlign w:val="center"/>
                </w:tcPr>
                <w:p>
                  <w:pPr>
                    <w:pStyle w:val="48"/>
                    <w:bidi w:val="0"/>
                    <w:rPr>
                      <w:rFonts w:hint="eastAsia" w:ascii="Times New Roman" w:cs="Times New Roman"/>
                      <w:b w:val="0"/>
                      <w:bCs w:val="0"/>
                      <w:color w:val="auto"/>
                      <w:sz w:val="21"/>
                      <w:szCs w:val="21"/>
                      <w:highlight w:val="none"/>
                      <w:lang w:val="en-US" w:eastAsia="zh-CN"/>
                    </w:rPr>
                  </w:pPr>
                </w:p>
              </w:tc>
              <w:tc>
                <w:tcPr>
                  <w:tcW w:w="250" w:type="pct"/>
                  <w:noWrap w:val="0"/>
                  <w:vAlign w:val="center"/>
                </w:tcPr>
                <w:p>
                  <w:pPr>
                    <w:pStyle w:val="48"/>
                    <w:bidi w:val="0"/>
                    <w:rPr>
                      <w:rFonts w:hint="eastAsia" w:ascii="Times New Roman" w:cs="Times New Roman"/>
                      <w:b w:val="0"/>
                      <w:bCs w:val="0"/>
                      <w:color w:val="auto"/>
                      <w:kern w:val="0"/>
                      <w:sz w:val="21"/>
                      <w:szCs w:val="21"/>
                      <w:highlight w:val="none"/>
                      <w:lang w:val="en-US" w:eastAsia="zh-CN" w:bidi="ar-SA"/>
                    </w:rPr>
                  </w:pPr>
                  <w:r>
                    <w:rPr>
                      <w:rFonts w:hint="eastAsia" w:ascii="Times New Roman" w:hAnsi="Times New Roman" w:cs="Times New Roman"/>
                      <w:b w:val="0"/>
                      <w:bCs w:val="0"/>
                      <w:color w:val="auto"/>
                      <w:sz w:val="21"/>
                      <w:szCs w:val="21"/>
                      <w:highlight w:val="none"/>
                      <w:lang w:val="en-US" w:eastAsia="zh-CN"/>
                    </w:rPr>
                    <w:t>二氧化硫</w:t>
                  </w:r>
                </w:p>
              </w:tc>
              <w:tc>
                <w:tcPr>
                  <w:tcW w:w="255" w:type="pct"/>
                  <w:vMerge w:val="continue"/>
                  <w:noWrap w:val="0"/>
                  <w:vAlign w:val="center"/>
                </w:tcPr>
                <w:p>
                  <w:pPr>
                    <w:pStyle w:val="48"/>
                    <w:bidi w:val="0"/>
                    <w:ind w:firstLine="0" w:firstLineChars="0"/>
                    <w:rPr>
                      <w:rFonts w:hint="eastAsia" w:ascii="Times New Roman" w:cs="Times New Roman"/>
                      <w:b w:val="0"/>
                      <w:bCs w:val="0"/>
                      <w:color w:val="auto"/>
                      <w:kern w:val="0"/>
                      <w:sz w:val="21"/>
                      <w:szCs w:val="21"/>
                      <w:highlight w:val="none"/>
                      <w:lang w:val="en-US" w:eastAsia="zh-CN" w:bidi="ar-SA"/>
                    </w:rPr>
                  </w:pPr>
                </w:p>
              </w:tc>
              <w:tc>
                <w:tcPr>
                  <w:tcW w:w="333" w:type="pct"/>
                  <w:noWrap w:val="0"/>
                  <w:vAlign w:val="center"/>
                </w:tcPr>
                <w:p>
                  <w:pPr>
                    <w:pStyle w:val="48"/>
                    <w:bidi w:val="0"/>
                    <w:ind w:firstLine="0" w:firstLineChars="0"/>
                    <w:rPr>
                      <w:rFonts w:hint="default" w:ascii="Times New Roman" w:hAnsi="Times New Roman"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0.003</w:t>
                  </w:r>
                </w:p>
              </w:tc>
              <w:tc>
                <w:tcPr>
                  <w:tcW w:w="374" w:type="pct"/>
                  <w:noWrap w:val="0"/>
                  <w:vAlign w:val="center"/>
                </w:tcPr>
                <w:p>
                  <w:pPr>
                    <w:pStyle w:val="48"/>
                    <w:bidi w:val="0"/>
                    <w:ind w:firstLine="0" w:firstLineChars="0"/>
                    <w:rPr>
                      <w:rFonts w:hint="default" w:ascii="Times New Roman" w:hAnsi="Times New Roman" w:cs="Times New Roman"/>
                      <w:color w:val="auto"/>
                      <w:sz w:val="21"/>
                      <w:szCs w:val="21"/>
                      <w:highlight w:val="none"/>
                      <w:lang w:val="en-US" w:eastAsia="zh-CN"/>
                    </w:rPr>
                  </w:pPr>
                  <w:r>
                    <w:rPr>
                      <w:rFonts w:hint="eastAsia" w:ascii="Times New Roman" w:cs="Times New Roman"/>
                      <w:color w:val="auto"/>
                      <w:kern w:val="0"/>
                      <w:sz w:val="21"/>
                      <w:szCs w:val="21"/>
                      <w:highlight w:val="none"/>
                      <w:lang w:val="en-US" w:eastAsia="zh-CN" w:bidi="ar-SA"/>
                    </w:rPr>
                    <w:t>0.0007</w:t>
                  </w:r>
                </w:p>
              </w:tc>
              <w:tc>
                <w:tcPr>
                  <w:tcW w:w="379" w:type="pct"/>
                  <w:noWrap w:val="0"/>
                  <w:vAlign w:val="center"/>
                </w:tcPr>
                <w:p>
                  <w:pPr>
                    <w:pStyle w:val="48"/>
                    <w:bidi w:val="0"/>
                    <w:ind w:firstLine="0" w:firstLineChars="0"/>
                    <w:rPr>
                      <w:rFonts w:hint="default" w:ascii="Times New Roman" w:hAnsi="Times New Roman" w:cs="Times New Roman"/>
                      <w:color w:val="auto"/>
                      <w:sz w:val="21"/>
                      <w:szCs w:val="21"/>
                      <w:highlight w:val="none"/>
                      <w:lang w:val="en-US" w:eastAsia="zh-CN"/>
                    </w:rPr>
                  </w:pPr>
                  <w:r>
                    <w:rPr>
                      <w:rFonts w:hint="eastAsia" w:ascii="Times New Roman" w:cs="Times New Roman"/>
                      <w:color w:val="auto"/>
                      <w:kern w:val="0"/>
                      <w:sz w:val="21"/>
                      <w:szCs w:val="21"/>
                      <w:highlight w:val="none"/>
                      <w:lang w:val="en-US" w:eastAsia="zh-CN" w:bidi="ar-SA"/>
                    </w:rPr>
                    <w:t>0.2</w:t>
                  </w:r>
                </w:p>
              </w:tc>
              <w:tc>
                <w:tcPr>
                  <w:tcW w:w="532" w:type="pct"/>
                  <w:vMerge w:val="continue"/>
                  <w:noWrap w:val="0"/>
                  <w:vAlign w:val="center"/>
                </w:tcPr>
                <w:p>
                  <w:pPr>
                    <w:pStyle w:val="48"/>
                    <w:bidi w:val="0"/>
                    <w:ind w:firstLine="0" w:firstLineChars="0"/>
                    <w:rPr>
                      <w:rFonts w:hint="eastAsia" w:ascii="Times New Roman" w:cs="Times New Roman"/>
                      <w:b w:val="0"/>
                      <w:bCs w:val="0"/>
                      <w:color w:val="auto"/>
                      <w:sz w:val="21"/>
                      <w:szCs w:val="21"/>
                      <w:highlight w:val="none"/>
                      <w:lang w:val="en-US" w:eastAsia="zh-CN"/>
                    </w:rPr>
                  </w:pPr>
                </w:p>
              </w:tc>
              <w:tc>
                <w:tcPr>
                  <w:tcW w:w="377" w:type="pct"/>
                  <w:vMerge w:val="continue"/>
                  <w:noWrap w:val="0"/>
                  <w:vAlign w:val="center"/>
                </w:tcPr>
                <w:p>
                  <w:pPr>
                    <w:pStyle w:val="48"/>
                    <w:bidi w:val="0"/>
                    <w:ind w:firstLine="0" w:firstLineChars="0"/>
                    <w:rPr>
                      <w:rFonts w:hint="eastAsia" w:ascii="Times New Roman" w:cs="Times New Roman"/>
                      <w:b w:val="0"/>
                      <w:bCs w:val="0"/>
                      <w:color w:val="auto"/>
                      <w:sz w:val="21"/>
                      <w:szCs w:val="21"/>
                      <w:highlight w:val="none"/>
                      <w:lang w:val="en-US" w:eastAsia="zh-CN"/>
                    </w:rPr>
                  </w:pPr>
                </w:p>
              </w:tc>
              <w:tc>
                <w:tcPr>
                  <w:tcW w:w="300" w:type="pct"/>
                  <w:noWrap w:val="0"/>
                  <w:vAlign w:val="center"/>
                </w:tcPr>
                <w:p>
                  <w:pPr>
                    <w:pStyle w:val="48"/>
                    <w:bidi w:val="0"/>
                    <w:ind w:firstLine="0" w:firstLineChars="0"/>
                    <w:rPr>
                      <w:rFonts w:hint="default" w:ascii="Times New Roman" w:hAnsi="Times New Roman"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100%</w:t>
                  </w:r>
                </w:p>
              </w:tc>
              <w:tc>
                <w:tcPr>
                  <w:tcW w:w="261" w:type="pct"/>
                  <w:noWrap w:val="0"/>
                  <w:vAlign w:val="center"/>
                </w:tcPr>
                <w:p>
                  <w:pPr>
                    <w:bidi w:val="0"/>
                    <w:ind w:firstLine="0" w:firstLineChars="0"/>
                    <w:jc w:val="center"/>
                    <w:rPr>
                      <w:rFonts w:hint="default" w:ascii="Times New Roman" w:cs="Times New Roman"/>
                      <w:b w:val="0"/>
                      <w:bCs w:val="0"/>
                      <w:color w:val="auto"/>
                      <w:sz w:val="21"/>
                      <w:szCs w:val="21"/>
                      <w:highlight w:val="none"/>
                      <w:lang w:val="en-US" w:eastAsia="zh-CN"/>
                    </w:rPr>
                  </w:pPr>
                  <w:r>
                    <w:rPr>
                      <w:rFonts w:hint="eastAsia" w:ascii="Times New Roman" w:cs="Times New Roman"/>
                      <w:b w:val="0"/>
                      <w:bCs w:val="0"/>
                      <w:color w:val="auto"/>
                      <w:sz w:val="21"/>
                      <w:szCs w:val="21"/>
                      <w:highlight w:val="none"/>
                      <w:lang w:val="en-US" w:eastAsia="zh-CN"/>
                    </w:rPr>
                    <w:t>/</w:t>
                  </w:r>
                </w:p>
              </w:tc>
              <w:tc>
                <w:tcPr>
                  <w:tcW w:w="257" w:type="pct"/>
                  <w:noWrap w:val="0"/>
                  <w:vAlign w:val="center"/>
                </w:tcPr>
                <w:p>
                  <w:pPr>
                    <w:pStyle w:val="16"/>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806" w:type="dxa"/>
                  <w:noWrap w:val="0"/>
                  <w:vAlign w:val="center"/>
                </w:tcPr>
                <w:p>
                  <w:pPr>
                    <w:pStyle w:val="48"/>
                    <w:bidi w:val="0"/>
                    <w:ind w:firstLine="0" w:firstLineChars="0"/>
                    <w:rPr>
                      <w:rFonts w:hint="default" w:ascii="Times New Roman" w:hAnsi="Times New Roman" w:cs="Times New Roman"/>
                      <w:color w:val="auto"/>
                      <w:kern w:val="0"/>
                      <w:sz w:val="21"/>
                      <w:szCs w:val="21"/>
                      <w:highlight w:val="none"/>
                      <w:lang w:val="en-US" w:eastAsia="zh-CN" w:bidi="ar-SA"/>
                    </w:rPr>
                  </w:pPr>
                  <w:r>
                    <w:rPr>
                      <w:rFonts w:hint="eastAsia" w:ascii="Times New Roman" w:cs="Times New Roman"/>
                      <w:color w:val="auto"/>
                      <w:sz w:val="21"/>
                      <w:szCs w:val="21"/>
                      <w:highlight w:val="none"/>
                      <w:lang w:val="en-US" w:eastAsia="zh-CN"/>
                    </w:rPr>
                    <w:t>0.003</w:t>
                  </w:r>
                </w:p>
              </w:tc>
              <w:tc>
                <w:tcPr>
                  <w:tcW w:w="917" w:type="dxa"/>
                  <w:noWrap w:val="0"/>
                  <w:vAlign w:val="center"/>
                </w:tcPr>
                <w:p>
                  <w:pPr>
                    <w:pStyle w:val="48"/>
                    <w:bidi w:val="0"/>
                    <w:ind w:firstLine="0" w:firstLineChars="0"/>
                    <w:rPr>
                      <w:rFonts w:hint="default" w:ascii="Times New Roman" w:hAnsi="Times New Roman" w:cs="Times New Roman"/>
                      <w:color w:val="auto"/>
                      <w:kern w:val="0"/>
                      <w:sz w:val="21"/>
                      <w:szCs w:val="21"/>
                      <w:highlight w:val="none"/>
                      <w:lang w:val="en-US" w:eastAsia="zh-CN" w:bidi="ar-SA"/>
                    </w:rPr>
                  </w:pPr>
                  <w:r>
                    <w:rPr>
                      <w:rFonts w:hint="eastAsia" w:ascii="Times New Roman" w:cs="Times New Roman"/>
                      <w:color w:val="auto"/>
                      <w:kern w:val="0"/>
                      <w:sz w:val="21"/>
                      <w:szCs w:val="21"/>
                      <w:highlight w:val="none"/>
                      <w:lang w:val="en-US" w:eastAsia="zh-CN" w:bidi="ar-SA"/>
                    </w:rPr>
                    <w:t>0.0007</w:t>
                  </w:r>
                </w:p>
              </w:tc>
              <w:tc>
                <w:tcPr>
                  <w:tcW w:w="938" w:type="dxa"/>
                  <w:noWrap w:val="0"/>
                  <w:vAlign w:val="center"/>
                </w:tcPr>
                <w:p>
                  <w:pPr>
                    <w:pStyle w:val="48"/>
                    <w:bidi w:val="0"/>
                    <w:ind w:firstLine="0" w:firstLineChars="0"/>
                    <w:rPr>
                      <w:rFonts w:hint="eastAsia" w:ascii="Times New Roman" w:cs="Times New Roman"/>
                      <w:b w:val="0"/>
                      <w:bCs w:val="0"/>
                      <w:color w:val="auto"/>
                      <w:sz w:val="21"/>
                      <w:szCs w:val="21"/>
                      <w:highlight w:val="none"/>
                      <w:lang w:val="en-US" w:eastAsia="zh-CN"/>
                    </w:rPr>
                  </w:pPr>
                  <w:r>
                    <w:rPr>
                      <w:rFonts w:hint="eastAsia" w:ascii="Times New Roman" w:cs="Times New Roman"/>
                      <w:color w:val="auto"/>
                      <w:kern w:val="0"/>
                      <w:sz w:val="21"/>
                      <w:szCs w:val="21"/>
                      <w:highlight w:val="none"/>
                      <w:lang w:val="en-US" w:eastAsia="zh-CN" w:bidi="ar-SA"/>
                    </w:rPr>
                    <w:t>0.2</w:t>
                  </w:r>
                </w:p>
              </w:tc>
              <w:tc>
                <w:tcPr>
                  <w:tcW w:w="327"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eastAsia" w:cs="Times New Roman"/>
                      <w:b w:val="0"/>
                      <w:bCs w:val="0"/>
                      <w:color w:val="auto"/>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9" w:hRule="atLeast"/>
                <w:jc w:val="center"/>
              </w:trPr>
              <w:tc>
                <w:tcPr>
                  <w:tcW w:w="162" w:type="pct"/>
                  <w:vMerge w:val="continue"/>
                  <w:noWrap w:val="0"/>
                  <w:vAlign w:val="center"/>
                </w:tcPr>
                <w:p>
                  <w:pPr>
                    <w:pStyle w:val="48"/>
                    <w:bidi w:val="0"/>
                    <w:rPr>
                      <w:rFonts w:hint="default" w:ascii="Times New Roman" w:hAnsi="Times New Roman" w:cs="Times New Roman"/>
                      <w:b w:val="0"/>
                      <w:bCs w:val="0"/>
                      <w:color w:val="auto"/>
                      <w:sz w:val="21"/>
                      <w:szCs w:val="21"/>
                      <w:highlight w:val="none"/>
                      <w:lang w:val="en-US" w:eastAsia="zh-CN"/>
                    </w:rPr>
                  </w:pPr>
                </w:p>
              </w:tc>
              <w:tc>
                <w:tcPr>
                  <w:tcW w:w="163" w:type="pct"/>
                  <w:vMerge w:val="continue"/>
                  <w:noWrap w:val="0"/>
                  <w:vAlign w:val="center"/>
                </w:tcPr>
                <w:p>
                  <w:pPr>
                    <w:pStyle w:val="48"/>
                    <w:bidi w:val="0"/>
                    <w:rPr>
                      <w:rFonts w:hint="default" w:ascii="Times New Roman" w:hAnsi="Times New Roman" w:cs="Times New Roman"/>
                      <w:b w:val="0"/>
                      <w:bCs w:val="0"/>
                      <w:color w:val="auto"/>
                      <w:sz w:val="21"/>
                      <w:szCs w:val="21"/>
                      <w:highlight w:val="none"/>
                      <w:lang w:val="en-US" w:eastAsia="zh-CN"/>
                    </w:rPr>
                  </w:pPr>
                </w:p>
              </w:tc>
              <w:tc>
                <w:tcPr>
                  <w:tcW w:w="250" w:type="pct"/>
                  <w:noWrap w:val="0"/>
                  <w:vAlign w:val="center"/>
                </w:tcPr>
                <w:p>
                  <w:pPr>
                    <w:pStyle w:val="48"/>
                    <w:bidi w:val="0"/>
                    <w:rPr>
                      <w:rFonts w:hint="default"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氮氧化物</w:t>
                  </w:r>
                </w:p>
              </w:tc>
              <w:tc>
                <w:tcPr>
                  <w:tcW w:w="255" w:type="pct"/>
                  <w:vMerge w:val="continue"/>
                  <w:noWrap w:val="0"/>
                  <w:vAlign w:val="center"/>
                </w:tcPr>
                <w:p>
                  <w:pPr>
                    <w:pStyle w:val="48"/>
                    <w:bidi w:val="0"/>
                    <w:ind w:firstLine="0" w:firstLineChars="0"/>
                    <w:rPr>
                      <w:rFonts w:hint="default" w:ascii="Times New Roman" w:hAnsi="Times New Roman" w:cs="Times New Roman"/>
                      <w:b w:val="0"/>
                      <w:bCs w:val="0"/>
                      <w:color w:val="auto"/>
                      <w:kern w:val="0"/>
                      <w:sz w:val="21"/>
                      <w:szCs w:val="21"/>
                      <w:highlight w:val="none"/>
                      <w:lang w:val="en-US" w:eastAsia="zh-CN" w:bidi="ar-SA"/>
                    </w:rPr>
                  </w:pPr>
                </w:p>
              </w:tc>
              <w:tc>
                <w:tcPr>
                  <w:tcW w:w="333" w:type="pct"/>
                  <w:noWrap w:val="0"/>
                  <w:vAlign w:val="center"/>
                </w:tcPr>
                <w:p>
                  <w:pPr>
                    <w:pStyle w:val="48"/>
                    <w:bidi w:val="0"/>
                    <w:ind w:firstLine="0" w:firstLineChars="0"/>
                    <w:rPr>
                      <w:rFonts w:hint="default" w:ascii="Times New Roman" w:hAnsi="Times New Roman" w:cs="Times New Roman"/>
                      <w:b w:val="0"/>
                      <w:bCs w:val="0"/>
                      <w:color w:val="auto"/>
                      <w:sz w:val="21"/>
                      <w:szCs w:val="21"/>
                      <w:highlight w:val="none"/>
                      <w:lang w:val="en-US" w:eastAsia="zh-CN"/>
                    </w:rPr>
                  </w:pPr>
                  <w:r>
                    <w:rPr>
                      <w:rFonts w:hint="eastAsia" w:ascii="Times New Roman" w:cs="Times New Roman"/>
                      <w:b w:val="0"/>
                      <w:bCs w:val="0"/>
                      <w:color w:val="auto"/>
                      <w:sz w:val="21"/>
                      <w:szCs w:val="21"/>
                      <w:highlight w:val="none"/>
                      <w:lang w:val="en-US" w:eastAsia="zh-CN"/>
                    </w:rPr>
                    <w:t>1.0456</w:t>
                  </w:r>
                </w:p>
              </w:tc>
              <w:tc>
                <w:tcPr>
                  <w:tcW w:w="374" w:type="pct"/>
                  <w:noWrap w:val="0"/>
                  <w:vAlign w:val="center"/>
                </w:tcPr>
                <w:p>
                  <w:pPr>
                    <w:pStyle w:val="48"/>
                    <w:bidi w:val="0"/>
                    <w:ind w:firstLine="0" w:firstLineChars="0"/>
                    <w:rPr>
                      <w:rFonts w:hint="default" w:ascii="Times New Roman" w:hAnsi="Times New Roman" w:cs="Times New Roman"/>
                      <w:b w:val="0"/>
                      <w:bCs w:val="0"/>
                      <w:color w:val="auto"/>
                      <w:sz w:val="21"/>
                      <w:szCs w:val="21"/>
                      <w:highlight w:val="none"/>
                      <w:lang w:val="en-US" w:eastAsia="zh-CN"/>
                    </w:rPr>
                  </w:pPr>
                  <w:r>
                    <w:rPr>
                      <w:rFonts w:hint="eastAsia" w:ascii="Times New Roman" w:cs="Times New Roman"/>
                      <w:b w:val="0"/>
                      <w:bCs w:val="0"/>
                      <w:color w:val="auto"/>
                      <w:sz w:val="21"/>
                      <w:szCs w:val="21"/>
                      <w:highlight w:val="none"/>
                      <w:lang w:val="en-US" w:eastAsia="zh-CN"/>
                    </w:rPr>
                    <w:t>0.2394</w:t>
                  </w:r>
                </w:p>
              </w:tc>
              <w:tc>
                <w:tcPr>
                  <w:tcW w:w="379" w:type="pct"/>
                  <w:noWrap w:val="0"/>
                  <w:vAlign w:val="center"/>
                </w:tcPr>
                <w:p>
                  <w:pPr>
                    <w:pStyle w:val="48"/>
                    <w:bidi w:val="0"/>
                    <w:ind w:firstLine="0" w:firstLineChars="0"/>
                    <w:rPr>
                      <w:rFonts w:hint="default" w:ascii="Times New Roman" w:hAnsi="Times New Roman" w:cs="Times New Roman"/>
                      <w:b w:val="0"/>
                      <w:bCs w:val="0"/>
                      <w:color w:val="auto"/>
                      <w:sz w:val="21"/>
                      <w:szCs w:val="21"/>
                      <w:highlight w:val="none"/>
                      <w:lang w:val="en-US" w:eastAsia="zh-CN"/>
                    </w:rPr>
                  </w:pPr>
                  <w:r>
                    <w:rPr>
                      <w:rFonts w:hint="eastAsia" w:ascii="Times New Roman" w:cs="Times New Roman"/>
                      <w:b w:val="0"/>
                      <w:bCs w:val="0"/>
                      <w:color w:val="auto"/>
                      <w:sz w:val="21"/>
                      <w:szCs w:val="21"/>
                      <w:highlight w:val="none"/>
                      <w:lang w:val="en-US" w:eastAsia="zh-CN"/>
                    </w:rPr>
                    <w:t>64.7</w:t>
                  </w:r>
                </w:p>
              </w:tc>
              <w:tc>
                <w:tcPr>
                  <w:tcW w:w="532" w:type="pct"/>
                  <w:vMerge w:val="continue"/>
                  <w:noWrap w:val="0"/>
                  <w:vAlign w:val="center"/>
                </w:tcPr>
                <w:p>
                  <w:pPr>
                    <w:pStyle w:val="48"/>
                    <w:bidi w:val="0"/>
                    <w:ind w:firstLine="0" w:firstLineChars="0"/>
                    <w:rPr>
                      <w:rFonts w:hint="default" w:ascii="Times New Roman" w:hAnsi="Times New Roman" w:cs="Times New Roman"/>
                      <w:b w:val="0"/>
                      <w:bCs w:val="0"/>
                      <w:color w:val="auto"/>
                      <w:sz w:val="21"/>
                      <w:szCs w:val="21"/>
                      <w:highlight w:val="none"/>
                      <w:lang w:val="en-US" w:eastAsia="zh-CN"/>
                    </w:rPr>
                  </w:pPr>
                </w:p>
              </w:tc>
              <w:tc>
                <w:tcPr>
                  <w:tcW w:w="377" w:type="pct"/>
                  <w:vMerge w:val="continue"/>
                  <w:noWrap w:val="0"/>
                  <w:vAlign w:val="center"/>
                </w:tcPr>
                <w:p>
                  <w:pPr>
                    <w:pStyle w:val="48"/>
                    <w:bidi w:val="0"/>
                    <w:ind w:firstLine="0" w:firstLineChars="0"/>
                    <w:rPr>
                      <w:rFonts w:hint="default" w:ascii="Times New Roman" w:hAnsi="Times New Roman" w:cs="Times New Roman"/>
                      <w:b w:val="0"/>
                      <w:bCs w:val="0"/>
                      <w:color w:val="auto"/>
                      <w:sz w:val="21"/>
                      <w:szCs w:val="21"/>
                      <w:highlight w:val="none"/>
                      <w:lang w:val="en-US" w:eastAsia="zh-CN"/>
                    </w:rPr>
                  </w:pPr>
                </w:p>
              </w:tc>
              <w:tc>
                <w:tcPr>
                  <w:tcW w:w="300" w:type="pct"/>
                  <w:noWrap w:val="0"/>
                  <w:vAlign w:val="center"/>
                </w:tcPr>
                <w:p>
                  <w:pPr>
                    <w:pStyle w:val="48"/>
                    <w:bidi w:val="0"/>
                    <w:ind w:firstLine="0" w:firstLineChars="0"/>
                    <w:rPr>
                      <w:rFonts w:hint="default" w:ascii="Times New Roman" w:hAnsi="Times New Roman" w:cs="Times New Roman"/>
                      <w:b w:val="0"/>
                      <w:bCs w:val="0"/>
                      <w:color w:val="auto"/>
                      <w:sz w:val="21"/>
                      <w:szCs w:val="21"/>
                      <w:highlight w:val="none"/>
                      <w:lang w:val="en-US" w:eastAsia="zh-CN"/>
                    </w:rPr>
                  </w:pPr>
                  <w:r>
                    <w:rPr>
                      <w:rFonts w:hint="eastAsia" w:ascii="Times New Roman" w:cs="Times New Roman"/>
                      <w:b w:val="0"/>
                      <w:bCs w:val="0"/>
                      <w:color w:val="auto"/>
                      <w:sz w:val="21"/>
                      <w:szCs w:val="21"/>
                      <w:highlight w:val="none"/>
                      <w:lang w:val="en-US" w:eastAsia="zh-CN"/>
                    </w:rPr>
                    <w:t>100%</w:t>
                  </w:r>
                </w:p>
              </w:tc>
              <w:tc>
                <w:tcPr>
                  <w:tcW w:w="261" w:type="pct"/>
                  <w:noWrap w:val="0"/>
                  <w:vAlign w:val="center"/>
                </w:tcPr>
                <w:p>
                  <w:pPr>
                    <w:bidi w:val="0"/>
                    <w:ind w:firstLine="0" w:firstLineChars="0"/>
                    <w:jc w:val="center"/>
                    <w:rPr>
                      <w:rFonts w:hint="default" w:ascii="Times New Roman" w:hAnsi="Times New Roman" w:cs="Times New Roman"/>
                      <w:b w:val="0"/>
                      <w:bCs w:val="0"/>
                      <w:color w:val="auto"/>
                      <w:sz w:val="21"/>
                      <w:szCs w:val="21"/>
                      <w:highlight w:val="none"/>
                      <w:lang w:val="en-US" w:eastAsia="zh-CN"/>
                    </w:rPr>
                  </w:pPr>
                  <w:r>
                    <w:rPr>
                      <w:rFonts w:hint="eastAsia" w:ascii="Times New Roman" w:cs="Times New Roman"/>
                      <w:b w:val="0"/>
                      <w:bCs w:val="0"/>
                      <w:color w:val="auto"/>
                      <w:sz w:val="21"/>
                      <w:szCs w:val="21"/>
                      <w:highlight w:val="none"/>
                      <w:lang w:val="en-US" w:eastAsia="zh-CN"/>
                    </w:rPr>
                    <w:t>/</w:t>
                  </w:r>
                </w:p>
              </w:tc>
              <w:tc>
                <w:tcPr>
                  <w:tcW w:w="257" w:type="pct"/>
                  <w:noWrap w:val="0"/>
                  <w:vAlign w:val="center"/>
                </w:tcPr>
                <w:p>
                  <w:pPr>
                    <w:pStyle w:val="16"/>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是</w:t>
                  </w:r>
                </w:p>
              </w:tc>
              <w:tc>
                <w:tcPr>
                  <w:tcW w:w="806" w:type="dxa"/>
                  <w:noWrap w:val="0"/>
                  <w:vAlign w:val="center"/>
                </w:tcPr>
                <w:p>
                  <w:pPr>
                    <w:pStyle w:val="48"/>
                    <w:bidi w:val="0"/>
                    <w:ind w:firstLine="0" w:firstLineChars="0"/>
                    <w:rPr>
                      <w:rFonts w:hint="default" w:ascii="Times New Roman" w:hAnsi="Times New Roman" w:cs="Times New Roman"/>
                      <w:b w:val="0"/>
                      <w:bCs w:val="0"/>
                      <w:color w:val="auto"/>
                      <w:sz w:val="21"/>
                      <w:szCs w:val="21"/>
                      <w:highlight w:val="none"/>
                      <w:lang w:val="en-US" w:eastAsia="zh-CN"/>
                    </w:rPr>
                  </w:pPr>
                  <w:r>
                    <w:rPr>
                      <w:rFonts w:hint="eastAsia" w:ascii="Times New Roman" w:cs="Times New Roman"/>
                      <w:b w:val="0"/>
                      <w:bCs w:val="0"/>
                      <w:color w:val="auto"/>
                      <w:sz w:val="21"/>
                      <w:szCs w:val="21"/>
                      <w:highlight w:val="none"/>
                      <w:lang w:val="en-US" w:eastAsia="zh-CN"/>
                    </w:rPr>
                    <w:t>1.0456</w:t>
                  </w:r>
                </w:p>
              </w:tc>
              <w:tc>
                <w:tcPr>
                  <w:tcW w:w="917" w:type="dxa"/>
                  <w:noWrap w:val="0"/>
                  <w:vAlign w:val="center"/>
                </w:tcPr>
                <w:p>
                  <w:pPr>
                    <w:pStyle w:val="48"/>
                    <w:bidi w:val="0"/>
                    <w:ind w:firstLine="0" w:firstLineChars="0"/>
                    <w:rPr>
                      <w:rFonts w:hint="default" w:ascii="Times New Roman" w:hAnsi="Times New Roman" w:cs="Times New Roman"/>
                      <w:b w:val="0"/>
                      <w:bCs w:val="0"/>
                      <w:color w:val="auto"/>
                      <w:sz w:val="21"/>
                      <w:szCs w:val="21"/>
                      <w:highlight w:val="none"/>
                      <w:lang w:val="en-US" w:eastAsia="zh-CN"/>
                    </w:rPr>
                  </w:pPr>
                  <w:r>
                    <w:rPr>
                      <w:rFonts w:hint="eastAsia" w:ascii="Times New Roman" w:cs="Times New Roman"/>
                      <w:b w:val="0"/>
                      <w:bCs w:val="0"/>
                      <w:color w:val="auto"/>
                      <w:sz w:val="21"/>
                      <w:szCs w:val="21"/>
                      <w:highlight w:val="none"/>
                      <w:lang w:val="en-US" w:eastAsia="zh-CN"/>
                    </w:rPr>
                    <w:t>0.2394</w:t>
                  </w:r>
                </w:p>
              </w:tc>
              <w:tc>
                <w:tcPr>
                  <w:tcW w:w="938" w:type="dxa"/>
                  <w:noWrap w:val="0"/>
                  <w:vAlign w:val="center"/>
                </w:tcPr>
                <w:p>
                  <w:pPr>
                    <w:pStyle w:val="48"/>
                    <w:bidi w:val="0"/>
                    <w:ind w:firstLine="0" w:firstLineChars="0"/>
                    <w:rPr>
                      <w:rFonts w:hint="default" w:ascii="Times New Roman" w:hAnsi="Times New Roman" w:cs="Times New Roman"/>
                      <w:b w:val="0"/>
                      <w:bCs w:val="0"/>
                      <w:color w:val="auto"/>
                      <w:sz w:val="21"/>
                      <w:szCs w:val="21"/>
                      <w:highlight w:val="none"/>
                      <w:lang w:val="en-US" w:eastAsia="zh-CN"/>
                    </w:rPr>
                  </w:pPr>
                  <w:r>
                    <w:rPr>
                      <w:rFonts w:hint="eastAsia" w:ascii="Times New Roman" w:cs="Times New Roman"/>
                      <w:b w:val="0"/>
                      <w:bCs w:val="0"/>
                      <w:color w:val="auto"/>
                      <w:sz w:val="21"/>
                      <w:szCs w:val="21"/>
                      <w:highlight w:val="none"/>
                      <w:lang w:val="en-US" w:eastAsia="zh-CN"/>
                    </w:rPr>
                    <w:t>64.7</w:t>
                  </w:r>
                </w:p>
              </w:tc>
              <w:tc>
                <w:tcPr>
                  <w:tcW w:w="327"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9" w:hRule="atLeast"/>
                <w:jc w:val="center"/>
              </w:trPr>
              <w:tc>
                <w:tcPr>
                  <w:tcW w:w="162" w:type="pct"/>
                  <w:vMerge w:val="continue"/>
                  <w:noWrap w:val="0"/>
                  <w:vAlign w:val="center"/>
                </w:tcPr>
                <w:p>
                  <w:pPr>
                    <w:pStyle w:val="48"/>
                    <w:bidi w:val="0"/>
                    <w:rPr>
                      <w:rFonts w:hint="default" w:ascii="Times New Roman" w:hAnsi="Times New Roman" w:cs="Times New Roman"/>
                      <w:b w:val="0"/>
                      <w:bCs w:val="0"/>
                      <w:color w:val="auto"/>
                      <w:sz w:val="21"/>
                      <w:szCs w:val="21"/>
                      <w:highlight w:val="none"/>
                      <w:lang w:val="en-US" w:eastAsia="zh-CN"/>
                    </w:rPr>
                  </w:pPr>
                </w:p>
              </w:tc>
              <w:tc>
                <w:tcPr>
                  <w:tcW w:w="163" w:type="pct"/>
                  <w:vMerge w:val="continue"/>
                  <w:noWrap w:val="0"/>
                  <w:vAlign w:val="center"/>
                </w:tcPr>
                <w:p>
                  <w:pPr>
                    <w:pStyle w:val="48"/>
                    <w:bidi w:val="0"/>
                    <w:rPr>
                      <w:rFonts w:hint="default" w:ascii="Times New Roman" w:hAnsi="Times New Roman" w:cs="Times New Roman"/>
                      <w:b w:val="0"/>
                      <w:bCs w:val="0"/>
                      <w:color w:val="auto"/>
                      <w:sz w:val="21"/>
                      <w:szCs w:val="21"/>
                      <w:highlight w:val="none"/>
                      <w:lang w:val="en-US" w:eastAsia="zh-CN"/>
                    </w:rPr>
                  </w:pPr>
                </w:p>
              </w:tc>
              <w:tc>
                <w:tcPr>
                  <w:tcW w:w="250" w:type="pct"/>
                  <w:noWrap w:val="0"/>
                  <w:vAlign w:val="center"/>
                </w:tcPr>
                <w:p>
                  <w:pPr>
                    <w:pStyle w:val="48"/>
                    <w:bidi w:val="0"/>
                    <w:rPr>
                      <w:rFonts w:hint="default" w:ascii="Times New Roman" w:hAnsi="Times New Roman" w:cs="Times New Roman"/>
                      <w:b w:val="0"/>
                      <w:bCs w:val="0"/>
                      <w:color w:val="auto"/>
                      <w:sz w:val="21"/>
                      <w:szCs w:val="21"/>
                      <w:highlight w:val="none"/>
                      <w:lang w:val="en-US" w:eastAsia="zh-CN"/>
                    </w:rPr>
                  </w:pPr>
                  <w:r>
                    <w:rPr>
                      <w:rFonts w:hint="eastAsia" w:ascii="Times New Roman" w:cs="Times New Roman"/>
                      <w:b w:val="0"/>
                      <w:bCs w:val="0"/>
                      <w:color w:val="auto"/>
                      <w:sz w:val="21"/>
                      <w:szCs w:val="21"/>
                      <w:highlight w:val="none"/>
                      <w:lang w:val="en-US" w:eastAsia="zh-CN"/>
                    </w:rPr>
                    <w:t>烟气黑度</w:t>
                  </w:r>
                </w:p>
              </w:tc>
              <w:tc>
                <w:tcPr>
                  <w:tcW w:w="255" w:type="pct"/>
                  <w:vMerge w:val="continue"/>
                  <w:noWrap w:val="0"/>
                  <w:vAlign w:val="center"/>
                </w:tcPr>
                <w:p>
                  <w:pPr>
                    <w:pStyle w:val="48"/>
                    <w:bidi w:val="0"/>
                    <w:ind w:firstLine="0" w:firstLineChars="0"/>
                    <w:rPr>
                      <w:rFonts w:hint="default" w:ascii="Times New Roman" w:hAnsi="Times New Roman" w:cs="Times New Roman"/>
                      <w:b w:val="0"/>
                      <w:bCs w:val="0"/>
                      <w:color w:val="auto"/>
                      <w:kern w:val="0"/>
                      <w:sz w:val="21"/>
                      <w:szCs w:val="21"/>
                      <w:highlight w:val="none"/>
                      <w:lang w:val="en-US" w:eastAsia="zh-CN" w:bidi="ar-SA"/>
                    </w:rPr>
                  </w:pPr>
                </w:p>
              </w:tc>
              <w:tc>
                <w:tcPr>
                  <w:tcW w:w="1087" w:type="pct"/>
                  <w:gridSpan w:val="3"/>
                  <w:noWrap w:val="0"/>
                  <w:vAlign w:val="center"/>
                </w:tcPr>
                <w:p>
                  <w:pPr>
                    <w:pStyle w:val="48"/>
                    <w:bidi w:val="0"/>
                    <w:ind w:firstLine="0" w:firstLineChars="0"/>
                    <w:rPr>
                      <w:rFonts w:hint="default" w:ascii="Times New Roman"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≤1.0（林格曼黑度，级）</w:t>
                  </w:r>
                </w:p>
              </w:tc>
              <w:tc>
                <w:tcPr>
                  <w:tcW w:w="532" w:type="pct"/>
                  <w:vMerge w:val="continue"/>
                  <w:noWrap w:val="0"/>
                  <w:vAlign w:val="center"/>
                </w:tcPr>
                <w:p>
                  <w:pPr>
                    <w:pStyle w:val="48"/>
                    <w:bidi w:val="0"/>
                    <w:ind w:firstLine="0" w:firstLineChars="0"/>
                    <w:rPr>
                      <w:rFonts w:hint="default" w:ascii="Times New Roman" w:hAnsi="Times New Roman" w:cs="Times New Roman"/>
                      <w:b w:val="0"/>
                      <w:bCs w:val="0"/>
                      <w:color w:val="auto"/>
                      <w:sz w:val="21"/>
                      <w:szCs w:val="21"/>
                      <w:highlight w:val="none"/>
                      <w:lang w:val="en-US" w:eastAsia="zh-CN"/>
                    </w:rPr>
                  </w:pPr>
                </w:p>
              </w:tc>
              <w:tc>
                <w:tcPr>
                  <w:tcW w:w="377" w:type="pct"/>
                  <w:vMerge w:val="continue"/>
                  <w:noWrap w:val="0"/>
                  <w:vAlign w:val="center"/>
                </w:tcPr>
                <w:p>
                  <w:pPr>
                    <w:pStyle w:val="48"/>
                    <w:bidi w:val="0"/>
                    <w:ind w:firstLine="0" w:firstLineChars="0"/>
                    <w:rPr>
                      <w:rFonts w:hint="default" w:ascii="Times New Roman" w:hAnsi="Times New Roman" w:cs="Times New Roman"/>
                      <w:b w:val="0"/>
                      <w:bCs w:val="0"/>
                      <w:color w:val="auto"/>
                      <w:sz w:val="21"/>
                      <w:szCs w:val="21"/>
                      <w:highlight w:val="none"/>
                      <w:lang w:val="en-US" w:eastAsia="zh-CN"/>
                    </w:rPr>
                  </w:pPr>
                </w:p>
              </w:tc>
              <w:tc>
                <w:tcPr>
                  <w:tcW w:w="300" w:type="pct"/>
                  <w:noWrap w:val="0"/>
                  <w:vAlign w:val="center"/>
                </w:tcPr>
                <w:p>
                  <w:pPr>
                    <w:pStyle w:val="48"/>
                    <w:bidi w:val="0"/>
                    <w:ind w:firstLine="0" w:firstLineChars="0"/>
                    <w:rPr>
                      <w:rFonts w:hint="eastAsia" w:ascii="Times New Roman"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100%</w:t>
                  </w:r>
                </w:p>
              </w:tc>
              <w:tc>
                <w:tcPr>
                  <w:tcW w:w="261" w:type="pct"/>
                  <w:noWrap w:val="0"/>
                  <w:vAlign w:val="center"/>
                </w:tcPr>
                <w:p>
                  <w:pPr>
                    <w:bidi w:val="0"/>
                    <w:ind w:firstLine="0" w:firstLineChars="0"/>
                    <w:jc w:val="center"/>
                    <w:rPr>
                      <w:rFonts w:hint="eastAsia" w:ascii="Times New Roman" w:cs="Times New Roman"/>
                      <w:b w:val="0"/>
                      <w:bCs w:val="0"/>
                      <w:color w:val="auto"/>
                      <w:sz w:val="21"/>
                      <w:szCs w:val="21"/>
                      <w:highlight w:val="none"/>
                      <w:lang w:val="en-US" w:eastAsia="zh-CN"/>
                    </w:rPr>
                  </w:pPr>
                  <w:r>
                    <w:rPr>
                      <w:rFonts w:hint="eastAsia" w:ascii="Times New Roman" w:cs="Times New Roman"/>
                      <w:b w:val="0"/>
                      <w:bCs w:val="0"/>
                      <w:color w:val="auto"/>
                      <w:sz w:val="21"/>
                      <w:szCs w:val="21"/>
                      <w:highlight w:val="none"/>
                      <w:lang w:val="en-US" w:eastAsia="zh-CN"/>
                    </w:rPr>
                    <w:t>/</w:t>
                  </w:r>
                </w:p>
              </w:tc>
              <w:tc>
                <w:tcPr>
                  <w:tcW w:w="257" w:type="pct"/>
                  <w:noWrap w:val="0"/>
                  <w:vAlign w:val="center"/>
                </w:tcPr>
                <w:p>
                  <w:pPr>
                    <w:pStyle w:val="16"/>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1023" w:type="pct"/>
                  <w:gridSpan w:val="3"/>
                  <w:noWrap w:val="0"/>
                  <w:vAlign w:val="center"/>
                </w:tcPr>
                <w:p>
                  <w:pPr>
                    <w:pStyle w:val="48"/>
                    <w:bidi w:val="0"/>
                    <w:ind w:firstLine="0" w:firstLineChars="0"/>
                    <w:rPr>
                      <w:rFonts w:hint="eastAsia" w:ascii="Times New Roman" w:cs="Times New Roman"/>
                      <w:b w:val="0"/>
                      <w:bCs w:val="0"/>
                      <w:color w:val="auto"/>
                      <w:sz w:val="21"/>
                      <w:szCs w:val="21"/>
                      <w:highlight w:val="none"/>
                      <w:lang w:val="en-US" w:eastAsia="zh-CN"/>
                    </w:rPr>
                  </w:pPr>
                  <w:r>
                    <w:rPr>
                      <w:rFonts w:hint="default" w:ascii="Times New Roman" w:hAnsi="Times New Roman" w:cs="Times New Roman"/>
                      <w:b w:val="0"/>
                      <w:bCs w:val="0"/>
                      <w:color w:val="auto"/>
                      <w:sz w:val="21"/>
                      <w:szCs w:val="21"/>
                      <w:highlight w:val="none"/>
                      <w:lang w:val="en-US" w:eastAsia="zh-CN"/>
                    </w:rPr>
                    <w:t>≤1.0（林格曼黑度，级）</w:t>
                  </w:r>
                </w:p>
              </w:tc>
              <w:tc>
                <w:tcPr>
                  <w:tcW w:w="327" w:type="pct"/>
                  <w:vMerge w:val="continue"/>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8" w:hRule="atLeast"/>
                <w:jc w:val="center"/>
              </w:trPr>
              <w:tc>
                <w:tcPr>
                  <w:tcW w:w="162" w:type="pct"/>
                  <w:vMerge w:val="restart"/>
                  <w:noWrap w:val="0"/>
                  <w:vAlign w:val="center"/>
                </w:tcPr>
                <w:p>
                  <w:pPr>
                    <w:pStyle w:val="48"/>
                    <w:bidi w:val="0"/>
                    <w:rPr>
                      <w:rFonts w:hint="default" w:ascii="Times New Roman" w:hAnsi="Times New Roman" w:cs="Times New Roman"/>
                      <w:b w:val="0"/>
                      <w:bCs w:val="0"/>
                      <w:color w:val="auto"/>
                      <w:sz w:val="21"/>
                      <w:szCs w:val="21"/>
                      <w:highlight w:val="none"/>
                      <w:lang w:val="en-US" w:eastAsia="zh-CN"/>
                    </w:rPr>
                  </w:pPr>
                  <w:r>
                    <w:rPr>
                      <w:rFonts w:hint="eastAsia" w:ascii="Times New Roman" w:cs="Times New Roman"/>
                      <w:b w:val="0"/>
                      <w:bCs w:val="0"/>
                      <w:color w:val="auto"/>
                      <w:sz w:val="21"/>
                      <w:szCs w:val="21"/>
                      <w:highlight w:val="none"/>
                      <w:lang w:val="en-US" w:eastAsia="zh-CN"/>
                    </w:rPr>
                    <w:t>2</w:t>
                  </w:r>
                </w:p>
              </w:tc>
              <w:tc>
                <w:tcPr>
                  <w:tcW w:w="163" w:type="pct"/>
                  <w:vMerge w:val="restart"/>
                  <w:noWrap w:val="0"/>
                  <w:vAlign w:val="center"/>
                </w:tcPr>
                <w:p>
                  <w:pPr>
                    <w:pStyle w:val="48"/>
                    <w:bidi w:val="0"/>
                    <w:rPr>
                      <w:rFonts w:hint="default" w:ascii="Times New Roman" w:hAnsi="Times New Roman" w:cs="Times New Roman"/>
                      <w:b w:val="0"/>
                      <w:bCs w:val="0"/>
                      <w:color w:val="auto"/>
                      <w:sz w:val="21"/>
                      <w:szCs w:val="21"/>
                      <w:highlight w:val="none"/>
                      <w:lang w:val="en-US" w:eastAsia="zh-CN"/>
                    </w:rPr>
                  </w:pPr>
                  <w:r>
                    <w:rPr>
                      <w:rFonts w:hint="eastAsia" w:ascii="Times New Roman" w:cs="Times New Roman"/>
                      <w:b w:val="0"/>
                      <w:bCs w:val="0"/>
                      <w:color w:val="auto"/>
                      <w:sz w:val="21"/>
                      <w:szCs w:val="21"/>
                      <w:highlight w:val="none"/>
                      <w:lang w:val="en-US" w:eastAsia="zh-CN"/>
                    </w:rPr>
                    <w:t>瓶胚预热废气</w:t>
                  </w:r>
                </w:p>
              </w:tc>
              <w:tc>
                <w:tcPr>
                  <w:tcW w:w="250" w:type="pct"/>
                  <w:vMerge w:val="restart"/>
                  <w:noWrap w:val="0"/>
                  <w:vAlign w:val="center"/>
                </w:tcPr>
                <w:p>
                  <w:pPr>
                    <w:pStyle w:val="48"/>
                    <w:bidi w:val="0"/>
                    <w:rPr>
                      <w:rFonts w:hint="default" w:ascii="Times New Roman" w:hAnsi="Times New Roman" w:cs="Times New Roman"/>
                      <w:b w:val="0"/>
                      <w:bCs w:val="0"/>
                      <w:color w:val="auto"/>
                      <w:sz w:val="21"/>
                      <w:szCs w:val="21"/>
                      <w:highlight w:val="none"/>
                      <w:lang w:val="en-US" w:eastAsia="zh-CN"/>
                    </w:rPr>
                  </w:pPr>
                  <w:r>
                    <w:rPr>
                      <w:rFonts w:hint="eastAsia" w:ascii="Times New Roman" w:cs="Times New Roman"/>
                      <w:b w:val="0"/>
                      <w:bCs w:val="0"/>
                      <w:color w:val="auto"/>
                      <w:sz w:val="21"/>
                      <w:szCs w:val="21"/>
                      <w:highlight w:val="none"/>
                      <w:lang w:val="en-US" w:eastAsia="zh-CN"/>
                    </w:rPr>
                    <w:t>非甲烷总烃</w:t>
                  </w:r>
                </w:p>
              </w:tc>
              <w:tc>
                <w:tcPr>
                  <w:tcW w:w="255" w:type="pct"/>
                  <w:noWrap w:val="0"/>
                  <w:vAlign w:val="center"/>
                </w:tcPr>
                <w:p>
                  <w:pPr>
                    <w:pStyle w:val="48"/>
                    <w:bidi w:val="0"/>
                    <w:ind w:firstLine="0" w:firstLineChars="0"/>
                    <w:rPr>
                      <w:rFonts w:hint="default" w:ascii="Times New Roman" w:hAnsi="Times New Roman" w:cs="Times New Roman"/>
                      <w:b w:val="0"/>
                      <w:bCs w:val="0"/>
                      <w:color w:val="auto"/>
                      <w:kern w:val="0"/>
                      <w:sz w:val="21"/>
                      <w:szCs w:val="21"/>
                      <w:highlight w:val="none"/>
                      <w:lang w:val="en-US" w:eastAsia="zh-CN" w:bidi="ar-SA"/>
                    </w:rPr>
                  </w:pPr>
                  <w:r>
                    <w:rPr>
                      <w:rFonts w:hint="eastAsia" w:ascii="Times New Roman" w:cs="Times New Roman"/>
                      <w:b w:val="0"/>
                      <w:bCs w:val="0"/>
                      <w:color w:val="auto"/>
                      <w:kern w:val="0"/>
                      <w:sz w:val="21"/>
                      <w:szCs w:val="21"/>
                      <w:highlight w:val="none"/>
                      <w:lang w:val="en-US" w:eastAsia="zh-CN" w:bidi="ar-SA"/>
                    </w:rPr>
                    <w:t>有组织</w:t>
                  </w:r>
                </w:p>
              </w:tc>
              <w:tc>
                <w:tcPr>
                  <w:tcW w:w="333" w:type="pct"/>
                  <w:noWrap w:val="0"/>
                  <w:vAlign w:val="center"/>
                </w:tcPr>
                <w:p>
                  <w:pPr>
                    <w:pStyle w:val="48"/>
                    <w:bidi w:val="0"/>
                    <w:ind w:firstLine="0" w:firstLineChars="0"/>
                    <w:rPr>
                      <w:rFonts w:hint="default" w:ascii="Times New Roman"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3.445</w:t>
                  </w:r>
                </w:p>
              </w:tc>
              <w:tc>
                <w:tcPr>
                  <w:tcW w:w="374" w:type="pct"/>
                  <w:noWrap w:val="0"/>
                  <w:vAlign w:val="center"/>
                </w:tcPr>
                <w:p>
                  <w:pPr>
                    <w:pStyle w:val="48"/>
                    <w:bidi w:val="0"/>
                    <w:ind w:firstLine="0" w:firstLineChars="0"/>
                    <w:rPr>
                      <w:rFonts w:hint="default" w:ascii="Times New Roman" w:cs="Times New Roman"/>
                      <w:b w:val="0"/>
                      <w:bCs w:val="0"/>
                      <w:color w:val="auto"/>
                      <w:sz w:val="21"/>
                      <w:szCs w:val="21"/>
                      <w:highlight w:val="none"/>
                      <w:lang w:val="en-US" w:eastAsia="zh-CN"/>
                    </w:rPr>
                  </w:pPr>
                  <w:r>
                    <w:rPr>
                      <w:rFonts w:hint="eastAsia" w:ascii="Times New Roman" w:cs="Times New Roman"/>
                      <w:b w:val="0"/>
                      <w:bCs w:val="0"/>
                      <w:color w:val="auto"/>
                      <w:sz w:val="21"/>
                      <w:szCs w:val="21"/>
                      <w:highlight w:val="none"/>
                      <w:lang w:val="en-US" w:eastAsia="zh-CN"/>
                    </w:rPr>
                    <w:t>0.7887</w:t>
                  </w:r>
                </w:p>
              </w:tc>
              <w:tc>
                <w:tcPr>
                  <w:tcW w:w="379" w:type="pct"/>
                  <w:noWrap w:val="0"/>
                  <w:vAlign w:val="center"/>
                </w:tcPr>
                <w:p>
                  <w:pPr>
                    <w:pStyle w:val="48"/>
                    <w:bidi w:val="0"/>
                    <w:ind w:firstLine="0" w:firstLineChars="0"/>
                    <w:rPr>
                      <w:rFonts w:hint="default" w:ascii="Times New Roman" w:cs="Times New Roman"/>
                      <w:b w:val="0"/>
                      <w:bCs w:val="0"/>
                      <w:color w:val="auto"/>
                      <w:sz w:val="21"/>
                      <w:szCs w:val="21"/>
                      <w:highlight w:val="none"/>
                      <w:lang w:val="en-US" w:eastAsia="zh-CN"/>
                    </w:rPr>
                  </w:pPr>
                  <w:r>
                    <w:rPr>
                      <w:rFonts w:hint="eastAsia" w:ascii="Times New Roman" w:cs="Times New Roman"/>
                      <w:b w:val="0"/>
                      <w:bCs w:val="0"/>
                      <w:color w:val="auto"/>
                      <w:sz w:val="21"/>
                      <w:szCs w:val="21"/>
                      <w:highlight w:val="none"/>
                      <w:lang w:val="en-US" w:eastAsia="zh-CN"/>
                    </w:rPr>
                    <w:t>52.58</w:t>
                  </w:r>
                </w:p>
              </w:tc>
              <w:tc>
                <w:tcPr>
                  <w:tcW w:w="532" w:type="pct"/>
                  <w:noWrap w:val="0"/>
                  <w:vAlign w:val="center"/>
                </w:tcPr>
                <w:p>
                  <w:pPr>
                    <w:pStyle w:val="48"/>
                    <w:bidi w:val="0"/>
                    <w:ind w:firstLine="0" w:firstLineChars="0"/>
                    <w:rPr>
                      <w:rFonts w:hint="default" w:ascii="Times New Roman" w:hAnsi="Times New Roman" w:cs="Times New Roman"/>
                      <w:b w:val="0"/>
                      <w:bCs w:val="0"/>
                      <w:color w:val="auto"/>
                      <w:sz w:val="21"/>
                      <w:szCs w:val="21"/>
                      <w:highlight w:val="none"/>
                      <w:lang w:val="en-US" w:eastAsia="zh-CN"/>
                    </w:rPr>
                  </w:pPr>
                  <w:r>
                    <w:rPr>
                      <w:rFonts w:hint="eastAsia" w:ascii="Times New Roman" w:cs="Times New Roman"/>
                      <w:b w:val="0"/>
                      <w:bCs w:val="0"/>
                      <w:color w:val="auto"/>
                      <w:sz w:val="21"/>
                      <w:szCs w:val="21"/>
                      <w:highlight w:val="none"/>
                      <w:lang w:val="en-US" w:eastAsia="zh-CN"/>
                    </w:rPr>
                    <w:t>二级活性炭吸附+15m排气筒</w:t>
                  </w:r>
                </w:p>
              </w:tc>
              <w:tc>
                <w:tcPr>
                  <w:tcW w:w="377" w:type="pct"/>
                  <w:noWrap w:val="0"/>
                  <w:vAlign w:val="center"/>
                </w:tcPr>
                <w:p>
                  <w:pPr>
                    <w:pStyle w:val="48"/>
                    <w:bidi w:val="0"/>
                    <w:ind w:firstLine="0" w:firstLineChars="0"/>
                    <w:rPr>
                      <w:rFonts w:hint="default" w:ascii="Times New Roman" w:cs="Times New Roman"/>
                      <w:b w:val="0"/>
                      <w:bCs w:val="0"/>
                      <w:color w:val="auto"/>
                      <w:sz w:val="21"/>
                      <w:szCs w:val="21"/>
                      <w:highlight w:val="none"/>
                      <w:lang w:val="en-US" w:eastAsia="zh-CN"/>
                    </w:rPr>
                  </w:pPr>
                  <w:r>
                    <w:rPr>
                      <w:rFonts w:hint="eastAsia" w:ascii="Times New Roman" w:cs="Times New Roman"/>
                      <w:b w:val="0"/>
                      <w:bCs w:val="0"/>
                      <w:color w:val="auto"/>
                      <w:sz w:val="21"/>
                      <w:szCs w:val="21"/>
                      <w:highlight w:val="none"/>
                      <w:lang w:val="en-US" w:eastAsia="zh-CN"/>
                    </w:rPr>
                    <w:t>15000</w:t>
                  </w:r>
                </w:p>
              </w:tc>
              <w:tc>
                <w:tcPr>
                  <w:tcW w:w="300" w:type="pct"/>
                  <w:noWrap w:val="0"/>
                  <w:vAlign w:val="center"/>
                </w:tcPr>
                <w:p>
                  <w:pPr>
                    <w:pStyle w:val="48"/>
                    <w:bidi w:val="0"/>
                    <w:ind w:firstLine="0" w:firstLineChars="0"/>
                    <w:rPr>
                      <w:rFonts w:hint="default" w:ascii="Times New Roman" w:cs="Times New Roman"/>
                      <w:b w:val="0"/>
                      <w:bCs w:val="0"/>
                      <w:color w:val="auto"/>
                      <w:sz w:val="21"/>
                      <w:szCs w:val="21"/>
                      <w:highlight w:val="none"/>
                      <w:lang w:val="en-US" w:eastAsia="zh-CN"/>
                    </w:rPr>
                  </w:pPr>
                  <w:r>
                    <w:rPr>
                      <w:rFonts w:hint="eastAsia" w:ascii="Times New Roman" w:cs="Times New Roman"/>
                      <w:b w:val="0"/>
                      <w:bCs w:val="0"/>
                      <w:color w:val="auto"/>
                      <w:sz w:val="21"/>
                      <w:szCs w:val="21"/>
                      <w:highlight w:val="none"/>
                      <w:lang w:val="en-US" w:eastAsia="zh-CN"/>
                    </w:rPr>
                    <w:t>80%</w:t>
                  </w:r>
                </w:p>
              </w:tc>
              <w:tc>
                <w:tcPr>
                  <w:tcW w:w="261" w:type="pct"/>
                  <w:noWrap w:val="0"/>
                  <w:vAlign w:val="center"/>
                </w:tcPr>
                <w:p>
                  <w:pPr>
                    <w:pStyle w:val="48"/>
                    <w:bidi w:val="0"/>
                    <w:ind w:firstLine="0" w:firstLineChars="0"/>
                    <w:rPr>
                      <w:rFonts w:hint="default" w:ascii="Times New Roman" w:cs="Times New Roman"/>
                      <w:b w:val="0"/>
                      <w:bCs w:val="0"/>
                      <w:color w:val="auto"/>
                      <w:sz w:val="21"/>
                      <w:szCs w:val="21"/>
                      <w:highlight w:val="none"/>
                      <w:lang w:val="en-US" w:eastAsia="zh-CN"/>
                    </w:rPr>
                  </w:pPr>
                  <w:r>
                    <w:rPr>
                      <w:rFonts w:hint="eastAsia" w:ascii="Times New Roman" w:cs="Times New Roman"/>
                      <w:b w:val="0"/>
                      <w:bCs w:val="0"/>
                      <w:color w:val="auto"/>
                      <w:sz w:val="21"/>
                      <w:szCs w:val="21"/>
                      <w:highlight w:val="none"/>
                      <w:lang w:val="en-US" w:eastAsia="zh-CN"/>
                    </w:rPr>
                    <w:t>70%</w:t>
                  </w:r>
                </w:p>
              </w:tc>
              <w:tc>
                <w:tcPr>
                  <w:tcW w:w="257" w:type="pct"/>
                  <w:noWrap w:val="0"/>
                  <w:vAlign w:val="center"/>
                </w:tcPr>
                <w:p>
                  <w:pPr>
                    <w:pStyle w:val="16"/>
                    <w:keepNext w:val="0"/>
                    <w:keepLines w:val="0"/>
                    <w:pageBreakBefore w:val="0"/>
                    <w:widowControl w:val="0"/>
                    <w:kinsoku/>
                    <w:wordWrap/>
                    <w:overflowPunct/>
                    <w:topLinePunct w:val="0"/>
                    <w:autoSpaceDE/>
                    <w:autoSpaceDN/>
                    <w:bidi w:val="0"/>
                    <w:adjustRightInd/>
                    <w:snapToGrid/>
                    <w:spacing w:line="240" w:lineRule="auto"/>
                    <w:ind w:left="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是</w:t>
                  </w:r>
                </w:p>
              </w:tc>
              <w:tc>
                <w:tcPr>
                  <w:tcW w:w="310" w:type="pct"/>
                  <w:noWrap w:val="0"/>
                  <w:vAlign w:val="center"/>
                </w:tcPr>
                <w:p>
                  <w:pPr>
                    <w:pStyle w:val="48"/>
                    <w:bidi w:val="0"/>
                    <w:ind w:firstLine="0" w:firstLineChars="0"/>
                    <w:rPr>
                      <w:rFonts w:hint="default" w:ascii="Times New Roman"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1.0335</w:t>
                  </w:r>
                </w:p>
              </w:tc>
              <w:tc>
                <w:tcPr>
                  <w:tcW w:w="352" w:type="pct"/>
                  <w:noWrap w:val="0"/>
                  <w:vAlign w:val="center"/>
                </w:tcPr>
                <w:p>
                  <w:pPr>
                    <w:pStyle w:val="48"/>
                    <w:bidi w:val="0"/>
                    <w:ind w:firstLine="0" w:firstLineChars="0"/>
                    <w:rPr>
                      <w:rFonts w:hint="default" w:ascii="Times New Roman" w:cs="Times New Roman"/>
                      <w:b w:val="0"/>
                      <w:bCs w:val="0"/>
                      <w:color w:val="auto"/>
                      <w:sz w:val="21"/>
                      <w:szCs w:val="21"/>
                      <w:highlight w:val="none"/>
                      <w:lang w:val="en-US" w:eastAsia="zh-CN"/>
                    </w:rPr>
                  </w:pPr>
                  <w:r>
                    <w:rPr>
                      <w:rFonts w:hint="eastAsia" w:ascii="Times New Roman" w:cs="Times New Roman"/>
                      <w:b w:val="0"/>
                      <w:bCs w:val="0"/>
                      <w:color w:val="auto"/>
                      <w:sz w:val="21"/>
                      <w:szCs w:val="21"/>
                      <w:highlight w:val="none"/>
                      <w:lang w:val="en-US" w:eastAsia="zh-CN"/>
                    </w:rPr>
                    <w:t>0.2366</w:t>
                  </w:r>
                </w:p>
              </w:tc>
              <w:tc>
                <w:tcPr>
                  <w:tcW w:w="360" w:type="pct"/>
                  <w:noWrap w:val="0"/>
                  <w:vAlign w:val="center"/>
                </w:tcPr>
                <w:p>
                  <w:pPr>
                    <w:pStyle w:val="48"/>
                    <w:bidi w:val="0"/>
                    <w:ind w:firstLine="0" w:firstLineChars="0"/>
                    <w:rPr>
                      <w:rFonts w:hint="default" w:ascii="Times New Roman" w:cs="Times New Roman"/>
                      <w:b w:val="0"/>
                      <w:bCs w:val="0"/>
                      <w:color w:val="auto"/>
                      <w:sz w:val="21"/>
                      <w:szCs w:val="21"/>
                      <w:highlight w:val="none"/>
                      <w:lang w:val="en-US" w:eastAsia="zh-CN"/>
                    </w:rPr>
                  </w:pPr>
                  <w:r>
                    <w:rPr>
                      <w:rFonts w:hint="eastAsia" w:ascii="Times New Roman" w:cs="Times New Roman"/>
                      <w:b w:val="0"/>
                      <w:bCs w:val="0"/>
                      <w:color w:val="auto"/>
                      <w:sz w:val="21"/>
                      <w:szCs w:val="21"/>
                      <w:highlight w:val="none"/>
                      <w:lang w:val="en-US" w:eastAsia="zh-CN"/>
                    </w:rPr>
                    <w:t>15.77</w:t>
                  </w:r>
                </w:p>
              </w:tc>
              <w:tc>
                <w:tcPr>
                  <w:tcW w:w="327"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DA002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730" w:hRule="atLeast"/>
                <w:jc w:val="center"/>
              </w:trPr>
              <w:tc>
                <w:tcPr>
                  <w:tcW w:w="162" w:type="pct"/>
                  <w:vMerge w:val="continue"/>
                  <w:noWrap w:val="0"/>
                  <w:vAlign w:val="center"/>
                </w:tcPr>
                <w:p>
                  <w:pPr>
                    <w:pStyle w:val="48"/>
                    <w:bidi w:val="0"/>
                    <w:rPr>
                      <w:rFonts w:hint="eastAsia" w:ascii="Times New Roman" w:cs="Times New Roman"/>
                      <w:b w:val="0"/>
                      <w:bCs w:val="0"/>
                      <w:color w:val="auto"/>
                      <w:sz w:val="21"/>
                      <w:szCs w:val="21"/>
                      <w:highlight w:val="none"/>
                      <w:lang w:val="en-US" w:eastAsia="zh-CN"/>
                    </w:rPr>
                  </w:pPr>
                </w:p>
              </w:tc>
              <w:tc>
                <w:tcPr>
                  <w:tcW w:w="163" w:type="pct"/>
                  <w:vMerge w:val="continue"/>
                  <w:noWrap w:val="0"/>
                  <w:vAlign w:val="center"/>
                </w:tcPr>
                <w:p>
                  <w:pPr>
                    <w:pStyle w:val="48"/>
                    <w:bidi w:val="0"/>
                    <w:rPr>
                      <w:rFonts w:hint="eastAsia" w:ascii="Times New Roman" w:cs="Times New Roman"/>
                      <w:b w:val="0"/>
                      <w:bCs w:val="0"/>
                      <w:color w:val="auto"/>
                      <w:sz w:val="21"/>
                      <w:szCs w:val="21"/>
                      <w:highlight w:val="none"/>
                      <w:lang w:val="en-US" w:eastAsia="zh-CN"/>
                    </w:rPr>
                  </w:pPr>
                </w:p>
              </w:tc>
              <w:tc>
                <w:tcPr>
                  <w:tcW w:w="250" w:type="pct"/>
                  <w:vMerge w:val="continue"/>
                  <w:noWrap w:val="0"/>
                  <w:vAlign w:val="center"/>
                </w:tcPr>
                <w:p>
                  <w:pPr>
                    <w:pStyle w:val="48"/>
                    <w:bidi w:val="0"/>
                    <w:rPr>
                      <w:rFonts w:hint="eastAsia" w:ascii="Times New Roman" w:cs="Times New Roman"/>
                      <w:b w:val="0"/>
                      <w:bCs w:val="0"/>
                      <w:color w:val="auto"/>
                      <w:sz w:val="21"/>
                      <w:szCs w:val="21"/>
                      <w:highlight w:val="none"/>
                      <w:lang w:val="en-US" w:eastAsia="zh-CN"/>
                    </w:rPr>
                  </w:pPr>
                </w:p>
              </w:tc>
              <w:tc>
                <w:tcPr>
                  <w:tcW w:w="255" w:type="pct"/>
                  <w:noWrap w:val="0"/>
                  <w:vAlign w:val="center"/>
                </w:tcPr>
                <w:p>
                  <w:pPr>
                    <w:pStyle w:val="48"/>
                    <w:bidi w:val="0"/>
                    <w:ind w:firstLine="0" w:firstLineChars="0"/>
                    <w:rPr>
                      <w:rFonts w:hint="default" w:ascii="Times New Roman" w:hAnsi="Times New Roman" w:cs="Times New Roman"/>
                      <w:b w:val="0"/>
                      <w:bCs w:val="0"/>
                      <w:color w:val="auto"/>
                      <w:kern w:val="0"/>
                      <w:sz w:val="21"/>
                      <w:szCs w:val="21"/>
                      <w:highlight w:val="none"/>
                      <w:lang w:val="en-US" w:eastAsia="zh-CN" w:bidi="ar-SA"/>
                    </w:rPr>
                  </w:pPr>
                  <w:r>
                    <w:rPr>
                      <w:rFonts w:hint="eastAsia" w:ascii="Times New Roman" w:cs="Times New Roman"/>
                      <w:b w:val="0"/>
                      <w:bCs w:val="0"/>
                      <w:color w:val="auto"/>
                      <w:kern w:val="0"/>
                      <w:sz w:val="21"/>
                      <w:szCs w:val="21"/>
                      <w:highlight w:val="none"/>
                      <w:lang w:val="en-US" w:eastAsia="zh-CN" w:bidi="ar-SA"/>
                    </w:rPr>
                    <w:t>无组织</w:t>
                  </w:r>
                </w:p>
              </w:tc>
              <w:tc>
                <w:tcPr>
                  <w:tcW w:w="333" w:type="pct"/>
                  <w:noWrap w:val="0"/>
                  <w:vAlign w:val="center"/>
                </w:tcPr>
                <w:p>
                  <w:pPr>
                    <w:pStyle w:val="48"/>
                    <w:bidi w:val="0"/>
                    <w:ind w:firstLine="0" w:firstLineChars="0"/>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0.8612</w:t>
                  </w:r>
                </w:p>
              </w:tc>
              <w:tc>
                <w:tcPr>
                  <w:tcW w:w="374" w:type="pct"/>
                  <w:noWrap w:val="0"/>
                  <w:vAlign w:val="center"/>
                </w:tcPr>
                <w:p>
                  <w:pPr>
                    <w:pStyle w:val="48"/>
                    <w:bidi w:val="0"/>
                    <w:ind w:firstLine="0" w:firstLineChars="0"/>
                    <w:rPr>
                      <w:rFonts w:hint="default" w:ascii="Times New Roman" w:hAnsi="Times New Roman" w:cs="Times New Roman"/>
                      <w:color w:val="auto"/>
                      <w:lang w:val="en-US" w:eastAsia="zh-CN"/>
                    </w:rPr>
                  </w:pPr>
                  <w:r>
                    <w:rPr>
                      <w:rFonts w:hint="default" w:ascii="Times New Roman" w:hAnsi="Times New Roman" w:cs="Times New Roman"/>
                      <w:color w:val="auto"/>
                      <w:lang w:val="en-US" w:eastAsia="zh-CN"/>
                    </w:rPr>
                    <w:t>0.1972</w:t>
                  </w:r>
                </w:p>
              </w:tc>
              <w:tc>
                <w:tcPr>
                  <w:tcW w:w="379" w:type="pct"/>
                  <w:noWrap w:val="0"/>
                  <w:vAlign w:val="center"/>
                </w:tcPr>
                <w:p>
                  <w:pPr>
                    <w:pStyle w:val="48"/>
                    <w:bidi w:val="0"/>
                    <w:ind w:firstLine="0" w:firstLineChars="0"/>
                    <w:rPr>
                      <w:rFonts w:hint="default" w:ascii="Times New Roman" w:cs="Times New Roman"/>
                      <w:b w:val="0"/>
                      <w:bCs w:val="0"/>
                      <w:color w:val="auto"/>
                      <w:sz w:val="21"/>
                      <w:szCs w:val="21"/>
                      <w:highlight w:val="none"/>
                      <w:lang w:val="en-US" w:eastAsia="zh-CN"/>
                    </w:rPr>
                  </w:pPr>
                  <w:r>
                    <w:rPr>
                      <w:rFonts w:hint="eastAsia" w:ascii="Times New Roman" w:cs="Times New Roman"/>
                      <w:b w:val="0"/>
                      <w:bCs w:val="0"/>
                      <w:color w:val="auto"/>
                      <w:sz w:val="21"/>
                      <w:szCs w:val="21"/>
                      <w:highlight w:val="none"/>
                      <w:lang w:val="en-US" w:eastAsia="zh-CN"/>
                    </w:rPr>
                    <w:t>/</w:t>
                  </w:r>
                </w:p>
              </w:tc>
              <w:tc>
                <w:tcPr>
                  <w:tcW w:w="532" w:type="pct"/>
                  <w:shd w:val="clear" w:color="auto" w:fill="auto"/>
                  <w:noWrap w:val="0"/>
                  <w:vAlign w:val="center"/>
                </w:tcPr>
                <w:p>
                  <w:pPr>
                    <w:pStyle w:val="48"/>
                    <w:bidi w:val="0"/>
                    <w:ind w:firstLine="0" w:firstLineChars="0"/>
                    <w:rPr>
                      <w:rFonts w:hint="default" w:ascii="Times New Roman" w:hAnsi="Times New Roman" w:eastAsia="宋体" w:cs="Times New Roman"/>
                      <w:b w:val="0"/>
                      <w:bCs w:val="0"/>
                      <w:color w:val="auto"/>
                      <w:kern w:val="0"/>
                      <w:sz w:val="21"/>
                      <w:szCs w:val="21"/>
                      <w:highlight w:val="none"/>
                      <w:lang w:val="en-US" w:eastAsia="zh-CN" w:bidi="ar-SA"/>
                    </w:rPr>
                  </w:pPr>
                  <w:r>
                    <w:rPr>
                      <w:rFonts w:hint="eastAsia" w:ascii="Times New Roman" w:cs="Times New Roman"/>
                      <w:b w:val="0"/>
                      <w:bCs w:val="0"/>
                      <w:color w:val="auto"/>
                      <w:sz w:val="21"/>
                      <w:szCs w:val="21"/>
                      <w:highlight w:val="none"/>
                      <w:lang w:val="en-US" w:eastAsia="zh-CN"/>
                    </w:rPr>
                    <w:t>/</w:t>
                  </w:r>
                </w:p>
              </w:tc>
              <w:tc>
                <w:tcPr>
                  <w:tcW w:w="377" w:type="pct"/>
                  <w:shd w:val="clear" w:color="auto" w:fill="auto"/>
                  <w:noWrap w:val="0"/>
                  <w:vAlign w:val="center"/>
                </w:tcPr>
                <w:p>
                  <w:pPr>
                    <w:pStyle w:val="48"/>
                    <w:bidi w:val="0"/>
                    <w:ind w:firstLine="0" w:firstLineChars="0"/>
                    <w:rPr>
                      <w:rFonts w:hint="eastAsia" w:ascii="Times New Roman" w:hAnsi="Times New Roman" w:eastAsia="宋体" w:cs="Times New Roman"/>
                      <w:b w:val="0"/>
                      <w:bCs w:val="0"/>
                      <w:color w:val="auto"/>
                      <w:kern w:val="0"/>
                      <w:sz w:val="21"/>
                      <w:szCs w:val="21"/>
                      <w:highlight w:val="none"/>
                      <w:lang w:val="en-US" w:eastAsia="zh-CN" w:bidi="ar-SA"/>
                    </w:rPr>
                  </w:pPr>
                  <w:r>
                    <w:rPr>
                      <w:rFonts w:hint="eastAsia" w:ascii="Times New Roman" w:cs="Times New Roman"/>
                      <w:b w:val="0"/>
                      <w:bCs w:val="0"/>
                      <w:color w:val="auto"/>
                      <w:sz w:val="21"/>
                      <w:szCs w:val="21"/>
                      <w:highlight w:val="none"/>
                      <w:lang w:val="en-US" w:eastAsia="zh-CN"/>
                    </w:rPr>
                    <w:t>/</w:t>
                  </w:r>
                </w:p>
              </w:tc>
              <w:tc>
                <w:tcPr>
                  <w:tcW w:w="300" w:type="pct"/>
                  <w:shd w:val="clear" w:color="auto" w:fill="auto"/>
                  <w:noWrap w:val="0"/>
                  <w:vAlign w:val="center"/>
                </w:tcPr>
                <w:p>
                  <w:pPr>
                    <w:pStyle w:val="48"/>
                    <w:bidi w:val="0"/>
                    <w:ind w:firstLine="0" w:firstLineChars="0"/>
                    <w:rPr>
                      <w:rFonts w:hint="eastAsia" w:ascii="Times New Roman" w:hAnsi="Times New Roman" w:eastAsia="宋体" w:cs="Times New Roman"/>
                      <w:b w:val="0"/>
                      <w:bCs w:val="0"/>
                      <w:color w:val="auto"/>
                      <w:kern w:val="0"/>
                      <w:sz w:val="21"/>
                      <w:szCs w:val="21"/>
                      <w:highlight w:val="none"/>
                      <w:lang w:val="en-US" w:eastAsia="zh-CN" w:bidi="ar-SA"/>
                    </w:rPr>
                  </w:pPr>
                  <w:r>
                    <w:rPr>
                      <w:rFonts w:hint="eastAsia" w:ascii="Times New Roman" w:cs="Times New Roman"/>
                      <w:b w:val="0"/>
                      <w:bCs w:val="0"/>
                      <w:color w:val="auto"/>
                      <w:sz w:val="21"/>
                      <w:szCs w:val="21"/>
                      <w:highlight w:val="none"/>
                      <w:lang w:val="en-US" w:eastAsia="zh-CN"/>
                    </w:rPr>
                    <w:t>/</w:t>
                  </w:r>
                </w:p>
              </w:tc>
              <w:tc>
                <w:tcPr>
                  <w:tcW w:w="261" w:type="pct"/>
                  <w:shd w:val="clear" w:color="auto" w:fill="auto"/>
                  <w:noWrap w:val="0"/>
                  <w:vAlign w:val="center"/>
                </w:tcPr>
                <w:p>
                  <w:pPr>
                    <w:pStyle w:val="16"/>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w:t>
                  </w:r>
                </w:p>
              </w:tc>
              <w:tc>
                <w:tcPr>
                  <w:tcW w:w="257" w:type="pct"/>
                  <w:shd w:val="clear" w:color="auto" w:fill="auto"/>
                  <w:noWrap w:val="0"/>
                  <w:vAlign w:val="center"/>
                </w:tcPr>
                <w:p>
                  <w:pPr>
                    <w:pStyle w:val="16"/>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w:t>
                  </w:r>
                </w:p>
              </w:tc>
              <w:tc>
                <w:tcPr>
                  <w:tcW w:w="310" w:type="pct"/>
                  <w:noWrap w:val="0"/>
                  <w:vAlign w:val="center"/>
                </w:tcPr>
                <w:p>
                  <w:pPr>
                    <w:pStyle w:val="48"/>
                    <w:bidi w:val="0"/>
                    <w:ind w:firstLine="0" w:firstLineChars="0"/>
                    <w:rPr>
                      <w:rFonts w:hint="eastAsia" w:asci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0.8612</w:t>
                  </w:r>
                </w:p>
              </w:tc>
              <w:tc>
                <w:tcPr>
                  <w:tcW w:w="352" w:type="pct"/>
                  <w:noWrap w:val="0"/>
                  <w:vAlign w:val="center"/>
                </w:tcPr>
                <w:p>
                  <w:pPr>
                    <w:pStyle w:val="48"/>
                    <w:bidi w:val="0"/>
                    <w:ind w:firstLine="0" w:firstLineChars="0"/>
                    <w:rPr>
                      <w:rFonts w:hint="eastAsia" w:ascii="Times New Roman" w:cs="Times New Roman"/>
                      <w:b w:val="0"/>
                      <w:bCs w:val="0"/>
                      <w:color w:val="auto"/>
                      <w:sz w:val="21"/>
                      <w:szCs w:val="21"/>
                      <w:highlight w:val="none"/>
                      <w:lang w:val="en-US" w:eastAsia="zh-CN"/>
                    </w:rPr>
                  </w:pPr>
                  <w:r>
                    <w:rPr>
                      <w:rFonts w:hint="default" w:ascii="Times New Roman" w:hAnsi="Times New Roman" w:cs="Times New Roman"/>
                      <w:color w:val="auto"/>
                      <w:lang w:val="en-US" w:eastAsia="zh-CN"/>
                    </w:rPr>
                    <w:t>0.1972</w:t>
                  </w:r>
                </w:p>
              </w:tc>
              <w:tc>
                <w:tcPr>
                  <w:tcW w:w="360" w:type="pct"/>
                  <w:noWrap w:val="0"/>
                  <w:vAlign w:val="center"/>
                </w:tcPr>
                <w:p>
                  <w:pPr>
                    <w:pStyle w:val="48"/>
                    <w:bidi w:val="0"/>
                    <w:ind w:firstLine="0" w:firstLineChars="0"/>
                    <w:rPr>
                      <w:rFonts w:hint="default" w:ascii="Times New Roman" w:cs="Times New Roman"/>
                      <w:b w:val="0"/>
                      <w:bCs w:val="0"/>
                      <w:color w:val="auto"/>
                      <w:sz w:val="21"/>
                      <w:szCs w:val="21"/>
                      <w:highlight w:val="none"/>
                      <w:lang w:val="en-US" w:eastAsia="zh-CN"/>
                    </w:rPr>
                  </w:pPr>
                  <w:r>
                    <w:rPr>
                      <w:rFonts w:hint="eastAsia" w:ascii="Times New Roman" w:cs="Times New Roman"/>
                      <w:b w:val="0"/>
                      <w:bCs w:val="0"/>
                      <w:color w:val="auto"/>
                      <w:sz w:val="21"/>
                      <w:szCs w:val="21"/>
                      <w:highlight w:val="none"/>
                      <w:lang w:val="en-US" w:eastAsia="zh-CN"/>
                    </w:rPr>
                    <w:t>/</w:t>
                  </w:r>
                </w:p>
              </w:tc>
              <w:tc>
                <w:tcPr>
                  <w:tcW w:w="327"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atLeast"/>
                <w:jc w:val="center"/>
              </w:trPr>
              <w:tc>
                <w:tcPr>
                  <w:tcW w:w="162" w:type="pct"/>
                  <w:vMerge w:val="restart"/>
                  <w:noWrap w:val="0"/>
                  <w:vAlign w:val="center"/>
                </w:tcPr>
                <w:p>
                  <w:pPr>
                    <w:pStyle w:val="48"/>
                    <w:bidi w:val="0"/>
                    <w:rPr>
                      <w:rFonts w:hint="default" w:ascii="Times New Roman" w:hAnsi="Times New Roman" w:cs="Times New Roman"/>
                      <w:b w:val="0"/>
                      <w:bCs w:val="0"/>
                      <w:color w:val="auto"/>
                      <w:sz w:val="21"/>
                      <w:szCs w:val="21"/>
                      <w:highlight w:val="none"/>
                      <w:lang w:val="en-US" w:eastAsia="zh-CN"/>
                    </w:rPr>
                  </w:pPr>
                  <w:r>
                    <w:rPr>
                      <w:rFonts w:hint="eastAsia" w:ascii="Times New Roman" w:cs="Times New Roman"/>
                      <w:b w:val="0"/>
                      <w:bCs w:val="0"/>
                      <w:color w:val="auto"/>
                      <w:sz w:val="21"/>
                      <w:szCs w:val="21"/>
                      <w:highlight w:val="none"/>
                      <w:lang w:val="en-US" w:eastAsia="zh-CN"/>
                    </w:rPr>
                    <w:t>3</w:t>
                  </w:r>
                </w:p>
              </w:tc>
              <w:tc>
                <w:tcPr>
                  <w:tcW w:w="163" w:type="pct"/>
                  <w:vMerge w:val="restart"/>
                  <w:noWrap w:val="0"/>
                  <w:vAlign w:val="center"/>
                </w:tcPr>
                <w:p>
                  <w:pPr>
                    <w:pStyle w:val="48"/>
                    <w:bidi w:val="0"/>
                    <w:rPr>
                      <w:rFonts w:hint="default" w:ascii="Times New Roman" w:hAnsi="Times New Roman" w:cs="Times New Roman"/>
                      <w:b w:val="0"/>
                      <w:bCs w:val="0"/>
                      <w:color w:val="auto"/>
                      <w:sz w:val="21"/>
                      <w:szCs w:val="21"/>
                      <w:highlight w:val="none"/>
                      <w:lang w:val="en-US" w:eastAsia="zh-CN"/>
                    </w:rPr>
                  </w:pPr>
                  <w:r>
                    <w:rPr>
                      <w:rFonts w:hint="eastAsia" w:ascii="Times New Roman" w:cs="Times New Roman"/>
                      <w:b w:val="0"/>
                      <w:bCs w:val="0"/>
                      <w:color w:val="auto"/>
                      <w:sz w:val="21"/>
                      <w:szCs w:val="21"/>
                      <w:highlight w:val="none"/>
                      <w:lang w:val="en-US" w:eastAsia="zh-CN"/>
                    </w:rPr>
                    <w:t>包装缩膜废气</w:t>
                  </w:r>
                </w:p>
              </w:tc>
              <w:tc>
                <w:tcPr>
                  <w:tcW w:w="250" w:type="pct"/>
                  <w:vMerge w:val="restart"/>
                  <w:noWrap w:val="0"/>
                  <w:vAlign w:val="center"/>
                </w:tcPr>
                <w:p>
                  <w:pPr>
                    <w:pStyle w:val="48"/>
                    <w:bidi w:val="0"/>
                    <w:rPr>
                      <w:rFonts w:hint="default" w:ascii="Times New Roman" w:hAnsi="Times New Roman" w:cs="Times New Roman"/>
                      <w:b w:val="0"/>
                      <w:bCs w:val="0"/>
                      <w:color w:val="auto"/>
                      <w:sz w:val="21"/>
                      <w:szCs w:val="21"/>
                      <w:highlight w:val="none"/>
                      <w:lang w:val="en-US" w:eastAsia="zh-CN"/>
                    </w:rPr>
                  </w:pPr>
                  <w:r>
                    <w:rPr>
                      <w:rFonts w:hint="eastAsia" w:ascii="Times New Roman" w:cs="Times New Roman"/>
                      <w:b w:val="0"/>
                      <w:bCs w:val="0"/>
                      <w:color w:val="auto"/>
                      <w:sz w:val="21"/>
                      <w:szCs w:val="21"/>
                      <w:highlight w:val="none"/>
                      <w:lang w:val="en-US" w:eastAsia="zh-CN"/>
                    </w:rPr>
                    <w:t>非甲烷总烃</w:t>
                  </w:r>
                </w:p>
              </w:tc>
              <w:tc>
                <w:tcPr>
                  <w:tcW w:w="255" w:type="pct"/>
                  <w:noWrap w:val="0"/>
                  <w:vAlign w:val="center"/>
                </w:tcPr>
                <w:p>
                  <w:pPr>
                    <w:pStyle w:val="48"/>
                    <w:bidi w:val="0"/>
                    <w:ind w:firstLine="0" w:firstLineChars="0"/>
                    <w:rPr>
                      <w:rFonts w:hint="default" w:ascii="Times New Roman" w:hAnsi="Times New Roman" w:cs="Times New Roman"/>
                      <w:b w:val="0"/>
                      <w:bCs w:val="0"/>
                      <w:color w:val="auto"/>
                      <w:kern w:val="0"/>
                      <w:sz w:val="21"/>
                      <w:szCs w:val="21"/>
                      <w:highlight w:val="none"/>
                      <w:lang w:val="en-US" w:eastAsia="zh-CN" w:bidi="ar-SA"/>
                    </w:rPr>
                  </w:pPr>
                  <w:r>
                    <w:rPr>
                      <w:rFonts w:hint="eastAsia" w:ascii="Times New Roman" w:cs="Times New Roman"/>
                      <w:b w:val="0"/>
                      <w:bCs w:val="0"/>
                      <w:color w:val="auto"/>
                      <w:kern w:val="0"/>
                      <w:sz w:val="21"/>
                      <w:szCs w:val="21"/>
                      <w:highlight w:val="none"/>
                      <w:lang w:val="en-US" w:eastAsia="zh-CN" w:bidi="ar-SA"/>
                    </w:rPr>
                    <w:t>有组织</w:t>
                  </w:r>
                </w:p>
              </w:tc>
              <w:tc>
                <w:tcPr>
                  <w:tcW w:w="333" w:type="pct"/>
                  <w:noWrap w:val="0"/>
                  <w:vAlign w:val="center"/>
                </w:tcPr>
                <w:p>
                  <w:pPr>
                    <w:pStyle w:val="48"/>
                    <w:bidi w:val="0"/>
                    <w:ind w:firstLine="0" w:firstLineChars="0"/>
                    <w:rPr>
                      <w:rFonts w:hint="default" w:ascii="Times New Roman"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0.2236</w:t>
                  </w:r>
                </w:p>
              </w:tc>
              <w:tc>
                <w:tcPr>
                  <w:tcW w:w="374" w:type="pct"/>
                  <w:noWrap w:val="0"/>
                  <w:vAlign w:val="center"/>
                </w:tcPr>
                <w:p>
                  <w:pPr>
                    <w:pStyle w:val="48"/>
                    <w:bidi w:val="0"/>
                    <w:ind w:firstLine="0" w:firstLineChars="0"/>
                    <w:rPr>
                      <w:rFonts w:hint="default" w:ascii="Times New Roman" w:cs="Times New Roman"/>
                      <w:b w:val="0"/>
                      <w:bCs w:val="0"/>
                      <w:color w:val="auto"/>
                      <w:sz w:val="21"/>
                      <w:szCs w:val="21"/>
                      <w:highlight w:val="none"/>
                      <w:lang w:val="en-US" w:eastAsia="zh-CN"/>
                    </w:rPr>
                  </w:pPr>
                  <w:r>
                    <w:rPr>
                      <w:rFonts w:hint="eastAsia" w:ascii="Times New Roman" w:cs="Times New Roman"/>
                      <w:b w:val="0"/>
                      <w:bCs w:val="0"/>
                      <w:color w:val="auto"/>
                      <w:sz w:val="21"/>
                      <w:szCs w:val="21"/>
                      <w:highlight w:val="none"/>
                      <w:lang w:val="en-US" w:eastAsia="zh-CN"/>
                    </w:rPr>
                    <w:t>0.0512</w:t>
                  </w:r>
                </w:p>
              </w:tc>
              <w:tc>
                <w:tcPr>
                  <w:tcW w:w="379" w:type="pct"/>
                  <w:noWrap w:val="0"/>
                  <w:vAlign w:val="center"/>
                </w:tcPr>
                <w:p>
                  <w:pPr>
                    <w:pStyle w:val="48"/>
                    <w:bidi w:val="0"/>
                    <w:ind w:firstLine="0" w:firstLineChars="0"/>
                    <w:rPr>
                      <w:rFonts w:hint="default" w:ascii="Times New Roman" w:cs="Times New Roman"/>
                      <w:b w:val="0"/>
                      <w:bCs w:val="0"/>
                      <w:color w:val="auto"/>
                      <w:sz w:val="21"/>
                      <w:szCs w:val="21"/>
                      <w:highlight w:val="none"/>
                      <w:lang w:val="en-US" w:eastAsia="zh-CN"/>
                    </w:rPr>
                  </w:pPr>
                  <w:r>
                    <w:rPr>
                      <w:rFonts w:hint="eastAsia" w:ascii="Times New Roman" w:cs="Times New Roman"/>
                      <w:b w:val="0"/>
                      <w:bCs w:val="0"/>
                      <w:color w:val="auto"/>
                      <w:sz w:val="21"/>
                      <w:szCs w:val="21"/>
                      <w:highlight w:val="none"/>
                      <w:lang w:val="en-US" w:eastAsia="zh-CN"/>
                    </w:rPr>
                    <w:t>25.6</w:t>
                  </w:r>
                </w:p>
              </w:tc>
              <w:tc>
                <w:tcPr>
                  <w:tcW w:w="532" w:type="pct"/>
                  <w:noWrap w:val="0"/>
                  <w:vAlign w:val="center"/>
                </w:tcPr>
                <w:p>
                  <w:pPr>
                    <w:pStyle w:val="48"/>
                    <w:bidi w:val="0"/>
                    <w:ind w:firstLine="0" w:firstLineChars="0"/>
                    <w:rPr>
                      <w:rFonts w:hint="default" w:ascii="Times New Roman" w:hAnsi="Times New Roman" w:cs="Times New Roman"/>
                      <w:b w:val="0"/>
                      <w:bCs w:val="0"/>
                      <w:color w:val="auto"/>
                      <w:sz w:val="21"/>
                      <w:szCs w:val="21"/>
                      <w:highlight w:val="none"/>
                      <w:lang w:val="en-US" w:eastAsia="zh-CN"/>
                    </w:rPr>
                  </w:pPr>
                  <w:r>
                    <w:rPr>
                      <w:rFonts w:hint="eastAsia" w:ascii="Times New Roman" w:cs="Times New Roman"/>
                      <w:b w:val="0"/>
                      <w:bCs w:val="0"/>
                      <w:color w:val="auto"/>
                      <w:sz w:val="21"/>
                      <w:szCs w:val="21"/>
                      <w:highlight w:val="none"/>
                      <w:lang w:val="en-US" w:eastAsia="zh-CN"/>
                    </w:rPr>
                    <w:t>二级活性炭吸附+15m排气筒</w:t>
                  </w:r>
                </w:p>
              </w:tc>
              <w:tc>
                <w:tcPr>
                  <w:tcW w:w="377" w:type="pct"/>
                  <w:shd w:val="clear" w:color="auto" w:fill="auto"/>
                  <w:noWrap w:val="0"/>
                  <w:vAlign w:val="center"/>
                </w:tcPr>
                <w:p>
                  <w:pPr>
                    <w:pStyle w:val="48"/>
                    <w:bidi w:val="0"/>
                    <w:ind w:firstLine="0" w:firstLineChars="0"/>
                    <w:rPr>
                      <w:rFonts w:hint="eastAsia" w:ascii="Times New Roman" w:hAnsi="Times New Roman" w:eastAsia="宋体" w:cs="Times New Roman"/>
                      <w:b w:val="0"/>
                      <w:bCs w:val="0"/>
                      <w:color w:val="auto"/>
                      <w:kern w:val="0"/>
                      <w:sz w:val="21"/>
                      <w:szCs w:val="21"/>
                      <w:highlight w:val="none"/>
                      <w:lang w:val="en-US" w:eastAsia="zh-CN" w:bidi="ar-SA"/>
                    </w:rPr>
                  </w:pPr>
                  <w:r>
                    <w:rPr>
                      <w:rFonts w:hint="eastAsia" w:ascii="Times New Roman" w:cs="Times New Roman"/>
                      <w:b w:val="0"/>
                      <w:bCs w:val="0"/>
                      <w:color w:val="auto"/>
                      <w:sz w:val="21"/>
                      <w:szCs w:val="21"/>
                      <w:highlight w:val="none"/>
                      <w:lang w:val="en-US" w:eastAsia="zh-CN"/>
                    </w:rPr>
                    <w:t>2000</w:t>
                  </w:r>
                </w:p>
              </w:tc>
              <w:tc>
                <w:tcPr>
                  <w:tcW w:w="300" w:type="pct"/>
                  <w:shd w:val="clear" w:color="auto" w:fill="auto"/>
                  <w:noWrap w:val="0"/>
                  <w:vAlign w:val="center"/>
                </w:tcPr>
                <w:p>
                  <w:pPr>
                    <w:pStyle w:val="48"/>
                    <w:bidi w:val="0"/>
                    <w:ind w:firstLine="0" w:firstLineChars="0"/>
                    <w:rPr>
                      <w:rFonts w:hint="default" w:ascii="Times New Roman" w:hAnsi="Times New Roman" w:eastAsia="宋体" w:cs="Times New Roman"/>
                      <w:b w:val="0"/>
                      <w:bCs w:val="0"/>
                      <w:color w:val="auto"/>
                      <w:kern w:val="0"/>
                      <w:sz w:val="21"/>
                      <w:szCs w:val="21"/>
                      <w:highlight w:val="none"/>
                      <w:lang w:val="en-US" w:eastAsia="zh-CN" w:bidi="ar-SA"/>
                    </w:rPr>
                  </w:pPr>
                  <w:r>
                    <w:rPr>
                      <w:rFonts w:hint="eastAsia" w:ascii="Times New Roman" w:cs="Times New Roman"/>
                      <w:b w:val="0"/>
                      <w:bCs w:val="0"/>
                      <w:color w:val="auto"/>
                      <w:sz w:val="21"/>
                      <w:szCs w:val="21"/>
                      <w:highlight w:val="none"/>
                      <w:lang w:val="en-US" w:eastAsia="zh-CN"/>
                    </w:rPr>
                    <w:t>80%</w:t>
                  </w:r>
                </w:p>
              </w:tc>
              <w:tc>
                <w:tcPr>
                  <w:tcW w:w="261" w:type="pct"/>
                  <w:shd w:val="clear" w:color="auto" w:fill="auto"/>
                  <w:noWrap w:val="0"/>
                  <w:vAlign w:val="center"/>
                </w:tcPr>
                <w:p>
                  <w:pPr>
                    <w:pStyle w:val="48"/>
                    <w:bidi w:val="0"/>
                    <w:ind w:firstLine="0" w:firstLineChars="0"/>
                    <w:rPr>
                      <w:rFonts w:hint="eastAsia" w:ascii="Times New Roman" w:hAnsi="Times New Roman" w:eastAsia="宋体" w:cs="Times New Roman"/>
                      <w:b w:val="0"/>
                      <w:bCs w:val="0"/>
                      <w:color w:val="auto"/>
                      <w:kern w:val="0"/>
                      <w:sz w:val="21"/>
                      <w:szCs w:val="21"/>
                      <w:highlight w:val="none"/>
                      <w:lang w:val="en-US" w:eastAsia="zh-CN" w:bidi="ar-SA"/>
                    </w:rPr>
                  </w:pPr>
                  <w:r>
                    <w:rPr>
                      <w:rFonts w:hint="eastAsia" w:ascii="Times New Roman" w:cs="Times New Roman"/>
                      <w:b w:val="0"/>
                      <w:bCs w:val="0"/>
                      <w:color w:val="auto"/>
                      <w:sz w:val="21"/>
                      <w:szCs w:val="21"/>
                      <w:highlight w:val="none"/>
                      <w:lang w:val="en-US" w:eastAsia="zh-CN"/>
                    </w:rPr>
                    <w:t>70%</w:t>
                  </w:r>
                </w:p>
              </w:tc>
              <w:tc>
                <w:tcPr>
                  <w:tcW w:w="257" w:type="pct"/>
                  <w:shd w:val="clear" w:color="auto" w:fill="auto"/>
                  <w:noWrap w:val="0"/>
                  <w:vAlign w:val="center"/>
                </w:tcPr>
                <w:p>
                  <w:pPr>
                    <w:pStyle w:val="16"/>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是</w:t>
                  </w:r>
                </w:p>
              </w:tc>
              <w:tc>
                <w:tcPr>
                  <w:tcW w:w="310" w:type="pct"/>
                  <w:shd w:val="clear" w:color="auto" w:fill="auto"/>
                  <w:noWrap w:val="0"/>
                  <w:vAlign w:val="center"/>
                </w:tcPr>
                <w:p>
                  <w:pPr>
                    <w:pStyle w:val="48"/>
                    <w:bidi w:val="0"/>
                    <w:ind w:firstLine="0" w:firstLineChars="0"/>
                    <w:rPr>
                      <w:rFonts w:hint="default" w:ascii="Times New Roman" w:hAnsi="Times New Roman" w:eastAsia="宋体" w:cs="Times New Roman"/>
                      <w:b w:val="0"/>
                      <w:bCs w:val="0"/>
                      <w:color w:val="auto"/>
                      <w:kern w:val="0"/>
                      <w:sz w:val="21"/>
                      <w:szCs w:val="21"/>
                      <w:highlight w:val="none"/>
                      <w:lang w:val="en-US" w:eastAsia="zh-CN" w:bidi="ar-SA"/>
                    </w:rPr>
                  </w:pPr>
                  <w:r>
                    <w:rPr>
                      <w:rFonts w:hint="eastAsia" w:ascii="Times New Roman" w:cs="Times New Roman"/>
                      <w:b w:val="0"/>
                      <w:bCs w:val="0"/>
                      <w:color w:val="auto"/>
                      <w:kern w:val="0"/>
                      <w:sz w:val="21"/>
                      <w:szCs w:val="21"/>
                      <w:highlight w:val="none"/>
                      <w:lang w:val="en-US" w:eastAsia="zh-CN" w:bidi="ar-SA"/>
                    </w:rPr>
                    <w:t>0.0671</w:t>
                  </w:r>
                </w:p>
              </w:tc>
              <w:tc>
                <w:tcPr>
                  <w:tcW w:w="352" w:type="pct"/>
                  <w:shd w:val="clear" w:color="auto" w:fill="auto"/>
                  <w:noWrap w:val="0"/>
                  <w:vAlign w:val="center"/>
                </w:tcPr>
                <w:p>
                  <w:pPr>
                    <w:pStyle w:val="48"/>
                    <w:bidi w:val="0"/>
                    <w:ind w:firstLine="0" w:firstLineChars="0"/>
                    <w:rPr>
                      <w:rFonts w:hint="default" w:ascii="Times New Roman" w:hAnsi="Times New Roman" w:eastAsia="宋体" w:cs="Times New Roman"/>
                      <w:b w:val="0"/>
                      <w:bCs w:val="0"/>
                      <w:color w:val="auto"/>
                      <w:kern w:val="0"/>
                      <w:sz w:val="21"/>
                      <w:szCs w:val="21"/>
                      <w:highlight w:val="none"/>
                      <w:lang w:val="en-US" w:eastAsia="zh-CN" w:bidi="ar-SA"/>
                    </w:rPr>
                  </w:pPr>
                  <w:r>
                    <w:rPr>
                      <w:rFonts w:hint="eastAsia" w:ascii="Times New Roman" w:cs="Times New Roman"/>
                      <w:b w:val="0"/>
                      <w:bCs w:val="0"/>
                      <w:color w:val="auto"/>
                      <w:kern w:val="0"/>
                      <w:sz w:val="21"/>
                      <w:szCs w:val="21"/>
                      <w:highlight w:val="none"/>
                      <w:lang w:val="en-US" w:eastAsia="zh-CN" w:bidi="ar-SA"/>
                    </w:rPr>
                    <w:t>0.0154</w:t>
                  </w:r>
                </w:p>
              </w:tc>
              <w:tc>
                <w:tcPr>
                  <w:tcW w:w="360" w:type="pct"/>
                  <w:noWrap w:val="0"/>
                  <w:vAlign w:val="center"/>
                </w:tcPr>
                <w:p>
                  <w:pPr>
                    <w:pStyle w:val="48"/>
                    <w:bidi w:val="0"/>
                    <w:ind w:firstLine="0" w:firstLineChars="0"/>
                    <w:rPr>
                      <w:rFonts w:hint="default" w:ascii="Times New Roman" w:cs="Times New Roman"/>
                      <w:b w:val="0"/>
                      <w:bCs w:val="0"/>
                      <w:color w:val="auto"/>
                      <w:sz w:val="21"/>
                      <w:szCs w:val="21"/>
                      <w:highlight w:val="none"/>
                      <w:lang w:val="en-US" w:eastAsia="zh-CN"/>
                    </w:rPr>
                  </w:pPr>
                  <w:r>
                    <w:rPr>
                      <w:rFonts w:hint="eastAsia" w:ascii="Times New Roman" w:cs="Times New Roman"/>
                      <w:b w:val="0"/>
                      <w:bCs w:val="0"/>
                      <w:color w:val="auto"/>
                      <w:sz w:val="21"/>
                      <w:szCs w:val="21"/>
                      <w:highlight w:val="none"/>
                      <w:lang w:val="en-US" w:eastAsia="zh-CN"/>
                    </w:rPr>
                    <w:t>7.70</w:t>
                  </w:r>
                </w:p>
              </w:tc>
              <w:tc>
                <w:tcPr>
                  <w:tcW w:w="327" w:type="pct"/>
                  <w:noWrap w:val="0"/>
                  <w:vAlign w:val="center"/>
                </w:tcPr>
                <w:p>
                  <w:pPr>
                    <w:keepNext w:val="0"/>
                    <w:keepLines w:val="0"/>
                    <w:pageBreakBefore w:val="0"/>
                    <w:widowControl w:val="0"/>
                    <w:kinsoku/>
                    <w:wordWrap/>
                    <w:overflowPunct/>
                    <w:topLinePunct w:val="0"/>
                    <w:autoSpaceDE/>
                    <w:autoSpaceDN/>
                    <w:bidi w:val="0"/>
                    <w:adjustRightInd/>
                    <w:snapToGrid/>
                    <w:spacing w:line="240" w:lineRule="auto"/>
                    <w:ind w:firstLine="0" w:firstLineChars="0"/>
                    <w:jc w:val="center"/>
                    <w:textAlignment w:val="auto"/>
                    <w:rPr>
                      <w:rFonts w:hint="default" w:ascii="Times New Roman" w:hAnsi="Times New Roman"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DA003</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8" w:hRule="atLeast"/>
                <w:jc w:val="center"/>
              </w:trPr>
              <w:tc>
                <w:tcPr>
                  <w:tcW w:w="162" w:type="pct"/>
                  <w:vMerge w:val="continue"/>
                  <w:noWrap w:val="0"/>
                  <w:vAlign w:val="center"/>
                </w:tcPr>
                <w:p>
                  <w:pPr>
                    <w:pStyle w:val="48"/>
                    <w:bidi w:val="0"/>
                    <w:rPr>
                      <w:rFonts w:hint="eastAsia" w:ascii="Times New Roman" w:cs="Times New Roman"/>
                      <w:b w:val="0"/>
                      <w:bCs w:val="0"/>
                      <w:color w:val="auto"/>
                      <w:sz w:val="21"/>
                      <w:szCs w:val="21"/>
                      <w:highlight w:val="none"/>
                      <w:lang w:val="en-US" w:eastAsia="zh-CN"/>
                    </w:rPr>
                  </w:pPr>
                </w:p>
              </w:tc>
              <w:tc>
                <w:tcPr>
                  <w:tcW w:w="163" w:type="pct"/>
                  <w:vMerge w:val="continue"/>
                  <w:noWrap w:val="0"/>
                  <w:vAlign w:val="center"/>
                </w:tcPr>
                <w:p>
                  <w:pPr>
                    <w:pStyle w:val="48"/>
                    <w:bidi w:val="0"/>
                    <w:rPr>
                      <w:rFonts w:hint="eastAsia" w:ascii="Times New Roman" w:cs="Times New Roman"/>
                      <w:b w:val="0"/>
                      <w:bCs w:val="0"/>
                      <w:color w:val="auto"/>
                      <w:sz w:val="21"/>
                      <w:szCs w:val="21"/>
                      <w:highlight w:val="none"/>
                      <w:lang w:val="en-US" w:eastAsia="zh-CN"/>
                    </w:rPr>
                  </w:pPr>
                </w:p>
              </w:tc>
              <w:tc>
                <w:tcPr>
                  <w:tcW w:w="250" w:type="pct"/>
                  <w:vMerge w:val="continue"/>
                  <w:noWrap w:val="0"/>
                  <w:vAlign w:val="center"/>
                </w:tcPr>
                <w:p>
                  <w:pPr>
                    <w:pStyle w:val="48"/>
                    <w:bidi w:val="0"/>
                    <w:rPr>
                      <w:rFonts w:hint="eastAsia" w:ascii="Times New Roman" w:cs="Times New Roman"/>
                      <w:b w:val="0"/>
                      <w:bCs w:val="0"/>
                      <w:color w:val="auto"/>
                      <w:sz w:val="21"/>
                      <w:szCs w:val="21"/>
                      <w:highlight w:val="none"/>
                      <w:lang w:val="en-US" w:eastAsia="zh-CN"/>
                    </w:rPr>
                  </w:pPr>
                </w:p>
              </w:tc>
              <w:tc>
                <w:tcPr>
                  <w:tcW w:w="255" w:type="pct"/>
                  <w:noWrap w:val="0"/>
                  <w:vAlign w:val="center"/>
                </w:tcPr>
                <w:p>
                  <w:pPr>
                    <w:pStyle w:val="48"/>
                    <w:bidi w:val="0"/>
                    <w:ind w:firstLine="0" w:firstLineChars="0"/>
                    <w:rPr>
                      <w:rFonts w:hint="default" w:ascii="Times New Roman" w:hAnsi="Times New Roman" w:cs="Times New Roman"/>
                      <w:b w:val="0"/>
                      <w:bCs w:val="0"/>
                      <w:color w:val="auto"/>
                      <w:kern w:val="0"/>
                      <w:sz w:val="21"/>
                      <w:szCs w:val="21"/>
                      <w:highlight w:val="none"/>
                      <w:lang w:val="en-US" w:eastAsia="zh-CN" w:bidi="ar-SA"/>
                    </w:rPr>
                  </w:pPr>
                  <w:r>
                    <w:rPr>
                      <w:rFonts w:hint="eastAsia" w:ascii="Times New Roman" w:cs="Times New Roman"/>
                      <w:b w:val="0"/>
                      <w:bCs w:val="0"/>
                      <w:color w:val="auto"/>
                      <w:kern w:val="0"/>
                      <w:sz w:val="21"/>
                      <w:szCs w:val="21"/>
                      <w:highlight w:val="none"/>
                      <w:lang w:val="en-US" w:eastAsia="zh-CN" w:bidi="ar-SA"/>
                    </w:rPr>
                    <w:t>无组织</w:t>
                  </w:r>
                </w:p>
              </w:tc>
              <w:tc>
                <w:tcPr>
                  <w:tcW w:w="333" w:type="pct"/>
                  <w:noWrap w:val="0"/>
                  <w:vAlign w:val="center"/>
                </w:tcPr>
                <w:p>
                  <w:pPr>
                    <w:pStyle w:val="48"/>
                    <w:bidi w:val="0"/>
                    <w:ind w:firstLine="0" w:firstLineChars="0"/>
                    <w:rPr>
                      <w:rFonts w:hint="default" w:ascii="Times New Roman" w:eastAsia="宋体" w:cs="Times New Roman"/>
                      <w:b w:val="0"/>
                      <w:bCs w:val="0"/>
                      <w:color w:val="auto"/>
                      <w:sz w:val="21"/>
                      <w:szCs w:val="21"/>
                      <w:highlight w:val="none"/>
                      <w:lang w:val="en-US" w:eastAsia="zh-CN"/>
                    </w:rPr>
                  </w:pPr>
                  <w:r>
                    <w:rPr>
                      <w:rFonts w:hint="eastAsia" w:ascii="Times New Roman" w:cs="Times New Roman"/>
                      <w:color w:val="auto"/>
                      <w:sz w:val="21"/>
                      <w:szCs w:val="21"/>
                      <w:highlight w:val="none"/>
                      <w:lang w:val="en-US" w:eastAsia="zh-CN"/>
                    </w:rPr>
                    <w:t>0.0559</w:t>
                  </w:r>
                </w:p>
              </w:tc>
              <w:tc>
                <w:tcPr>
                  <w:tcW w:w="374" w:type="pct"/>
                  <w:noWrap w:val="0"/>
                  <w:vAlign w:val="center"/>
                </w:tcPr>
                <w:p>
                  <w:pPr>
                    <w:pStyle w:val="48"/>
                    <w:bidi w:val="0"/>
                    <w:ind w:firstLine="0" w:firstLineChars="0"/>
                    <w:rPr>
                      <w:rFonts w:hint="default" w:ascii="Times New Roman" w:eastAsia="宋体" w:cs="Times New Roman"/>
                      <w:b w:val="0"/>
                      <w:bCs w:val="0"/>
                      <w:color w:val="auto"/>
                      <w:sz w:val="21"/>
                      <w:szCs w:val="21"/>
                      <w:highlight w:val="none"/>
                      <w:lang w:val="en-US" w:eastAsia="zh-CN"/>
                    </w:rPr>
                  </w:pPr>
                  <w:r>
                    <w:rPr>
                      <w:rFonts w:hint="eastAsia" w:ascii="Times New Roman" w:cs="Times New Roman"/>
                      <w:b w:val="0"/>
                      <w:bCs w:val="0"/>
                      <w:color w:val="auto"/>
                      <w:sz w:val="21"/>
                      <w:szCs w:val="21"/>
                      <w:highlight w:val="none"/>
                      <w:lang w:val="en-US" w:eastAsia="zh-CN"/>
                    </w:rPr>
                    <w:t>0.0128</w:t>
                  </w:r>
                </w:p>
              </w:tc>
              <w:tc>
                <w:tcPr>
                  <w:tcW w:w="379" w:type="pct"/>
                  <w:noWrap w:val="0"/>
                  <w:vAlign w:val="center"/>
                </w:tcPr>
                <w:p>
                  <w:pPr>
                    <w:pStyle w:val="48"/>
                    <w:bidi w:val="0"/>
                    <w:ind w:firstLine="0" w:firstLineChars="0"/>
                    <w:rPr>
                      <w:rFonts w:hint="default" w:ascii="Times New Roman" w:cs="Times New Roman"/>
                      <w:b w:val="0"/>
                      <w:bCs w:val="0"/>
                      <w:color w:val="auto"/>
                      <w:sz w:val="21"/>
                      <w:szCs w:val="21"/>
                      <w:highlight w:val="none"/>
                      <w:lang w:val="en-US" w:eastAsia="zh-CN"/>
                    </w:rPr>
                  </w:pPr>
                  <w:r>
                    <w:rPr>
                      <w:rFonts w:hint="eastAsia" w:ascii="Times New Roman" w:cs="Times New Roman"/>
                      <w:b w:val="0"/>
                      <w:bCs w:val="0"/>
                      <w:color w:val="auto"/>
                      <w:sz w:val="21"/>
                      <w:szCs w:val="21"/>
                      <w:highlight w:val="none"/>
                      <w:lang w:val="en-US" w:eastAsia="zh-CN"/>
                    </w:rPr>
                    <w:t>/</w:t>
                  </w:r>
                </w:p>
              </w:tc>
              <w:tc>
                <w:tcPr>
                  <w:tcW w:w="532" w:type="pct"/>
                  <w:noWrap w:val="0"/>
                  <w:vAlign w:val="center"/>
                </w:tcPr>
                <w:p>
                  <w:pPr>
                    <w:pStyle w:val="48"/>
                    <w:bidi w:val="0"/>
                    <w:ind w:firstLine="0" w:firstLineChars="0"/>
                    <w:rPr>
                      <w:rFonts w:hint="default" w:ascii="Times New Roman" w:hAnsi="Times New Roman" w:cs="Times New Roman"/>
                      <w:b w:val="0"/>
                      <w:bCs w:val="0"/>
                      <w:color w:val="auto"/>
                      <w:sz w:val="21"/>
                      <w:szCs w:val="21"/>
                      <w:highlight w:val="none"/>
                      <w:lang w:val="en-US" w:eastAsia="zh-CN"/>
                    </w:rPr>
                  </w:pPr>
                  <w:r>
                    <w:rPr>
                      <w:rFonts w:hint="eastAsia" w:ascii="Times New Roman" w:cs="Times New Roman"/>
                      <w:b w:val="0"/>
                      <w:bCs w:val="0"/>
                      <w:color w:val="auto"/>
                      <w:sz w:val="21"/>
                      <w:szCs w:val="21"/>
                      <w:highlight w:val="none"/>
                      <w:lang w:val="en-US" w:eastAsia="zh-CN"/>
                    </w:rPr>
                    <w:t>/</w:t>
                  </w:r>
                </w:p>
              </w:tc>
              <w:tc>
                <w:tcPr>
                  <w:tcW w:w="377" w:type="pct"/>
                  <w:noWrap w:val="0"/>
                  <w:vAlign w:val="center"/>
                </w:tcPr>
                <w:p>
                  <w:pPr>
                    <w:pStyle w:val="48"/>
                    <w:bidi w:val="0"/>
                    <w:ind w:firstLine="0" w:firstLineChars="0"/>
                    <w:rPr>
                      <w:rFonts w:hint="eastAsia" w:ascii="Times New Roman" w:cs="Times New Roman"/>
                      <w:b w:val="0"/>
                      <w:bCs w:val="0"/>
                      <w:color w:val="auto"/>
                      <w:sz w:val="21"/>
                      <w:szCs w:val="21"/>
                      <w:highlight w:val="none"/>
                      <w:lang w:val="en-US" w:eastAsia="zh-CN"/>
                    </w:rPr>
                  </w:pPr>
                  <w:r>
                    <w:rPr>
                      <w:rFonts w:hint="eastAsia" w:ascii="Times New Roman" w:cs="Times New Roman"/>
                      <w:b w:val="0"/>
                      <w:bCs w:val="0"/>
                      <w:color w:val="auto"/>
                      <w:sz w:val="21"/>
                      <w:szCs w:val="21"/>
                      <w:highlight w:val="none"/>
                      <w:lang w:val="en-US" w:eastAsia="zh-CN"/>
                    </w:rPr>
                    <w:t>/</w:t>
                  </w:r>
                </w:p>
              </w:tc>
              <w:tc>
                <w:tcPr>
                  <w:tcW w:w="300" w:type="pct"/>
                  <w:noWrap w:val="0"/>
                  <w:vAlign w:val="center"/>
                </w:tcPr>
                <w:p>
                  <w:pPr>
                    <w:pStyle w:val="48"/>
                    <w:bidi w:val="0"/>
                    <w:ind w:firstLine="0" w:firstLineChars="0"/>
                    <w:rPr>
                      <w:rFonts w:hint="eastAsia" w:ascii="Times New Roman" w:cs="Times New Roman"/>
                      <w:b w:val="0"/>
                      <w:bCs w:val="0"/>
                      <w:color w:val="auto"/>
                      <w:sz w:val="21"/>
                      <w:szCs w:val="21"/>
                      <w:highlight w:val="none"/>
                      <w:lang w:val="en-US" w:eastAsia="zh-CN"/>
                    </w:rPr>
                  </w:pPr>
                  <w:r>
                    <w:rPr>
                      <w:rFonts w:hint="eastAsia" w:ascii="Times New Roman" w:cs="Times New Roman"/>
                      <w:b w:val="0"/>
                      <w:bCs w:val="0"/>
                      <w:color w:val="auto"/>
                      <w:sz w:val="21"/>
                      <w:szCs w:val="21"/>
                      <w:highlight w:val="none"/>
                      <w:lang w:val="en-US" w:eastAsia="zh-CN"/>
                    </w:rPr>
                    <w:t>/</w:t>
                  </w:r>
                </w:p>
              </w:tc>
              <w:tc>
                <w:tcPr>
                  <w:tcW w:w="261" w:type="pct"/>
                  <w:noWrap w:val="0"/>
                  <w:vAlign w:val="center"/>
                </w:tcPr>
                <w:p>
                  <w:pPr>
                    <w:pStyle w:val="16"/>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cs="Times New Roman"/>
                      <w:b w:val="0"/>
                      <w:bCs w:val="0"/>
                      <w:color w:val="auto"/>
                      <w:sz w:val="21"/>
                      <w:szCs w:val="21"/>
                      <w:highlight w:val="none"/>
                      <w:lang w:val="en-US" w:eastAsia="zh-CN"/>
                    </w:rPr>
                  </w:pPr>
                  <w:r>
                    <w:rPr>
                      <w:rFonts w:hint="eastAsia" w:cs="Times New Roman"/>
                      <w:color w:val="auto"/>
                      <w:sz w:val="21"/>
                      <w:szCs w:val="21"/>
                      <w:highlight w:val="none"/>
                      <w:lang w:val="en-US" w:eastAsia="zh-CN"/>
                    </w:rPr>
                    <w:t>/</w:t>
                  </w:r>
                </w:p>
              </w:tc>
              <w:tc>
                <w:tcPr>
                  <w:tcW w:w="257" w:type="pct"/>
                  <w:noWrap w:val="0"/>
                  <w:vAlign w:val="center"/>
                </w:tcPr>
                <w:p>
                  <w:pPr>
                    <w:pStyle w:val="16"/>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310" w:type="pct"/>
                  <w:noWrap w:val="0"/>
                  <w:vAlign w:val="center"/>
                </w:tcPr>
                <w:p>
                  <w:pPr>
                    <w:pStyle w:val="48"/>
                    <w:bidi w:val="0"/>
                    <w:ind w:firstLine="0" w:firstLineChars="0"/>
                    <w:rPr>
                      <w:rFonts w:hint="default" w:ascii="Times New Roman"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0.0559</w:t>
                  </w:r>
                </w:p>
              </w:tc>
              <w:tc>
                <w:tcPr>
                  <w:tcW w:w="352" w:type="pct"/>
                  <w:noWrap w:val="0"/>
                  <w:vAlign w:val="center"/>
                </w:tcPr>
                <w:p>
                  <w:pPr>
                    <w:pStyle w:val="48"/>
                    <w:bidi w:val="0"/>
                    <w:ind w:firstLine="0" w:firstLineChars="0"/>
                    <w:rPr>
                      <w:rFonts w:hint="default" w:ascii="Times New Roman" w:cs="Times New Roman"/>
                      <w:b w:val="0"/>
                      <w:bCs w:val="0"/>
                      <w:color w:val="auto"/>
                      <w:sz w:val="21"/>
                      <w:szCs w:val="21"/>
                      <w:highlight w:val="none"/>
                      <w:lang w:val="en-US" w:eastAsia="zh-CN"/>
                    </w:rPr>
                  </w:pPr>
                  <w:r>
                    <w:rPr>
                      <w:rFonts w:hint="eastAsia" w:ascii="Times New Roman" w:cs="Times New Roman"/>
                      <w:b w:val="0"/>
                      <w:bCs w:val="0"/>
                      <w:color w:val="auto"/>
                      <w:sz w:val="21"/>
                      <w:szCs w:val="21"/>
                      <w:highlight w:val="none"/>
                      <w:lang w:val="en-US" w:eastAsia="zh-CN"/>
                    </w:rPr>
                    <w:t>0.0128</w:t>
                  </w:r>
                </w:p>
              </w:tc>
              <w:tc>
                <w:tcPr>
                  <w:tcW w:w="360" w:type="pct"/>
                  <w:noWrap w:val="0"/>
                  <w:vAlign w:val="center"/>
                </w:tcPr>
                <w:p>
                  <w:pPr>
                    <w:pStyle w:val="16"/>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ascii="Times New Roman" w:cs="Times New Roman"/>
                      <w:b w:val="0"/>
                      <w:bCs w:val="0"/>
                      <w:color w:val="auto"/>
                      <w:sz w:val="21"/>
                      <w:szCs w:val="21"/>
                      <w:highlight w:val="none"/>
                      <w:lang w:val="en-US" w:eastAsia="zh-CN"/>
                    </w:rPr>
                  </w:pPr>
                  <w:r>
                    <w:rPr>
                      <w:rFonts w:hint="eastAsia" w:cs="Times New Roman"/>
                      <w:color w:val="auto"/>
                      <w:sz w:val="21"/>
                      <w:szCs w:val="21"/>
                      <w:highlight w:val="none"/>
                      <w:lang w:val="en-US" w:eastAsia="zh-CN"/>
                    </w:rPr>
                    <w:t>/</w:t>
                  </w:r>
                </w:p>
              </w:tc>
              <w:tc>
                <w:tcPr>
                  <w:tcW w:w="327" w:type="pct"/>
                  <w:noWrap w:val="0"/>
                  <w:vAlign w:val="center"/>
                </w:tcPr>
                <w:p>
                  <w:pPr>
                    <w:pStyle w:val="16"/>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b w:val="0"/>
                      <w:bCs w:val="0"/>
                      <w:color w:val="auto"/>
                      <w:sz w:val="21"/>
                      <w:szCs w:val="21"/>
                      <w:highlight w:val="none"/>
                      <w:lang w:val="en-US" w:eastAsia="zh-CN"/>
                    </w:rPr>
                  </w:pPr>
                  <w:r>
                    <w:rPr>
                      <w:rFonts w:hint="eastAsia"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8" w:hRule="atLeast"/>
                <w:jc w:val="center"/>
              </w:trPr>
              <w:tc>
                <w:tcPr>
                  <w:tcW w:w="162" w:type="pct"/>
                  <w:noWrap w:val="0"/>
                  <w:vAlign w:val="center"/>
                </w:tcPr>
                <w:p>
                  <w:pPr>
                    <w:pStyle w:val="48"/>
                    <w:bidi w:val="0"/>
                    <w:rPr>
                      <w:rFonts w:hint="default" w:ascii="Times New Roman" w:cs="Times New Roman"/>
                      <w:b w:val="0"/>
                      <w:bCs w:val="0"/>
                      <w:color w:val="auto"/>
                      <w:sz w:val="21"/>
                      <w:szCs w:val="21"/>
                      <w:highlight w:val="none"/>
                      <w:lang w:val="en-US" w:eastAsia="zh-CN"/>
                    </w:rPr>
                  </w:pPr>
                  <w:r>
                    <w:rPr>
                      <w:rFonts w:hint="eastAsia" w:ascii="Times New Roman" w:cs="Times New Roman"/>
                      <w:b w:val="0"/>
                      <w:bCs w:val="0"/>
                      <w:color w:val="auto"/>
                      <w:sz w:val="21"/>
                      <w:szCs w:val="21"/>
                      <w:highlight w:val="none"/>
                      <w:lang w:val="en-US" w:eastAsia="zh-CN"/>
                    </w:rPr>
                    <w:t>4</w:t>
                  </w:r>
                </w:p>
              </w:tc>
              <w:tc>
                <w:tcPr>
                  <w:tcW w:w="163" w:type="pct"/>
                  <w:noWrap w:val="0"/>
                  <w:vAlign w:val="center"/>
                </w:tcPr>
                <w:p>
                  <w:pPr>
                    <w:pStyle w:val="48"/>
                    <w:bidi w:val="0"/>
                    <w:rPr>
                      <w:rFonts w:hint="default" w:ascii="Times New Roman" w:cs="Times New Roman"/>
                      <w:b w:val="0"/>
                      <w:bCs w:val="0"/>
                      <w:color w:val="auto"/>
                      <w:sz w:val="21"/>
                      <w:szCs w:val="21"/>
                      <w:highlight w:val="none"/>
                      <w:lang w:val="en-US" w:eastAsia="zh-CN"/>
                    </w:rPr>
                  </w:pPr>
                  <w:r>
                    <w:rPr>
                      <w:rFonts w:hint="eastAsia" w:ascii="Times New Roman" w:cs="Times New Roman"/>
                      <w:b w:val="0"/>
                      <w:bCs w:val="0"/>
                      <w:color w:val="auto"/>
                      <w:sz w:val="21"/>
                      <w:szCs w:val="21"/>
                      <w:highlight w:val="none"/>
                      <w:lang w:val="en-US" w:eastAsia="zh-CN"/>
                    </w:rPr>
                    <w:t>污水处理站臭气</w:t>
                  </w:r>
                </w:p>
              </w:tc>
              <w:tc>
                <w:tcPr>
                  <w:tcW w:w="250" w:type="pct"/>
                  <w:noWrap w:val="0"/>
                  <w:vAlign w:val="center"/>
                </w:tcPr>
                <w:p>
                  <w:pPr>
                    <w:pStyle w:val="48"/>
                    <w:bidi w:val="0"/>
                    <w:rPr>
                      <w:rFonts w:hint="default" w:ascii="Times New Roman" w:cs="Times New Roman"/>
                      <w:b w:val="0"/>
                      <w:bCs w:val="0"/>
                      <w:color w:val="auto"/>
                      <w:sz w:val="21"/>
                      <w:szCs w:val="21"/>
                      <w:highlight w:val="none"/>
                      <w:lang w:val="en-US" w:eastAsia="zh-CN"/>
                    </w:rPr>
                  </w:pPr>
                  <w:r>
                    <w:rPr>
                      <w:rFonts w:hint="eastAsia" w:ascii="Times New Roman" w:cs="Times New Roman"/>
                      <w:b w:val="0"/>
                      <w:bCs w:val="0"/>
                      <w:color w:val="auto"/>
                      <w:sz w:val="21"/>
                      <w:szCs w:val="21"/>
                      <w:highlight w:val="none"/>
                      <w:lang w:val="en-US" w:eastAsia="zh-CN"/>
                    </w:rPr>
                    <w:t>臭气浓度</w:t>
                  </w:r>
                </w:p>
              </w:tc>
              <w:tc>
                <w:tcPr>
                  <w:tcW w:w="255" w:type="pct"/>
                  <w:noWrap w:val="0"/>
                  <w:vAlign w:val="center"/>
                </w:tcPr>
                <w:p>
                  <w:pPr>
                    <w:pStyle w:val="48"/>
                    <w:bidi w:val="0"/>
                    <w:ind w:firstLine="0" w:firstLineChars="0"/>
                    <w:rPr>
                      <w:rFonts w:hint="default" w:ascii="Times New Roman" w:cs="Times New Roman"/>
                      <w:b w:val="0"/>
                      <w:bCs w:val="0"/>
                      <w:color w:val="auto"/>
                      <w:kern w:val="0"/>
                      <w:sz w:val="21"/>
                      <w:szCs w:val="21"/>
                      <w:highlight w:val="none"/>
                      <w:lang w:val="en-US" w:eastAsia="zh-CN" w:bidi="ar-SA"/>
                    </w:rPr>
                  </w:pPr>
                  <w:r>
                    <w:rPr>
                      <w:rFonts w:hint="eastAsia" w:ascii="Times New Roman" w:cs="Times New Roman"/>
                      <w:b w:val="0"/>
                      <w:bCs w:val="0"/>
                      <w:color w:val="auto"/>
                      <w:kern w:val="0"/>
                      <w:sz w:val="21"/>
                      <w:szCs w:val="21"/>
                      <w:highlight w:val="none"/>
                      <w:lang w:val="en-US" w:eastAsia="zh-CN" w:bidi="ar-SA"/>
                    </w:rPr>
                    <w:t>无组织</w:t>
                  </w:r>
                </w:p>
              </w:tc>
              <w:tc>
                <w:tcPr>
                  <w:tcW w:w="333" w:type="pct"/>
                  <w:noWrap w:val="0"/>
                  <w:vAlign w:val="center"/>
                </w:tcPr>
                <w:p>
                  <w:pPr>
                    <w:pStyle w:val="48"/>
                    <w:bidi w:val="0"/>
                    <w:ind w:firstLine="0" w:firstLineChars="0"/>
                    <w:rPr>
                      <w:rFonts w:hint="default" w:ascii="Times New Roman"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w:t>
                  </w:r>
                </w:p>
              </w:tc>
              <w:tc>
                <w:tcPr>
                  <w:tcW w:w="374" w:type="pct"/>
                  <w:noWrap w:val="0"/>
                  <w:vAlign w:val="center"/>
                </w:tcPr>
                <w:p>
                  <w:pPr>
                    <w:pStyle w:val="48"/>
                    <w:bidi w:val="0"/>
                    <w:ind w:firstLine="0" w:firstLineChars="0"/>
                    <w:rPr>
                      <w:rFonts w:hint="default" w:ascii="Times New Roman" w:cs="Times New Roman"/>
                      <w:b w:val="0"/>
                      <w:bCs w:val="0"/>
                      <w:color w:val="auto"/>
                      <w:sz w:val="21"/>
                      <w:szCs w:val="21"/>
                      <w:highlight w:val="none"/>
                      <w:lang w:val="en-US" w:eastAsia="zh-CN"/>
                    </w:rPr>
                  </w:pPr>
                  <w:r>
                    <w:rPr>
                      <w:rFonts w:hint="eastAsia" w:ascii="Times New Roman" w:cs="Times New Roman"/>
                      <w:b w:val="0"/>
                      <w:bCs w:val="0"/>
                      <w:color w:val="auto"/>
                      <w:sz w:val="21"/>
                      <w:szCs w:val="21"/>
                      <w:highlight w:val="none"/>
                      <w:lang w:val="en-US" w:eastAsia="zh-CN"/>
                    </w:rPr>
                    <w:t>/</w:t>
                  </w:r>
                </w:p>
              </w:tc>
              <w:tc>
                <w:tcPr>
                  <w:tcW w:w="379" w:type="pct"/>
                  <w:noWrap w:val="0"/>
                  <w:vAlign w:val="center"/>
                </w:tcPr>
                <w:p>
                  <w:pPr>
                    <w:pStyle w:val="48"/>
                    <w:bidi w:val="0"/>
                    <w:ind w:firstLine="0" w:firstLineChars="0"/>
                    <w:rPr>
                      <w:rFonts w:hint="default" w:ascii="Times New Roman" w:cs="Times New Roman"/>
                      <w:b w:val="0"/>
                      <w:bCs w:val="0"/>
                      <w:color w:val="auto"/>
                      <w:sz w:val="21"/>
                      <w:szCs w:val="21"/>
                      <w:highlight w:val="none"/>
                      <w:lang w:val="en-US" w:eastAsia="zh-CN"/>
                    </w:rPr>
                  </w:pPr>
                  <w:r>
                    <w:rPr>
                      <w:rFonts w:hint="eastAsia" w:ascii="Times New Roman" w:cs="Times New Roman"/>
                      <w:b w:val="0"/>
                      <w:bCs w:val="0"/>
                      <w:color w:val="auto"/>
                      <w:sz w:val="21"/>
                      <w:szCs w:val="21"/>
                      <w:highlight w:val="none"/>
                      <w:lang w:val="en-US" w:eastAsia="zh-CN"/>
                    </w:rPr>
                    <w:t>/</w:t>
                  </w:r>
                </w:p>
              </w:tc>
              <w:tc>
                <w:tcPr>
                  <w:tcW w:w="532" w:type="pct"/>
                  <w:noWrap w:val="0"/>
                  <w:vAlign w:val="center"/>
                </w:tcPr>
                <w:p>
                  <w:pPr>
                    <w:pStyle w:val="48"/>
                    <w:bidi w:val="0"/>
                    <w:ind w:firstLine="0" w:firstLineChars="0"/>
                    <w:rPr>
                      <w:rFonts w:hint="default" w:ascii="Times New Roman" w:cs="Times New Roman"/>
                      <w:b w:val="0"/>
                      <w:bCs w:val="0"/>
                      <w:color w:val="auto"/>
                      <w:sz w:val="21"/>
                      <w:szCs w:val="21"/>
                      <w:highlight w:val="none"/>
                      <w:lang w:val="en-US" w:eastAsia="zh-CN"/>
                    </w:rPr>
                  </w:pPr>
                  <w:r>
                    <w:rPr>
                      <w:rFonts w:hint="eastAsia" w:ascii="Times New Roman" w:cs="Times New Roman"/>
                      <w:b w:val="0"/>
                      <w:bCs w:val="0"/>
                      <w:color w:val="auto"/>
                      <w:sz w:val="21"/>
                      <w:szCs w:val="21"/>
                      <w:highlight w:val="none"/>
                      <w:lang w:val="en-US" w:eastAsia="zh-CN"/>
                    </w:rPr>
                    <w:t>污水站加盖密闭，周边定期喷洒除臭剂</w:t>
                  </w:r>
                </w:p>
              </w:tc>
              <w:tc>
                <w:tcPr>
                  <w:tcW w:w="377" w:type="pct"/>
                  <w:noWrap w:val="0"/>
                  <w:vAlign w:val="center"/>
                </w:tcPr>
                <w:p>
                  <w:pPr>
                    <w:pStyle w:val="48"/>
                    <w:bidi w:val="0"/>
                    <w:ind w:firstLine="0" w:firstLineChars="0"/>
                    <w:rPr>
                      <w:rFonts w:hint="default" w:ascii="Times New Roman" w:cs="Times New Roman"/>
                      <w:b w:val="0"/>
                      <w:bCs w:val="0"/>
                      <w:color w:val="auto"/>
                      <w:sz w:val="21"/>
                      <w:szCs w:val="21"/>
                      <w:highlight w:val="none"/>
                      <w:lang w:val="en-US" w:eastAsia="zh-CN"/>
                    </w:rPr>
                  </w:pPr>
                  <w:r>
                    <w:rPr>
                      <w:rFonts w:hint="eastAsia" w:ascii="Times New Roman" w:cs="Times New Roman"/>
                      <w:b w:val="0"/>
                      <w:bCs w:val="0"/>
                      <w:color w:val="auto"/>
                      <w:sz w:val="21"/>
                      <w:szCs w:val="21"/>
                      <w:highlight w:val="none"/>
                      <w:lang w:val="en-US" w:eastAsia="zh-CN"/>
                    </w:rPr>
                    <w:t>/</w:t>
                  </w:r>
                </w:p>
              </w:tc>
              <w:tc>
                <w:tcPr>
                  <w:tcW w:w="300" w:type="pct"/>
                  <w:noWrap w:val="0"/>
                  <w:vAlign w:val="center"/>
                </w:tcPr>
                <w:p>
                  <w:pPr>
                    <w:pStyle w:val="48"/>
                    <w:bidi w:val="0"/>
                    <w:ind w:firstLine="0" w:firstLineChars="0"/>
                    <w:rPr>
                      <w:rFonts w:hint="default" w:ascii="Times New Roman" w:cs="Times New Roman"/>
                      <w:b w:val="0"/>
                      <w:bCs w:val="0"/>
                      <w:color w:val="auto"/>
                      <w:sz w:val="21"/>
                      <w:szCs w:val="21"/>
                      <w:highlight w:val="none"/>
                      <w:lang w:val="en-US" w:eastAsia="zh-CN"/>
                    </w:rPr>
                  </w:pPr>
                  <w:r>
                    <w:rPr>
                      <w:rFonts w:hint="eastAsia" w:ascii="Times New Roman" w:cs="Times New Roman"/>
                      <w:b w:val="0"/>
                      <w:bCs w:val="0"/>
                      <w:color w:val="auto"/>
                      <w:sz w:val="21"/>
                      <w:szCs w:val="21"/>
                      <w:highlight w:val="none"/>
                      <w:lang w:val="en-US" w:eastAsia="zh-CN"/>
                    </w:rPr>
                    <w:t>/</w:t>
                  </w:r>
                </w:p>
              </w:tc>
              <w:tc>
                <w:tcPr>
                  <w:tcW w:w="261" w:type="pct"/>
                  <w:noWrap w:val="0"/>
                  <w:vAlign w:val="center"/>
                </w:tcPr>
                <w:p>
                  <w:pPr>
                    <w:pStyle w:val="16"/>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257" w:type="pct"/>
                  <w:noWrap w:val="0"/>
                  <w:vAlign w:val="center"/>
                </w:tcPr>
                <w:p>
                  <w:pPr>
                    <w:pStyle w:val="16"/>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是</w:t>
                  </w:r>
                </w:p>
              </w:tc>
              <w:tc>
                <w:tcPr>
                  <w:tcW w:w="1023" w:type="pct"/>
                  <w:gridSpan w:val="3"/>
                  <w:noWrap w:val="0"/>
                  <w:vAlign w:val="center"/>
                </w:tcPr>
                <w:p>
                  <w:pPr>
                    <w:pStyle w:val="16"/>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≤20（无量纲）</w:t>
                  </w:r>
                </w:p>
              </w:tc>
              <w:tc>
                <w:tcPr>
                  <w:tcW w:w="327" w:type="pct"/>
                  <w:noWrap w:val="0"/>
                  <w:vAlign w:val="center"/>
                </w:tcPr>
                <w:p>
                  <w:pPr>
                    <w:pStyle w:val="16"/>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908" w:hRule="atLeast"/>
                <w:jc w:val="center"/>
              </w:trPr>
              <w:tc>
                <w:tcPr>
                  <w:tcW w:w="162" w:type="pct"/>
                  <w:noWrap w:val="0"/>
                  <w:vAlign w:val="center"/>
                </w:tcPr>
                <w:p>
                  <w:pPr>
                    <w:pStyle w:val="48"/>
                    <w:bidi w:val="0"/>
                    <w:rPr>
                      <w:rFonts w:hint="default" w:ascii="Times New Roman" w:cs="Times New Roman"/>
                      <w:b w:val="0"/>
                      <w:bCs w:val="0"/>
                      <w:color w:val="auto"/>
                      <w:sz w:val="21"/>
                      <w:szCs w:val="21"/>
                      <w:highlight w:val="none"/>
                      <w:lang w:val="en-US" w:eastAsia="zh-CN"/>
                    </w:rPr>
                  </w:pPr>
                  <w:r>
                    <w:rPr>
                      <w:rFonts w:hint="eastAsia" w:ascii="Times New Roman" w:cs="Times New Roman"/>
                      <w:b w:val="0"/>
                      <w:bCs w:val="0"/>
                      <w:color w:val="auto"/>
                      <w:sz w:val="21"/>
                      <w:szCs w:val="21"/>
                      <w:highlight w:val="none"/>
                      <w:lang w:val="en-US" w:eastAsia="zh-CN"/>
                    </w:rPr>
                    <w:t>5</w:t>
                  </w:r>
                </w:p>
              </w:tc>
              <w:tc>
                <w:tcPr>
                  <w:tcW w:w="163" w:type="pct"/>
                  <w:noWrap w:val="0"/>
                  <w:vAlign w:val="center"/>
                </w:tcPr>
                <w:p>
                  <w:pPr>
                    <w:pStyle w:val="48"/>
                    <w:bidi w:val="0"/>
                    <w:rPr>
                      <w:rFonts w:hint="default" w:ascii="Times New Roman" w:cs="Times New Roman"/>
                      <w:b w:val="0"/>
                      <w:bCs w:val="0"/>
                      <w:color w:val="auto"/>
                      <w:sz w:val="21"/>
                      <w:szCs w:val="21"/>
                      <w:highlight w:val="none"/>
                      <w:lang w:val="en-US" w:eastAsia="zh-CN"/>
                    </w:rPr>
                  </w:pPr>
                  <w:r>
                    <w:rPr>
                      <w:rFonts w:hint="eastAsia" w:ascii="Times New Roman" w:cs="Times New Roman"/>
                      <w:b w:val="0"/>
                      <w:bCs w:val="0"/>
                      <w:color w:val="auto"/>
                      <w:sz w:val="21"/>
                      <w:szCs w:val="21"/>
                      <w:highlight w:val="none"/>
                      <w:lang w:val="en-US" w:eastAsia="zh-CN"/>
                    </w:rPr>
                    <w:t>坏果及果渣暂存臭气</w:t>
                  </w:r>
                </w:p>
              </w:tc>
              <w:tc>
                <w:tcPr>
                  <w:tcW w:w="250" w:type="pct"/>
                  <w:noWrap w:val="0"/>
                  <w:vAlign w:val="center"/>
                </w:tcPr>
                <w:p>
                  <w:pPr>
                    <w:pStyle w:val="48"/>
                    <w:bidi w:val="0"/>
                    <w:rPr>
                      <w:rFonts w:hint="eastAsia" w:ascii="Times New Roman" w:cs="Times New Roman"/>
                      <w:b w:val="0"/>
                      <w:bCs w:val="0"/>
                      <w:color w:val="auto"/>
                      <w:sz w:val="21"/>
                      <w:szCs w:val="21"/>
                      <w:highlight w:val="none"/>
                      <w:lang w:val="en-US" w:eastAsia="zh-CN"/>
                    </w:rPr>
                  </w:pPr>
                  <w:r>
                    <w:rPr>
                      <w:rFonts w:hint="eastAsia" w:ascii="Times New Roman" w:cs="Times New Roman"/>
                      <w:b w:val="0"/>
                      <w:bCs w:val="0"/>
                      <w:color w:val="auto"/>
                      <w:sz w:val="21"/>
                      <w:szCs w:val="21"/>
                      <w:highlight w:val="none"/>
                      <w:lang w:val="en-US" w:eastAsia="zh-CN"/>
                    </w:rPr>
                    <w:t>臭气浓度</w:t>
                  </w:r>
                </w:p>
              </w:tc>
              <w:tc>
                <w:tcPr>
                  <w:tcW w:w="255" w:type="pct"/>
                  <w:noWrap w:val="0"/>
                  <w:vAlign w:val="center"/>
                </w:tcPr>
                <w:p>
                  <w:pPr>
                    <w:pStyle w:val="48"/>
                    <w:bidi w:val="0"/>
                    <w:ind w:firstLine="0" w:firstLineChars="0"/>
                    <w:rPr>
                      <w:rFonts w:hint="eastAsia" w:ascii="Times New Roman" w:cs="Times New Roman"/>
                      <w:b w:val="0"/>
                      <w:bCs w:val="0"/>
                      <w:color w:val="auto"/>
                      <w:kern w:val="0"/>
                      <w:sz w:val="21"/>
                      <w:szCs w:val="21"/>
                      <w:highlight w:val="none"/>
                      <w:lang w:val="en-US" w:eastAsia="zh-CN" w:bidi="ar-SA"/>
                    </w:rPr>
                  </w:pPr>
                  <w:r>
                    <w:rPr>
                      <w:rFonts w:hint="eastAsia" w:ascii="Times New Roman" w:cs="Times New Roman"/>
                      <w:b w:val="0"/>
                      <w:bCs w:val="0"/>
                      <w:color w:val="auto"/>
                      <w:kern w:val="0"/>
                      <w:sz w:val="21"/>
                      <w:szCs w:val="21"/>
                      <w:highlight w:val="none"/>
                      <w:lang w:val="en-US" w:eastAsia="zh-CN" w:bidi="ar-SA"/>
                    </w:rPr>
                    <w:t>无组织</w:t>
                  </w:r>
                </w:p>
              </w:tc>
              <w:tc>
                <w:tcPr>
                  <w:tcW w:w="333" w:type="pct"/>
                  <w:noWrap w:val="0"/>
                  <w:vAlign w:val="center"/>
                </w:tcPr>
                <w:p>
                  <w:pPr>
                    <w:pStyle w:val="48"/>
                    <w:bidi w:val="0"/>
                    <w:ind w:firstLine="0" w:firstLineChars="0"/>
                    <w:rPr>
                      <w:rFonts w:hint="eastAsia" w:ascii="Times New Roman"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w:t>
                  </w:r>
                </w:p>
              </w:tc>
              <w:tc>
                <w:tcPr>
                  <w:tcW w:w="374" w:type="pct"/>
                  <w:noWrap w:val="0"/>
                  <w:vAlign w:val="center"/>
                </w:tcPr>
                <w:p>
                  <w:pPr>
                    <w:pStyle w:val="48"/>
                    <w:bidi w:val="0"/>
                    <w:ind w:firstLine="0" w:firstLineChars="0"/>
                    <w:rPr>
                      <w:rFonts w:hint="eastAsia" w:ascii="Times New Roman" w:cs="Times New Roman"/>
                      <w:b w:val="0"/>
                      <w:bCs w:val="0"/>
                      <w:color w:val="auto"/>
                      <w:sz w:val="21"/>
                      <w:szCs w:val="21"/>
                      <w:highlight w:val="none"/>
                      <w:lang w:val="en-US" w:eastAsia="zh-CN"/>
                    </w:rPr>
                  </w:pPr>
                  <w:r>
                    <w:rPr>
                      <w:rFonts w:hint="eastAsia" w:ascii="Times New Roman" w:cs="Times New Roman"/>
                      <w:b w:val="0"/>
                      <w:bCs w:val="0"/>
                      <w:color w:val="auto"/>
                      <w:sz w:val="21"/>
                      <w:szCs w:val="21"/>
                      <w:highlight w:val="none"/>
                      <w:lang w:val="en-US" w:eastAsia="zh-CN"/>
                    </w:rPr>
                    <w:t>/</w:t>
                  </w:r>
                </w:p>
              </w:tc>
              <w:tc>
                <w:tcPr>
                  <w:tcW w:w="379" w:type="pct"/>
                  <w:noWrap w:val="0"/>
                  <w:vAlign w:val="center"/>
                </w:tcPr>
                <w:p>
                  <w:pPr>
                    <w:pStyle w:val="48"/>
                    <w:bidi w:val="0"/>
                    <w:ind w:firstLine="0" w:firstLineChars="0"/>
                    <w:rPr>
                      <w:rFonts w:hint="eastAsia" w:ascii="Times New Roman" w:cs="Times New Roman"/>
                      <w:b w:val="0"/>
                      <w:bCs w:val="0"/>
                      <w:color w:val="auto"/>
                      <w:sz w:val="21"/>
                      <w:szCs w:val="21"/>
                      <w:highlight w:val="none"/>
                      <w:lang w:val="en-US" w:eastAsia="zh-CN"/>
                    </w:rPr>
                  </w:pPr>
                  <w:r>
                    <w:rPr>
                      <w:rFonts w:hint="eastAsia" w:ascii="Times New Roman" w:cs="Times New Roman"/>
                      <w:b w:val="0"/>
                      <w:bCs w:val="0"/>
                      <w:color w:val="auto"/>
                      <w:sz w:val="21"/>
                      <w:szCs w:val="21"/>
                      <w:highlight w:val="none"/>
                      <w:lang w:val="en-US" w:eastAsia="zh-CN"/>
                    </w:rPr>
                    <w:t>/</w:t>
                  </w:r>
                </w:p>
              </w:tc>
              <w:tc>
                <w:tcPr>
                  <w:tcW w:w="532" w:type="pct"/>
                  <w:noWrap w:val="0"/>
                  <w:vAlign w:val="center"/>
                </w:tcPr>
                <w:p>
                  <w:pPr>
                    <w:pStyle w:val="48"/>
                    <w:bidi w:val="0"/>
                    <w:ind w:firstLine="0" w:firstLineChars="0"/>
                    <w:rPr>
                      <w:rFonts w:hint="default" w:ascii="Times New Roman" w:cs="Times New Roman"/>
                      <w:b w:val="0"/>
                      <w:bCs w:val="0"/>
                      <w:color w:val="auto"/>
                      <w:sz w:val="21"/>
                      <w:szCs w:val="21"/>
                      <w:highlight w:val="none"/>
                      <w:lang w:val="en-US" w:eastAsia="zh-CN"/>
                    </w:rPr>
                  </w:pPr>
                  <w:r>
                    <w:rPr>
                      <w:rFonts w:hint="eastAsia" w:ascii="Times New Roman" w:cs="Times New Roman"/>
                      <w:b w:val="0"/>
                      <w:bCs w:val="0"/>
                      <w:color w:val="auto"/>
                      <w:sz w:val="21"/>
                      <w:szCs w:val="21"/>
                      <w:highlight w:val="none"/>
                      <w:lang w:val="en-US" w:eastAsia="zh-CN"/>
                    </w:rPr>
                    <w:t>密闭储存，日产日清，定期喷洒除臭剂，加强贮存点及周边环境卫生管理</w:t>
                  </w:r>
                </w:p>
              </w:tc>
              <w:tc>
                <w:tcPr>
                  <w:tcW w:w="377" w:type="pct"/>
                  <w:noWrap w:val="0"/>
                  <w:vAlign w:val="center"/>
                </w:tcPr>
                <w:p>
                  <w:pPr>
                    <w:pStyle w:val="48"/>
                    <w:bidi w:val="0"/>
                    <w:ind w:firstLine="0" w:firstLineChars="0"/>
                    <w:rPr>
                      <w:rFonts w:hint="eastAsia" w:ascii="Times New Roman" w:cs="Times New Roman"/>
                      <w:b w:val="0"/>
                      <w:bCs w:val="0"/>
                      <w:color w:val="auto"/>
                      <w:sz w:val="21"/>
                      <w:szCs w:val="21"/>
                      <w:highlight w:val="none"/>
                      <w:lang w:val="en-US" w:eastAsia="zh-CN"/>
                    </w:rPr>
                  </w:pPr>
                  <w:r>
                    <w:rPr>
                      <w:rFonts w:hint="eastAsia" w:ascii="Times New Roman" w:cs="Times New Roman"/>
                      <w:b w:val="0"/>
                      <w:bCs w:val="0"/>
                      <w:color w:val="auto"/>
                      <w:sz w:val="21"/>
                      <w:szCs w:val="21"/>
                      <w:highlight w:val="none"/>
                      <w:lang w:val="en-US" w:eastAsia="zh-CN"/>
                    </w:rPr>
                    <w:t>/</w:t>
                  </w:r>
                </w:p>
              </w:tc>
              <w:tc>
                <w:tcPr>
                  <w:tcW w:w="300" w:type="pct"/>
                  <w:noWrap w:val="0"/>
                  <w:vAlign w:val="center"/>
                </w:tcPr>
                <w:p>
                  <w:pPr>
                    <w:pStyle w:val="48"/>
                    <w:bidi w:val="0"/>
                    <w:ind w:firstLine="0" w:firstLineChars="0"/>
                    <w:rPr>
                      <w:rFonts w:hint="eastAsia" w:ascii="Times New Roman" w:cs="Times New Roman"/>
                      <w:b w:val="0"/>
                      <w:bCs w:val="0"/>
                      <w:color w:val="auto"/>
                      <w:sz w:val="21"/>
                      <w:szCs w:val="21"/>
                      <w:highlight w:val="none"/>
                      <w:lang w:val="en-US" w:eastAsia="zh-CN"/>
                    </w:rPr>
                  </w:pPr>
                  <w:r>
                    <w:rPr>
                      <w:rFonts w:hint="eastAsia" w:ascii="Times New Roman" w:cs="Times New Roman"/>
                      <w:b w:val="0"/>
                      <w:bCs w:val="0"/>
                      <w:color w:val="auto"/>
                      <w:sz w:val="21"/>
                      <w:szCs w:val="21"/>
                      <w:highlight w:val="none"/>
                      <w:lang w:val="en-US" w:eastAsia="zh-CN"/>
                    </w:rPr>
                    <w:t>/</w:t>
                  </w:r>
                </w:p>
              </w:tc>
              <w:tc>
                <w:tcPr>
                  <w:tcW w:w="261" w:type="pct"/>
                  <w:noWrap w:val="0"/>
                  <w:vAlign w:val="center"/>
                </w:tcPr>
                <w:p>
                  <w:pPr>
                    <w:pStyle w:val="16"/>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w:t>
                  </w:r>
                </w:p>
              </w:tc>
              <w:tc>
                <w:tcPr>
                  <w:tcW w:w="257" w:type="pct"/>
                  <w:noWrap w:val="0"/>
                  <w:vAlign w:val="center"/>
                </w:tcPr>
                <w:p>
                  <w:pPr>
                    <w:pStyle w:val="16"/>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是</w:t>
                  </w:r>
                </w:p>
              </w:tc>
              <w:tc>
                <w:tcPr>
                  <w:tcW w:w="1023" w:type="pct"/>
                  <w:gridSpan w:val="3"/>
                  <w:noWrap w:val="0"/>
                  <w:vAlign w:val="center"/>
                </w:tcPr>
                <w:p>
                  <w:pPr>
                    <w:pStyle w:val="16"/>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≤20（无量纲）</w:t>
                  </w:r>
                </w:p>
              </w:tc>
              <w:tc>
                <w:tcPr>
                  <w:tcW w:w="327" w:type="pct"/>
                  <w:noWrap w:val="0"/>
                  <w:vAlign w:val="center"/>
                </w:tcPr>
                <w:p>
                  <w:pPr>
                    <w:pStyle w:val="16"/>
                    <w:keepNext w:val="0"/>
                    <w:keepLines w:val="0"/>
                    <w:pageBreakBefore w:val="0"/>
                    <w:widowControl w:val="0"/>
                    <w:kinsoku/>
                    <w:wordWrap/>
                    <w:overflowPunct/>
                    <w:topLinePunct w:val="0"/>
                    <w:autoSpaceDE/>
                    <w:autoSpaceDN/>
                    <w:bidi w:val="0"/>
                    <w:adjustRightInd/>
                    <w:snapToGrid/>
                    <w:spacing w:line="240" w:lineRule="auto"/>
                    <w:ind w:left="0" w:leftChars="0" w:firstLine="0" w:firstLineChars="0"/>
                    <w:jc w:val="center"/>
                    <w:textAlignment w:val="auto"/>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w:t>
                  </w:r>
                </w:p>
              </w:tc>
            </w:tr>
          </w:tbl>
          <w:p>
            <w:pPr>
              <w:adjustRightInd w:val="0"/>
              <w:snapToGrid w:val="0"/>
              <w:spacing w:line="360" w:lineRule="auto"/>
              <w:rPr>
                <w:rFonts w:hint="eastAsia" w:ascii="宋体" w:cs="宋体"/>
                <w:b/>
                <w:color w:val="auto"/>
                <w:kern w:val="0"/>
                <w:sz w:val="28"/>
                <w:szCs w:val="28"/>
                <w:highlight w:val="none"/>
                <w:vertAlign w:val="baseline"/>
              </w:rPr>
            </w:pPr>
          </w:p>
        </w:tc>
      </w:tr>
    </w:tbl>
    <w:p>
      <w:pPr>
        <w:adjustRightInd w:val="0"/>
        <w:snapToGrid w:val="0"/>
        <w:spacing w:line="360" w:lineRule="auto"/>
        <w:rPr>
          <w:rFonts w:hint="eastAsia" w:ascii="宋体" w:cs="宋体"/>
          <w:b/>
          <w:color w:val="auto"/>
          <w:kern w:val="0"/>
          <w:sz w:val="28"/>
          <w:szCs w:val="28"/>
          <w:highlight w:val="none"/>
        </w:rPr>
        <w:sectPr>
          <w:pgSz w:w="16840" w:h="11907" w:orient="landscape"/>
          <w:pgMar w:top="1531" w:right="1701" w:bottom="1531" w:left="2127" w:header="851" w:footer="851" w:gutter="0"/>
          <w:cols w:space="720" w:num="1"/>
          <w:docGrid w:linePitch="312" w:charSpace="0"/>
        </w:sectPr>
      </w:pP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6"/>
        <w:gridCol w:w="8255"/>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059" w:hRule="atLeast"/>
        </w:trPr>
        <w:tc>
          <w:tcPr>
            <w:tcW w:w="806" w:type="dxa"/>
          </w:tcPr>
          <w:p>
            <w:pPr>
              <w:adjustRightInd w:val="0"/>
              <w:snapToGrid w:val="0"/>
              <w:spacing w:line="360" w:lineRule="auto"/>
              <w:rPr>
                <w:rFonts w:hint="eastAsia" w:ascii="宋体" w:cs="宋体"/>
                <w:b/>
                <w:color w:val="auto"/>
                <w:kern w:val="0"/>
                <w:sz w:val="28"/>
                <w:szCs w:val="28"/>
                <w:highlight w:val="none"/>
                <w:vertAlign w:val="baseline"/>
              </w:rPr>
            </w:pPr>
          </w:p>
        </w:tc>
        <w:tc>
          <w:tcPr>
            <w:tcW w:w="8255" w:type="dxa"/>
          </w:tcPr>
          <w:p>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jc w:val="both"/>
              <w:textAlignment w:val="auto"/>
              <w:rPr>
                <w:rFonts w:hint="eastAsia" w:cs="Times New Roman"/>
                <w:b/>
                <w:bCs/>
                <w:color w:val="auto"/>
                <w:sz w:val="21"/>
                <w:szCs w:val="21"/>
                <w:highlight w:val="none"/>
                <w:lang w:val="en-US" w:eastAsia="zh-CN"/>
              </w:rPr>
            </w:pPr>
            <w:r>
              <w:rPr>
                <w:rFonts w:hint="eastAsia" w:ascii="Times New Roman" w:hAnsi="Times New Roman" w:cs="Times New Roman"/>
                <w:b/>
                <w:bCs/>
                <w:color w:val="auto"/>
                <w:sz w:val="21"/>
                <w:szCs w:val="21"/>
                <w:highlight w:val="none"/>
                <w:lang w:val="en-US" w:eastAsia="zh-CN"/>
              </w:rPr>
              <w:t>1.</w:t>
            </w:r>
            <w:r>
              <w:rPr>
                <w:rFonts w:hint="eastAsia" w:cs="Times New Roman"/>
                <w:b/>
                <w:bCs/>
                <w:color w:val="auto"/>
                <w:sz w:val="21"/>
                <w:szCs w:val="21"/>
                <w:highlight w:val="none"/>
                <w:lang w:val="en-US" w:eastAsia="zh-CN"/>
              </w:rPr>
              <w:t>2大气排放口基本情况</w:t>
            </w:r>
          </w:p>
          <w:p>
            <w:pPr>
              <w:pStyle w:val="64"/>
              <w:keepNext w:val="0"/>
              <w:keepLines w:val="0"/>
              <w:pageBreakBefore w:val="0"/>
              <w:widowControl w:val="0"/>
              <w:suppressLineNumbers w:val="0"/>
              <w:tabs>
                <w:tab w:val="left" w:pos="2850"/>
                <w:tab w:val="left" w:pos="3918"/>
              </w:tabs>
              <w:kinsoku/>
              <w:wordWrap/>
              <w:overflowPunct/>
              <w:topLinePunct w:val="0"/>
              <w:autoSpaceDE/>
              <w:autoSpaceDN/>
              <w:bidi w:val="0"/>
              <w:adjustRightInd/>
              <w:snapToGrid/>
              <w:spacing w:before="0" w:beforeLines="0" w:after="0" w:afterAutospacing="0" w:line="360" w:lineRule="auto"/>
              <w:ind w:left="0" w:right="0" w:firstLine="420" w:firstLineChars="200"/>
              <w:textAlignment w:val="auto"/>
              <w:outlineLvl w:val="9"/>
              <w:rPr>
                <w:rFonts w:hint="default" w:ascii="Times New Roman" w:hAnsi="Times New Roman" w:cs="Times New Roman"/>
                <w:b w:val="0"/>
                <w:color w:val="auto"/>
                <w:sz w:val="21"/>
                <w:szCs w:val="21"/>
                <w:highlight w:val="none"/>
              </w:rPr>
            </w:pPr>
            <w:r>
              <w:rPr>
                <w:rFonts w:hint="default" w:ascii="Times New Roman" w:hAnsi="Times New Roman" w:cs="Times New Roman"/>
                <w:b w:val="0"/>
                <w:color w:val="auto"/>
                <w:sz w:val="21"/>
                <w:szCs w:val="21"/>
                <w:highlight w:val="none"/>
                <w:lang w:val="en-US" w:eastAsia="zh-CN"/>
              </w:rPr>
              <w:t>项目大气排放口基本情况见表4-</w:t>
            </w:r>
            <w:r>
              <w:rPr>
                <w:rFonts w:hint="eastAsia" w:cs="Times New Roman"/>
                <w:b w:val="0"/>
                <w:color w:val="auto"/>
                <w:sz w:val="21"/>
                <w:szCs w:val="21"/>
                <w:highlight w:val="none"/>
                <w:lang w:val="en-US" w:eastAsia="zh-CN"/>
              </w:rPr>
              <w:t>2</w:t>
            </w:r>
            <w:r>
              <w:rPr>
                <w:rFonts w:hint="default" w:ascii="Times New Roman" w:hAnsi="Times New Roman" w:cs="Times New Roman"/>
                <w:b w:val="0"/>
                <w:color w:val="auto"/>
                <w:sz w:val="21"/>
                <w:szCs w:val="21"/>
                <w:highlight w:val="none"/>
                <w:lang w:val="en-US" w:eastAsia="zh-CN"/>
              </w:rPr>
              <w:t>。</w:t>
            </w: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0" w:afterAutospacing="0" w:line="240" w:lineRule="auto"/>
              <w:ind w:left="0" w:right="0" w:firstLine="0" w:firstLineChars="0"/>
              <w:jc w:val="center"/>
              <w:textAlignment w:val="auto"/>
              <w:rPr>
                <w:rFonts w:hint="default" w:ascii="Times New Roman" w:hAnsi="Times New Roman" w:cs="Times New Roman"/>
                <w:b/>
                <w:bCs/>
                <w:color w:val="auto"/>
                <w:spacing w:val="-10"/>
                <w:sz w:val="21"/>
                <w:szCs w:val="21"/>
                <w:highlight w:val="none"/>
              </w:rPr>
            </w:pPr>
            <w:r>
              <w:rPr>
                <w:rFonts w:hint="default" w:ascii="Times New Roman" w:hAnsi="Times New Roman" w:cs="Times New Roman"/>
                <w:b/>
                <w:bCs/>
                <w:color w:val="auto"/>
                <w:spacing w:val="-10"/>
                <w:sz w:val="21"/>
                <w:szCs w:val="21"/>
                <w:highlight w:val="none"/>
              </w:rPr>
              <w:t>表</w:t>
            </w:r>
            <w:r>
              <w:rPr>
                <w:rFonts w:hint="default" w:ascii="Times New Roman" w:hAnsi="Times New Roman" w:cs="Times New Roman"/>
                <w:b/>
                <w:bCs/>
                <w:color w:val="auto"/>
                <w:spacing w:val="-10"/>
                <w:sz w:val="21"/>
                <w:szCs w:val="21"/>
                <w:highlight w:val="none"/>
                <w:lang w:val="en-US" w:eastAsia="zh-CN"/>
              </w:rPr>
              <w:t>4-</w:t>
            </w:r>
            <w:r>
              <w:rPr>
                <w:rFonts w:hint="eastAsia" w:cs="Times New Roman"/>
                <w:b/>
                <w:bCs/>
                <w:color w:val="auto"/>
                <w:spacing w:val="-10"/>
                <w:sz w:val="21"/>
                <w:szCs w:val="21"/>
                <w:highlight w:val="none"/>
                <w:lang w:val="en-US" w:eastAsia="zh-CN"/>
              </w:rPr>
              <w:t>2</w:t>
            </w:r>
            <w:r>
              <w:rPr>
                <w:rFonts w:hint="default" w:ascii="Times New Roman" w:hAnsi="Times New Roman" w:cs="Times New Roman"/>
                <w:b/>
                <w:bCs/>
                <w:color w:val="auto"/>
                <w:spacing w:val="-10"/>
                <w:sz w:val="21"/>
                <w:szCs w:val="21"/>
                <w:highlight w:val="none"/>
              </w:rPr>
              <w:t xml:space="preserve"> </w:t>
            </w:r>
            <w:r>
              <w:rPr>
                <w:rFonts w:hint="eastAsia" w:cs="Times New Roman"/>
                <w:b/>
                <w:bCs/>
                <w:color w:val="auto"/>
                <w:spacing w:val="-10"/>
                <w:sz w:val="21"/>
                <w:szCs w:val="21"/>
                <w:highlight w:val="none"/>
                <w:lang w:val="en-US" w:eastAsia="zh-CN"/>
              </w:rPr>
              <w:t xml:space="preserve"> </w:t>
            </w:r>
            <w:r>
              <w:rPr>
                <w:rFonts w:hint="default" w:ascii="Times New Roman" w:hAnsi="Times New Roman" w:cs="Times New Roman"/>
                <w:b/>
                <w:bCs/>
                <w:color w:val="auto"/>
                <w:spacing w:val="-10"/>
                <w:sz w:val="21"/>
                <w:szCs w:val="21"/>
                <w:highlight w:val="none"/>
              </w:rPr>
              <w:t xml:space="preserve"> 排放口基本情况</w:t>
            </w:r>
          </w:p>
          <w:tbl>
            <w:tblPr>
              <w:tblStyle w:val="2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24"/>
              <w:gridCol w:w="919"/>
              <w:gridCol w:w="1103"/>
              <w:gridCol w:w="1691"/>
              <w:gridCol w:w="1053"/>
              <w:gridCol w:w="963"/>
              <w:gridCol w:w="1027"/>
              <w:gridCol w:w="8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264" w:type="pct"/>
                  <w:noWrap w:val="0"/>
                  <w:vAlign w:val="center"/>
                </w:tcPr>
                <w:p>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编号</w:t>
                  </w:r>
                </w:p>
              </w:tc>
              <w:tc>
                <w:tcPr>
                  <w:tcW w:w="572" w:type="pct"/>
                  <w:noWrap w:val="0"/>
                  <w:vAlign w:val="center"/>
                </w:tcPr>
                <w:p>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rPr>
                    <w:t>排</w:t>
                  </w:r>
                  <w:r>
                    <w:rPr>
                      <w:rFonts w:hint="default" w:ascii="Times New Roman" w:hAnsi="Times New Roman" w:eastAsia="宋体" w:cs="Times New Roman"/>
                      <w:color w:val="auto"/>
                      <w:sz w:val="21"/>
                      <w:szCs w:val="21"/>
                      <w:highlight w:val="none"/>
                      <w:lang w:eastAsia="zh-CN"/>
                    </w:rPr>
                    <w:t>放口编号</w:t>
                  </w:r>
                </w:p>
              </w:tc>
              <w:tc>
                <w:tcPr>
                  <w:tcW w:w="686" w:type="pct"/>
                  <w:noWrap w:val="0"/>
                  <w:vAlign w:val="center"/>
                </w:tcPr>
                <w:p>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排放口名称</w:t>
                  </w:r>
                </w:p>
              </w:tc>
              <w:tc>
                <w:tcPr>
                  <w:tcW w:w="1053" w:type="pct"/>
                  <w:noWrap w:val="0"/>
                  <w:vAlign w:val="center"/>
                </w:tcPr>
                <w:p>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color w:val="auto"/>
                      <w:sz w:val="21"/>
                      <w:szCs w:val="21"/>
                      <w:highlight w:val="none"/>
                      <w:lang w:eastAsia="zh-CN"/>
                    </w:rPr>
                    <w:t>地理坐标</w:t>
                  </w:r>
                </w:p>
              </w:tc>
              <w:tc>
                <w:tcPr>
                  <w:tcW w:w="655" w:type="pct"/>
                  <w:noWrap w:val="0"/>
                  <w:vAlign w:val="center"/>
                </w:tcPr>
                <w:p>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排气筒高度/m</w:t>
                  </w:r>
                </w:p>
              </w:tc>
              <w:tc>
                <w:tcPr>
                  <w:tcW w:w="599" w:type="pct"/>
                  <w:noWrap w:val="0"/>
                  <w:vAlign w:val="center"/>
                </w:tcPr>
                <w:p>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排气筒出口内径/m</w:t>
                  </w:r>
                </w:p>
              </w:tc>
              <w:tc>
                <w:tcPr>
                  <w:tcW w:w="639" w:type="pct"/>
                  <w:noWrap w:val="0"/>
                  <w:vAlign w:val="center"/>
                </w:tcPr>
                <w:p>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烟气温度/℃</w:t>
                  </w:r>
                </w:p>
              </w:tc>
              <w:tc>
                <w:tcPr>
                  <w:tcW w:w="528" w:type="pct"/>
                  <w:noWrap w:val="0"/>
                  <w:vAlign w:val="center"/>
                </w:tcPr>
                <w:p>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66" w:hRule="atLeast"/>
                <w:jc w:val="center"/>
              </w:trPr>
              <w:tc>
                <w:tcPr>
                  <w:tcW w:w="264" w:type="pct"/>
                  <w:noWrap w:val="0"/>
                  <w:vAlign w:val="center"/>
                </w:tcPr>
                <w:p>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c>
                <w:tcPr>
                  <w:tcW w:w="572" w:type="pct"/>
                  <w:noWrap w:val="0"/>
                  <w:vAlign w:val="center"/>
                </w:tcPr>
                <w:p>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DA001</w:t>
                  </w:r>
                </w:p>
              </w:tc>
              <w:tc>
                <w:tcPr>
                  <w:tcW w:w="686" w:type="pct"/>
                  <w:noWrap w:val="0"/>
                  <w:vAlign w:val="center"/>
                </w:tcPr>
                <w:p>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cs="Times New Roman"/>
                      <w:color w:val="auto"/>
                      <w:kern w:val="0"/>
                      <w:sz w:val="21"/>
                      <w:szCs w:val="21"/>
                      <w:highlight w:val="none"/>
                      <w:lang w:val="en-US" w:eastAsia="zh-CN" w:bidi="ar-SA"/>
                    </w:rPr>
                    <w:t>1#锅炉排放口</w:t>
                  </w:r>
                </w:p>
              </w:tc>
              <w:tc>
                <w:tcPr>
                  <w:tcW w:w="1053" w:type="pct"/>
                  <w:noWrap w:val="0"/>
                  <w:vAlign w:val="center"/>
                </w:tcPr>
                <w:p>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86°13′46.17</w:t>
                  </w:r>
                  <w:r>
                    <w:rPr>
                      <w:rFonts w:hint="eastAsia" w:ascii="Times New Roman" w:cs="Times New Roman"/>
                      <w:color w:val="auto"/>
                      <w:sz w:val="21"/>
                      <w:szCs w:val="21"/>
                      <w:highlight w:val="none"/>
                      <w:lang w:val="en-US" w:eastAsia="zh-CN"/>
                    </w:rPr>
                    <w:t>1</w:t>
                  </w:r>
                  <w:r>
                    <w:rPr>
                      <w:rFonts w:hint="default" w:ascii="Times New Roman" w:hAnsi="Times New Roman" w:eastAsia="宋体" w:cs="Times New Roman"/>
                      <w:color w:val="auto"/>
                      <w:sz w:val="21"/>
                      <w:szCs w:val="21"/>
                      <w:highlight w:val="none"/>
                      <w:lang w:val="en-US" w:eastAsia="zh-CN"/>
                    </w:rPr>
                    <w:t>″</w:t>
                  </w:r>
                  <w:r>
                    <w:rPr>
                      <w:rFonts w:hint="eastAsia" w:ascii="Times New Roman" w:cs="Times New Roman"/>
                      <w:color w:val="auto"/>
                      <w:sz w:val="21"/>
                      <w:szCs w:val="21"/>
                      <w:highlight w:val="none"/>
                      <w:lang w:val="en-US" w:eastAsia="zh-CN"/>
                    </w:rPr>
                    <w:t>E</w:t>
                  </w:r>
                </w:p>
                <w:p>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41°40′47.42</w:t>
                  </w:r>
                  <w:r>
                    <w:rPr>
                      <w:rFonts w:hint="eastAsia" w:ascii="Times New Roman" w:cs="Times New Roman"/>
                      <w:color w:val="auto"/>
                      <w:sz w:val="21"/>
                      <w:szCs w:val="21"/>
                      <w:highlight w:val="none"/>
                      <w:lang w:val="en-US" w:eastAsia="zh-CN"/>
                    </w:rPr>
                    <w:t>3</w:t>
                  </w:r>
                  <w:r>
                    <w:rPr>
                      <w:rFonts w:hint="default" w:ascii="Times New Roman" w:hAnsi="Times New Roman" w:eastAsia="宋体" w:cs="Times New Roman"/>
                      <w:color w:val="auto"/>
                      <w:sz w:val="21"/>
                      <w:szCs w:val="21"/>
                      <w:highlight w:val="none"/>
                      <w:lang w:val="en-US" w:eastAsia="zh-CN"/>
                    </w:rPr>
                    <w:t>″</w:t>
                  </w:r>
                  <w:r>
                    <w:rPr>
                      <w:rFonts w:hint="eastAsia" w:ascii="Times New Roman" w:cs="Times New Roman"/>
                      <w:color w:val="auto"/>
                      <w:sz w:val="21"/>
                      <w:szCs w:val="21"/>
                      <w:highlight w:val="none"/>
                      <w:lang w:val="en-US" w:eastAsia="zh-CN"/>
                    </w:rPr>
                    <w:t>N</w:t>
                  </w:r>
                </w:p>
              </w:tc>
              <w:tc>
                <w:tcPr>
                  <w:tcW w:w="655" w:type="pct"/>
                  <w:noWrap w:val="0"/>
                  <w:vAlign w:val="center"/>
                </w:tcPr>
                <w:p>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8</w:t>
                  </w:r>
                </w:p>
              </w:tc>
              <w:tc>
                <w:tcPr>
                  <w:tcW w:w="599" w:type="pct"/>
                  <w:noWrap w:val="0"/>
                  <w:vAlign w:val="center"/>
                </w:tcPr>
                <w:p>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0.</w:t>
                  </w:r>
                  <w:r>
                    <w:rPr>
                      <w:rFonts w:hint="eastAsia" w:ascii="Times New Roman" w:cs="Times New Roman"/>
                      <w:color w:val="auto"/>
                      <w:sz w:val="21"/>
                      <w:szCs w:val="21"/>
                      <w:highlight w:val="none"/>
                      <w:lang w:val="en-US" w:eastAsia="zh-CN"/>
                    </w:rPr>
                    <w:t>30</w:t>
                  </w:r>
                </w:p>
              </w:tc>
              <w:tc>
                <w:tcPr>
                  <w:tcW w:w="639" w:type="pct"/>
                  <w:noWrap w:val="0"/>
                  <w:vAlign w:val="center"/>
                </w:tcPr>
                <w:p>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60</w:t>
                  </w:r>
                </w:p>
              </w:tc>
              <w:tc>
                <w:tcPr>
                  <w:tcW w:w="528" w:type="pct"/>
                  <w:noWrap w:val="0"/>
                  <w:vAlign w:val="center"/>
                </w:tcPr>
                <w:p>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一般排放口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40" w:hRule="atLeast"/>
                <w:jc w:val="center"/>
              </w:trPr>
              <w:tc>
                <w:tcPr>
                  <w:tcW w:w="264" w:type="pct"/>
                  <w:shd w:val="clear" w:color="auto" w:fill="auto"/>
                  <w:noWrap w:val="0"/>
                  <w:vAlign w:val="center"/>
                </w:tcPr>
                <w:p>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eastAsia" w:ascii="Times New Roman" w:hAnsi="Times New Roman" w:eastAsia="宋体" w:cs="Times New Roman"/>
                      <w:color w:val="auto"/>
                      <w:kern w:val="0"/>
                      <w:sz w:val="21"/>
                      <w:szCs w:val="21"/>
                      <w:highlight w:val="none"/>
                      <w:lang w:val="en-US" w:eastAsia="zh-CN" w:bidi="ar-SA"/>
                    </w:rPr>
                  </w:pPr>
                  <w:r>
                    <w:rPr>
                      <w:rFonts w:hint="eastAsia" w:ascii="Times New Roman" w:cs="Times New Roman"/>
                      <w:color w:val="auto"/>
                      <w:sz w:val="21"/>
                      <w:szCs w:val="21"/>
                      <w:highlight w:val="none"/>
                      <w:lang w:val="en-US" w:eastAsia="zh-CN"/>
                    </w:rPr>
                    <w:t>3</w:t>
                  </w:r>
                </w:p>
              </w:tc>
              <w:tc>
                <w:tcPr>
                  <w:tcW w:w="572" w:type="pct"/>
                  <w:shd w:val="clear" w:color="auto" w:fill="auto"/>
                  <w:noWrap w:val="0"/>
                  <w:vAlign w:val="center"/>
                </w:tcPr>
                <w:p>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cs="Times New Roman"/>
                      <w:color w:val="auto"/>
                      <w:sz w:val="21"/>
                      <w:szCs w:val="21"/>
                      <w:highlight w:val="none"/>
                      <w:lang w:val="en-US" w:eastAsia="zh-CN"/>
                    </w:rPr>
                    <w:t>DA002</w:t>
                  </w:r>
                </w:p>
              </w:tc>
              <w:tc>
                <w:tcPr>
                  <w:tcW w:w="686" w:type="pct"/>
                  <w:noWrap w:val="0"/>
                  <w:vAlign w:val="center"/>
                </w:tcPr>
                <w:p>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cs="Times New Roman"/>
                      <w:color w:val="auto"/>
                      <w:kern w:val="0"/>
                      <w:sz w:val="21"/>
                      <w:szCs w:val="21"/>
                      <w:highlight w:val="none"/>
                      <w:lang w:val="en-US" w:eastAsia="zh-CN" w:bidi="ar-SA"/>
                    </w:rPr>
                  </w:pPr>
                  <w:r>
                    <w:rPr>
                      <w:rFonts w:hint="eastAsia" w:ascii="Times New Roman" w:cs="Times New Roman"/>
                      <w:color w:val="auto"/>
                      <w:kern w:val="0"/>
                      <w:sz w:val="21"/>
                      <w:szCs w:val="21"/>
                      <w:highlight w:val="none"/>
                      <w:lang w:val="en-US" w:eastAsia="zh-CN" w:bidi="ar-SA"/>
                    </w:rPr>
                    <w:t>瓶胚预热废气排放口</w:t>
                  </w:r>
                </w:p>
              </w:tc>
              <w:tc>
                <w:tcPr>
                  <w:tcW w:w="1053" w:type="pct"/>
                  <w:noWrap w:val="0"/>
                  <w:vAlign w:val="center"/>
                </w:tcPr>
                <w:p>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jc w:val="center"/>
                    <w:textAlignment w:val="auto"/>
                    <w:rPr>
                      <w:rFonts w:hint="eastAsia" w:asci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86°13′45.82</w:t>
                  </w:r>
                  <w:r>
                    <w:rPr>
                      <w:rFonts w:hint="eastAsia" w:ascii="Times New Roman" w:cs="Times New Roman"/>
                      <w:color w:val="auto"/>
                      <w:sz w:val="21"/>
                      <w:szCs w:val="21"/>
                      <w:highlight w:val="none"/>
                      <w:lang w:val="en-US" w:eastAsia="zh-CN"/>
                    </w:rPr>
                    <w:t>0</w:t>
                  </w:r>
                  <w:r>
                    <w:rPr>
                      <w:rFonts w:hint="default" w:ascii="Times New Roman" w:hAnsi="Times New Roman" w:cs="Times New Roman"/>
                      <w:color w:val="auto"/>
                      <w:sz w:val="21"/>
                      <w:szCs w:val="21"/>
                      <w:highlight w:val="none"/>
                      <w:lang w:val="en-US" w:eastAsia="zh-CN"/>
                    </w:rPr>
                    <w:t>″</w:t>
                  </w:r>
                  <w:r>
                    <w:rPr>
                      <w:rFonts w:hint="eastAsia" w:ascii="Times New Roman" w:cs="Times New Roman"/>
                      <w:color w:val="auto"/>
                      <w:sz w:val="21"/>
                      <w:szCs w:val="21"/>
                      <w:highlight w:val="none"/>
                      <w:lang w:val="en-US" w:eastAsia="zh-CN"/>
                    </w:rPr>
                    <w:t>E</w:t>
                  </w:r>
                </w:p>
                <w:p>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41°40′48.94</w:t>
                  </w:r>
                  <w:r>
                    <w:rPr>
                      <w:rFonts w:hint="eastAsia" w:ascii="Times New Roman" w:cs="Times New Roman"/>
                      <w:color w:val="auto"/>
                      <w:sz w:val="21"/>
                      <w:szCs w:val="21"/>
                      <w:highlight w:val="none"/>
                      <w:lang w:val="en-US" w:eastAsia="zh-CN"/>
                    </w:rPr>
                    <w:t>1</w:t>
                  </w:r>
                  <w:r>
                    <w:rPr>
                      <w:rFonts w:hint="default" w:ascii="Times New Roman" w:hAnsi="Times New Roman" w:cs="Times New Roman"/>
                      <w:color w:val="auto"/>
                      <w:sz w:val="21"/>
                      <w:szCs w:val="21"/>
                      <w:highlight w:val="none"/>
                      <w:lang w:val="en-US" w:eastAsia="zh-CN"/>
                    </w:rPr>
                    <w:t>″</w:t>
                  </w:r>
                  <w:r>
                    <w:rPr>
                      <w:rFonts w:hint="eastAsia" w:ascii="Times New Roman" w:cs="Times New Roman"/>
                      <w:color w:val="auto"/>
                      <w:sz w:val="21"/>
                      <w:szCs w:val="21"/>
                      <w:highlight w:val="none"/>
                      <w:lang w:val="en-US" w:eastAsia="zh-CN"/>
                    </w:rPr>
                    <w:t>N</w:t>
                  </w:r>
                </w:p>
              </w:tc>
              <w:tc>
                <w:tcPr>
                  <w:tcW w:w="655" w:type="pct"/>
                  <w:noWrap w:val="0"/>
                  <w:vAlign w:val="center"/>
                </w:tcPr>
                <w:p>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15</w:t>
                  </w:r>
                </w:p>
              </w:tc>
              <w:tc>
                <w:tcPr>
                  <w:tcW w:w="599" w:type="pct"/>
                  <w:noWrap w:val="0"/>
                  <w:vAlign w:val="center"/>
                </w:tcPr>
                <w:p>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0.50</w:t>
                  </w:r>
                </w:p>
              </w:tc>
              <w:tc>
                <w:tcPr>
                  <w:tcW w:w="639" w:type="pct"/>
                  <w:noWrap w:val="0"/>
                  <w:vAlign w:val="center"/>
                </w:tcPr>
                <w:p>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20</w:t>
                  </w:r>
                </w:p>
              </w:tc>
              <w:tc>
                <w:tcPr>
                  <w:tcW w:w="528" w:type="pct"/>
                  <w:noWrap w:val="0"/>
                  <w:vAlign w:val="center"/>
                </w:tcPr>
                <w:p>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一般排放口</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264" w:type="pct"/>
                  <w:noWrap w:val="0"/>
                  <w:vAlign w:val="center"/>
                </w:tcPr>
                <w:p>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4</w:t>
                  </w:r>
                </w:p>
              </w:tc>
              <w:tc>
                <w:tcPr>
                  <w:tcW w:w="572" w:type="pct"/>
                  <w:noWrap w:val="0"/>
                  <w:vAlign w:val="center"/>
                </w:tcPr>
                <w:p>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DA003</w:t>
                  </w:r>
                </w:p>
              </w:tc>
              <w:tc>
                <w:tcPr>
                  <w:tcW w:w="686" w:type="pct"/>
                  <w:noWrap w:val="0"/>
                  <w:vAlign w:val="center"/>
                </w:tcPr>
                <w:p>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cs="Times New Roman"/>
                      <w:color w:val="auto"/>
                      <w:kern w:val="0"/>
                      <w:sz w:val="21"/>
                      <w:szCs w:val="21"/>
                      <w:highlight w:val="none"/>
                      <w:lang w:val="en-US" w:eastAsia="zh-CN" w:bidi="ar-SA"/>
                    </w:rPr>
                  </w:pPr>
                  <w:r>
                    <w:rPr>
                      <w:rFonts w:hint="eastAsia" w:ascii="Times New Roman" w:cs="Times New Roman"/>
                      <w:color w:val="auto"/>
                      <w:kern w:val="0"/>
                      <w:sz w:val="21"/>
                      <w:szCs w:val="21"/>
                      <w:highlight w:val="none"/>
                      <w:lang w:val="en-US" w:eastAsia="zh-CN" w:bidi="ar-SA"/>
                    </w:rPr>
                    <w:t>包装缩膜废气排放口</w:t>
                  </w:r>
                </w:p>
              </w:tc>
              <w:tc>
                <w:tcPr>
                  <w:tcW w:w="1053" w:type="pct"/>
                  <w:noWrap w:val="0"/>
                  <w:vAlign w:val="center"/>
                </w:tcPr>
                <w:p>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jc w:val="center"/>
                    <w:textAlignment w:val="auto"/>
                    <w:rPr>
                      <w:rFonts w:hint="default" w:asci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86°13′45.36</w:t>
                  </w:r>
                  <w:r>
                    <w:rPr>
                      <w:rFonts w:hint="eastAsia" w:ascii="Times New Roman" w:cs="Times New Roman"/>
                      <w:color w:val="auto"/>
                      <w:sz w:val="21"/>
                      <w:szCs w:val="21"/>
                      <w:highlight w:val="none"/>
                      <w:lang w:val="en-US" w:eastAsia="zh-CN"/>
                    </w:rPr>
                    <w:t>3</w:t>
                  </w:r>
                  <w:r>
                    <w:rPr>
                      <w:rFonts w:hint="default" w:ascii="Times New Roman" w:hAnsi="Times New Roman" w:cs="Times New Roman"/>
                      <w:color w:val="auto"/>
                      <w:sz w:val="21"/>
                      <w:szCs w:val="21"/>
                      <w:highlight w:val="none"/>
                      <w:lang w:val="en-US" w:eastAsia="zh-CN"/>
                    </w:rPr>
                    <w:t>″</w:t>
                  </w:r>
                  <w:r>
                    <w:rPr>
                      <w:rFonts w:hint="eastAsia" w:ascii="Times New Roman" w:cs="Times New Roman"/>
                      <w:color w:val="auto"/>
                      <w:sz w:val="21"/>
                      <w:szCs w:val="21"/>
                      <w:highlight w:val="none"/>
                      <w:lang w:val="en-US" w:eastAsia="zh-CN"/>
                    </w:rPr>
                    <w:t>E</w:t>
                  </w:r>
                </w:p>
                <w:p>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jc w:val="center"/>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41°40′48.53</w:t>
                  </w:r>
                  <w:r>
                    <w:rPr>
                      <w:rFonts w:hint="eastAsia" w:ascii="Times New Roman" w:cs="Times New Roman"/>
                      <w:color w:val="auto"/>
                      <w:sz w:val="21"/>
                      <w:szCs w:val="21"/>
                      <w:highlight w:val="none"/>
                      <w:lang w:val="en-US" w:eastAsia="zh-CN"/>
                    </w:rPr>
                    <w:t>2</w:t>
                  </w:r>
                  <w:r>
                    <w:rPr>
                      <w:rFonts w:hint="default" w:ascii="Times New Roman" w:hAnsi="Times New Roman" w:cs="Times New Roman"/>
                      <w:color w:val="auto"/>
                      <w:sz w:val="21"/>
                      <w:szCs w:val="21"/>
                      <w:highlight w:val="none"/>
                      <w:lang w:val="en-US" w:eastAsia="zh-CN"/>
                    </w:rPr>
                    <w:t>″</w:t>
                  </w:r>
                  <w:r>
                    <w:rPr>
                      <w:rFonts w:hint="eastAsia" w:ascii="Times New Roman" w:cs="Times New Roman"/>
                      <w:color w:val="auto"/>
                      <w:sz w:val="21"/>
                      <w:szCs w:val="21"/>
                      <w:highlight w:val="none"/>
                      <w:lang w:val="en-US" w:eastAsia="zh-CN"/>
                    </w:rPr>
                    <w:t>N</w:t>
                  </w:r>
                </w:p>
              </w:tc>
              <w:tc>
                <w:tcPr>
                  <w:tcW w:w="655" w:type="pct"/>
                  <w:noWrap w:val="0"/>
                  <w:vAlign w:val="center"/>
                </w:tcPr>
                <w:p>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15</w:t>
                  </w:r>
                </w:p>
              </w:tc>
              <w:tc>
                <w:tcPr>
                  <w:tcW w:w="599" w:type="pct"/>
                  <w:noWrap w:val="0"/>
                  <w:vAlign w:val="center"/>
                </w:tcPr>
                <w:p>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jc w:val="center"/>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0.25</w:t>
                  </w:r>
                </w:p>
              </w:tc>
              <w:tc>
                <w:tcPr>
                  <w:tcW w:w="639" w:type="pct"/>
                  <w:noWrap w:val="0"/>
                  <w:vAlign w:val="center"/>
                </w:tcPr>
                <w:p>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20</w:t>
                  </w:r>
                </w:p>
              </w:tc>
              <w:tc>
                <w:tcPr>
                  <w:tcW w:w="528" w:type="pct"/>
                  <w:noWrap w:val="0"/>
                  <w:vAlign w:val="center"/>
                </w:tcPr>
                <w:p>
                  <w:pPr>
                    <w:pStyle w:val="48"/>
                    <w:keepNext w:val="0"/>
                    <w:keepLines w:val="0"/>
                    <w:pageBreakBefore w:val="0"/>
                    <w:widowControl w:val="0"/>
                    <w:kinsoku/>
                    <w:wordWrap/>
                    <w:overflowPunct/>
                    <w:topLinePunct w:val="0"/>
                    <w:autoSpaceDE/>
                    <w:autoSpaceDN/>
                    <w:bidi w:val="0"/>
                    <w:adjustRightInd w:val="0"/>
                    <w:snapToGrid w:val="0"/>
                    <w:spacing w:beforeLines="0" w:afterLines="0" w:line="240" w:lineRule="auto"/>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一般排放口</w:t>
                  </w:r>
                </w:p>
              </w:tc>
            </w:tr>
          </w:tbl>
          <w:p>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jc w:val="both"/>
              <w:textAlignment w:val="auto"/>
              <w:rPr>
                <w:rFonts w:hint="default" w:ascii="Times New Roman" w:hAnsi="Times New Roman" w:cs="Times New Roman"/>
                <w:b/>
                <w:bCs/>
                <w:color w:val="auto"/>
                <w:sz w:val="21"/>
                <w:szCs w:val="21"/>
                <w:highlight w:val="none"/>
                <w:lang w:val="en-US" w:eastAsia="zh-CN"/>
              </w:rPr>
            </w:pPr>
            <w:r>
              <w:rPr>
                <w:rFonts w:hint="eastAsia" w:cs="Times New Roman"/>
                <w:b/>
                <w:bCs/>
                <w:color w:val="auto"/>
                <w:sz w:val="21"/>
                <w:szCs w:val="21"/>
                <w:highlight w:val="none"/>
                <w:lang w:val="en-US" w:eastAsia="zh-CN"/>
              </w:rPr>
              <w:t>1.3</w:t>
            </w:r>
            <w:r>
              <w:rPr>
                <w:rFonts w:hint="default" w:ascii="Times New Roman" w:hAnsi="Times New Roman" w:cs="Times New Roman"/>
                <w:b/>
                <w:bCs/>
                <w:color w:val="auto"/>
                <w:sz w:val="21"/>
                <w:szCs w:val="21"/>
                <w:highlight w:val="none"/>
                <w:lang w:val="en-US" w:eastAsia="zh-CN"/>
              </w:rPr>
              <w:t>非正常排污的源强统计与分析</w:t>
            </w:r>
          </w:p>
          <w:p>
            <w:pPr>
              <w:pStyle w:val="64"/>
              <w:keepNext w:val="0"/>
              <w:keepLines w:val="0"/>
              <w:pageBreakBefore w:val="0"/>
              <w:widowControl w:val="0"/>
              <w:suppressLineNumbers w:val="0"/>
              <w:tabs>
                <w:tab w:val="left" w:pos="2850"/>
                <w:tab w:val="left" w:pos="3918"/>
              </w:tabs>
              <w:kinsoku/>
              <w:wordWrap/>
              <w:overflowPunct/>
              <w:topLinePunct w:val="0"/>
              <w:autoSpaceDE/>
              <w:autoSpaceDN/>
              <w:bidi w:val="0"/>
              <w:adjustRightInd/>
              <w:snapToGrid/>
              <w:spacing w:before="0" w:beforeLines="0" w:after="0" w:afterAutospacing="0" w:line="360" w:lineRule="auto"/>
              <w:ind w:left="0" w:right="0" w:firstLine="420" w:firstLineChars="200"/>
              <w:textAlignment w:val="auto"/>
              <w:outlineLvl w:val="9"/>
              <w:rPr>
                <w:rFonts w:hint="default" w:ascii="Times New Roman" w:hAnsi="Times New Roman" w:cs="Times New Roman"/>
                <w:b w:val="0"/>
                <w:color w:val="auto"/>
                <w:sz w:val="21"/>
                <w:szCs w:val="21"/>
                <w:highlight w:val="none"/>
                <w:lang w:val="en-US" w:eastAsia="zh-CN"/>
              </w:rPr>
            </w:pPr>
            <w:r>
              <w:rPr>
                <w:rFonts w:hint="default" w:ascii="Times New Roman" w:hAnsi="Times New Roman" w:cs="Times New Roman"/>
                <w:b w:val="0"/>
                <w:color w:val="auto"/>
                <w:sz w:val="21"/>
                <w:szCs w:val="21"/>
                <w:highlight w:val="none"/>
                <w:lang w:val="en-US" w:eastAsia="zh-CN"/>
              </w:rPr>
              <w:t>非正常排污包括两部分：①正常开、停车或部分设备检修时排放的污染物。②工艺设备或环保设施达不到设计规定指标运行时的可控排污。</w:t>
            </w:r>
          </w:p>
          <w:p>
            <w:pPr>
              <w:pStyle w:val="64"/>
              <w:keepNext w:val="0"/>
              <w:keepLines w:val="0"/>
              <w:pageBreakBefore w:val="0"/>
              <w:widowControl w:val="0"/>
              <w:suppressLineNumbers w:val="0"/>
              <w:tabs>
                <w:tab w:val="left" w:pos="2850"/>
                <w:tab w:val="left" w:pos="3918"/>
              </w:tabs>
              <w:kinsoku/>
              <w:wordWrap/>
              <w:overflowPunct/>
              <w:topLinePunct w:val="0"/>
              <w:autoSpaceDE/>
              <w:autoSpaceDN/>
              <w:bidi w:val="0"/>
              <w:adjustRightInd/>
              <w:snapToGrid/>
              <w:spacing w:before="0" w:beforeLines="0" w:after="0" w:afterAutospacing="0" w:line="360" w:lineRule="auto"/>
              <w:ind w:left="0" w:right="0" w:firstLine="420" w:firstLineChars="200"/>
              <w:textAlignment w:val="auto"/>
              <w:outlineLvl w:val="9"/>
              <w:rPr>
                <w:rFonts w:hint="default" w:ascii="Times New Roman" w:hAnsi="Times New Roman" w:cs="Times New Roman"/>
                <w:b w:val="0"/>
                <w:color w:val="auto"/>
                <w:sz w:val="21"/>
                <w:szCs w:val="21"/>
                <w:highlight w:val="none"/>
                <w:lang w:val="en-US" w:eastAsia="zh-CN"/>
              </w:rPr>
            </w:pPr>
            <w:r>
              <w:rPr>
                <w:rFonts w:hint="default" w:ascii="Times New Roman" w:hAnsi="Times New Roman" w:cs="Times New Roman"/>
                <w:b w:val="0"/>
                <w:color w:val="auto"/>
                <w:sz w:val="21"/>
                <w:szCs w:val="21"/>
                <w:highlight w:val="none"/>
                <w:lang w:val="en-US" w:eastAsia="zh-CN"/>
              </w:rPr>
              <w:t>本项目非正常排放主要是指</w:t>
            </w:r>
            <w:r>
              <w:rPr>
                <w:rFonts w:hint="eastAsia" w:cs="Times New Roman"/>
                <w:b w:val="0"/>
                <w:color w:val="auto"/>
                <w:sz w:val="21"/>
                <w:szCs w:val="21"/>
                <w:highlight w:val="none"/>
                <w:lang w:val="en-US" w:eastAsia="zh-CN"/>
              </w:rPr>
              <w:t>天然气锅炉低氮燃烧器效率降低导致二氧化氮超标排放以及活性炭吸附装置故障，导致废气全部无组织排放</w:t>
            </w:r>
            <w:r>
              <w:rPr>
                <w:rFonts w:hint="default" w:ascii="Times New Roman" w:hAnsi="Times New Roman" w:cs="Times New Roman"/>
                <w:b w:val="0"/>
                <w:color w:val="auto"/>
                <w:sz w:val="21"/>
                <w:szCs w:val="21"/>
                <w:highlight w:val="none"/>
                <w:lang w:val="en-US" w:eastAsia="zh-CN"/>
              </w:rPr>
              <w:t>。类比同类项目</w:t>
            </w:r>
            <w:r>
              <w:rPr>
                <w:rFonts w:hint="eastAsia" w:cs="Times New Roman"/>
                <w:b w:val="0"/>
                <w:color w:val="auto"/>
                <w:sz w:val="21"/>
                <w:szCs w:val="21"/>
                <w:highlight w:val="none"/>
                <w:lang w:val="en-US" w:eastAsia="zh-CN"/>
              </w:rPr>
              <w:t>，低氮燃烧器</w:t>
            </w:r>
            <w:r>
              <w:rPr>
                <w:rFonts w:hint="default" w:ascii="Times New Roman" w:hAnsi="Times New Roman" w:cs="Times New Roman"/>
                <w:b w:val="0"/>
                <w:color w:val="auto"/>
                <w:sz w:val="21"/>
                <w:szCs w:val="21"/>
                <w:highlight w:val="none"/>
                <w:lang w:val="en-US" w:eastAsia="zh-CN"/>
              </w:rPr>
              <w:t>非正常运行出现频次约</w:t>
            </w:r>
            <w:r>
              <w:rPr>
                <w:rFonts w:hint="eastAsia" w:cs="Times New Roman"/>
                <w:b w:val="0"/>
                <w:color w:val="auto"/>
                <w:sz w:val="21"/>
                <w:szCs w:val="21"/>
                <w:highlight w:val="none"/>
                <w:lang w:val="en-US" w:eastAsia="zh-CN"/>
              </w:rPr>
              <w:t>2</w:t>
            </w:r>
            <w:r>
              <w:rPr>
                <w:rFonts w:hint="default" w:ascii="Times New Roman" w:hAnsi="Times New Roman" w:cs="Times New Roman"/>
                <w:b w:val="0"/>
                <w:color w:val="auto"/>
                <w:sz w:val="21"/>
                <w:szCs w:val="21"/>
                <w:highlight w:val="none"/>
                <w:lang w:val="en-US" w:eastAsia="zh-CN"/>
              </w:rPr>
              <w:t>次/年</w:t>
            </w:r>
            <w:r>
              <w:rPr>
                <w:rFonts w:hint="eastAsia" w:ascii="Times New Roman" w:hAnsi="Times New Roman" w:cs="Times New Roman"/>
                <w:b w:val="0"/>
                <w:color w:val="auto"/>
                <w:sz w:val="21"/>
                <w:szCs w:val="21"/>
                <w:highlight w:val="none"/>
                <w:lang w:val="en-US" w:eastAsia="zh-CN"/>
              </w:rPr>
              <w:t>，</w:t>
            </w:r>
            <w:r>
              <w:rPr>
                <w:rFonts w:hint="default" w:ascii="Times New Roman" w:hAnsi="Times New Roman" w:cs="Times New Roman"/>
                <w:b w:val="0"/>
                <w:color w:val="auto"/>
                <w:sz w:val="21"/>
                <w:szCs w:val="21"/>
                <w:highlight w:val="none"/>
                <w:lang w:val="en-US" w:eastAsia="zh-CN"/>
              </w:rPr>
              <w:t>活性炭吸附装置非正常运行出现频次约</w:t>
            </w:r>
            <w:r>
              <w:rPr>
                <w:rFonts w:hint="eastAsia" w:cs="Times New Roman"/>
                <w:b w:val="0"/>
                <w:color w:val="auto"/>
                <w:sz w:val="21"/>
                <w:szCs w:val="21"/>
                <w:highlight w:val="none"/>
                <w:lang w:val="en-US" w:eastAsia="zh-CN"/>
              </w:rPr>
              <w:t>4</w:t>
            </w:r>
            <w:r>
              <w:rPr>
                <w:rFonts w:hint="default" w:ascii="Times New Roman" w:hAnsi="Times New Roman" w:cs="Times New Roman"/>
                <w:b w:val="0"/>
                <w:color w:val="auto"/>
                <w:sz w:val="21"/>
                <w:szCs w:val="21"/>
                <w:highlight w:val="none"/>
                <w:lang w:val="en-US" w:eastAsia="zh-CN"/>
              </w:rPr>
              <w:t>次/年，单次持续时间以1h计。</w:t>
            </w:r>
          </w:p>
          <w:p>
            <w:pPr>
              <w:pStyle w:val="64"/>
              <w:keepNext w:val="0"/>
              <w:keepLines w:val="0"/>
              <w:pageBreakBefore w:val="0"/>
              <w:widowControl w:val="0"/>
              <w:suppressLineNumbers w:val="0"/>
              <w:tabs>
                <w:tab w:val="left" w:pos="2850"/>
                <w:tab w:val="left" w:pos="3918"/>
              </w:tabs>
              <w:kinsoku/>
              <w:wordWrap/>
              <w:overflowPunct/>
              <w:topLinePunct w:val="0"/>
              <w:autoSpaceDE/>
              <w:autoSpaceDN/>
              <w:bidi w:val="0"/>
              <w:adjustRightInd/>
              <w:snapToGrid/>
              <w:spacing w:before="0" w:beforeLines="0" w:after="0" w:afterAutospacing="0" w:line="360" w:lineRule="auto"/>
              <w:ind w:left="0" w:right="0" w:firstLine="420" w:firstLineChars="200"/>
              <w:textAlignment w:val="auto"/>
              <w:outlineLvl w:val="9"/>
              <w:rPr>
                <w:rFonts w:hint="default" w:ascii="Times New Roman" w:hAnsi="Times New Roman" w:cs="Times New Roman"/>
                <w:b w:val="0"/>
                <w:color w:val="auto"/>
                <w:sz w:val="21"/>
                <w:szCs w:val="21"/>
                <w:highlight w:val="none"/>
                <w:lang w:val="en-US" w:eastAsia="zh-CN"/>
              </w:rPr>
            </w:pPr>
            <w:r>
              <w:rPr>
                <w:rFonts w:hint="default" w:ascii="Times New Roman" w:hAnsi="Times New Roman" w:cs="Times New Roman"/>
                <w:b w:val="0"/>
                <w:color w:val="auto"/>
                <w:sz w:val="21"/>
                <w:szCs w:val="21"/>
                <w:highlight w:val="none"/>
                <w:lang w:val="en-US" w:eastAsia="zh-CN"/>
              </w:rPr>
              <w:t>非正常工况下废气排放详见表4-</w:t>
            </w:r>
            <w:r>
              <w:rPr>
                <w:rFonts w:hint="eastAsia" w:cs="Times New Roman"/>
                <w:b w:val="0"/>
                <w:color w:val="auto"/>
                <w:sz w:val="21"/>
                <w:szCs w:val="21"/>
                <w:highlight w:val="none"/>
                <w:lang w:val="en-US" w:eastAsia="zh-CN"/>
              </w:rPr>
              <w:t>3</w:t>
            </w:r>
            <w:r>
              <w:rPr>
                <w:rFonts w:hint="default" w:ascii="Times New Roman" w:hAnsi="Times New Roman" w:cs="Times New Roman"/>
                <w:b w:val="0"/>
                <w:color w:val="auto"/>
                <w:sz w:val="21"/>
                <w:szCs w:val="21"/>
                <w:highlight w:val="none"/>
                <w:lang w:val="en-US" w:eastAsia="zh-CN"/>
              </w:rPr>
              <w:t>。</w:t>
            </w:r>
          </w:p>
          <w:p>
            <w:pPr>
              <w:keepNext w:val="0"/>
              <w:keepLines w:val="0"/>
              <w:pageBreakBefore w:val="0"/>
              <w:widowControl w:val="0"/>
              <w:suppressLineNumbers w:val="0"/>
              <w:kinsoku/>
              <w:wordWrap/>
              <w:overflowPunct/>
              <w:topLinePunct w:val="0"/>
              <w:autoSpaceDE/>
              <w:autoSpaceDN/>
              <w:bidi w:val="0"/>
              <w:adjustRightInd w:val="0"/>
              <w:snapToGrid w:val="0"/>
              <w:spacing w:beforeAutospacing="0" w:after="0" w:afterAutospacing="0" w:line="240" w:lineRule="auto"/>
              <w:ind w:right="0"/>
              <w:jc w:val="center"/>
              <w:textAlignment w:val="auto"/>
              <w:rPr>
                <w:rFonts w:hint="default" w:ascii="Times New Roman" w:hAnsi="Times New Roman" w:eastAsia="宋体" w:cs="Times New Roman"/>
                <w:b/>
                <w:bCs/>
                <w:color w:val="auto"/>
                <w:spacing w:val="-10"/>
                <w:sz w:val="21"/>
                <w:szCs w:val="21"/>
                <w:highlight w:val="none"/>
                <w:lang w:eastAsia="zh-CN"/>
              </w:rPr>
            </w:pPr>
            <w:r>
              <w:rPr>
                <w:rFonts w:hint="default" w:ascii="Times New Roman" w:hAnsi="Times New Roman" w:cs="Times New Roman"/>
                <w:b/>
                <w:bCs/>
                <w:color w:val="auto"/>
                <w:spacing w:val="-10"/>
                <w:sz w:val="21"/>
                <w:szCs w:val="21"/>
                <w:highlight w:val="none"/>
              </w:rPr>
              <w:t>表</w:t>
            </w:r>
            <w:r>
              <w:rPr>
                <w:rFonts w:hint="default" w:ascii="Times New Roman" w:hAnsi="Times New Roman" w:cs="Times New Roman"/>
                <w:b/>
                <w:bCs/>
                <w:color w:val="auto"/>
                <w:spacing w:val="-10"/>
                <w:sz w:val="21"/>
                <w:szCs w:val="21"/>
                <w:highlight w:val="none"/>
                <w:lang w:val="en-US" w:eastAsia="zh-CN"/>
              </w:rPr>
              <w:t>4-</w:t>
            </w:r>
            <w:r>
              <w:rPr>
                <w:rFonts w:hint="eastAsia" w:cs="Times New Roman"/>
                <w:b/>
                <w:bCs/>
                <w:color w:val="auto"/>
                <w:spacing w:val="-10"/>
                <w:sz w:val="21"/>
                <w:szCs w:val="21"/>
                <w:highlight w:val="none"/>
                <w:lang w:val="en-US" w:eastAsia="zh-CN"/>
              </w:rPr>
              <w:t xml:space="preserve">3 </w:t>
            </w:r>
            <w:r>
              <w:rPr>
                <w:rFonts w:hint="default" w:ascii="Times New Roman" w:hAnsi="Times New Roman" w:cs="Times New Roman"/>
                <w:b/>
                <w:bCs/>
                <w:color w:val="auto"/>
                <w:spacing w:val="-10"/>
                <w:sz w:val="21"/>
                <w:szCs w:val="21"/>
                <w:highlight w:val="none"/>
              </w:rPr>
              <w:t xml:space="preserve"> 本项目非正常</w:t>
            </w:r>
            <w:r>
              <w:rPr>
                <w:rFonts w:hint="default" w:ascii="Times New Roman" w:hAnsi="Times New Roman" w:cs="Times New Roman"/>
                <w:b/>
                <w:bCs/>
                <w:color w:val="auto"/>
                <w:spacing w:val="-10"/>
                <w:sz w:val="21"/>
                <w:szCs w:val="21"/>
                <w:highlight w:val="none"/>
                <w:lang w:eastAsia="zh-CN"/>
              </w:rPr>
              <w:t>排污</w:t>
            </w:r>
            <w:r>
              <w:rPr>
                <w:rFonts w:hint="default" w:ascii="Times New Roman" w:hAnsi="Times New Roman" w:cs="Times New Roman"/>
                <w:b/>
                <w:bCs/>
                <w:color w:val="auto"/>
                <w:spacing w:val="-10"/>
                <w:sz w:val="21"/>
                <w:szCs w:val="21"/>
                <w:highlight w:val="none"/>
              </w:rPr>
              <w:t>情况</w:t>
            </w:r>
            <w:r>
              <w:rPr>
                <w:rFonts w:hint="default" w:ascii="Times New Roman" w:hAnsi="Times New Roman" w:cs="Times New Roman"/>
                <w:b/>
                <w:bCs/>
                <w:color w:val="auto"/>
                <w:spacing w:val="-10"/>
                <w:sz w:val="21"/>
                <w:szCs w:val="21"/>
                <w:highlight w:val="none"/>
                <w:lang w:eastAsia="zh-CN"/>
              </w:rPr>
              <w:t>一览表</w:t>
            </w:r>
          </w:p>
          <w:tbl>
            <w:tblPr>
              <w:tblStyle w:val="2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0"/>
              <w:gridCol w:w="1083"/>
              <w:gridCol w:w="569"/>
              <w:gridCol w:w="1173"/>
              <w:gridCol w:w="1001"/>
              <w:gridCol w:w="660"/>
              <w:gridCol w:w="760"/>
              <w:gridCol w:w="824"/>
              <w:gridCol w:w="104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0" w:hRule="atLeast"/>
                <w:jc w:val="center"/>
              </w:trPr>
              <w:tc>
                <w:tcPr>
                  <w:tcW w:w="566" w:type="pct"/>
                  <w:noWrap w:val="0"/>
                  <w:vAlign w:val="center"/>
                </w:tcPr>
                <w:p>
                  <w:pPr>
                    <w:pStyle w:val="48"/>
                    <w:bidi w:val="0"/>
                    <w:spacing w:line="240" w:lineRule="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污染源</w:t>
                  </w:r>
                </w:p>
              </w:tc>
              <w:tc>
                <w:tcPr>
                  <w:tcW w:w="674" w:type="pct"/>
                  <w:noWrap w:val="0"/>
                  <w:vAlign w:val="center"/>
                </w:tcPr>
                <w:p>
                  <w:pPr>
                    <w:pStyle w:val="48"/>
                    <w:bidi w:val="0"/>
                    <w:spacing w:line="240" w:lineRule="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rPr>
                    <w:t>非正常排放原因</w:t>
                  </w:r>
                </w:p>
              </w:tc>
              <w:tc>
                <w:tcPr>
                  <w:tcW w:w="354" w:type="pct"/>
                  <w:noWrap w:val="0"/>
                  <w:vAlign w:val="center"/>
                </w:tcPr>
                <w:p>
                  <w:pPr>
                    <w:pStyle w:val="48"/>
                    <w:bidi w:val="0"/>
                    <w:spacing w:line="240" w:lineRule="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污染物</w:t>
                  </w:r>
                </w:p>
              </w:tc>
              <w:tc>
                <w:tcPr>
                  <w:tcW w:w="730" w:type="pct"/>
                  <w:noWrap w:val="0"/>
                  <w:vAlign w:val="center"/>
                </w:tcPr>
                <w:p>
                  <w:pPr>
                    <w:pStyle w:val="48"/>
                    <w:bidi w:val="0"/>
                    <w:spacing w:line="240" w:lineRule="auto"/>
                    <w:rPr>
                      <w:rFonts w:hint="default"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rPr>
                    <w:t>非正常排放浓度</w:t>
                  </w:r>
                  <w:r>
                    <w:rPr>
                      <w:rFonts w:hint="eastAsia" w:ascii="Times New Roman" w:hAnsi="Times New Roman" w:cs="Times New Roman"/>
                      <w:color w:val="auto"/>
                      <w:sz w:val="21"/>
                      <w:szCs w:val="21"/>
                      <w:highlight w:val="none"/>
                      <w:lang w:val="en-US" w:eastAsia="zh-CN"/>
                    </w:rPr>
                    <w:t>（</w:t>
                  </w:r>
                  <w:r>
                    <w:rPr>
                      <w:rFonts w:hint="default" w:ascii="Times New Roman" w:hAnsi="Times New Roman" w:cs="Times New Roman"/>
                      <w:color w:val="auto"/>
                      <w:sz w:val="21"/>
                      <w:szCs w:val="21"/>
                      <w:highlight w:val="none"/>
                    </w:rPr>
                    <w:t>mg/m</w:t>
                  </w:r>
                  <w:r>
                    <w:rPr>
                      <w:rFonts w:hint="eastAsia" w:ascii="Times New Roman" w:cs="Times New Roman"/>
                      <w:color w:val="auto"/>
                      <w:sz w:val="21"/>
                      <w:szCs w:val="21"/>
                      <w:highlight w:val="none"/>
                      <w:vertAlign w:val="superscript"/>
                      <w:lang w:val="en-US" w:eastAsia="zh-CN"/>
                    </w:rPr>
                    <w:t>3</w:t>
                  </w:r>
                  <w:r>
                    <w:rPr>
                      <w:rFonts w:hint="eastAsia" w:ascii="Times New Roman" w:hAnsi="Times New Roman" w:cs="Times New Roman"/>
                      <w:color w:val="auto"/>
                      <w:sz w:val="21"/>
                      <w:szCs w:val="21"/>
                      <w:highlight w:val="none"/>
                      <w:lang w:val="en-US" w:eastAsia="zh-CN"/>
                    </w:rPr>
                    <w:t>）</w:t>
                  </w:r>
                </w:p>
              </w:tc>
              <w:tc>
                <w:tcPr>
                  <w:tcW w:w="623" w:type="pct"/>
                  <w:noWrap w:val="0"/>
                  <w:vAlign w:val="center"/>
                </w:tcPr>
                <w:p>
                  <w:pPr>
                    <w:pStyle w:val="48"/>
                    <w:bidi w:val="0"/>
                    <w:spacing w:line="240" w:lineRule="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非正常排放速率</w:t>
                  </w:r>
                  <w:r>
                    <w:rPr>
                      <w:rFonts w:hint="eastAsia" w:ascii="Times New Roman" w:hAnsi="Times New Roman"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kg/h</w:t>
                  </w:r>
                  <w:r>
                    <w:rPr>
                      <w:rFonts w:hint="eastAsia" w:ascii="Times New Roman" w:hAnsi="Times New Roman" w:cs="Times New Roman"/>
                      <w:color w:val="auto"/>
                      <w:sz w:val="21"/>
                      <w:szCs w:val="21"/>
                      <w:highlight w:val="none"/>
                      <w:lang w:val="en-US" w:eastAsia="zh-CN"/>
                    </w:rPr>
                    <w:t>）</w:t>
                  </w:r>
                </w:p>
              </w:tc>
              <w:tc>
                <w:tcPr>
                  <w:tcW w:w="411" w:type="pct"/>
                  <w:noWrap w:val="0"/>
                  <w:vAlign w:val="center"/>
                </w:tcPr>
                <w:p>
                  <w:pPr>
                    <w:pStyle w:val="48"/>
                    <w:bidi w:val="0"/>
                    <w:spacing w:line="240" w:lineRule="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单次持续时间</w:t>
                  </w:r>
                </w:p>
                <w:p>
                  <w:pPr>
                    <w:pStyle w:val="48"/>
                    <w:bidi w:val="0"/>
                    <w:spacing w:line="240" w:lineRule="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/h</w:t>
                  </w:r>
                </w:p>
              </w:tc>
              <w:tc>
                <w:tcPr>
                  <w:tcW w:w="473" w:type="pct"/>
                  <w:noWrap w:val="0"/>
                  <w:vAlign w:val="center"/>
                </w:tcPr>
                <w:p>
                  <w:pPr>
                    <w:pStyle w:val="48"/>
                    <w:bidi w:val="0"/>
                    <w:spacing w:line="240" w:lineRule="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年发生频次</w:t>
                  </w:r>
                </w:p>
                <w:p>
                  <w:pPr>
                    <w:pStyle w:val="48"/>
                    <w:bidi w:val="0"/>
                    <w:spacing w:line="240" w:lineRule="auto"/>
                    <w:rPr>
                      <w:rFonts w:hint="default"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次</w:t>
                  </w:r>
                  <w:r>
                    <w:rPr>
                      <w:rFonts w:hint="default" w:ascii="Times New Roman" w:hAnsi="Times New Roman" w:cs="Times New Roman"/>
                      <w:color w:val="auto"/>
                      <w:sz w:val="21"/>
                      <w:szCs w:val="21"/>
                      <w:highlight w:val="none"/>
                    </w:rPr>
                    <w:t>/</w:t>
                  </w:r>
                  <w:r>
                    <w:rPr>
                      <w:rFonts w:hint="default" w:ascii="Times New Roman" w:hAnsi="Times New Roman" w:cs="Times New Roman"/>
                      <w:color w:val="auto"/>
                      <w:sz w:val="21"/>
                      <w:szCs w:val="21"/>
                      <w:highlight w:val="none"/>
                      <w:lang w:eastAsia="zh-CN"/>
                    </w:rPr>
                    <w:t>年</w:t>
                  </w:r>
                </w:p>
              </w:tc>
              <w:tc>
                <w:tcPr>
                  <w:tcW w:w="513" w:type="pct"/>
                  <w:noWrap w:val="0"/>
                  <w:vAlign w:val="center"/>
                </w:tcPr>
                <w:p>
                  <w:pPr>
                    <w:pStyle w:val="48"/>
                    <w:bidi w:val="0"/>
                    <w:spacing w:line="240" w:lineRule="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排放量</w:t>
                  </w:r>
                </w:p>
                <w:p>
                  <w:pPr>
                    <w:pStyle w:val="48"/>
                    <w:bidi w:val="0"/>
                    <w:spacing w:line="240" w:lineRule="auto"/>
                    <w:rPr>
                      <w:rFonts w:hint="default" w:ascii="Times New Roman" w:hAnsi="Times New Roman" w:cs="Times New Roman"/>
                      <w:color w:val="auto"/>
                      <w:sz w:val="21"/>
                      <w:szCs w:val="21"/>
                      <w:highlight w:val="none"/>
                      <w:lang w:eastAsia="zh-CN"/>
                    </w:rPr>
                  </w:pPr>
                  <w:r>
                    <w:rPr>
                      <w:rFonts w:hint="eastAsia" w:ascii="Times New Roman" w:hAnsi="Times New Roman" w:cs="Times New Roman"/>
                      <w:color w:val="auto"/>
                      <w:sz w:val="21"/>
                      <w:szCs w:val="21"/>
                      <w:highlight w:val="none"/>
                      <w:lang w:val="en-US" w:eastAsia="zh-CN"/>
                    </w:rPr>
                    <w:t>（</w:t>
                  </w:r>
                  <w:r>
                    <w:rPr>
                      <w:rFonts w:hint="default" w:ascii="Times New Roman" w:hAnsi="Times New Roman" w:cs="Times New Roman"/>
                      <w:color w:val="auto"/>
                      <w:sz w:val="21"/>
                      <w:szCs w:val="21"/>
                      <w:highlight w:val="none"/>
                    </w:rPr>
                    <w:t>kg</w:t>
                  </w:r>
                  <w:r>
                    <w:rPr>
                      <w:rFonts w:hint="eastAsia" w:ascii="Times New Roman" w:hAnsi="Times New Roman" w:cs="Times New Roman"/>
                      <w:color w:val="auto"/>
                      <w:sz w:val="21"/>
                      <w:szCs w:val="21"/>
                      <w:highlight w:val="none"/>
                      <w:lang w:val="en-US" w:eastAsia="zh-CN"/>
                    </w:rPr>
                    <w:t>）</w:t>
                  </w:r>
                </w:p>
              </w:tc>
              <w:tc>
                <w:tcPr>
                  <w:tcW w:w="653" w:type="pct"/>
                  <w:noWrap w:val="0"/>
                  <w:vAlign w:val="center"/>
                </w:tcPr>
                <w:p>
                  <w:pPr>
                    <w:pStyle w:val="48"/>
                    <w:bidi w:val="0"/>
                    <w:spacing w:line="240" w:lineRule="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应对措施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2" w:hRule="atLeast"/>
                <w:jc w:val="center"/>
              </w:trPr>
              <w:tc>
                <w:tcPr>
                  <w:tcW w:w="566" w:type="pct"/>
                  <w:noWrap w:val="0"/>
                  <w:vAlign w:val="center"/>
                </w:tcPr>
                <w:p>
                  <w:pPr>
                    <w:pStyle w:val="48"/>
                    <w:bidi w:val="0"/>
                    <w:spacing w:line="240" w:lineRule="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DA00</w:t>
                  </w:r>
                  <w:r>
                    <w:rPr>
                      <w:rFonts w:hint="eastAsia" w:ascii="Times New Roman" w:cs="Times New Roman"/>
                      <w:color w:val="auto"/>
                      <w:sz w:val="21"/>
                      <w:szCs w:val="21"/>
                      <w:highlight w:val="none"/>
                      <w:lang w:val="en-US" w:eastAsia="zh-CN"/>
                    </w:rPr>
                    <w:t>1</w:t>
                  </w:r>
                </w:p>
              </w:tc>
              <w:tc>
                <w:tcPr>
                  <w:tcW w:w="674" w:type="pct"/>
                  <w:noWrap w:val="0"/>
                  <w:vAlign w:val="center"/>
                </w:tcPr>
                <w:p>
                  <w:pPr>
                    <w:pStyle w:val="48"/>
                    <w:bidi w:val="0"/>
                    <w:spacing w:line="240" w:lineRule="auto"/>
                    <w:rPr>
                      <w:rFonts w:hint="default" w:ascii="Times New Roman" w:hAnsi="Times New Roman"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低氮燃烧器故障</w:t>
                  </w:r>
                  <w:r>
                    <w:rPr>
                      <w:rFonts w:hint="eastAsia" w:ascii="Times New Roman" w:hAnsi="Times New Roman" w:cs="Times New Roman"/>
                      <w:color w:val="auto"/>
                      <w:sz w:val="21"/>
                      <w:szCs w:val="21"/>
                      <w:highlight w:val="none"/>
                      <w:lang w:val="en-US" w:eastAsia="zh-CN"/>
                    </w:rPr>
                    <w:t>，导致</w:t>
                  </w:r>
                  <w:r>
                    <w:rPr>
                      <w:rFonts w:hint="eastAsia" w:ascii="Times New Roman" w:cs="Times New Roman"/>
                      <w:color w:val="auto"/>
                      <w:sz w:val="21"/>
                      <w:szCs w:val="21"/>
                      <w:highlight w:val="none"/>
                      <w:lang w:val="en-US" w:eastAsia="zh-CN"/>
                    </w:rPr>
                    <w:t>源头治理措施效率降低</w:t>
                  </w:r>
                </w:p>
              </w:tc>
              <w:tc>
                <w:tcPr>
                  <w:tcW w:w="354" w:type="pct"/>
                  <w:noWrap w:val="0"/>
                  <w:vAlign w:val="center"/>
                </w:tcPr>
                <w:p>
                  <w:pPr>
                    <w:pStyle w:val="48"/>
                    <w:bidi w:val="0"/>
                    <w:spacing w:line="240" w:lineRule="auto"/>
                    <w:rPr>
                      <w:rFonts w:hint="default" w:ascii="Times New Roman" w:hAnsi="Times New Roman" w:eastAsia="宋体"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氮氧化物</w:t>
                  </w:r>
                </w:p>
              </w:tc>
              <w:tc>
                <w:tcPr>
                  <w:tcW w:w="730" w:type="pct"/>
                  <w:noWrap w:val="0"/>
                  <w:vAlign w:val="center"/>
                </w:tcPr>
                <w:p>
                  <w:pPr>
                    <w:pStyle w:val="48"/>
                    <w:bidi w:val="0"/>
                    <w:spacing w:line="240" w:lineRule="auto"/>
                    <w:rPr>
                      <w:rFonts w:hint="default" w:ascii="Times New Roman" w:hAnsi="Times New Roman" w:eastAsia="宋体" w:cs="Times New Roman"/>
                      <w:color w:val="auto"/>
                      <w:kern w:val="0"/>
                      <w:sz w:val="21"/>
                      <w:szCs w:val="21"/>
                      <w:highlight w:val="none"/>
                      <w:lang w:val="en-US" w:eastAsia="zh-CN"/>
                    </w:rPr>
                  </w:pPr>
                  <w:r>
                    <w:rPr>
                      <w:rFonts w:hint="eastAsia" w:ascii="Times New Roman" w:cs="Times New Roman"/>
                      <w:color w:val="auto"/>
                      <w:kern w:val="0"/>
                      <w:sz w:val="21"/>
                      <w:szCs w:val="21"/>
                      <w:highlight w:val="none"/>
                      <w:lang w:val="en-US" w:eastAsia="zh-CN"/>
                    </w:rPr>
                    <w:t>150</w:t>
                  </w:r>
                </w:p>
              </w:tc>
              <w:tc>
                <w:tcPr>
                  <w:tcW w:w="623" w:type="pct"/>
                  <w:noWrap w:val="0"/>
                  <w:vAlign w:val="center"/>
                </w:tcPr>
                <w:p>
                  <w:pPr>
                    <w:pStyle w:val="48"/>
                    <w:bidi w:val="0"/>
                    <w:spacing w:line="240" w:lineRule="auto"/>
                    <w:rPr>
                      <w:rFonts w:hint="default" w:ascii="Times New Roman" w:hAnsi="Times New Roman"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0.555</w:t>
                  </w:r>
                </w:p>
              </w:tc>
              <w:tc>
                <w:tcPr>
                  <w:tcW w:w="411" w:type="pct"/>
                  <w:noWrap w:val="0"/>
                  <w:vAlign w:val="center"/>
                </w:tcPr>
                <w:p>
                  <w:pPr>
                    <w:pStyle w:val="48"/>
                    <w:bidi w:val="0"/>
                    <w:spacing w:line="240" w:lineRule="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w:t>
                  </w:r>
                </w:p>
              </w:tc>
              <w:tc>
                <w:tcPr>
                  <w:tcW w:w="473" w:type="pct"/>
                  <w:noWrap w:val="0"/>
                  <w:vAlign w:val="center"/>
                </w:tcPr>
                <w:p>
                  <w:pPr>
                    <w:pStyle w:val="48"/>
                    <w:bidi w:val="0"/>
                    <w:spacing w:line="240" w:lineRule="auto"/>
                    <w:rPr>
                      <w:rFonts w:hint="default" w:ascii="Times New Roman" w:hAnsi="Times New Roman" w:eastAsia="宋体"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2</w:t>
                  </w:r>
                </w:p>
              </w:tc>
              <w:tc>
                <w:tcPr>
                  <w:tcW w:w="513" w:type="pct"/>
                  <w:noWrap w:val="0"/>
                  <w:vAlign w:val="center"/>
                </w:tcPr>
                <w:p>
                  <w:pPr>
                    <w:pStyle w:val="48"/>
                    <w:bidi w:val="0"/>
                    <w:spacing w:line="240" w:lineRule="auto"/>
                    <w:rPr>
                      <w:rFonts w:hint="default" w:ascii="Times New Roman" w:hAnsi="Times New Roman" w:eastAsia="宋体"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1.11</w:t>
                  </w:r>
                </w:p>
              </w:tc>
              <w:tc>
                <w:tcPr>
                  <w:tcW w:w="653" w:type="pct"/>
                  <w:vMerge w:val="restart"/>
                  <w:noWrap w:val="0"/>
                  <w:vAlign w:val="center"/>
                </w:tcPr>
                <w:p>
                  <w:pPr>
                    <w:pStyle w:val="48"/>
                    <w:bidi w:val="0"/>
                    <w:spacing w:line="240" w:lineRule="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发现问题第一时间维修、停止生产，待设备正常后恢复生产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2" w:hRule="atLeast"/>
                <w:jc w:val="center"/>
              </w:trPr>
              <w:tc>
                <w:tcPr>
                  <w:tcW w:w="566" w:type="pct"/>
                  <w:shd w:val="clear" w:color="auto" w:fill="auto"/>
                  <w:noWrap w:val="0"/>
                  <w:vAlign w:val="center"/>
                </w:tcPr>
                <w:p>
                  <w:pPr>
                    <w:pStyle w:val="48"/>
                    <w:bidi w:val="0"/>
                    <w:rPr>
                      <w:rFonts w:hint="default" w:ascii="Times New Roman" w:hAnsi="Times New Roman" w:eastAsia="宋体" w:cs="Times New Roman"/>
                      <w:color w:val="auto"/>
                      <w:kern w:val="0"/>
                      <w:sz w:val="21"/>
                      <w:szCs w:val="20"/>
                      <w:highlight w:val="none"/>
                      <w:lang w:val="en-US" w:eastAsia="zh-CN" w:bidi="ar-SA"/>
                    </w:rPr>
                  </w:pPr>
                  <w:r>
                    <w:rPr>
                      <w:rFonts w:hint="eastAsia" w:ascii="Times New Roman" w:cs="Times New Roman"/>
                      <w:color w:val="auto"/>
                      <w:highlight w:val="none"/>
                      <w:lang w:val="en-US" w:eastAsia="zh-CN"/>
                    </w:rPr>
                    <w:t>DA002</w:t>
                  </w:r>
                </w:p>
              </w:tc>
              <w:tc>
                <w:tcPr>
                  <w:tcW w:w="674" w:type="pct"/>
                  <w:vMerge w:val="restart"/>
                  <w:noWrap w:val="0"/>
                  <w:vAlign w:val="center"/>
                </w:tcPr>
                <w:p>
                  <w:pPr>
                    <w:pStyle w:val="48"/>
                    <w:bidi w:val="0"/>
                    <w:rPr>
                      <w:rFonts w:hint="default" w:ascii="Times New Roman" w:cs="Times New Roman"/>
                      <w:color w:val="auto"/>
                      <w:highlight w:val="none"/>
                      <w:lang w:val="en-US" w:eastAsia="zh-CN"/>
                    </w:rPr>
                  </w:pPr>
                  <w:r>
                    <w:rPr>
                      <w:rFonts w:hint="eastAsia" w:ascii="Times New Roman" w:cs="Times New Roman"/>
                      <w:color w:val="auto"/>
                      <w:highlight w:val="none"/>
                      <w:lang w:val="en-US" w:eastAsia="zh-CN"/>
                    </w:rPr>
                    <w:t>活性炭吸附装置故障，废气未有效治理</w:t>
                  </w:r>
                </w:p>
              </w:tc>
              <w:tc>
                <w:tcPr>
                  <w:tcW w:w="354" w:type="pct"/>
                  <w:vMerge w:val="restart"/>
                  <w:noWrap w:val="0"/>
                  <w:vAlign w:val="center"/>
                </w:tcPr>
                <w:p>
                  <w:pPr>
                    <w:pStyle w:val="48"/>
                    <w:bidi w:val="0"/>
                    <w:rPr>
                      <w:rFonts w:hint="default" w:eastAsia="宋体"/>
                      <w:color w:val="auto"/>
                      <w:highlight w:val="none"/>
                      <w:lang w:val="en-US" w:eastAsia="zh-CN"/>
                    </w:rPr>
                  </w:pPr>
                  <w:r>
                    <w:rPr>
                      <w:rFonts w:hint="eastAsia"/>
                      <w:color w:val="auto"/>
                      <w:highlight w:val="none"/>
                      <w:lang w:val="en-US" w:eastAsia="zh-CN"/>
                    </w:rPr>
                    <w:t>非甲烷总烃</w:t>
                  </w:r>
                </w:p>
              </w:tc>
              <w:tc>
                <w:tcPr>
                  <w:tcW w:w="730" w:type="pct"/>
                  <w:noWrap w:val="0"/>
                  <w:vAlign w:val="center"/>
                </w:tcPr>
                <w:p>
                  <w:pPr>
                    <w:pStyle w:val="48"/>
                    <w:bidi w:val="0"/>
                    <w:rPr>
                      <w:rFonts w:hint="default" w:ascii="Times New Roman" w:cs="Times New Roman"/>
                      <w:color w:val="auto"/>
                      <w:kern w:val="0"/>
                      <w:sz w:val="21"/>
                      <w:szCs w:val="21"/>
                      <w:highlight w:val="none"/>
                      <w:lang w:val="en-US" w:eastAsia="zh-CN"/>
                    </w:rPr>
                  </w:pPr>
                  <w:r>
                    <w:rPr>
                      <w:rFonts w:hint="eastAsia" w:ascii="Times New Roman" w:cs="Times New Roman"/>
                      <w:color w:val="auto"/>
                      <w:kern w:val="0"/>
                      <w:sz w:val="21"/>
                      <w:szCs w:val="21"/>
                      <w:highlight w:val="none"/>
                      <w:lang w:val="en-US" w:eastAsia="zh-CN"/>
                    </w:rPr>
                    <w:t>52.58</w:t>
                  </w:r>
                </w:p>
              </w:tc>
              <w:tc>
                <w:tcPr>
                  <w:tcW w:w="623" w:type="pct"/>
                  <w:noWrap w:val="0"/>
                  <w:vAlign w:val="center"/>
                </w:tcPr>
                <w:p>
                  <w:pPr>
                    <w:pStyle w:val="48"/>
                    <w:bidi w:val="0"/>
                    <w:rPr>
                      <w:rFonts w:hint="default" w:ascii="Times New Roman"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0.7887</w:t>
                  </w:r>
                </w:p>
              </w:tc>
              <w:tc>
                <w:tcPr>
                  <w:tcW w:w="411" w:type="pct"/>
                  <w:noWrap w:val="0"/>
                  <w:vAlign w:val="center"/>
                </w:tcPr>
                <w:p>
                  <w:pPr>
                    <w:pStyle w:val="48"/>
                    <w:bidi w:val="0"/>
                    <w:rPr>
                      <w:rFonts w:hint="default" w:ascii="Times New Roman" w:hAnsi="Times New Roman" w:eastAsia="宋体"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1</w:t>
                  </w:r>
                </w:p>
              </w:tc>
              <w:tc>
                <w:tcPr>
                  <w:tcW w:w="473" w:type="pct"/>
                  <w:noWrap w:val="0"/>
                  <w:vAlign w:val="center"/>
                </w:tcPr>
                <w:p>
                  <w:pPr>
                    <w:pStyle w:val="48"/>
                    <w:bidi w:val="0"/>
                    <w:rPr>
                      <w:rFonts w:hint="default" w:ascii="Times New Roman"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4</w:t>
                  </w:r>
                </w:p>
              </w:tc>
              <w:tc>
                <w:tcPr>
                  <w:tcW w:w="513" w:type="pct"/>
                  <w:noWrap w:val="0"/>
                  <w:vAlign w:val="center"/>
                </w:tcPr>
                <w:p>
                  <w:pPr>
                    <w:pStyle w:val="48"/>
                    <w:bidi w:val="0"/>
                    <w:rPr>
                      <w:rFonts w:hint="default" w:ascii="Times New Roman"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3.1548</w:t>
                  </w:r>
                </w:p>
              </w:tc>
              <w:tc>
                <w:tcPr>
                  <w:tcW w:w="653" w:type="pct"/>
                  <w:vMerge w:val="continue"/>
                  <w:noWrap w:val="0"/>
                  <w:vAlign w:val="center"/>
                </w:tcPr>
                <w:p>
                  <w:pPr>
                    <w:pStyle w:val="48"/>
                    <w:bidi w:val="0"/>
                    <w:rPr>
                      <w:rFonts w:hint="default" w:ascii="Times New Roman" w:hAnsi="Times New Roman" w:eastAsia="宋体" w:cs="Times New Roman"/>
                      <w:color w:val="auto"/>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62" w:hRule="atLeast"/>
                <w:jc w:val="center"/>
              </w:trPr>
              <w:tc>
                <w:tcPr>
                  <w:tcW w:w="566" w:type="pct"/>
                  <w:noWrap w:val="0"/>
                  <w:vAlign w:val="center"/>
                </w:tcPr>
                <w:p>
                  <w:pPr>
                    <w:pStyle w:val="48"/>
                    <w:bidi w:val="0"/>
                    <w:rPr>
                      <w:rFonts w:hint="default" w:ascii="Times New Roman" w:hAnsi="Times New Roman" w:cs="Times New Roman"/>
                      <w:color w:val="auto"/>
                      <w:highlight w:val="none"/>
                      <w:lang w:val="en-US" w:eastAsia="zh-CN"/>
                    </w:rPr>
                  </w:pPr>
                  <w:r>
                    <w:rPr>
                      <w:rFonts w:hint="eastAsia" w:ascii="Times New Roman" w:cs="Times New Roman"/>
                      <w:color w:val="auto"/>
                      <w:highlight w:val="none"/>
                      <w:lang w:val="en-US" w:eastAsia="zh-CN"/>
                    </w:rPr>
                    <w:t>DA003</w:t>
                  </w:r>
                </w:p>
              </w:tc>
              <w:tc>
                <w:tcPr>
                  <w:tcW w:w="674" w:type="pct"/>
                  <w:vMerge w:val="continue"/>
                  <w:noWrap w:val="0"/>
                  <w:vAlign w:val="center"/>
                </w:tcPr>
                <w:p>
                  <w:pPr>
                    <w:pStyle w:val="48"/>
                    <w:bidi w:val="0"/>
                    <w:rPr>
                      <w:rFonts w:hint="eastAsia" w:ascii="Times New Roman" w:cs="Times New Roman"/>
                      <w:color w:val="auto"/>
                      <w:highlight w:val="none"/>
                      <w:lang w:val="en-US" w:eastAsia="zh-CN"/>
                    </w:rPr>
                  </w:pPr>
                </w:p>
              </w:tc>
              <w:tc>
                <w:tcPr>
                  <w:tcW w:w="354" w:type="pct"/>
                  <w:vMerge w:val="continue"/>
                  <w:noWrap w:val="0"/>
                  <w:vAlign w:val="center"/>
                </w:tcPr>
                <w:p>
                  <w:pPr>
                    <w:pStyle w:val="48"/>
                    <w:bidi w:val="0"/>
                    <w:rPr>
                      <w:color w:val="auto"/>
                      <w:highlight w:val="none"/>
                    </w:rPr>
                  </w:pPr>
                </w:p>
              </w:tc>
              <w:tc>
                <w:tcPr>
                  <w:tcW w:w="730" w:type="pct"/>
                  <w:noWrap w:val="0"/>
                  <w:vAlign w:val="center"/>
                </w:tcPr>
                <w:p>
                  <w:pPr>
                    <w:pStyle w:val="48"/>
                    <w:bidi w:val="0"/>
                    <w:rPr>
                      <w:rFonts w:hint="default" w:ascii="Times New Roman" w:cs="Times New Roman"/>
                      <w:color w:val="auto"/>
                      <w:kern w:val="0"/>
                      <w:sz w:val="21"/>
                      <w:szCs w:val="21"/>
                      <w:highlight w:val="none"/>
                      <w:lang w:val="en-US" w:eastAsia="zh-CN"/>
                    </w:rPr>
                  </w:pPr>
                  <w:r>
                    <w:rPr>
                      <w:rFonts w:hint="eastAsia" w:ascii="Times New Roman" w:cs="Times New Roman"/>
                      <w:color w:val="auto"/>
                      <w:kern w:val="0"/>
                      <w:sz w:val="21"/>
                      <w:szCs w:val="21"/>
                      <w:highlight w:val="none"/>
                      <w:lang w:val="en-US" w:eastAsia="zh-CN"/>
                    </w:rPr>
                    <w:t>25.6</w:t>
                  </w:r>
                </w:p>
              </w:tc>
              <w:tc>
                <w:tcPr>
                  <w:tcW w:w="623" w:type="pct"/>
                  <w:noWrap w:val="0"/>
                  <w:vAlign w:val="center"/>
                </w:tcPr>
                <w:p>
                  <w:pPr>
                    <w:pStyle w:val="48"/>
                    <w:bidi w:val="0"/>
                    <w:rPr>
                      <w:rFonts w:hint="default" w:ascii="Times New Roman"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0.0512</w:t>
                  </w:r>
                </w:p>
              </w:tc>
              <w:tc>
                <w:tcPr>
                  <w:tcW w:w="411" w:type="pct"/>
                  <w:noWrap w:val="0"/>
                  <w:vAlign w:val="center"/>
                </w:tcPr>
                <w:p>
                  <w:pPr>
                    <w:pStyle w:val="48"/>
                    <w:bidi w:val="0"/>
                    <w:rPr>
                      <w:rFonts w:hint="default" w:ascii="Times New Roman" w:hAnsi="Times New Roman" w:eastAsia="宋体"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1</w:t>
                  </w:r>
                </w:p>
              </w:tc>
              <w:tc>
                <w:tcPr>
                  <w:tcW w:w="473" w:type="pct"/>
                  <w:noWrap w:val="0"/>
                  <w:vAlign w:val="center"/>
                </w:tcPr>
                <w:p>
                  <w:pPr>
                    <w:pStyle w:val="48"/>
                    <w:bidi w:val="0"/>
                    <w:rPr>
                      <w:rFonts w:hint="default" w:ascii="Times New Roman"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4</w:t>
                  </w:r>
                </w:p>
              </w:tc>
              <w:tc>
                <w:tcPr>
                  <w:tcW w:w="513" w:type="pct"/>
                  <w:noWrap w:val="0"/>
                  <w:vAlign w:val="center"/>
                </w:tcPr>
                <w:p>
                  <w:pPr>
                    <w:pStyle w:val="48"/>
                    <w:bidi w:val="0"/>
                    <w:rPr>
                      <w:rFonts w:hint="default" w:ascii="Times New Roman" w:cs="Times New Roman"/>
                      <w:color w:val="auto"/>
                      <w:sz w:val="21"/>
                      <w:szCs w:val="21"/>
                      <w:highlight w:val="none"/>
                      <w:lang w:val="en-US" w:eastAsia="zh-CN"/>
                    </w:rPr>
                  </w:pPr>
                  <w:r>
                    <w:rPr>
                      <w:rFonts w:hint="eastAsia" w:ascii="Times New Roman" w:cs="Times New Roman"/>
                      <w:color w:val="auto"/>
                      <w:sz w:val="21"/>
                      <w:szCs w:val="21"/>
                      <w:highlight w:val="none"/>
                      <w:lang w:val="en-US" w:eastAsia="zh-CN"/>
                    </w:rPr>
                    <w:t>0.2048</w:t>
                  </w:r>
                </w:p>
              </w:tc>
              <w:tc>
                <w:tcPr>
                  <w:tcW w:w="653" w:type="pct"/>
                  <w:vMerge w:val="continue"/>
                  <w:noWrap w:val="0"/>
                  <w:vAlign w:val="center"/>
                </w:tcPr>
                <w:p>
                  <w:pPr>
                    <w:pStyle w:val="48"/>
                    <w:bidi w:val="0"/>
                    <w:rPr>
                      <w:rFonts w:hint="default" w:ascii="Times New Roman" w:hAnsi="Times New Roman" w:eastAsia="宋体" w:cs="Times New Roman"/>
                      <w:color w:val="auto"/>
                      <w:highlight w:val="none"/>
                      <w:lang w:val="en-US" w:eastAsia="zh-CN"/>
                    </w:rPr>
                  </w:pPr>
                </w:p>
              </w:tc>
            </w:tr>
          </w:tbl>
          <w:p>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jc w:val="both"/>
              <w:textAlignment w:val="auto"/>
              <w:rPr>
                <w:rFonts w:hint="default" w:ascii="Times New Roman" w:hAnsi="Times New Roman"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1.4废气治理措施可行性分析</w:t>
            </w:r>
          </w:p>
          <w:p>
            <w:pPr>
              <w:pStyle w:val="63"/>
              <w:keepNext w:val="0"/>
              <w:keepLines w:val="0"/>
              <w:pageBreakBefore w:val="0"/>
              <w:widowControl w:val="0"/>
              <w:kinsoku/>
              <w:wordWrap/>
              <w:overflowPunct/>
              <w:topLinePunct w:val="0"/>
              <w:autoSpaceDE/>
              <w:autoSpaceDN/>
              <w:bidi w:val="0"/>
              <w:adjustRightInd w:val="0"/>
              <w:snapToGrid w:val="0"/>
              <w:spacing w:line="360" w:lineRule="auto"/>
              <w:ind w:left="0" w:right="0" w:firstLine="420" w:firstLineChars="200"/>
              <w:jc w:val="left"/>
              <w:textAlignment w:val="auto"/>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sz w:val="21"/>
                <w:szCs w:val="21"/>
                <w:highlight w:val="none"/>
              </w:rPr>
              <w:t>本项目</w:t>
            </w:r>
            <w:r>
              <w:rPr>
                <w:rFonts w:hint="default" w:ascii="Times New Roman" w:hAnsi="Times New Roman" w:cs="Times New Roman"/>
                <w:color w:val="auto"/>
                <w:sz w:val="21"/>
                <w:szCs w:val="21"/>
                <w:highlight w:val="none"/>
                <w:lang w:val="en-US" w:eastAsia="zh-CN"/>
              </w:rPr>
              <w:t>天然气</w:t>
            </w:r>
            <w:r>
              <w:rPr>
                <w:rFonts w:hint="eastAsia" w:ascii="Times New Roman" w:hAnsi="Times New Roman" w:cs="Times New Roman"/>
                <w:color w:val="auto"/>
                <w:sz w:val="21"/>
                <w:szCs w:val="21"/>
                <w:highlight w:val="none"/>
                <w:lang w:val="en-US" w:eastAsia="zh-CN"/>
              </w:rPr>
              <w:t>锅炉</w:t>
            </w:r>
            <w:r>
              <w:rPr>
                <w:rFonts w:hint="default" w:ascii="Times New Roman" w:hAnsi="Times New Roman" w:cs="Times New Roman"/>
                <w:color w:val="auto"/>
                <w:sz w:val="21"/>
                <w:szCs w:val="21"/>
                <w:highlight w:val="none"/>
                <w:lang w:val="en-US" w:eastAsia="zh-CN"/>
              </w:rPr>
              <w:t>采用低氮燃烧技术，废气经一根8m高排气筒排放；</w:t>
            </w:r>
            <w:r>
              <w:rPr>
                <w:rFonts w:hint="eastAsia" w:ascii="Times New Roman" w:hAnsi="Times New Roman" w:cs="Times New Roman"/>
                <w:color w:val="auto"/>
                <w:sz w:val="21"/>
                <w:szCs w:val="21"/>
                <w:highlight w:val="none"/>
                <w:lang w:val="en-US" w:eastAsia="zh-CN"/>
              </w:rPr>
              <w:t>瓶胚预热</w:t>
            </w:r>
            <w:r>
              <w:rPr>
                <w:rFonts w:hint="default" w:ascii="Times New Roman" w:hAnsi="Times New Roman" w:cs="Times New Roman"/>
                <w:color w:val="auto"/>
                <w:sz w:val="21"/>
                <w:szCs w:val="21"/>
                <w:highlight w:val="none"/>
                <w:lang w:val="en-US" w:eastAsia="zh-CN"/>
              </w:rPr>
              <w:t>、包装</w:t>
            </w:r>
            <w:r>
              <w:rPr>
                <w:rFonts w:hint="eastAsia" w:ascii="Times New Roman" w:hAnsi="Times New Roman" w:cs="Times New Roman"/>
                <w:color w:val="auto"/>
                <w:sz w:val="21"/>
                <w:szCs w:val="21"/>
                <w:highlight w:val="none"/>
                <w:lang w:val="en-US" w:eastAsia="zh-CN"/>
              </w:rPr>
              <w:t>缩膜</w:t>
            </w:r>
            <w:r>
              <w:rPr>
                <w:rFonts w:hint="default" w:ascii="Times New Roman" w:hAnsi="Times New Roman" w:cs="Times New Roman"/>
                <w:color w:val="auto"/>
                <w:sz w:val="21"/>
                <w:szCs w:val="21"/>
                <w:highlight w:val="none"/>
                <w:lang w:val="en-US" w:eastAsia="zh-CN"/>
              </w:rPr>
              <w:t>过程中产生的有机废气收集后经二级活性炭吸附装置处理，最终由一根15m排气筒排放，未被收集的有机废气无组织排放，自然逸散，</w:t>
            </w:r>
            <w:r>
              <w:rPr>
                <w:rFonts w:hint="default" w:ascii="Times New Roman" w:hAnsi="Times New Roman" w:eastAsia="宋体" w:cs="Times New Roman"/>
                <w:color w:val="auto"/>
                <w:sz w:val="21"/>
                <w:szCs w:val="21"/>
                <w:highlight w:val="none"/>
                <w:lang w:val="en-US" w:eastAsia="zh-CN"/>
              </w:rPr>
              <w:t>根据</w:t>
            </w:r>
            <w:r>
              <w:rPr>
                <w:rFonts w:hint="default" w:ascii="Times New Roman" w:hAnsi="Times New Roman" w:cs="Times New Roman"/>
                <w:color w:val="auto"/>
                <w:sz w:val="21"/>
                <w:szCs w:val="21"/>
                <w:highlight w:val="none"/>
                <w:lang w:val="en-US" w:eastAsia="zh-CN"/>
              </w:rPr>
              <w:t>《排污许可证申请与核发技术规范 锅炉》（HJ953-2018）、</w:t>
            </w:r>
            <w:r>
              <w:rPr>
                <w:rFonts w:hint="default" w:ascii="Times New Roman" w:hAnsi="Times New Roman" w:eastAsia="宋体" w:cs="Times New Roman"/>
                <w:color w:val="auto"/>
                <w:sz w:val="21"/>
                <w:szCs w:val="21"/>
                <w:highlight w:val="none"/>
                <w:lang w:val="en-US" w:eastAsia="zh-CN"/>
              </w:rPr>
              <w:t>《排污许可证申请与</w:t>
            </w:r>
            <w:r>
              <w:rPr>
                <w:rFonts w:hint="eastAsia" w:ascii="Times New Roman" w:hAnsi="Times New Roman" w:cs="Times New Roman"/>
                <w:color w:val="auto"/>
                <w:sz w:val="21"/>
                <w:szCs w:val="21"/>
                <w:highlight w:val="none"/>
                <w:lang w:val="en-US" w:eastAsia="zh-CN"/>
              </w:rPr>
              <w:t>核发</w:t>
            </w:r>
            <w:r>
              <w:rPr>
                <w:rFonts w:hint="default" w:ascii="Times New Roman" w:hAnsi="Times New Roman" w:eastAsia="宋体" w:cs="Times New Roman"/>
                <w:color w:val="auto"/>
                <w:sz w:val="21"/>
                <w:szCs w:val="21"/>
                <w:highlight w:val="none"/>
                <w:lang w:val="en-US" w:eastAsia="zh-CN"/>
              </w:rPr>
              <w:t xml:space="preserve">规范 </w:t>
            </w:r>
            <w:r>
              <w:rPr>
                <w:rFonts w:hint="default" w:ascii="Times New Roman" w:hAnsi="Times New Roman" w:cs="Times New Roman"/>
                <w:color w:val="auto"/>
                <w:sz w:val="21"/>
                <w:szCs w:val="21"/>
                <w:highlight w:val="none"/>
                <w:lang w:val="en-US" w:eastAsia="zh-CN"/>
              </w:rPr>
              <w:t>橡胶和塑料制品工业</w:t>
            </w:r>
            <w:r>
              <w:rPr>
                <w:rFonts w:hint="default" w:ascii="Times New Roman" w:hAnsi="Times New Roman" w:eastAsia="宋体" w:cs="Times New Roman"/>
                <w:color w:val="auto"/>
                <w:sz w:val="21"/>
                <w:szCs w:val="21"/>
                <w:highlight w:val="none"/>
                <w:lang w:val="en-US" w:eastAsia="zh-CN"/>
              </w:rPr>
              <w:t>》（HJ</w:t>
            </w:r>
            <w:r>
              <w:rPr>
                <w:rFonts w:hint="default" w:ascii="Times New Roman" w:hAnsi="Times New Roman" w:cs="Times New Roman"/>
                <w:color w:val="auto"/>
                <w:sz w:val="21"/>
                <w:szCs w:val="21"/>
                <w:highlight w:val="none"/>
                <w:lang w:val="en-US" w:eastAsia="zh-CN"/>
              </w:rPr>
              <w:t>1122</w:t>
            </w:r>
            <w:r>
              <w:rPr>
                <w:rFonts w:hint="default" w:ascii="Times New Roman" w:hAnsi="Times New Roman" w:eastAsia="宋体" w:cs="Times New Roman"/>
                <w:color w:val="auto"/>
                <w:sz w:val="21"/>
                <w:szCs w:val="21"/>
                <w:highlight w:val="none"/>
                <w:lang w:val="en-US" w:eastAsia="zh-CN"/>
              </w:rPr>
              <w:t>-20</w:t>
            </w:r>
            <w:r>
              <w:rPr>
                <w:rFonts w:hint="default" w:ascii="Times New Roman" w:hAnsi="Times New Roman" w:cs="Times New Roman"/>
                <w:color w:val="auto"/>
                <w:sz w:val="21"/>
                <w:szCs w:val="21"/>
                <w:highlight w:val="none"/>
                <w:lang w:val="en-US" w:eastAsia="zh-CN"/>
              </w:rPr>
              <w:t>20</w:t>
            </w:r>
            <w:r>
              <w:rPr>
                <w:rFonts w:hint="default" w:ascii="Times New Roman" w:hAnsi="Times New Roman" w:eastAsia="宋体"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，本项目采取的废气处理工艺均为可行技术</w:t>
            </w:r>
            <w:r>
              <w:rPr>
                <w:rFonts w:hint="default" w:ascii="Times New Roman" w:hAnsi="Times New Roman" w:cs="Times New Roman"/>
                <w:color w:val="auto"/>
                <w:kern w:val="2"/>
                <w:sz w:val="21"/>
                <w:szCs w:val="21"/>
                <w:highlight w:val="none"/>
                <w:lang w:val="en-US" w:eastAsia="zh-CN" w:bidi="ar-SA"/>
              </w:rPr>
              <w:t>。</w:t>
            </w:r>
          </w:p>
          <w:p>
            <w:pPr>
              <w:keepNext w:val="0"/>
              <w:keepLines w:val="0"/>
              <w:pageBreakBefore w:val="0"/>
              <w:widowControl w:val="0"/>
              <w:kinsoku/>
              <w:wordWrap/>
              <w:overflowPunct/>
              <w:topLinePunct w:val="0"/>
              <w:autoSpaceDE/>
              <w:autoSpaceDN/>
              <w:bidi w:val="0"/>
              <w:adjustRightInd w:val="0"/>
              <w:snapToGrid w:val="0"/>
              <w:spacing w:line="360" w:lineRule="auto"/>
              <w:ind w:firstLine="422" w:firstLineChars="200"/>
              <w:jc w:val="both"/>
              <w:textAlignment w:val="auto"/>
              <w:rPr>
                <w:rFonts w:hint="default" w:ascii="Times New Roman" w:hAnsi="Times New Roman" w:cs="Times New Roman"/>
                <w:b/>
                <w:bCs/>
                <w:color w:val="auto"/>
                <w:sz w:val="21"/>
                <w:szCs w:val="21"/>
                <w:highlight w:val="none"/>
                <w:lang w:val="en-US" w:eastAsia="zh-CN"/>
              </w:rPr>
            </w:pPr>
            <w:r>
              <w:rPr>
                <w:rFonts w:hint="default" w:ascii="Times New Roman" w:hAnsi="Times New Roman" w:cs="Times New Roman"/>
                <w:b/>
                <w:bCs/>
                <w:color w:val="auto"/>
                <w:sz w:val="21"/>
                <w:szCs w:val="21"/>
                <w:highlight w:val="none"/>
                <w:lang w:val="en-US" w:eastAsia="zh-CN"/>
              </w:rPr>
              <w:t>1.5大气环境影响分析</w:t>
            </w:r>
          </w:p>
          <w:p>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default" w:ascii="Times New Roman" w:hAnsi="Times New Roman" w:cs="Times New Roman"/>
                <w:color w:val="auto"/>
                <w:sz w:val="24"/>
                <w:highlight w:val="none"/>
                <w:lang w:val="en-US" w:eastAsia="zh-CN"/>
              </w:rPr>
            </w:pPr>
            <w:r>
              <w:rPr>
                <w:rFonts w:hint="default" w:ascii="Times New Roman" w:hAnsi="Times New Roman" w:cs="Times New Roman"/>
                <w:color w:val="auto"/>
                <w:sz w:val="21"/>
                <w:szCs w:val="21"/>
                <w:highlight w:val="none"/>
                <w:lang w:val="en-US" w:eastAsia="zh-CN"/>
              </w:rPr>
              <w:t>本项目产生的废气主要为天然气</w:t>
            </w:r>
            <w:r>
              <w:rPr>
                <w:rFonts w:hint="eastAsia" w:cs="Times New Roman"/>
                <w:color w:val="auto"/>
                <w:sz w:val="21"/>
                <w:szCs w:val="21"/>
                <w:highlight w:val="none"/>
                <w:lang w:val="en-US" w:eastAsia="zh-CN"/>
              </w:rPr>
              <w:t>锅炉</w:t>
            </w:r>
            <w:r>
              <w:rPr>
                <w:rFonts w:hint="default" w:ascii="Times New Roman" w:hAnsi="Times New Roman" w:cs="Times New Roman"/>
                <w:color w:val="auto"/>
                <w:sz w:val="21"/>
                <w:szCs w:val="21"/>
                <w:highlight w:val="none"/>
                <w:lang w:val="en-US" w:eastAsia="zh-CN"/>
              </w:rPr>
              <w:t>产生的颗粒物、</w:t>
            </w:r>
            <w:r>
              <w:rPr>
                <w:rFonts w:hint="eastAsia" w:cs="Times New Roman"/>
                <w:color w:val="auto"/>
                <w:sz w:val="21"/>
                <w:szCs w:val="21"/>
                <w:highlight w:val="none"/>
                <w:lang w:val="en-US" w:eastAsia="zh-CN"/>
              </w:rPr>
              <w:t>二氧化硫、</w:t>
            </w:r>
            <w:r>
              <w:rPr>
                <w:rFonts w:hint="default" w:ascii="Times New Roman" w:hAnsi="Times New Roman" w:cs="Times New Roman"/>
                <w:color w:val="auto"/>
                <w:sz w:val="21"/>
                <w:szCs w:val="21"/>
                <w:highlight w:val="none"/>
                <w:lang w:val="en-US" w:eastAsia="zh-CN"/>
              </w:rPr>
              <w:t>氮氧化物</w:t>
            </w:r>
            <w:r>
              <w:rPr>
                <w:rFonts w:hint="eastAsia" w:cs="Times New Roman"/>
                <w:color w:val="auto"/>
                <w:sz w:val="21"/>
                <w:szCs w:val="21"/>
                <w:highlight w:val="none"/>
                <w:lang w:val="en-US" w:eastAsia="zh-CN"/>
              </w:rPr>
              <w:t>，</w:t>
            </w:r>
            <w:r>
              <w:rPr>
                <w:rFonts w:hint="eastAsia" w:ascii="Times New Roman" w:hAnsi="Times New Roman" w:cs="Times New Roman"/>
                <w:color w:val="auto"/>
                <w:sz w:val="21"/>
                <w:szCs w:val="21"/>
                <w:highlight w:val="none"/>
                <w:lang w:val="en-US" w:eastAsia="zh-CN"/>
              </w:rPr>
              <w:t>瓶胚预热</w:t>
            </w:r>
            <w:r>
              <w:rPr>
                <w:rFonts w:hint="default" w:ascii="Times New Roman" w:hAnsi="Times New Roman" w:cs="Times New Roman"/>
                <w:color w:val="auto"/>
                <w:sz w:val="21"/>
                <w:szCs w:val="21"/>
                <w:highlight w:val="none"/>
                <w:lang w:val="en-US" w:eastAsia="zh-CN"/>
              </w:rPr>
              <w:t>、包装</w:t>
            </w:r>
            <w:r>
              <w:rPr>
                <w:rFonts w:hint="eastAsia" w:ascii="Times New Roman" w:hAnsi="Times New Roman" w:cs="Times New Roman"/>
                <w:color w:val="auto"/>
                <w:sz w:val="21"/>
                <w:szCs w:val="21"/>
                <w:highlight w:val="none"/>
                <w:lang w:val="en-US" w:eastAsia="zh-CN"/>
              </w:rPr>
              <w:t>缩膜</w:t>
            </w:r>
            <w:r>
              <w:rPr>
                <w:rFonts w:hint="default" w:ascii="Times New Roman" w:hAnsi="Times New Roman" w:cs="Times New Roman"/>
                <w:color w:val="auto"/>
                <w:sz w:val="21"/>
                <w:szCs w:val="21"/>
                <w:highlight w:val="none"/>
                <w:lang w:val="en-US" w:eastAsia="zh-CN"/>
              </w:rPr>
              <w:t>工序产生的非甲烷总烃</w:t>
            </w:r>
            <w:r>
              <w:rPr>
                <w:rFonts w:hint="eastAsia" w:cs="Times New Roman"/>
                <w:color w:val="auto"/>
                <w:sz w:val="21"/>
                <w:szCs w:val="21"/>
                <w:highlight w:val="none"/>
                <w:lang w:val="en-US" w:eastAsia="zh-CN"/>
              </w:rPr>
              <w:t>，污水处理站生活处理及坏果、果渣暂存过程产生的臭气</w:t>
            </w:r>
            <w:r>
              <w:rPr>
                <w:rFonts w:hint="default" w:ascii="Times New Roman" w:hAnsi="Times New Roman" w:cs="Times New Roman"/>
                <w:color w:val="auto"/>
                <w:sz w:val="21"/>
                <w:szCs w:val="21"/>
                <w:highlight w:val="none"/>
                <w:lang w:val="en-US" w:eastAsia="zh-CN"/>
              </w:rPr>
              <w:t>。经计算，本项目天然气</w:t>
            </w:r>
            <w:r>
              <w:rPr>
                <w:rFonts w:hint="eastAsia" w:cs="Times New Roman"/>
                <w:color w:val="auto"/>
                <w:sz w:val="21"/>
                <w:szCs w:val="21"/>
                <w:highlight w:val="none"/>
                <w:lang w:val="en-US" w:eastAsia="zh-CN"/>
              </w:rPr>
              <w:t>锅炉</w:t>
            </w:r>
            <w:r>
              <w:rPr>
                <w:rFonts w:hint="default" w:ascii="Times New Roman" w:hAnsi="Times New Roman" w:cs="Times New Roman"/>
                <w:color w:val="auto"/>
                <w:sz w:val="21"/>
                <w:szCs w:val="21"/>
                <w:highlight w:val="none"/>
                <w:lang w:val="en-US" w:eastAsia="zh-CN"/>
              </w:rPr>
              <w:t>排气筒颗粒物、二氧化硫、氮氧化物排放浓度均可满足</w:t>
            </w:r>
            <w:r>
              <w:rPr>
                <w:rFonts w:hint="default" w:ascii="Times New Roman" w:hAnsi="Times New Roman" w:cs="Times New Roman"/>
                <w:color w:val="auto"/>
                <w:sz w:val="21"/>
                <w:szCs w:val="21"/>
                <w:highlight w:val="none"/>
              </w:rPr>
              <w:t>《锅炉大气污染物排放标准》（GB13271-2014）中表3大气污染物特别排放浓度限值要求</w:t>
            </w:r>
            <w:r>
              <w:rPr>
                <w:rFonts w:hint="default" w:ascii="Times New Roman" w:hAnsi="Times New Roman" w:cs="Times New Roman"/>
                <w:color w:val="auto"/>
                <w:sz w:val="21"/>
                <w:szCs w:val="21"/>
                <w:highlight w:val="none"/>
                <w:lang w:eastAsia="zh-CN"/>
              </w:rPr>
              <w:t>；</w:t>
            </w:r>
            <w:r>
              <w:rPr>
                <w:rFonts w:hint="eastAsia" w:ascii="Times New Roman" w:hAnsi="Times New Roman" w:cs="Times New Roman"/>
                <w:color w:val="auto"/>
                <w:sz w:val="21"/>
                <w:szCs w:val="21"/>
                <w:highlight w:val="none"/>
                <w:lang w:val="en-US" w:eastAsia="zh-CN"/>
              </w:rPr>
              <w:t>瓶坯预热</w:t>
            </w:r>
            <w:r>
              <w:rPr>
                <w:rFonts w:hint="default" w:ascii="Times New Roman" w:hAnsi="Times New Roman" w:cs="Times New Roman"/>
                <w:color w:val="auto"/>
                <w:sz w:val="21"/>
                <w:szCs w:val="21"/>
                <w:highlight w:val="none"/>
                <w:lang w:val="en-US" w:eastAsia="zh-CN"/>
              </w:rPr>
              <w:t>、包装</w:t>
            </w:r>
            <w:r>
              <w:rPr>
                <w:rFonts w:hint="eastAsia" w:ascii="Times New Roman" w:hAnsi="Times New Roman" w:cs="Times New Roman"/>
                <w:color w:val="auto"/>
                <w:sz w:val="21"/>
                <w:szCs w:val="21"/>
                <w:highlight w:val="none"/>
                <w:lang w:val="en-US" w:eastAsia="zh-CN"/>
              </w:rPr>
              <w:t>缩膜</w:t>
            </w:r>
            <w:r>
              <w:rPr>
                <w:rFonts w:hint="default" w:ascii="Times New Roman" w:hAnsi="Times New Roman" w:cs="Times New Roman"/>
                <w:color w:val="auto"/>
                <w:sz w:val="21"/>
                <w:szCs w:val="21"/>
                <w:highlight w:val="none"/>
                <w:lang w:val="en-US" w:eastAsia="zh-CN"/>
              </w:rPr>
              <w:t>工序排气筒非甲烷总烃均可满足《合成树脂工业污染物排放标准》</w:t>
            </w:r>
            <w:r>
              <w:rPr>
                <w:rFonts w:hint="default" w:ascii="Times New Roman" w:hAnsi="Times New Roman" w:eastAsia="宋体" w:cs="Times New Roman"/>
                <w:b w:val="0"/>
                <w:bCs w:val="0"/>
                <w:color w:val="auto"/>
                <w:kern w:val="0"/>
                <w:sz w:val="21"/>
                <w:szCs w:val="21"/>
                <w:highlight w:val="none"/>
                <w:lang w:val="en-US" w:eastAsia="zh-CN"/>
              </w:rPr>
              <w:t>（GB 31572-2015，含2024年修改单）</w:t>
            </w:r>
            <w:r>
              <w:rPr>
                <w:rFonts w:hint="default" w:ascii="Times New Roman" w:hAnsi="Times New Roman" w:cs="Times New Roman"/>
                <w:color w:val="auto"/>
                <w:sz w:val="21"/>
                <w:szCs w:val="21"/>
                <w:highlight w:val="none"/>
                <w:lang w:val="en-US" w:eastAsia="zh-CN"/>
              </w:rPr>
              <w:t>中表5大气污染物特别排放限值要求，未被收集的非甲烷总烃无组织排放，产生量较小</w:t>
            </w:r>
            <w:r>
              <w:rPr>
                <w:rFonts w:hint="eastAsia" w:cs="Times New Roman"/>
                <w:color w:val="auto"/>
                <w:sz w:val="21"/>
                <w:szCs w:val="21"/>
                <w:highlight w:val="none"/>
                <w:lang w:val="en-US" w:eastAsia="zh-CN"/>
              </w:rPr>
              <w:t>；污水站通过加盖密闭、定期喷洒除臭剂；专用贮存点通过日产日清、定期喷洒除臭剂、定期打扫消毒等措施可有效减轻臭气对周边环境影响；同时</w:t>
            </w:r>
            <w:r>
              <w:rPr>
                <w:rFonts w:hint="default" w:ascii="Times New Roman" w:hAnsi="Times New Roman" w:eastAsia="宋体" w:cs="Times New Roman"/>
                <w:color w:val="auto"/>
                <w:kern w:val="2"/>
                <w:sz w:val="21"/>
                <w:szCs w:val="21"/>
                <w:highlight w:val="none"/>
                <w:lang w:val="en-US" w:eastAsia="zh-CN" w:bidi="ar-SA"/>
              </w:rPr>
              <w:t>项目</w:t>
            </w:r>
            <w:r>
              <w:rPr>
                <w:rFonts w:hint="eastAsia" w:cs="Times New Roman"/>
                <w:color w:val="auto"/>
                <w:kern w:val="2"/>
                <w:sz w:val="21"/>
                <w:szCs w:val="21"/>
                <w:highlight w:val="none"/>
                <w:lang w:val="en-US" w:eastAsia="zh-CN" w:bidi="ar-SA"/>
              </w:rPr>
              <w:t>厂</w:t>
            </w:r>
            <w:r>
              <w:rPr>
                <w:rFonts w:hint="default" w:ascii="Times New Roman" w:hAnsi="Times New Roman" w:eastAsia="宋体" w:cs="Times New Roman"/>
                <w:color w:val="auto"/>
                <w:kern w:val="2"/>
                <w:sz w:val="21"/>
                <w:szCs w:val="21"/>
                <w:highlight w:val="none"/>
                <w:lang w:val="en-US" w:eastAsia="zh-CN" w:bidi="ar-SA"/>
              </w:rPr>
              <w:t>区500m范围内不涉及大气保护目标，</w:t>
            </w:r>
            <w:r>
              <w:rPr>
                <w:rFonts w:hint="default" w:ascii="Times New Roman" w:hAnsi="Times New Roman" w:cs="Times New Roman"/>
                <w:color w:val="auto"/>
                <w:sz w:val="21"/>
                <w:szCs w:val="21"/>
                <w:highlight w:val="none"/>
                <w:lang w:val="en-US" w:eastAsia="zh-CN"/>
              </w:rPr>
              <w:t>不会对区域大气环境造成明显的不良影响。因此，本项目对大气环境影响较小，环境影响可接受。</w:t>
            </w:r>
          </w:p>
          <w:p>
            <w:pPr>
              <w:pStyle w:val="59"/>
              <w:keepNext w:val="0"/>
              <w:keepLines w:val="0"/>
              <w:pageBreakBefore w:val="0"/>
              <w:kinsoku/>
              <w:wordWrap w:val="0"/>
              <w:overflowPunct/>
              <w:topLinePunct w:val="0"/>
              <w:autoSpaceDE/>
              <w:autoSpaceDN/>
              <w:bidi w:val="0"/>
              <w:snapToGrid w:val="0"/>
              <w:spacing w:line="360" w:lineRule="auto"/>
              <w:ind w:firstLine="422" w:firstLineChars="200"/>
              <w:jc w:val="both"/>
              <w:textAlignment w:val="auto"/>
              <w:rPr>
                <w:rFonts w:hint="eastAsia"/>
                <w:color w:val="auto"/>
                <w:sz w:val="21"/>
                <w:szCs w:val="21"/>
                <w:highlight w:val="none"/>
                <w:lang w:val="en-US" w:eastAsia="zh-CN"/>
              </w:rPr>
            </w:pPr>
            <w:r>
              <w:rPr>
                <w:rFonts w:hint="eastAsia"/>
                <w:color w:val="auto"/>
                <w:sz w:val="21"/>
                <w:szCs w:val="21"/>
                <w:highlight w:val="none"/>
                <w:lang w:val="en-US" w:eastAsia="zh-CN"/>
              </w:rPr>
              <w:t>1.6监测要求</w:t>
            </w:r>
          </w:p>
          <w:p>
            <w:pPr>
              <w:pStyle w:val="56"/>
              <w:keepNext w:val="0"/>
              <w:keepLines w:val="0"/>
              <w:pageBreakBefore w:val="0"/>
              <w:kinsoku/>
              <w:wordWrap w:val="0"/>
              <w:overflowPunct/>
              <w:topLinePunct w:val="0"/>
              <w:autoSpaceDE/>
              <w:autoSpaceDN/>
              <w:bidi w:val="0"/>
              <w:snapToGrid w:val="0"/>
              <w:spacing w:line="360" w:lineRule="auto"/>
              <w:jc w:val="both"/>
              <w:textAlignment w:val="auto"/>
              <w:rPr>
                <w:rFonts w:hint="eastAsia"/>
                <w:color w:val="auto"/>
                <w:sz w:val="21"/>
                <w:szCs w:val="21"/>
                <w:highlight w:val="none"/>
                <w:lang w:val="en-US" w:eastAsia="zh-CN"/>
              </w:rPr>
            </w:pPr>
            <w:r>
              <w:rPr>
                <w:rFonts w:hint="default"/>
                <w:color w:val="auto"/>
                <w:sz w:val="21"/>
                <w:szCs w:val="21"/>
                <w:highlight w:val="none"/>
                <w:lang w:val="en-US" w:eastAsia="zh-CN"/>
              </w:rPr>
              <w:t>根据《排污单位自行</w:t>
            </w:r>
            <w:r>
              <w:rPr>
                <w:rFonts w:hint="eastAsia"/>
                <w:color w:val="auto"/>
                <w:sz w:val="21"/>
                <w:szCs w:val="21"/>
                <w:highlight w:val="none"/>
                <w:lang w:val="en-US" w:eastAsia="zh-CN"/>
              </w:rPr>
              <w:t>监</w:t>
            </w:r>
            <w:r>
              <w:rPr>
                <w:rFonts w:hint="default"/>
                <w:color w:val="auto"/>
                <w:sz w:val="21"/>
                <w:szCs w:val="21"/>
                <w:highlight w:val="none"/>
                <w:lang w:val="en-US" w:eastAsia="zh-CN"/>
              </w:rPr>
              <w:t>测技术指南</w:t>
            </w:r>
            <w:r>
              <w:rPr>
                <w:rFonts w:hint="eastAsia"/>
                <w:color w:val="auto"/>
                <w:sz w:val="21"/>
                <w:szCs w:val="21"/>
                <w:highlight w:val="none"/>
                <w:lang w:val="en-US" w:eastAsia="zh-CN"/>
              </w:rPr>
              <w:t xml:space="preserve"> </w:t>
            </w:r>
            <w:r>
              <w:rPr>
                <w:rFonts w:hint="default"/>
                <w:color w:val="auto"/>
                <w:sz w:val="21"/>
                <w:szCs w:val="21"/>
                <w:highlight w:val="none"/>
                <w:lang w:val="en-US" w:eastAsia="zh-CN"/>
              </w:rPr>
              <w:t>总则》（HJ819-2017）</w:t>
            </w:r>
            <w:r>
              <w:rPr>
                <w:rFonts w:hint="eastAsia"/>
                <w:color w:val="auto"/>
                <w:sz w:val="21"/>
                <w:szCs w:val="21"/>
                <w:highlight w:val="none"/>
                <w:lang w:val="en-US" w:eastAsia="zh-CN"/>
              </w:rPr>
              <w:t>、《排污单位自行监测技术指南 酒、饮料制造》（HJ1085-2020）、</w:t>
            </w:r>
            <w:bookmarkStart w:id="8" w:name="OLE_LINK14"/>
            <w:r>
              <w:rPr>
                <w:rFonts w:hint="eastAsia"/>
                <w:color w:val="auto"/>
                <w:sz w:val="21"/>
                <w:szCs w:val="21"/>
                <w:highlight w:val="none"/>
                <w:lang w:val="en-US" w:eastAsia="zh-CN"/>
              </w:rPr>
              <w:t>《</w:t>
            </w:r>
            <w:r>
              <w:rPr>
                <w:rFonts w:hint="default" w:ascii="Times New Roman" w:hAnsi="Times New Roman" w:cs="Times New Roman" w:eastAsiaTheme="minorEastAsia"/>
                <w:color w:val="auto"/>
                <w:sz w:val="21"/>
                <w:szCs w:val="21"/>
                <w:highlight w:val="none"/>
                <w:lang w:val="en-US" w:eastAsia="zh-CN"/>
              </w:rPr>
              <w:t>排污单位自行监测技术指南 橡胶和塑料制品</w:t>
            </w:r>
            <w:bookmarkEnd w:id="8"/>
            <w:r>
              <w:rPr>
                <w:rFonts w:hint="default" w:ascii="Times New Roman" w:hAnsi="Times New Roman" w:cs="Times New Roman" w:eastAsiaTheme="minorEastAsia"/>
                <w:color w:val="auto"/>
                <w:sz w:val="21"/>
                <w:szCs w:val="21"/>
                <w:highlight w:val="none"/>
                <w:lang w:val="en-US" w:eastAsia="zh-CN"/>
              </w:rPr>
              <w:t>》（HJ1207-2021）</w:t>
            </w:r>
            <w:r>
              <w:rPr>
                <w:color w:val="auto"/>
                <w:sz w:val="21"/>
                <w:szCs w:val="21"/>
                <w:highlight w:val="none"/>
              </w:rPr>
              <w:t>及</w:t>
            </w:r>
            <w:r>
              <w:rPr>
                <w:rFonts w:hint="eastAsia"/>
                <w:color w:val="auto"/>
                <w:sz w:val="21"/>
                <w:szCs w:val="21"/>
                <w:highlight w:val="none"/>
              </w:rPr>
              <w:t>《排污单位自行监测技术指南</w:t>
            </w:r>
            <w:r>
              <w:rPr>
                <w:rFonts w:hint="eastAsia"/>
                <w:color w:val="auto"/>
                <w:sz w:val="21"/>
                <w:szCs w:val="21"/>
                <w:highlight w:val="none"/>
                <w:lang w:val="en-US" w:eastAsia="zh-CN"/>
              </w:rPr>
              <w:t xml:space="preserve"> </w:t>
            </w:r>
            <w:r>
              <w:rPr>
                <w:rFonts w:hint="eastAsia"/>
                <w:color w:val="auto"/>
                <w:sz w:val="21"/>
                <w:szCs w:val="21"/>
                <w:highlight w:val="none"/>
              </w:rPr>
              <w:t>火力发电及锅炉》（HJ820-2017）</w:t>
            </w:r>
            <w:r>
              <w:rPr>
                <w:rFonts w:hint="eastAsia"/>
                <w:color w:val="auto"/>
                <w:sz w:val="21"/>
                <w:szCs w:val="21"/>
                <w:highlight w:val="none"/>
                <w:lang w:val="en-US" w:eastAsia="zh-CN"/>
              </w:rPr>
              <w:t>要求，本项目大气监测计划见下表4-4。</w:t>
            </w:r>
          </w:p>
          <w:p>
            <w:pPr>
              <w:pStyle w:val="57"/>
              <w:keepNext w:val="0"/>
              <w:keepLines w:val="0"/>
              <w:pageBreakBefore w:val="0"/>
              <w:kinsoku/>
              <w:overflowPunct/>
              <w:topLinePunct w:val="0"/>
              <w:autoSpaceDE/>
              <w:autoSpaceDN/>
              <w:bidi w:val="0"/>
              <w:spacing w:line="240" w:lineRule="auto"/>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表4-4  本项目废气污染物监测计划一览表</w:t>
            </w:r>
          </w:p>
          <w:tbl>
            <w:tblPr>
              <w:tblStyle w:val="22"/>
              <w:tblW w:w="4998"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73"/>
              <w:gridCol w:w="1809"/>
              <w:gridCol w:w="1511"/>
              <w:gridCol w:w="253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353" w:type="pct"/>
                  <w:noWrap w:val="0"/>
                  <w:vAlign w:val="center"/>
                </w:tcPr>
                <w:p>
                  <w:pPr>
                    <w:pStyle w:val="58"/>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color w:val="auto"/>
                      <w:sz w:val="21"/>
                      <w:szCs w:val="21"/>
                      <w:highlight w:val="none"/>
                      <w:lang w:val="en-US" w:eastAsia="zh-CN"/>
                    </w:rPr>
                  </w:pPr>
                  <w:r>
                    <w:rPr>
                      <w:rFonts w:hint="eastAsia"/>
                      <w:color w:val="auto"/>
                      <w:sz w:val="21"/>
                      <w:szCs w:val="21"/>
                      <w:highlight w:val="none"/>
                      <w:lang w:val="en-US" w:eastAsia="zh-CN"/>
                    </w:rPr>
                    <w:t>监测点位</w:t>
                  </w:r>
                </w:p>
              </w:tc>
              <w:tc>
                <w:tcPr>
                  <w:tcW w:w="1126" w:type="pct"/>
                  <w:noWrap w:val="0"/>
                  <w:vAlign w:val="center"/>
                </w:tcPr>
                <w:p>
                  <w:pPr>
                    <w:pStyle w:val="58"/>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监测因子</w:t>
                  </w:r>
                </w:p>
              </w:tc>
              <w:tc>
                <w:tcPr>
                  <w:tcW w:w="941" w:type="pct"/>
                  <w:noWrap w:val="0"/>
                  <w:vAlign w:val="center"/>
                </w:tcPr>
                <w:p>
                  <w:pPr>
                    <w:pStyle w:val="58"/>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监测频次</w:t>
                  </w:r>
                </w:p>
              </w:tc>
              <w:tc>
                <w:tcPr>
                  <w:tcW w:w="1577" w:type="pct"/>
                  <w:noWrap w:val="0"/>
                  <w:vAlign w:val="center"/>
                </w:tcPr>
                <w:p>
                  <w:pPr>
                    <w:pStyle w:val="58"/>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default"/>
                      <w:color w:val="auto"/>
                      <w:sz w:val="21"/>
                      <w:szCs w:val="21"/>
                      <w:highlight w:val="none"/>
                      <w:lang w:val="en-US" w:eastAsia="zh-CN"/>
                    </w:rPr>
                  </w:pPr>
                  <w:r>
                    <w:rPr>
                      <w:rFonts w:hint="eastAsia"/>
                      <w:color w:val="auto"/>
                      <w:sz w:val="21"/>
                      <w:szCs w:val="21"/>
                      <w:highlight w:val="none"/>
                      <w:lang w:val="en-US" w:eastAsia="zh-CN"/>
                    </w:rPr>
                    <w:t>执行标准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3" w:hRule="atLeast"/>
                <w:jc w:val="center"/>
              </w:trPr>
              <w:tc>
                <w:tcPr>
                  <w:tcW w:w="1353" w:type="pct"/>
                  <w:vMerge w:val="restart"/>
                  <w:noWrap w:val="0"/>
                  <w:vAlign w:val="center"/>
                </w:tcPr>
                <w:p>
                  <w:pPr>
                    <w:pStyle w:val="58"/>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default" w:ascii="Times New Roman" w:hAnsi="Times New Roman" w:eastAsia="宋体" w:cs="宋体"/>
                      <w:color w:val="auto"/>
                      <w:sz w:val="21"/>
                      <w:szCs w:val="21"/>
                      <w:highlight w:val="none"/>
                      <w:lang w:val="en-US" w:eastAsia="zh-CN"/>
                    </w:rPr>
                  </w:pPr>
                  <w:r>
                    <w:rPr>
                      <w:rFonts w:hint="eastAsia" w:cs="宋体"/>
                      <w:color w:val="auto"/>
                      <w:sz w:val="21"/>
                      <w:szCs w:val="21"/>
                      <w:highlight w:val="none"/>
                      <w:lang w:val="en-US" w:eastAsia="zh-CN"/>
                    </w:rPr>
                    <w:t>厂界</w:t>
                  </w:r>
                </w:p>
              </w:tc>
              <w:tc>
                <w:tcPr>
                  <w:tcW w:w="1126" w:type="pct"/>
                  <w:shd w:val="clear" w:color="auto" w:fill="auto"/>
                  <w:noWrap w:val="0"/>
                  <w:vAlign w:val="center"/>
                </w:tcPr>
                <w:p>
                  <w:pPr>
                    <w:pStyle w:val="58"/>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default" w:ascii="Times New Roman" w:hAnsi="Times New Roman" w:eastAsia="宋体" w:cs="宋体"/>
                      <w:color w:val="auto"/>
                      <w:kern w:val="2"/>
                      <w:sz w:val="21"/>
                      <w:szCs w:val="21"/>
                      <w:highlight w:val="none"/>
                      <w:lang w:val="en-US" w:eastAsia="zh-CN" w:bidi="ar-SA"/>
                    </w:rPr>
                  </w:pPr>
                  <w:r>
                    <w:rPr>
                      <w:rFonts w:hint="eastAsia" w:eastAsia="宋体" w:cs="宋体"/>
                      <w:color w:val="auto"/>
                      <w:sz w:val="21"/>
                      <w:szCs w:val="21"/>
                      <w:highlight w:val="none"/>
                      <w:lang w:val="en-US" w:eastAsia="zh-CN"/>
                    </w:rPr>
                    <w:t>非甲烷总烃</w:t>
                  </w:r>
                </w:p>
              </w:tc>
              <w:tc>
                <w:tcPr>
                  <w:tcW w:w="941" w:type="pct"/>
                  <w:shd w:val="clear" w:color="auto" w:fill="auto"/>
                  <w:noWrap w:val="0"/>
                  <w:vAlign w:val="center"/>
                </w:tcPr>
                <w:p>
                  <w:pPr>
                    <w:pStyle w:val="58"/>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Times New Roman" w:hAnsi="Times New Roman" w:eastAsiaTheme="minorEastAsia" w:cstheme="minorEastAsia"/>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vertAlign w:val="baseline"/>
                      <w:lang w:val="en-US" w:eastAsia="zh-CN"/>
                    </w:rPr>
                    <w:t>1次/年</w:t>
                  </w:r>
                </w:p>
              </w:tc>
              <w:tc>
                <w:tcPr>
                  <w:tcW w:w="1577" w:type="pct"/>
                  <w:shd w:val="clear" w:color="auto" w:fill="auto"/>
                  <w:noWrap w:val="0"/>
                  <w:vAlign w:val="center"/>
                </w:tcPr>
                <w:p>
                  <w:pPr>
                    <w:pStyle w:val="58"/>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Times New Roman" w:hAnsi="Times New Roman" w:eastAsia="宋体" w:cs="宋体"/>
                      <w:color w:val="auto"/>
                      <w:kern w:val="2"/>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w:t>
                  </w:r>
                  <w:r>
                    <w:rPr>
                      <w:rFonts w:hint="default" w:ascii="Times New Roman" w:hAnsi="Times New Roman" w:cs="Times New Roman" w:eastAsiaTheme="minorEastAsia"/>
                      <w:color w:val="auto"/>
                      <w:kern w:val="0"/>
                      <w:sz w:val="21"/>
                      <w:szCs w:val="21"/>
                      <w:highlight w:val="none"/>
                      <w:vertAlign w:val="baseline"/>
                      <w:lang w:val="en-US" w:eastAsia="zh-CN" w:bidi="ar-SA"/>
                    </w:rPr>
                    <w:t>合成树脂工业污染物排放标准》（GB 31572-2015，含2024年修改单）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03" w:hRule="atLeast"/>
                <w:jc w:val="center"/>
              </w:trPr>
              <w:tc>
                <w:tcPr>
                  <w:tcW w:w="1353" w:type="pct"/>
                  <w:vMerge w:val="continue"/>
                  <w:noWrap w:val="0"/>
                  <w:vAlign w:val="center"/>
                </w:tcPr>
                <w:p>
                  <w:pPr>
                    <w:pStyle w:val="58"/>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color w:val="auto"/>
                    </w:rPr>
                  </w:pPr>
                </w:p>
              </w:tc>
              <w:tc>
                <w:tcPr>
                  <w:tcW w:w="1126" w:type="pct"/>
                  <w:shd w:val="clear" w:color="auto" w:fill="auto"/>
                  <w:noWrap w:val="0"/>
                  <w:vAlign w:val="center"/>
                </w:tcPr>
                <w:p>
                  <w:pPr>
                    <w:pStyle w:val="58"/>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eastAsia="宋体" w:cs="宋体"/>
                      <w:color w:val="auto"/>
                      <w:sz w:val="21"/>
                      <w:szCs w:val="21"/>
                      <w:highlight w:val="none"/>
                      <w:lang w:val="en-US" w:eastAsia="zh-CN"/>
                    </w:rPr>
                  </w:pPr>
                  <w:r>
                    <w:rPr>
                      <w:rFonts w:hint="eastAsia" w:eastAsia="宋体" w:cs="宋体"/>
                      <w:color w:val="auto"/>
                      <w:sz w:val="21"/>
                      <w:szCs w:val="21"/>
                      <w:highlight w:val="none"/>
                      <w:lang w:val="en-US" w:eastAsia="zh-CN"/>
                    </w:rPr>
                    <w:t>臭气浓度</w:t>
                  </w:r>
                </w:p>
              </w:tc>
              <w:tc>
                <w:tcPr>
                  <w:tcW w:w="941" w:type="pct"/>
                  <w:shd w:val="clear" w:color="auto" w:fill="auto"/>
                  <w:noWrap w:val="0"/>
                  <w:vAlign w:val="center"/>
                </w:tcPr>
                <w:p>
                  <w:pPr>
                    <w:pStyle w:val="58"/>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eastAsia="宋体" w:cs="宋体"/>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vertAlign w:val="baseline"/>
                      <w:lang w:val="en-US" w:eastAsia="zh-CN"/>
                    </w:rPr>
                    <w:t>1次/年</w:t>
                  </w:r>
                </w:p>
              </w:tc>
              <w:tc>
                <w:tcPr>
                  <w:tcW w:w="1577" w:type="pct"/>
                  <w:shd w:val="clear" w:color="auto" w:fill="auto"/>
                  <w:noWrap w:val="0"/>
                  <w:vAlign w:val="center"/>
                </w:tcPr>
                <w:p>
                  <w:pPr>
                    <w:pStyle w:val="58"/>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eastAsia="宋体" w:cs="宋体"/>
                      <w:color w:val="auto"/>
                      <w:sz w:val="21"/>
                      <w:szCs w:val="21"/>
                      <w:highlight w:val="none"/>
                      <w:lang w:val="en-US" w:eastAsia="zh-CN"/>
                    </w:rPr>
                  </w:pPr>
                  <w:r>
                    <w:rPr>
                      <w:rFonts w:hint="default" w:ascii="Times New Roman" w:hAnsi="Times New Roman" w:eastAsia="宋体" w:cs="Times New Roman"/>
                      <w:color w:val="auto"/>
                      <w:sz w:val="21"/>
                      <w:szCs w:val="21"/>
                      <w:highlight w:val="none"/>
                      <w:lang w:eastAsia="zh-CN"/>
                    </w:rPr>
                    <w:t>《</w:t>
                  </w:r>
                  <w:r>
                    <w:rPr>
                      <w:rFonts w:hint="default" w:ascii="Times New Roman" w:hAnsi="Times New Roman" w:cs="Times New Roman"/>
                      <w:color w:val="auto"/>
                      <w:sz w:val="21"/>
                      <w:szCs w:val="21"/>
                      <w:highlight w:val="none"/>
                      <w:lang w:val="en-US" w:eastAsia="zh-CN"/>
                    </w:rPr>
                    <w:t>恶臭污染物排放标准</w:t>
                  </w:r>
                  <w:r>
                    <w:rPr>
                      <w:rFonts w:hint="default" w:ascii="Times New Roman" w:hAnsi="Times New Roman" w:eastAsia="宋体" w:cs="Times New Roman"/>
                      <w:color w:val="auto"/>
                      <w:sz w:val="21"/>
                      <w:szCs w:val="21"/>
                      <w:highlight w:val="none"/>
                      <w:lang w:eastAsia="zh-CN"/>
                    </w:rPr>
                    <w:t>》（GB</w:t>
                  </w:r>
                  <w:r>
                    <w:rPr>
                      <w:rFonts w:hint="default" w:ascii="Times New Roman" w:hAnsi="Times New Roman" w:cs="Times New Roman"/>
                      <w:color w:val="auto"/>
                      <w:sz w:val="21"/>
                      <w:szCs w:val="21"/>
                      <w:highlight w:val="none"/>
                      <w:lang w:val="en-US" w:eastAsia="zh-CN"/>
                    </w:rPr>
                    <w:t>14554</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cs="Times New Roman"/>
                      <w:color w:val="auto"/>
                      <w:sz w:val="21"/>
                      <w:szCs w:val="21"/>
                      <w:highlight w:val="none"/>
                      <w:lang w:val="en-US" w:eastAsia="zh-CN"/>
                    </w:rPr>
                    <w:t>93</w:t>
                  </w:r>
                  <w:r>
                    <w:rPr>
                      <w:rFonts w:hint="default" w:ascii="Times New Roman" w:hAnsi="Times New Roman" w:eastAsia="宋体" w:cs="Times New Roman"/>
                      <w:color w:val="auto"/>
                      <w:sz w:val="21"/>
                      <w:szCs w:val="21"/>
                      <w:highlight w:val="none"/>
                      <w:lang w:eastAsia="zh-CN"/>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53" w:type="pct"/>
                  <w:noWrap w:val="0"/>
                  <w:vAlign w:val="center"/>
                </w:tcPr>
                <w:p>
                  <w:pPr>
                    <w:pStyle w:val="58"/>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default" w:cs="宋体"/>
                      <w:color w:val="auto"/>
                      <w:sz w:val="21"/>
                      <w:szCs w:val="21"/>
                      <w:highlight w:val="none"/>
                      <w:lang w:val="en-US" w:eastAsia="zh-CN"/>
                    </w:rPr>
                  </w:pPr>
                  <w:r>
                    <w:rPr>
                      <w:rFonts w:hint="eastAsia" w:cs="宋体"/>
                      <w:color w:val="auto"/>
                      <w:sz w:val="21"/>
                      <w:szCs w:val="21"/>
                      <w:highlight w:val="none"/>
                      <w:lang w:val="en-US" w:eastAsia="zh-CN"/>
                    </w:rPr>
                    <w:t>厂内</w:t>
                  </w:r>
                </w:p>
              </w:tc>
              <w:tc>
                <w:tcPr>
                  <w:tcW w:w="1126" w:type="pct"/>
                  <w:shd w:val="clear" w:color="auto" w:fill="auto"/>
                  <w:noWrap w:val="0"/>
                  <w:vAlign w:val="center"/>
                </w:tcPr>
                <w:p>
                  <w:pPr>
                    <w:pStyle w:val="58"/>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Times New Roman" w:hAnsi="Times New Roman" w:eastAsia="宋体" w:cs="宋体"/>
                      <w:color w:val="auto"/>
                      <w:kern w:val="2"/>
                      <w:sz w:val="21"/>
                      <w:szCs w:val="21"/>
                      <w:highlight w:val="none"/>
                      <w:lang w:val="en-US" w:eastAsia="zh-CN" w:bidi="ar-SA"/>
                    </w:rPr>
                  </w:pPr>
                  <w:r>
                    <w:rPr>
                      <w:rFonts w:hint="eastAsia" w:eastAsia="宋体" w:cs="宋体"/>
                      <w:color w:val="auto"/>
                      <w:sz w:val="21"/>
                      <w:szCs w:val="21"/>
                      <w:highlight w:val="none"/>
                      <w:lang w:val="en-US" w:eastAsia="zh-CN"/>
                    </w:rPr>
                    <w:t>非甲烷总烃</w:t>
                  </w:r>
                </w:p>
              </w:tc>
              <w:tc>
                <w:tcPr>
                  <w:tcW w:w="941" w:type="pct"/>
                  <w:shd w:val="clear" w:color="auto" w:fill="auto"/>
                  <w:noWrap w:val="0"/>
                  <w:vAlign w:val="center"/>
                </w:tcPr>
                <w:p>
                  <w:pPr>
                    <w:pStyle w:val="58"/>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vertAlign w:val="baseline"/>
                      <w:lang w:val="en-US" w:eastAsia="zh-CN"/>
                    </w:rPr>
                    <w:t>1次/年</w:t>
                  </w:r>
                </w:p>
              </w:tc>
              <w:tc>
                <w:tcPr>
                  <w:tcW w:w="1577" w:type="pct"/>
                  <w:shd w:val="clear" w:color="auto" w:fill="auto"/>
                  <w:noWrap w:val="0"/>
                  <w:vAlign w:val="center"/>
                </w:tcPr>
                <w:p>
                  <w:pPr>
                    <w:pStyle w:val="58"/>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Times New Roman" w:hAnsi="Times New Roman" w:eastAsia="宋体" w:cs="宋体"/>
                      <w:color w:val="auto"/>
                      <w:sz w:val="21"/>
                      <w:szCs w:val="21"/>
                      <w:highlight w:val="none"/>
                      <w:lang w:val="en-US" w:eastAsia="zh-CN"/>
                    </w:rPr>
                  </w:pPr>
                  <w:r>
                    <w:rPr>
                      <w:rFonts w:hint="default" w:ascii="Times New Roman" w:hAnsi="Times New Roman" w:cs="Times New Roman" w:eastAsiaTheme="minorEastAsia"/>
                      <w:color w:val="auto"/>
                      <w:kern w:val="0"/>
                      <w:sz w:val="21"/>
                      <w:szCs w:val="21"/>
                      <w:highlight w:val="none"/>
                      <w:vertAlign w:val="baseline"/>
                      <w:lang w:val="en-US" w:eastAsia="zh-CN" w:bidi="ar-SA"/>
                    </w:rPr>
                    <w:t>《挥发性有机物无组织排放控制标准》（GB37822-2019）</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1353" w:type="pct"/>
                  <w:vMerge w:val="restart"/>
                  <w:noWrap w:val="0"/>
                  <w:vAlign w:val="center"/>
                </w:tcPr>
                <w:p>
                  <w:pPr>
                    <w:pStyle w:val="58"/>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eastAsia="宋体" w:cs="宋体"/>
                      <w:color w:val="auto"/>
                      <w:sz w:val="21"/>
                      <w:szCs w:val="21"/>
                      <w:highlight w:val="none"/>
                      <w:lang w:val="en-US" w:eastAsia="zh-CN"/>
                    </w:rPr>
                  </w:pPr>
                  <w:r>
                    <w:rPr>
                      <w:rFonts w:hint="eastAsia" w:eastAsia="宋体" w:cs="宋体"/>
                      <w:color w:val="auto"/>
                      <w:sz w:val="21"/>
                      <w:szCs w:val="21"/>
                      <w:highlight w:val="none"/>
                      <w:lang w:val="en-US" w:eastAsia="zh-CN"/>
                    </w:rPr>
                    <w:t>锅炉排气筒</w:t>
                  </w:r>
                </w:p>
                <w:p>
                  <w:pPr>
                    <w:pStyle w:val="58"/>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default" w:eastAsia="宋体" w:cs="宋体"/>
                      <w:color w:val="auto"/>
                      <w:sz w:val="21"/>
                      <w:szCs w:val="21"/>
                      <w:highlight w:val="none"/>
                      <w:lang w:val="en-US" w:eastAsia="zh-CN"/>
                    </w:rPr>
                  </w:pPr>
                  <w:r>
                    <w:rPr>
                      <w:rFonts w:hint="eastAsia" w:eastAsia="宋体" w:cs="宋体"/>
                      <w:color w:val="auto"/>
                      <w:sz w:val="21"/>
                      <w:szCs w:val="21"/>
                      <w:highlight w:val="none"/>
                      <w:lang w:val="en-US" w:eastAsia="zh-CN"/>
                    </w:rPr>
                    <w:t>DA001</w:t>
                  </w:r>
                </w:p>
              </w:tc>
              <w:tc>
                <w:tcPr>
                  <w:tcW w:w="1126" w:type="pct"/>
                  <w:shd w:val="clear" w:color="auto" w:fill="auto"/>
                  <w:noWrap w:val="0"/>
                  <w:vAlign w:val="center"/>
                </w:tcPr>
                <w:p>
                  <w:pPr>
                    <w:pStyle w:val="58"/>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default" w:ascii="Times New Roman" w:hAnsi="Times New Roman" w:eastAsia="宋体" w:cs="宋体"/>
                      <w:color w:val="auto"/>
                      <w:kern w:val="2"/>
                      <w:sz w:val="21"/>
                      <w:szCs w:val="21"/>
                      <w:highlight w:val="none"/>
                      <w:lang w:val="en-US" w:eastAsia="zh-CN" w:bidi="ar-SA"/>
                    </w:rPr>
                  </w:pPr>
                  <w:r>
                    <w:rPr>
                      <w:rFonts w:hint="default" w:ascii="Times New Roman" w:hAnsi="Times New Roman" w:cs="Times New Roman"/>
                      <w:color w:val="auto"/>
                      <w:sz w:val="21"/>
                      <w:szCs w:val="21"/>
                      <w:highlight w:val="none"/>
                    </w:rPr>
                    <w:t>颗粒物</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lang w:val="en-US" w:eastAsia="zh-CN"/>
                    </w:rPr>
                    <w:t>SO</w:t>
                  </w:r>
                  <w:r>
                    <w:rPr>
                      <w:rFonts w:hint="default" w:ascii="Times New Roman" w:hAnsi="Times New Roman" w:cs="Times New Roman"/>
                      <w:color w:val="auto"/>
                      <w:sz w:val="21"/>
                      <w:szCs w:val="21"/>
                      <w:highlight w:val="none"/>
                      <w:vertAlign w:val="subscript"/>
                      <w:lang w:val="en-US" w:eastAsia="zh-CN"/>
                    </w:rPr>
                    <w:t>2</w:t>
                  </w:r>
                  <w:r>
                    <w:rPr>
                      <w:rFonts w:hint="default" w:ascii="Times New Roman" w:hAnsi="Times New Roman" w:cs="Times New Roman"/>
                      <w:color w:val="auto"/>
                      <w:sz w:val="21"/>
                      <w:szCs w:val="21"/>
                      <w:highlight w:val="none"/>
                      <w:vertAlign w:val="baseline"/>
                      <w:lang w:val="en-US" w:eastAsia="zh-CN"/>
                    </w:rPr>
                    <w:t>、</w:t>
                  </w:r>
                  <w:r>
                    <w:rPr>
                      <w:rFonts w:hint="default" w:ascii="Times New Roman" w:hAnsi="Times New Roman" w:cs="Times New Roman"/>
                      <w:color w:val="auto"/>
                      <w:sz w:val="21"/>
                      <w:szCs w:val="21"/>
                      <w:highlight w:val="none"/>
                      <w:lang w:val="en-US" w:eastAsia="zh-CN"/>
                    </w:rPr>
                    <w:t>林格曼黑度</w:t>
                  </w:r>
                </w:p>
              </w:tc>
              <w:tc>
                <w:tcPr>
                  <w:tcW w:w="941" w:type="pct"/>
                  <w:shd w:val="clear" w:color="auto" w:fill="auto"/>
                  <w:noWrap w:val="0"/>
                  <w:vAlign w:val="center"/>
                </w:tcPr>
                <w:p>
                  <w:pPr>
                    <w:pStyle w:val="58"/>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default" w:ascii="Times New Roman" w:hAnsi="Times New Roman" w:eastAsia="宋体" w:cs="宋体"/>
                      <w:color w:val="auto"/>
                      <w:kern w:val="2"/>
                      <w:sz w:val="21"/>
                      <w:szCs w:val="21"/>
                      <w:highlight w:val="none"/>
                      <w:lang w:val="en-US" w:eastAsia="zh-CN" w:bidi="ar-SA"/>
                    </w:rPr>
                  </w:pPr>
                  <w:r>
                    <w:rPr>
                      <w:rFonts w:hint="eastAsia"/>
                      <w:color w:val="auto"/>
                      <w:sz w:val="21"/>
                      <w:szCs w:val="21"/>
                      <w:highlight w:val="none"/>
                      <w:lang w:val="en-US" w:eastAsia="zh-CN"/>
                    </w:rPr>
                    <w:t>1次/年</w:t>
                  </w:r>
                </w:p>
              </w:tc>
              <w:tc>
                <w:tcPr>
                  <w:tcW w:w="1577" w:type="pct"/>
                  <w:vMerge w:val="restart"/>
                  <w:shd w:val="clear" w:color="auto" w:fill="auto"/>
                  <w:noWrap w:val="0"/>
                  <w:vAlign w:val="center"/>
                </w:tcPr>
                <w:p>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default" w:ascii="Times New Roman" w:hAnsi="Times New Roman" w:eastAsia="宋体" w:cs="宋体"/>
                      <w:color w:val="auto"/>
                      <w:kern w:val="2"/>
                      <w:sz w:val="21"/>
                      <w:szCs w:val="21"/>
                      <w:highlight w:val="none"/>
                      <w:lang w:val="en-US" w:eastAsia="zh-CN" w:bidi="ar-SA"/>
                    </w:rPr>
                  </w:pPr>
                  <w:r>
                    <w:rPr>
                      <w:rFonts w:hint="eastAsia"/>
                      <w:color w:val="auto"/>
                      <w:sz w:val="21"/>
                      <w:szCs w:val="21"/>
                      <w:highlight w:val="none"/>
                    </w:rPr>
                    <w:t>《锅炉大气污染物排放标准》（GB13271-2014）</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06" w:hRule="atLeast"/>
                <w:jc w:val="center"/>
              </w:trPr>
              <w:tc>
                <w:tcPr>
                  <w:tcW w:w="1353" w:type="pct"/>
                  <w:vMerge w:val="continue"/>
                  <w:noWrap w:val="0"/>
                  <w:vAlign w:val="center"/>
                </w:tcPr>
                <w:p>
                  <w:pPr>
                    <w:pStyle w:val="58"/>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Times New Roman" w:hAnsi="Times New Roman" w:eastAsia="宋体" w:cs="宋体"/>
                      <w:color w:val="auto"/>
                      <w:sz w:val="21"/>
                      <w:szCs w:val="21"/>
                      <w:highlight w:val="none"/>
                      <w:lang w:val="en-US" w:eastAsia="zh-CN"/>
                    </w:rPr>
                  </w:pPr>
                </w:p>
              </w:tc>
              <w:tc>
                <w:tcPr>
                  <w:tcW w:w="1126" w:type="pct"/>
                  <w:shd w:val="clear" w:color="auto" w:fill="auto"/>
                  <w:noWrap w:val="0"/>
                  <w:vAlign w:val="center"/>
                </w:tcPr>
                <w:p>
                  <w:pPr>
                    <w:pStyle w:val="58"/>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Times New Roman" w:hAnsi="Times New Roman" w:eastAsia="宋体" w:cs="宋体"/>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NO</w:t>
                  </w:r>
                  <w:r>
                    <w:rPr>
                      <w:rFonts w:hint="default" w:ascii="Times New Roman" w:hAnsi="Times New Roman" w:cs="Times New Roman"/>
                      <w:color w:val="auto"/>
                      <w:sz w:val="21"/>
                      <w:szCs w:val="21"/>
                      <w:highlight w:val="none"/>
                      <w:vertAlign w:val="subscript"/>
                      <w:lang w:val="en-US" w:eastAsia="zh-CN"/>
                    </w:rPr>
                    <w:t>x</w:t>
                  </w:r>
                </w:p>
              </w:tc>
              <w:tc>
                <w:tcPr>
                  <w:tcW w:w="941" w:type="pct"/>
                  <w:shd w:val="clear" w:color="auto" w:fill="auto"/>
                  <w:noWrap w:val="0"/>
                  <w:vAlign w:val="center"/>
                </w:tcPr>
                <w:p>
                  <w:pPr>
                    <w:pStyle w:val="58"/>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color w:val="auto"/>
                      <w:sz w:val="21"/>
                      <w:szCs w:val="21"/>
                      <w:highlight w:val="none"/>
                      <w:lang w:val="en-US" w:eastAsia="zh-CN"/>
                    </w:rPr>
                  </w:pPr>
                  <w:r>
                    <w:rPr>
                      <w:rFonts w:hint="default" w:ascii="Times New Roman" w:hAnsi="Times New Roman" w:cs="Times New Roman"/>
                      <w:color w:val="auto"/>
                      <w:sz w:val="21"/>
                      <w:szCs w:val="21"/>
                      <w:highlight w:val="none"/>
                    </w:rPr>
                    <w:t>1次/</w:t>
                  </w:r>
                  <w:r>
                    <w:rPr>
                      <w:rFonts w:hint="default" w:ascii="Times New Roman" w:hAnsi="Times New Roman" w:cs="Times New Roman"/>
                      <w:color w:val="auto"/>
                      <w:sz w:val="21"/>
                      <w:szCs w:val="21"/>
                      <w:highlight w:val="none"/>
                      <w:lang w:eastAsia="zh-CN"/>
                    </w:rPr>
                    <w:t>月</w:t>
                  </w:r>
                </w:p>
              </w:tc>
              <w:tc>
                <w:tcPr>
                  <w:tcW w:w="1577" w:type="pct"/>
                  <w:vMerge w:val="continue"/>
                  <w:shd w:val="clear" w:color="auto" w:fill="auto"/>
                  <w:noWrap w:val="0"/>
                  <w:vAlign w:val="center"/>
                </w:tcPr>
                <w:p>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Times New Roman" w:hAnsi="Times New Roman" w:eastAsia="宋体" w:cs="宋体"/>
                      <w:color w:val="auto"/>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06" w:hRule="atLeast"/>
                <w:jc w:val="center"/>
              </w:trPr>
              <w:tc>
                <w:tcPr>
                  <w:tcW w:w="1353" w:type="pct"/>
                  <w:shd w:val="clear" w:color="auto" w:fill="auto"/>
                  <w:noWrap w:val="0"/>
                  <w:vAlign w:val="center"/>
                </w:tcPr>
                <w:p>
                  <w:pPr>
                    <w:pStyle w:val="48"/>
                    <w:bidi w:val="0"/>
                    <w:spacing w:line="240" w:lineRule="auto"/>
                    <w:jc w:val="center"/>
                    <w:rPr>
                      <w:rFonts w:hint="eastAsia" w:ascii="Times New Roman" w:cs="Times New Roman"/>
                      <w:color w:val="auto"/>
                      <w:kern w:val="0"/>
                      <w:sz w:val="21"/>
                      <w:szCs w:val="21"/>
                      <w:highlight w:val="none"/>
                      <w:lang w:val="en-US" w:eastAsia="zh-CN" w:bidi="ar-SA"/>
                    </w:rPr>
                  </w:pPr>
                  <w:r>
                    <w:rPr>
                      <w:rFonts w:hint="eastAsia" w:ascii="Times New Roman" w:cs="Times New Roman"/>
                      <w:color w:val="auto"/>
                      <w:kern w:val="0"/>
                      <w:sz w:val="21"/>
                      <w:szCs w:val="21"/>
                      <w:highlight w:val="none"/>
                      <w:lang w:val="en-US" w:eastAsia="zh-CN" w:bidi="ar-SA"/>
                    </w:rPr>
                    <w:t>瓶胚预热废气排气筒</w:t>
                  </w:r>
                </w:p>
                <w:p>
                  <w:pPr>
                    <w:spacing w:line="240" w:lineRule="auto"/>
                    <w:jc w:val="center"/>
                    <w:rPr>
                      <w:rFonts w:hint="default"/>
                      <w:color w:val="auto"/>
                      <w:sz w:val="21"/>
                      <w:szCs w:val="21"/>
                      <w:highlight w:val="none"/>
                      <w:lang w:val="en-US" w:eastAsia="zh-CN"/>
                    </w:rPr>
                  </w:pPr>
                  <w:r>
                    <w:rPr>
                      <w:rFonts w:hint="eastAsia"/>
                      <w:color w:val="auto"/>
                      <w:sz w:val="21"/>
                      <w:szCs w:val="21"/>
                      <w:highlight w:val="none"/>
                      <w:lang w:val="en-US" w:eastAsia="zh-CN"/>
                    </w:rPr>
                    <w:t>DA002</w:t>
                  </w:r>
                </w:p>
              </w:tc>
              <w:tc>
                <w:tcPr>
                  <w:tcW w:w="1126" w:type="pct"/>
                  <w:vMerge w:val="restart"/>
                  <w:shd w:val="clear" w:color="auto" w:fill="auto"/>
                  <w:noWrap w:val="0"/>
                  <w:vAlign w:val="center"/>
                </w:tcPr>
                <w:p>
                  <w:pPr>
                    <w:pStyle w:val="58"/>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非甲烷总烃</w:t>
                  </w:r>
                </w:p>
              </w:tc>
              <w:tc>
                <w:tcPr>
                  <w:tcW w:w="941" w:type="pct"/>
                  <w:vMerge w:val="restart"/>
                  <w:shd w:val="clear" w:color="auto" w:fill="auto"/>
                  <w:noWrap w:val="0"/>
                  <w:vAlign w:val="center"/>
                </w:tcPr>
                <w:p>
                  <w:pPr>
                    <w:pStyle w:val="58"/>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rPr>
                  </w:pPr>
                  <w:r>
                    <w:rPr>
                      <w:rFonts w:hint="default" w:ascii="Times New Roman" w:hAnsi="Times New Roman" w:cs="Times New Roman" w:eastAsiaTheme="minorEastAsia"/>
                      <w:color w:val="auto"/>
                      <w:sz w:val="21"/>
                      <w:szCs w:val="21"/>
                      <w:highlight w:val="none"/>
                      <w:vertAlign w:val="baseline"/>
                      <w:lang w:val="en-US" w:eastAsia="zh-CN"/>
                    </w:rPr>
                    <w:t>1次/年</w:t>
                  </w:r>
                </w:p>
              </w:tc>
              <w:tc>
                <w:tcPr>
                  <w:tcW w:w="1577" w:type="pct"/>
                  <w:vMerge w:val="restart"/>
                  <w:shd w:val="clear" w:color="auto" w:fill="auto"/>
                  <w:noWrap w:val="0"/>
                  <w:vAlign w:val="center"/>
                </w:tcPr>
                <w:p>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Times New Roman" w:hAnsi="Times New Roman" w:eastAsia="宋体" w:cs="宋体"/>
                      <w:color w:val="auto"/>
                      <w:sz w:val="21"/>
                      <w:szCs w:val="21"/>
                      <w:highlight w:val="none"/>
                      <w:lang w:val="en-US" w:eastAsia="zh-CN"/>
                    </w:rPr>
                  </w:pPr>
                  <w:r>
                    <w:rPr>
                      <w:rFonts w:hint="default" w:ascii="Times New Roman" w:hAnsi="Times New Roman" w:cs="Times New Roman" w:eastAsiaTheme="minorEastAsia"/>
                      <w:color w:val="auto"/>
                      <w:sz w:val="21"/>
                      <w:szCs w:val="21"/>
                      <w:highlight w:val="none"/>
                      <w:lang w:val="en-US" w:eastAsia="zh-CN"/>
                    </w:rPr>
                    <w:t>《</w:t>
                  </w:r>
                  <w:r>
                    <w:rPr>
                      <w:rFonts w:hint="default" w:ascii="Times New Roman" w:hAnsi="Times New Roman" w:cs="Times New Roman" w:eastAsiaTheme="minorEastAsia"/>
                      <w:color w:val="auto"/>
                      <w:kern w:val="0"/>
                      <w:sz w:val="21"/>
                      <w:szCs w:val="21"/>
                      <w:highlight w:val="none"/>
                      <w:vertAlign w:val="baseline"/>
                      <w:lang w:val="en-US" w:eastAsia="zh-CN" w:bidi="ar-SA"/>
                    </w:rPr>
                    <w:t>合成树脂工业污染物排放标准》（GB 31572-2015，含2024年修改单）</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06" w:hRule="atLeast"/>
                <w:jc w:val="center"/>
              </w:trPr>
              <w:tc>
                <w:tcPr>
                  <w:tcW w:w="1353" w:type="pct"/>
                  <w:shd w:val="clear" w:color="auto" w:fill="auto"/>
                  <w:noWrap w:val="0"/>
                  <w:vAlign w:val="center"/>
                </w:tcPr>
                <w:p>
                  <w:pPr>
                    <w:pStyle w:val="48"/>
                    <w:bidi w:val="0"/>
                    <w:spacing w:line="240" w:lineRule="auto"/>
                    <w:rPr>
                      <w:rFonts w:hint="default" w:ascii="Times New Roman" w:hAnsi="Times New Roman" w:eastAsia="宋体" w:cs="Times New Roman"/>
                      <w:color w:val="auto"/>
                      <w:kern w:val="0"/>
                      <w:sz w:val="21"/>
                      <w:szCs w:val="21"/>
                      <w:highlight w:val="none"/>
                      <w:lang w:val="en-US" w:eastAsia="zh-CN" w:bidi="ar-SA"/>
                    </w:rPr>
                  </w:pPr>
                  <w:r>
                    <w:rPr>
                      <w:rFonts w:hint="eastAsia" w:ascii="Times New Roman" w:cs="Times New Roman"/>
                      <w:color w:val="auto"/>
                      <w:kern w:val="0"/>
                      <w:sz w:val="21"/>
                      <w:szCs w:val="21"/>
                      <w:highlight w:val="none"/>
                      <w:lang w:val="en-US" w:eastAsia="zh-CN" w:bidi="ar-SA"/>
                    </w:rPr>
                    <w:t>包装缩膜废气排气筒DA003</w:t>
                  </w:r>
                </w:p>
              </w:tc>
              <w:tc>
                <w:tcPr>
                  <w:tcW w:w="1126" w:type="pct"/>
                  <w:vMerge w:val="continue"/>
                  <w:shd w:val="clear" w:color="auto" w:fill="auto"/>
                  <w:noWrap w:val="0"/>
                  <w:vAlign w:val="center"/>
                </w:tcPr>
                <w:p>
                  <w:pPr>
                    <w:pStyle w:val="58"/>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lang w:val="en-US" w:eastAsia="zh-CN"/>
                    </w:rPr>
                  </w:pPr>
                </w:p>
              </w:tc>
              <w:tc>
                <w:tcPr>
                  <w:tcW w:w="941" w:type="pct"/>
                  <w:vMerge w:val="continue"/>
                  <w:shd w:val="clear" w:color="auto" w:fill="auto"/>
                  <w:noWrap w:val="0"/>
                  <w:vAlign w:val="center"/>
                </w:tcPr>
                <w:p>
                  <w:pPr>
                    <w:pStyle w:val="58"/>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default" w:ascii="Times New Roman" w:hAnsi="Times New Roman" w:cs="Times New Roman"/>
                      <w:color w:val="auto"/>
                      <w:sz w:val="21"/>
                      <w:szCs w:val="21"/>
                      <w:highlight w:val="none"/>
                    </w:rPr>
                  </w:pPr>
                </w:p>
              </w:tc>
              <w:tc>
                <w:tcPr>
                  <w:tcW w:w="1577" w:type="pct"/>
                  <w:vMerge w:val="continue"/>
                  <w:shd w:val="clear" w:color="auto" w:fill="auto"/>
                  <w:noWrap w:val="0"/>
                  <w:vAlign w:val="center"/>
                </w:tcPr>
                <w:p>
                  <w:pPr>
                    <w:keepNext w:val="0"/>
                    <w:keepLines w:val="0"/>
                    <w:pageBreakBefore w:val="0"/>
                    <w:widowControl w:val="0"/>
                    <w:kinsoku/>
                    <w:wordWrap w:val="0"/>
                    <w:overflowPunct/>
                    <w:topLinePunct w:val="0"/>
                    <w:autoSpaceDE/>
                    <w:autoSpaceDN/>
                    <w:bidi w:val="0"/>
                    <w:adjustRightInd w:val="0"/>
                    <w:snapToGrid w:val="0"/>
                    <w:spacing w:line="240" w:lineRule="auto"/>
                    <w:jc w:val="center"/>
                    <w:textAlignment w:val="auto"/>
                    <w:rPr>
                      <w:rFonts w:hint="eastAsia" w:ascii="Times New Roman" w:hAnsi="Times New Roman" w:eastAsia="宋体" w:cs="宋体"/>
                      <w:color w:val="auto"/>
                      <w:sz w:val="21"/>
                      <w:szCs w:val="21"/>
                      <w:highlight w:val="none"/>
                      <w:lang w:val="en-US" w:eastAsia="zh-CN"/>
                    </w:rPr>
                  </w:pPr>
                </w:p>
              </w:tc>
            </w:tr>
          </w:tbl>
          <w:p>
            <w:pPr>
              <w:keepNext w:val="0"/>
              <w:keepLines w:val="0"/>
              <w:pageBreakBefore w:val="0"/>
              <w:widowControl/>
              <w:suppressLineNumbers w:val="0"/>
              <w:kinsoku/>
              <w:wordWrap/>
              <w:overflowPunct/>
              <w:topLinePunct w:val="0"/>
              <w:autoSpaceDE/>
              <w:autoSpaceDN/>
              <w:bidi w:val="0"/>
              <w:adjustRightInd/>
              <w:snapToGrid/>
              <w:spacing w:line="360" w:lineRule="auto"/>
              <w:ind w:left="0" w:leftChars="0"/>
              <w:jc w:val="left"/>
              <w:textAlignment w:val="auto"/>
              <w:rPr>
                <w:rFonts w:hint="default" w:ascii="Times New Roman" w:hAnsi="Times New Roman" w:cs="Times New Roman"/>
                <w:b/>
                <w:bCs/>
                <w:color w:val="auto"/>
                <w:sz w:val="21"/>
                <w:szCs w:val="21"/>
                <w:highlight w:val="none"/>
              </w:rPr>
            </w:pPr>
            <w:r>
              <w:rPr>
                <w:rFonts w:hint="default" w:ascii="Times New Roman" w:hAnsi="Times New Roman" w:eastAsia="宋体" w:cs="Times New Roman"/>
                <w:b/>
                <w:bCs/>
                <w:color w:val="auto"/>
                <w:kern w:val="0"/>
                <w:sz w:val="21"/>
                <w:szCs w:val="21"/>
                <w:highlight w:val="none"/>
                <w:lang w:val="en-US" w:eastAsia="zh-CN" w:bidi="ar"/>
              </w:rPr>
              <w:t>2废水</w:t>
            </w:r>
            <w:r>
              <w:rPr>
                <w:rFonts w:hint="eastAsia" w:cs="Times New Roman"/>
                <w:b/>
                <w:bCs/>
                <w:color w:val="auto"/>
                <w:kern w:val="0"/>
                <w:sz w:val="21"/>
                <w:szCs w:val="21"/>
                <w:highlight w:val="none"/>
                <w:lang w:val="en-US" w:eastAsia="zh-CN" w:bidi="ar"/>
              </w:rPr>
              <w:t>环境影响和保护措施</w:t>
            </w:r>
          </w:p>
          <w:p>
            <w:pPr>
              <w:keepNext w:val="0"/>
              <w:keepLines w:val="0"/>
              <w:pageBreakBefore w:val="0"/>
              <w:widowControl w:val="0"/>
              <w:kinsoku/>
              <w:wordWrap/>
              <w:overflowPunct/>
              <w:topLinePunct w:val="0"/>
              <w:autoSpaceDE/>
              <w:autoSpaceDN/>
              <w:bidi w:val="0"/>
              <w:adjustRightInd/>
              <w:snapToGrid/>
              <w:spacing w:line="360" w:lineRule="auto"/>
              <w:ind w:left="0" w:leftChars="0" w:firstLine="422" w:firstLineChars="200"/>
              <w:textAlignment w:val="auto"/>
              <w:rPr>
                <w:b/>
                <w:color w:val="auto"/>
                <w:sz w:val="21"/>
                <w:szCs w:val="21"/>
                <w:highlight w:val="none"/>
              </w:rPr>
            </w:pPr>
            <w:r>
              <w:rPr>
                <w:b/>
                <w:bCs/>
                <w:color w:val="auto"/>
                <w:sz w:val="21"/>
                <w:szCs w:val="21"/>
                <w:highlight w:val="none"/>
              </w:rPr>
              <w:t>2.1污染源源强核算</w:t>
            </w:r>
          </w:p>
          <w:p>
            <w:pPr>
              <w:pStyle w:val="56"/>
              <w:keepNext w:val="0"/>
              <w:keepLines w:val="0"/>
              <w:pageBreakBefore w:val="0"/>
              <w:kinsoku/>
              <w:overflowPunct/>
              <w:topLinePunct w:val="0"/>
              <w:autoSpaceDE/>
              <w:autoSpaceDN/>
              <w:bidi w:val="0"/>
              <w:spacing w:line="360" w:lineRule="auto"/>
              <w:ind w:firstLine="420" w:firstLineChars="200"/>
              <w:jc w:val="both"/>
              <w:textAlignment w:val="auto"/>
              <w:rPr>
                <w:rFonts w:hint="default" w:ascii="Times New Roman" w:hAnsi="Times New Roman" w:eastAsia="宋体" w:cs="宋体"/>
                <w:color w:val="auto"/>
                <w:sz w:val="21"/>
                <w:szCs w:val="21"/>
                <w:highlight w:val="none"/>
                <w:lang w:val="en-US" w:eastAsia="zh-CN"/>
              </w:rPr>
            </w:pPr>
            <w:r>
              <w:rPr>
                <w:rFonts w:hint="eastAsia" w:cs="宋体"/>
                <w:color w:val="auto"/>
                <w:sz w:val="21"/>
                <w:szCs w:val="21"/>
                <w:highlight w:val="none"/>
                <w:lang w:val="en-US" w:eastAsia="zh-CN"/>
              </w:rPr>
              <w:t>本项目实行雨污分流制，产生的废水主要为生活污水、原料清洗废水、洗瓶废水、CIP系统清洗废水、软水制备废水及锅炉排污水。</w:t>
            </w:r>
          </w:p>
          <w:p>
            <w:pPr>
              <w:pStyle w:val="56"/>
              <w:keepNext w:val="0"/>
              <w:keepLines w:val="0"/>
              <w:pageBreakBefore w:val="0"/>
              <w:kinsoku/>
              <w:overflowPunct/>
              <w:topLinePunct w:val="0"/>
              <w:autoSpaceDE/>
              <w:autoSpaceDN/>
              <w:bidi w:val="0"/>
              <w:spacing w:line="360" w:lineRule="auto"/>
              <w:ind w:firstLine="420" w:firstLineChars="200"/>
              <w:jc w:val="both"/>
              <w:textAlignment w:val="auto"/>
              <w:rPr>
                <w:rFonts w:hint="eastAsia" w:ascii="Times New Roman" w:hAnsi="Times New Roman" w:eastAsia="宋体" w:cs="宋体"/>
                <w:color w:val="auto"/>
                <w:sz w:val="21"/>
                <w:szCs w:val="21"/>
                <w:highlight w:val="none"/>
                <w:lang w:val="en-US" w:eastAsia="zh-CN"/>
              </w:rPr>
            </w:pPr>
            <w:r>
              <w:rPr>
                <w:rFonts w:hint="eastAsia" w:cs="宋体"/>
                <w:color w:val="auto"/>
                <w:sz w:val="21"/>
                <w:szCs w:val="21"/>
                <w:highlight w:val="none"/>
                <w:lang w:val="en-US" w:eastAsia="zh-CN"/>
              </w:rPr>
              <w:t>①生活污水</w:t>
            </w:r>
          </w:p>
          <w:p>
            <w:pPr>
              <w:keepNext w:val="0"/>
              <w:keepLines w:val="0"/>
              <w:pageBreakBefore w:val="0"/>
              <w:kinsoku/>
              <w:overflowPunct/>
              <w:topLinePunct w:val="0"/>
              <w:bidi w:val="0"/>
              <w:spacing w:line="360" w:lineRule="auto"/>
              <w:ind w:firstLine="420" w:firstLineChars="200"/>
              <w:rPr>
                <w:rFonts w:hint="eastAsia"/>
                <w:b w:val="0"/>
                <w:bCs w:val="0"/>
                <w:color w:val="auto"/>
                <w:sz w:val="21"/>
                <w:szCs w:val="21"/>
                <w:highlight w:val="none"/>
                <w:lang w:eastAsia="zh-CN"/>
              </w:rPr>
            </w:pPr>
            <w:r>
              <w:rPr>
                <w:rFonts w:hint="eastAsia" w:ascii="Times New Roman" w:hAnsi="Times New Roman" w:cs="Times New Roman"/>
                <w:color w:val="auto"/>
                <w:sz w:val="21"/>
                <w:szCs w:val="21"/>
                <w:highlight w:val="none"/>
                <w:lang w:val="en-US" w:eastAsia="zh-CN"/>
              </w:rPr>
              <w:t>项目生活污水产生</w:t>
            </w:r>
            <w:r>
              <w:rPr>
                <w:rFonts w:hint="default" w:ascii="Times New Roman" w:hAnsi="Times New Roman" w:cs="Times New Roman"/>
                <w:color w:val="auto"/>
                <w:sz w:val="21"/>
                <w:szCs w:val="21"/>
                <w:highlight w:val="none"/>
              </w:rPr>
              <w:t>量</w:t>
            </w:r>
            <w:r>
              <w:rPr>
                <w:rFonts w:hint="eastAsia" w:cs="Times New Roman"/>
                <w:color w:val="auto"/>
                <w:sz w:val="21"/>
                <w:szCs w:val="21"/>
                <w:highlight w:val="none"/>
                <w:lang w:val="en-US" w:eastAsia="zh-CN"/>
              </w:rPr>
              <w:t>2.4</w:t>
            </w:r>
            <w:r>
              <w:rPr>
                <w:rFonts w:hint="default" w:ascii="Times New Roman" w:hAnsi="Times New Roman" w:cs="Times New Roman"/>
                <w:color w:val="auto"/>
                <w:sz w:val="21"/>
                <w:szCs w:val="21"/>
                <w:highlight w:val="none"/>
              </w:rPr>
              <w:t>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rPr>
              <w:t>/</w:t>
            </w:r>
            <w:r>
              <w:rPr>
                <w:rFonts w:hint="default" w:ascii="Times New Roman" w:hAnsi="Times New Roman" w:cs="Times New Roman"/>
                <w:color w:val="auto"/>
                <w:sz w:val="21"/>
                <w:szCs w:val="21"/>
                <w:highlight w:val="none"/>
                <w:lang w:val="en-US" w:eastAsia="zh-CN"/>
              </w:rPr>
              <w:t>d</w:t>
            </w:r>
            <w:r>
              <w:rPr>
                <w:rFonts w:hint="default" w:ascii="Times New Roman" w:hAnsi="Times New Roman" w:cs="Times New Roman"/>
                <w:color w:val="auto"/>
                <w:sz w:val="21"/>
                <w:szCs w:val="21"/>
                <w:highlight w:val="none"/>
                <w:lang w:eastAsia="zh-CN"/>
              </w:rPr>
              <w:t>（</w:t>
            </w:r>
            <w:r>
              <w:rPr>
                <w:rFonts w:hint="eastAsia" w:cs="Times New Roman"/>
                <w:bCs/>
                <w:color w:val="auto"/>
                <w:sz w:val="21"/>
                <w:szCs w:val="21"/>
                <w:highlight w:val="none"/>
                <w:lang w:val="en-US" w:eastAsia="zh-CN"/>
              </w:rPr>
              <w:t>655.2</w:t>
            </w:r>
            <w:r>
              <w:rPr>
                <w:rFonts w:hint="default" w:ascii="Times New Roman" w:hAnsi="Times New Roman" w:cs="Times New Roman"/>
                <w:color w:val="auto"/>
                <w:sz w:val="21"/>
                <w:szCs w:val="21"/>
                <w:highlight w:val="none"/>
              </w:rPr>
              <w:t>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rPr>
              <w:t>/a</w:t>
            </w:r>
            <w:r>
              <w:rPr>
                <w:rFonts w:hint="default" w:ascii="Times New Roman" w:hAnsi="Times New Roman" w:cs="Times New Roman"/>
                <w:color w:val="auto"/>
                <w:sz w:val="21"/>
                <w:szCs w:val="21"/>
                <w:highlight w:val="none"/>
                <w:lang w:val="en-US" w:eastAsia="zh-CN"/>
              </w:rPr>
              <w:t>）</w:t>
            </w:r>
            <w:r>
              <w:rPr>
                <w:rFonts w:hint="eastAsia" w:ascii="Times New Roman" w:hAnsi="Times New Roman" w:cs="Times New Roman"/>
                <w:color w:val="auto"/>
                <w:sz w:val="21"/>
                <w:szCs w:val="21"/>
                <w:highlight w:val="none"/>
                <w:lang w:val="en-US" w:eastAsia="zh-CN"/>
              </w:rPr>
              <w:t>。</w:t>
            </w:r>
            <w:r>
              <w:rPr>
                <w:rFonts w:hint="default" w:ascii="Times New Roman" w:hAnsi="Times New Roman" w:cs="Times New Roman"/>
                <w:color w:val="auto"/>
                <w:sz w:val="21"/>
                <w:szCs w:val="21"/>
                <w:highlight w:val="none"/>
              </w:rPr>
              <w:t>生活污水浓度参照《建筑中水设计标准》（GB50336-2018）中生活污水中各污染物产生浓度，生活污水污染物浓度COD350mg/L，BOD</w:t>
            </w:r>
            <w:r>
              <w:rPr>
                <w:rFonts w:hint="default" w:ascii="Times New Roman" w:hAnsi="Times New Roman" w:cs="Times New Roman"/>
                <w:color w:val="auto"/>
                <w:sz w:val="21"/>
                <w:szCs w:val="21"/>
                <w:highlight w:val="none"/>
                <w:vertAlign w:val="subscript"/>
              </w:rPr>
              <w:t>5</w:t>
            </w:r>
            <w:r>
              <w:rPr>
                <w:rFonts w:hint="default" w:ascii="Times New Roman" w:hAnsi="Times New Roman" w:cs="Times New Roman"/>
                <w:color w:val="auto"/>
                <w:sz w:val="21"/>
                <w:szCs w:val="21"/>
                <w:highlight w:val="none"/>
                <w:lang w:val="en-US" w:eastAsia="zh-CN"/>
              </w:rPr>
              <w:t xml:space="preserve"> </w:t>
            </w:r>
            <w:r>
              <w:rPr>
                <w:rFonts w:hint="default" w:ascii="Times New Roman" w:hAnsi="Times New Roman" w:cs="Times New Roman"/>
                <w:color w:val="auto"/>
                <w:sz w:val="21"/>
                <w:szCs w:val="21"/>
                <w:highlight w:val="none"/>
              </w:rPr>
              <w:t>250mg/L，SS</w:t>
            </w:r>
            <w:r>
              <w:rPr>
                <w:rFonts w:hint="default" w:ascii="Times New Roman" w:hAnsi="Times New Roman" w:cs="Times New Roman"/>
                <w:color w:val="auto"/>
                <w:sz w:val="21"/>
                <w:szCs w:val="21"/>
                <w:highlight w:val="none"/>
                <w:lang w:val="en-US" w:eastAsia="zh-CN"/>
              </w:rPr>
              <w:t xml:space="preserve"> </w:t>
            </w:r>
            <w:r>
              <w:rPr>
                <w:rFonts w:hint="default" w:ascii="Times New Roman" w:hAnsi="Times New Roman" w:cs="Times New Roman"/>
                <w:color w:val="auto"/>
                <w:sz w:val="21"/>
                <w:szCs w:val="21"/>
                <w:highlight w:val="none"/>
              </w:rPr>
              <w:t>200mg/L，氨氮30mg/L</w:t>
            </w:r>
            <w:r>
              <w:rPr>
                <w:rFonts w:hint="eastAsia" w:cs="Times New Roman"/>
                <w:color w:val="auto"/>
                <w:sz w:val="21"/>
                <w:szCs w:val="21"/>
                <w:highlight w:val="none"/>
                <w:lang w:eastAsia="zh-CN"/>
              </w:rPr>
              <w:t>，</w:t>
            </w:r>
            <w:r>
              <w:rPr>
                <w:rFonts w:hint="eastAsia" w:cs="Times New Roman"/>
                <w:color w:val="auto"/>
                <w:sz w:val="21"/>
                <w:szCs w:val="21"/>
                <w:highlight w:val="none"/>
                <w:lang w:val="en-US" w:eastAsia="zh-CN"/>
              </w:rPr>
              <w:t>总氮45mg/L，总磷3mg/L</w:t>
            </w:r>
            <w:r>
              <w:rPr>
                <w:rFonts w:hint="default" w:ascii="Times New Roman" w:hAnsi="Times New Roman" w:cs="Times New Roman"/>
                <w:color w:val="auto"/>
                <w:sz w:val="21"/>
                <w:szCs w:val="21"/>
                <w:highlight w:val="none"/>
              </w:rPr>
              <w:t>。废水收集到化粪池</w:t>
            </w:r>
            <w:r>
              <w:rPr>
                <w:rFonts w:hint="eastAsia" w:cs="Times New Roman"/>
                <w:color w:val="auto"/>
                <w:sz w:val="21"/>
                <w:szCs w:val="21"/>
                <w:highlight w:val="none"/>
                <w:lang w:val="en-US" w:eastAsia="zh-CN"/>
              </w:rPr>
              <w:t>预</w:t>
            </w:r>
            <w:r>
              <w:rPr>
                <w:rFonts w:hint="default" w:ascii="Times New Roman" w:hAnsi="Times New Roman" w:cs="Times New Roman"/>
                <w:color w:val="auto"/>
                <w:sz w:val="21"/>
                <w:szCs w:val="21"/>
                <w:highlight w:val="none"/>
              </w:rPr>
              <w:t>处理后</w:t>
            </w:r>
            <w:r>
              <w:rPr>
                <w:rFonts w:hint="eastAsia" w:ascii="Times New Roman" w:hAnsi="Times New Roman" w:eastAsia="宋体" w:cs="Times New Roman"/>
                <w:b w:val="0"/>
                <w:bCs w:val="0"/>
                <w:color w:val="auto"/>
                <w:sz w:val="21"/>
                <w:szCs w:val="21"/>
                <w:highlight w:val="none"/>
                <w:lang w:eastAsia="zh-CN"/>
              </w:rPr>
              <w:t>排入园区下水管网，</w:t>
            </w:r>
            <w:r>
              <w:rPr>
                <w:rFonts w:hint="eastAsia" w:ascii="Times New Roman" w:hAnsi="Times New Roman" w:eastAsia="宋体" w:cs="Times New Roman"/>
                <w:b w:val="0"/>
                <w:bCs w:val="0"/>
                <w:color w:val="auto"/>
                <w:sz w:val="21"/>
                <w:szCs w:val="21"/>
                <w:highlight w:val="none"/>
                <w:lang w:val="en-US" w:eastAsia="zh-CN"/>
              </w:rPr>
              <w:t>最终</w:t>
            </w:r>
            <w:r>
              <w:rPr>
                <w:rFonts w:hint="eastAsia" w:ascii="Times New Roman" w:hAnsi="Times New Roman" w:eastAsia="宋体" w:cs="Times New Roman"/>
                <w:b w:val="0"/>
                <w:bCs w:val="0"/>
                <w:color w:val="auto"/>
                <w:sz w:val="21"/>
                <w:szCs w:val="21"/>
                <w:highlight w:val="none"/>
                <w:lang w:eastAsia="zh-CN"/>
              </w:rPr>
              <w:t>进入</w:t>
            </w:r>
            <w:r>
              <w:rPr>
                <w:rFonts w:hint="eastAsia"/>
                <w:b w:val="0"/>
                <w:bCs w:val="0"/>
                <w:color w:val="auto"/>
                <w:sz w:val="21"/>
                <w:szCs w:val="21"/>
                <w:highlight w:val="none"/>
                <w:lang w:eastAsia="zh-CN"/>
              </w:rPr>
              <w:t>库尔勒经济技术开发区工业废水处理回用厂</w:t>
            </w:r>
            <w:r>
              <w:rPr>
                <w:rFonts w:hint="eastAsia"/>
                <w:b w:val="0"/>
                <w:bCs w:val="0"/>
                <w:color w:val="auto"/>
                <w:sz w:val="21"/>
                <w:szCs w:val="21"/>
                <w:highlight w:val="none"/>
                <w:lang w:val="en-US" w:eastAsia="zh-CN"/>
              </w:rPr>
              <w:t>深度处理</w:t>
            </w:r>
            <w:r>
              <w:rPr>
                <w:rFonts w:hint="eastAsia" w:ascii="Times New Roman" w:hAnsi="Times New Roman" w:eastAsia="宋体" w:cs="Times New Roman"/>
                <w:b w:val="0"/>
                <w:bCs w:val="0"/>
                <w:color w:val="auto"/>
                <w:sz w:val="21"/>
                <w:szCs w:val="21"/>
                <w:highlight w:val="none"/>
                <w:lang w:eastAsia="zh-CN"/>
              </w:rPr>
              <w:t>。</w:t>
            </w:r>
          </w:p>
          <w:p>
            <w:pPr>
              <w:pStyle w:val="56"/>
              <w:keepNext w:val="0"/>
              <w:keepLines w:val="0"/>
              <w:pageBreakBefore w:val="0"/>
              <w:kinsoku/>
              <w:overflowPunct/>
              <w:topLinePunct w:val="0"/>
              <w:autoSpaceDE/>
              <w:autoSpaceDN/>
              <w:bidi w:val="0"/>
              <w:spacing w:line="360" w:lineRule="auto"/>
              <w:ind w:firstLine="420" w:firstLineChars="200"/>
              <w:jc w:val="both"/>
              <w:textAlignment w:val="auto"/>
              <w:rPr>
                <w:rFonts w:hint="default" w:cs="宋体"/>
                <w:color w:val="auto"/>
                <w:sz w:val="21"/>
                <w:szCs w:val="21"/>
                <w:highlight w:val="none"/>
                <w:lang w:val="en-US" w:eastAsia="zh-CN"/>
              </w:rPr>
            </w:pPr>
            <w:r>
              <w:rPr>
                <w:rFonts w:hint="eastAsia" w:cs="宋体"/>
                <w:color w:val="auto"/>
                <w:sz w:val="21"/>
                <w:szCs w:val="21"/>
                <w:highlight w:val="none"/>
                <w:lang w:val="en-US" w:eastAsia="zh-CN"/>
              </w:rPr>
              <w:t>②原料清洗废水</w:t>
            </w:r>
          </w:p>
          <w:p>
            <w:pPr>
              <w:pStyle w:val="56"/>
              <w:keepNext w:val="0"/>
              <w:keepLines w:val="0"/>
              <w:pageBreakBefore w:val="0"/>
              <w:kinsoku/>
              <w:overflowPunct/>
              <w:topLinePunct w:val="0"/>
              <w:autoSpaceDE/>
              <w:autoSpaceDN/>
              <w:bidi w:val="0"/>
              <w:spacing w:line="360" w:lineRule="auto"/>
              <w:ind w:firstLine="420" w:firstLineChars="200"/>
              <w:jc w:val="both"/>
              <w:textAlignment w:val="auto"/>
              <w:rPr>
                <w:rFonts w:hint="eastAsia" w:cs="宋体"/>
                <w:color w:val="auto"/>
                <w:sz w:val="21"/>
                <w:szCs w:val="21"/>
                <w:highlight w:val="none"/>
                <w:lang w:val="en-US" w:eastAsia="zh-CN"/>
              </w:rPr>
            </w:pPr>
            <w:r>
              <w:rPr>
                <w:rFonts w:hint="eastAsia" w:cs="宋体"/>
                <w:color w:val="auto"/>
                <w:sz w:val="21"/>
                <w:szCs w:val="21"/>
                <w:highlight w:val="none"/>
                <w:lang w:val="en-US" w:eastAsia="zh-CN"/>
              </w:rPr>
              <w:t>原料清洗废水为第一次自来水清洗废水和第二次纯水清洗废水，根据前文水平衡分析可知，原料清洗废水产生量合计为3.6</w:t>
            </w:r>
            <w:r>
              <w:rPr>
                <w:rFonts w:hint="default" w:ascii="Times New Roman" w:hAnsi="Times New Roman" w:cs="Times New Roman"/>
                <w:color w:val="auto"/>
                <w:sz w:val="21"/>
                <w:szCs w:val="21"/>
                <w:highlight w:val="none"/>
              </w:rPr>
              <w:t>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rPr>
              <w:t>/</w:t>
            </w:r>
            <w:r>
              <w:rPr>
                <w:rFonts w:hint="default" w:ascii="Times New Roman" w:hAnsi="Times New Roman" w:cs="Times New Roman"/>
                <w:color w:val="auto"/>
                <w:sz w:val="21"/>
                <w:szCs w:val="21"/>
                <w:highlight w:val="none"/>
                <w:lang w:val="en-US" w:eastAsia="zh-CN"/>
              </w:rPr>
              <w:t>d</w:t>
            </w:r>
            <w:r>
              <w:rPr>
                <w:rFonts w:hint="eastAsia" w:cs="宋体"/>
                <w:color w:val="auto"/>
                <w:sz w:val="21"/>
                <w:szCs w:val="21"/>
                <w:highlight w:val="none"/>
                <w:lang w:val="en-US" w:eastAsia="zh-CN"/>
              </w:rPr>
              <w:t>（982.8</w:t>
            </w:r>
            <w:r>
              <w:rPr>
                <w:rFonts w:hint="default" w:ascii="Times New Roman" w:hAnsi="Times New Roman" w:cs="Times New Roman"/>
                <w:color w:val="auto"/>
                <w:sz w:val="21"/>
                <w:szCs w:val="21"/>
                <w:highlight w:val="none"/>
              </w:rPr>
              <w:t>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rPr>
              <w:t>/a</w:t>
            </w:r>
            <w:r>
              <w:rPr>
                <w:rFonts w:hint="eastAsia" w:cs="宋体"/>
                <w:color w:val="auto"/>
                <w:sz w:val="21"/>
                <w:szCs w:val="21"/>
                <w:highlight w:val="none"/>
                <w:lang w:val="en-US" w:eastAsia="zh-CN"/>
              </w:rPr>
              <w:t>）。</w:t>
            </w:r>
          </w:p>
          <w:p>
            <w:pPr>
              <w:pStyle w:val="56"/>
              <w:keepNext w:val="0"/>
              <w:keepLines w:val="0"/>
              <w:pageBreakBefore w:val="0"/>
              <w:kinsoku/>
              <w:overflowPunct/>
              <w:topLinePunct w:val="0"/>
              <w:autoSpaceDE/>
              <w:autoSpaceDN/>
              <w:bidi w:val="0"/>
              <w:spacing w:line="360" w:lineRule="auto"/>
              <w:ind w:firstLine="420" w:firstLineChars="200"/>
              <w:jc w:val="both"/>
              <w:textAlignment w:val="auto"/>
              <w:rPr>
                <w:rFonts w:hint="default" w:cs="宋体"/>
                <w:color w:val="auto"/>
                <w:sz w:val="21"/>
                <w:szCs w:val="21"/>
                <w:highlight w:val="none"/>
                <w:lang w:val="en-US" w:eastAsia="zh-CN"/>
              </w:rPr>
            </w:pPr>
            <w:r>
              <w:rPr>
                <w:rFonts w:hint="eastAsia" w:cs="宋体"/>
                <w:color w:val="auto"/>
                <w:sz w:val="21"/>
                <w:szCs w:val="21"/>
                <w:highlight w:val="none"/>
                <w:lang w:val="en-US" w:eastAsia="zh-CN"/>
              </w:rPr>
              <w:t>③</w:t>
            </w:r>
            <w:r>
              <w:rPr>
                <w:rFonts w:hint="eastAsia" w:cs="Times New Roman"/>
                <w:color w:val="auto"/>
                <w:sz w:val="21"/>
                <w:szCs w:val="21"/>
                <w:highlight w:val="none"/>
                <w:lang w:val="en-US" w:eastAsia="zh-CN"/>
              </w:rPr>
              <w:t>CIP系统清洗废水</w:t>
            </w:r>
          </w:p>
          <w:p>
            <w:pPr>
              <w:pStyle w:val="56"/>
              <w:keepNext w:val="0"/>
              <w:keepLines w:val="0"/>
              <w:pageBreakBefore w:val="0"/>
              <w:kinsoku/>
              <w:overflowPunct/>
              <w:topLinePunct w:val="0"/>
              <w:autoSpaceDE/>
              <w:autoSpaceDN/>
              <w:bidi w:val="0"/>
              <w:spacing w:line="360" w:lineRule="auto"/>
              <w:ind w:firstLine="420" w:firstLineChars="200"/>
              <w:jc w:val="both"/>
              <w:textAlignment w:val="auto"/>
              <w:rPr>
                <w:rFonts w:hint="default" w:cs="宋体"/>
                <w:color w:val="auto"/>
                <w:sz w:val="21"/>
                <w:szCs w:val="21"/>
                <w:highlight w:val="none"/>
                <w:lang w:val="en-US" w:eastAsia="zh-CN"/>
              </w:rPr>
            </w:pPr>
            <w:r>
              <w:rPr>
                <w:rFonts w:hint="eastAsia" w:cs="宋体"/>
                <w:color w:val="auto"/>
                <w:sz w:val="21"/>
                <w:szCs w:val="21"/>
                <w:highlight w:val="none"/>
                <w:lang w:val="en-US" w:eastAsia="zh-CN"/>
              </w:rPr>
              <w:t>根据前文水平衡分析可知，CIP系统清洗废水产生量为8</w:t>
            </w:r>
            <w:r>
              <w:rPr>
                <w:rFonts w:hint="default" w:ascii="Times New Roman" w:hAnsi="Times New Roman" w:cs="Times New Roman"/>
                <w:color w:val="auto"/>
                <w:sz w:val="21"/>
                <w:szCs w:val="21"/>
                <w:highlight w:val="none"/>
              </w:rPr>
              <w:t>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rPr>
              <w:t>/</w:t>
            </w:r>
            <w:r>
              <w:rPr>
                <w:rFonts w:hint="default" w:ascii="Times New Roman" w:hAnsi="Times New Roman" w:cs="Times New Roman"/>
                <w:color w:val="auto"/>
                <w:sz w:val="21"/>
                <w:szCs w:val="21"/>
                <w:highlight w:val="none"/>
                <w:lang w:val="en-US" w:eastAsia="zh-CN"/>
              </w:rPr>
              <w:t>d</w:t>
            </w:r>
            <w:r>
              <w:rPr>
                <w:rFonts w:hint="eastAsia" w:cs="宋体"/>
                <w:color w:val="auto"/>
                <w:sz w:val="21"/>
                <w:szCs w:val="21"/>
                <w:highlight w:val="none"/>
                <w:lang w:val="en-US" w:eastAsia="zh-CN"/>
              </w:rPr>
              <w:t>（2184</w:t>
            </w:r>
            <w:r>
              <w:rPr>
                <w:rFonts w:hint="default" w:ascii="Times New Roman" w:hAnsi="Times New Roman" w:cs="Times New Roman"/>
                <w:color w:val="auto"/>
                <w:sz w:val="21"/>
                <w:szCs w:val="21"/>
                <w:highlight w:val="none"/>
              </w:rPr>
              <w:t>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rPr>
              <w:t>/a</w:t>
            </w:r>
            <w:r>
              <w:rPr>
                <w:rFonts w:hint="eastAsia" w:cs="宋体"/>
                <w:color w:val="auto"/>
                <w:sz w:val="21"/>
                <w:szCs w:val="21"/>
                <w:highlight w:val="none"/>
                <w:lang w:val="en-US" w:eastAsia="zh-CN"/>
              </w:rPr>
              <w:t>）。</w:t>
            </w:r>
          </w:p>
          <w:p>
            <w:pPr>
              <w:pStyle w:val="56"/>
              <w:keepNext w:val="0"/>
              <w:keepLines w:val="0"/>
              <w:pageBreakBefore w:val="0"/>
              <w:kinsoku/>
              <w:overflowPunct/>
              <w:topLinePunct w:val="0"/>
              <w:autoSpaceDE/>
              <w:autoSpaceDN/>
              <w:bidi w:val="0"/>
              <w:spacing w:line="360" w:lineRule="auto"/>
              <w:ind w:firstLine="420" w:firstLineChars="200"/>
              <w:jc w:val="both"/>
              <w:textAlignment w:val="auto"/>
              <w:rPr>
                <w:rFonts w:hint="default" w:cs="宋体"/>
                <w:color w:val="auto"/>
                <w:sz w:val="21"/>
                <w:szCs w:val="21"/>
                <w:highlight w:val="none"/>
                <w:lang w:val="en-US" w:eastAsia="zh-CN"/>
              </w:rPr>
            </w:pPr>
            <w:r>
              <w:rPr>
                <w:rFonts w:hint="eastAsia" w:cs="宋体"/>
                <w:color w:val="auto"/>
                <w:sz w:val="21"/>
                <w:szCs w:val="21"/>
                <w:highlight w:val="none"/>
                <w:lang w:val="en-US" w:eastAsia="zh-CN"/>
              </w:rPr>
              <w:t>④洗瓶废水</w:t>
            </w:r>
          </w:p>
          <w:p>
            <w:pPr>
              <w:pStyle w:val="56"/>
              <w:keepNext w:val="0"/>
              <w:keepLines w:val="0"/>
              <w:pageBreakBefore w:val="0"/>
              <w:kinsoku/>
              <w:overflowPunct/>
              <w:topLinePunct w:val="0"/>
              <w:autoSpaceDE/>
              <w:autoSpaceDN/>
              <w:bidi w:val="0"/>
              <w:spacing w:line="360" w:lineRule="auto"/>
              <w:ind w:firstLine="420" w:firstLineChars="200"/>
              <w:jc w:val="both"/>
              <w:textAlignment w:val="auto"/>
              <w:rPr>
                <w:rFonts w:hint="default" w:cs="宋体"/>
                <w:color w:val="auto"/>
                <w:sz w:val="21"/>
                <w:szCs w:val="21"/>
                <w:highlight w:val="none"/>
                <w:lang w:val="en-US" w:eastAsia="zh-CN"/>
              </w:rPr>
            </w:pPr>
            <w:r>
              <w:rPr>
                <w:rFonts w:hint="eastAsia" w:cs="宋体"/>
                <w:color w:val="auto"/>
                <w:sz w:val="21"/>
                <w:szCs w:val="21"/>
                <w:highlight w:val="none"/>
                <w:lang w:val="en-US" w:eastAsia="zh-CN"/>
              </w:rPr>
              <w:t>根据前文水平衡分析可知，洗瓶废水产生量为2.0</w:t>
            </w:r>
            <w:r>
              <w:rPr>
                <w:rFonts w:hint="default" w:ascii="Times New Roman" w:hAnsi="Times New Roman" w:cs="Times New Roman"/>
                <w:color w:val="auto"/>
                <w:sz w:val="21"/>
                <w:szCs w:val="21"/>
                <w:highlight w:val="none"/>
              </w:rPr>
              <w:t>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rPr>
              <w:t>/</w:t>
            </w:r>
            <w:r>
              <w:rPr>
                <w:rFonts w:hint="default" w:ascii="Times New Roman" w:hAnsi="Times New Roman" w:cs="Times New Roman"/>
                <w:color w:val="auto"/>
                <w:sz w:val="21"/>
                <w:szCs w:val="21"/>
                <w:highlight w:val="none"/>
                <w:lang w:val="en-US" w:eastAsia="zh-CN"/>
              </w:rPr>
              <w:t>d</w:t>
            </w:r>
            <w:r>
              <w:rPr>
                <w:rFonts w:hint="eastAsia" w:cs="宋体"/>
                <w:color w:val="auto"/>
                <w:sz w:val="21"/>
                <w:szCs w:val="21"/>
                <w:highlight w:val="none"/>
                <w:lang w:val="en-US" w:eastAsia="zh-CN"/>
              </w:rPr>
              <w:t>（546</w:t>
            </w:r>
            <w:r>
              <w:rPr>
                <w:rFonts w:hint="default" w:ascii="Times New Roman" w:hAnsi="Times New Roman" w:cs="Times New Roman"/>
                <w:color w:val="auto"/>
                <w:sz w:val="21"/>
                <w:szCs w:val="21"/>
                <w:highlight w:val="none"/>
              </w:rPr>
              <w:t>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rPr>
              <w:t>/a</w:t>
            </w:r>
            <w:r>
              <w:rPr>
                <w:rFonts w:hint="eastAsia" w:cs="宋体"/>
                <w:color w:val="auto"/>
                <w:sz w:val="21"/>
                <w:szCs w:val="21"/>
                <w:highlight w:val="none"/>
                <w:lang w:val="en-US" w:eastAsia="zh-CN"/>
              </w:rPr>
              <w:t>）。</w:t>
            </w:r>
          </w:p>
          <w:p>
            <w:pPr>
              <w:pStyle w:val="56"/>
              <w:keepNext w:val="0"/>
              <w:keepLines w:val="0"/>
              <w:pageBreakBefore w:val="0"/>
              <w:kinsoku/>
              <w:overflowPunct/>
              <w:topLinePunct w:val="0"/>
              <w:autoSpaceDE/>
              <w:autoSpaceDN/>
              <w:bidi w:val="0"/>
              <w:spacing w:line="360" w:lineRule="auto"/>
              <w:ind w:firstLine="420" w:firstLineChars="200"/>
              <w:jc w:val="both"/>
              <w:textAlignment w:val="auto"/>
              <w:rPr>
                <w:rFonts w:hint="eastAsia" w:cs="宋体"/>
                <w:color w:val="auto"/>
                <w:sz w:val="21"/>
                <w:szCs w:val="21"/>
                <w:highlight w:val="none"/>
                <w:lang w:val="en-US" w:eastAsia="zh-CN"/>
              </w:rPr>
            </w:pPr>
            <w:r>
              <w:rPr>
                <w:rFonts w:hint="eastAsia" w:cs="宋体"/>
                <w:color w:val="auto"/>
                <w:sz w:val="21"/>
                <w:szCs w:val="21"/>
                <w:highlight w:val="none"/>
                <w:lang w:val="en-US" w:eastAsia="zh-CN"/>
              </w:rPr>
              <w:t>原料清洗废水、CIP系统清洗废水、洗瓶废水进入厂区污水站处理，参考《饮料制造废水治理工程技术规范》（HJ2048-2015）及同类项目，废水中主要污染物及产生浓度为pH6~9、COD3700mg/L、BOD</w:t>
            </w:r>
            <w:r>
              <w:rPr>
                <w:rFonts w:hint="eastAsia" w:cs="宋体"/>
                <w:color w:val="auto"/>
                <w:sz w:val="21"/>
                <w:szCs w:val="21"/>
                <w:highlight w:val="none"/>
                <w:vertAlign w:val="subscript"/>
                <w:lang w:val="en-US" w:eastAsia="zh-CN"/>
              </w:rPr>
              <w:t xml:space="preserve">5 </w:t>
            </w:r>
            <w:r>
              <w:rPr>
                <w:rFonts w:hint="eastAsia" w:cs="宋体"/>
                <w:color w:val="auto"/>
                <w:sz w:val="21"/>
                <w:szCs w:val="21"/>
                <w:highlight w:val="none"/>
                <w:lang w:val="en-US" w:eastAsia="zh-CN"/>
              </w:rPr>
              <w:t>2500mg/L、氨氮25mg/L、SS1000mg/L、总氮45mg/L、总磷3mg/L、溶解性总固体1000mg/L、LAS 5mg/L。</w:t>
            </w:r>
          </w:p>
          <w:p>
            <w:pPr>
              <w:pStyle w:val="56"/>
              <w:keepNext w:val="0"/>
              <w:keepLines w:val="0"/>
              <w:pageBreakBefore w:val="0"/>
              <w:kinsoku/>
              <w:overflowPunct/>
              <w:topLinePunct w:val="0"/>
              <w:autoSpaceDE/>
              <w:autoSpaceDN/>
              <w:bidi w:val="0"/>
              <w:spacing w:line="360" w:lineRule="auto"/>
              <w:ind w:firstLine="420" w:firstLineChars="200"/>
              <w:jc w:val="both"/>
              <w:textAlignment w:val="auto"/>
              <w:rPr>
                <w:rFonts w:hint="eastAsia" w:cs="宋体"/>
                <w:color w:val="auto"/>
                <w:sz w:val="21"/>
                <w:szCs w:val="21"/>
                <w:highlight w:val="none"/>
                <w:lang w:val="en-US" w:eastAsia="zh-CN"/>
              </w:rPr>
            </w:pPr>
            <w:r>
              <w:rPr>
                <w:rFonts w:hint="eastAsia" w:cs="宋体"/>
                <w:color w:val="auto"/>
                <w:sz w:val="21"/>
                <w:szCs w:val="21"/>
                <w:highlight w:val="none"/>
                <w:lang w:val="en-US" w:eastAsia="zh-CN"/>
              </w:rPr>
              <w:t>⑤纯水制备废水</w:t>
            </w:r>
          </w:p>
          <w:p>
            <w:pPr>
              <w:keepNext w:val="0"/>
              <w:keepLines w:val="0"/>
              <w:pageBreakBefore w:val="0"/>
              <w:kinsoku/>
              <w:overflowPunct/>
              <w:topLinePunct w:val="0"/>
              <w:bidi w:val="0"/>
              <w:spacing w:line="360" w:lineRule="auto"/>
              <w:ind w:firstLine="420" w:firstLineChars="200"/>
              <w:rPr>
                <w:rFonts w:hint="eastAsia"/>
                <w:b w:val="0"/>
                <w:bCs w:val="0"/>
                <w:color w:val="auto"/>
                <w:sz w:val="21"/>
                <w:szCs w:val="21"/>
                <w:highlight w:val="none"/>
                <w:lang w:eastAsia="zh-CN"/>
              </w:rPr>
            </w:pPr>
            <w:r>
              <w:rPr>
                <w:rFonts w:hint="eastAsia" w:cs="宋体"/>
                <w:color w:val="auto"/>
                <w:sz w:val="21"/>
                <w:szCs w:val="21"/>
                <w:highlight w:val="none"/>
                <w:lang w:val="en-US" w:eastAsia="zh-CN"/>
              </w:rPr>
              <w:t>根据前文水平衡分析可知，本项目纯水制备浓水产生量为74.76</w:t>
            </w:r>
            <w:r>
              <w:rPr>
                <w:rFonts w:hint="default" w:ascii="Times New Roman" w:hAnsi="Times New Roman" w:cs="Times New Roman"/>
                <w:color w:val="auto"/>
                <w:sz w:val="21"/>
                <w:szCs w:val="21"/>
                <w:highlight w:val="none"/>
              </w:rPr>
              <w:t>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rPr>
              <w:t>/</w:t>
            </w:r>
            <w:r>
              <w:rPr>
                <w:rFonts w:hint="default" w:ascii="Times New Roman" w:hAnsi="Times New Roman" w:cs="Times New Roman"/>
                <w:color w:val="auto"/>
                <w:sz w:val="21"/>
                <w:szCs w:val="21"/>
                <w:highlight w:val="none"/>
                <w:lang w:val="en-US" w:eastAsia="zh-CN"/>
              </w:rPr>
              <w:t>d</w:t>
            </w:r>
            <w:r>
              <w:rPr>
                <w:rFonts w:hint="eastAsia" w:cs="宋体"/>
                <w:color w:val="auto"/>
                <w:sz w:val="21"/>
                <w:szCs w:val="21"/>
                <w:highlight w:val="none"/>
                <w:lang w:val="en-US" w:eastAsia="zh-CN"/>
              </w:rPr>
              <w:t>（20409.63</w:t>
            </w:r>
            <w:r>
              <w:rPr>
                <w:rFonts w:hint="default" w:ascii="Times New Roman" w:hAnsi="Times New Roman" w:cs="Times New Roman"/>
                <w:color w:val="auto"/>
                <w:sz w:val="21"/>
                <w:szCs w:val="21"/>
                <w:highlight w:val="none"/>
              </w:rPr>
              <w:t>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rPr>
              <w:t>/a</w:t>
            </w:r>
            <w:r>
              <w:rPr>
                <w:rFonts w:hint="eastAsia" w:cs="宋体"/>
                <w:color w:val="auto"/>
                <w:sz w:val="21"/>
                <w:szCs w:val="21"/>
                <w:highlight w:val="none"/>
                <w:lang w:val="en-US" w:eastAsia="zh-CN"/>
              </w:rPr>
              <w:t>），废水污染物及产生浓度为pH6~9、COD100mg/L、氨氮8mg/L、溶解性总固体1200mg/L。纯水制备废水</w:t>
            </w:r>
            <w:r>
              <w:rPr>
                <w:rFonts w:hint="eastAsia" w:ascii="Times New Roman" w:hAnsi="Times New Roman" w:eastAsia="宋体" w:cs="Times New Roman"/>
                <w:b w:val="0"/>
                <w:bCs w:val="0"/>
                <w:color w:val="auto"/>
                <w:sz w:val="21"/>
                <w:szCs w:val="21"/>
                <w:highlight w:val="none"/>
                <w:lang w:eastAsia="zh-CN"/>
              </w:rPr>
              <w:t>排入园区下水管网，</w:t>
            </w:r>
            <w:r>
              <w:rPr>
                <w:rFonts w:hint="eastAsia" w:ascii="Times New Roman" w:hAnsi="Times New Roman" w:eastAsia="宋体" w:cs="Times New Roman"/>
                <w:b w:val="0"/>
                <w:bCs w:val="0"/>
                <w:color w:val="auto"/>
                <w:sz w:val="21"/>
                <w:szCs w:val="21"/>
                <w:highlight w:val="none"/>
                <w:lang w:val="en-US" w:eastAsia="zh-CN"/>
              </w:rPr>
              <w:t>最终</w:t>
            </w:r>
            <w:r>
              <w:rPr>
                <w:rFonts w:hint="eastAsia" w:ascii="Times New Roman" w:hAnsi="Times New Roman" w:eastAsia="宋体" w:cs="Times New Roman"/>
                <w:b w:val="0"/>
                <w:bCs w:val="0"/>
                <w:color w:val="auto"/>
                <w:sz w:val="21"/>
                <w:szCs w:val="21"/>
                <w:highlight w:val="none"/>
                <w:lang w:eastAsia="zh-CN"/>
              </w:rPr>
              <w:t>进入</w:t>
            </w:r>
            <w:r>
              <w:rPr>
                <w:rFonts w:hint="eastAsia"/>
                <w:b w:val="0"/>
                <w:bCs w:val="0"/>
                <w:color w:val="auto"/>
                <w:sz w:val="21"/>
                <w:szCs w:val="21"/>
                <w:highlight w:val="none"/>
                <w:lang w:eastAsia="zh-CN"/>
              </w:rPr>
              <w:t>库尔勒经济技术开发区工业废水处理回用厂</w:t>
            </w:r>
            <w:r>
              <w:rPr>
                <w:rFonts w:hint="eastAsia"/>
                <w:b w:val="0"/>
                <w:bCs w:val="0"/>
                <w:color w:val="auto"/>
                <w:sz w:val="21"/>
                <w:szCs w:val="21"/>
                <w:highlight w:val="none"/>
                <w:lang w:val="en-US" w:eastAsia="zh-CN"/>
              </w:rPr>
              <w:t>深度处理</w:t>
            </w:r>
            <w:r>
              <w:rPr>
                <w:rFonts w:hint="eastAsia" w:ascii="Times New Roman" w:hAnsi="Times New Roman" w:eastAsia="宋体" w:cs="Times New Roman"/>
                <w:b w:val="0"/>
                <w:bCs w:val="0"/>
                <w:color w:val="auto"/>
                <w:sz w:val="21"/>
                <w:szCs w:val="21"/>
                <w:highlight w:val="none"/>
                <w:lang w:eastAsia="zh-CN"/>
              </w:rPr>
              <w:t>。</w:t>
            </w:r>
          </w:p>
          <w:p>
            <w:pPr>
              <w:pStyle w:val="56"/>
              <w:keepNext w:val="0"/>
              <w:keepLines w:val="0"/>
              <w:pageBreakBefore w:val="0"/>
              <w:kinsoku/>
              <w:overflowPunct/>
              <w:topLinePunct w:val="0"/>
              <w:autoSpaceDE/>
              <w:autoSpaceDN/>
              <w:bidi w:val="0"/>
              <w:spacing w:line="360" w:lineRule="auto"/>
              <w:ind w:firstLine="420" w:firstLineChars="200"/>
              <w:jc w:val="both"/>
              <w:textAlignment w:val="auto"/>
              <w:rPr>
                <w:rFonts w:hint="default" w:cs="宋体"/>
                <w:color w:val="auto"/>
                <w:sz w:val="21"/>
                <w:szCs w:val="21"/>
                <w:highlight w:val="none"/>
                <w:lang w:val="en-US" w:eastAsia="zh-CN"/>
              </w:rPr>
            </w:pPr>
            <w:r>
              <w:rPr>
                <w:rFonts w:hint="eastAsia" w:cs="宋体"/>
                <w:color w:val="auto"/>
                <w:sz w:val="21"/>
                <w:szCs w:val="21"/>
                <w:highlight w:val="none"/>
                <w:lang w:val="en-US" w:eastAsia="zh-CN"/>
              </w:rPr>
              <w:t>⑥锅炉排污水</w:t>
            </w:r>
          </w:p>
          <w:p>
            <w:pPr>
              <w:keepNext w:val="0"/>
              <w:keepLines w:val="0"/>
              <w:pageBreakBefore w:val="0"/>
              <w:kinsoku/>
              <w:overflowPunct/>
              <w:topLinePunct w:val="0"/>
              <w:bidi w:val="0"/>
              <w:spacing w:line="360" w:lineRule="auto"/>
              <w:ind w:firstLine="420" w:firstLineChars="200"/>
              <w:rPr>
                <w:rFonts w:hint="eastAsia" w:ascii="Times New Roman" w:hAnsi="Times New Roman" w:eastAsia="宋体" w:cs="Times New Roman"/>
                <w:b w:val="0"/>
                <w:bCs w:val="0"/>
                <w:color w:val="auto"/>
                <w:sz w:val="21"/>
                <w:szCs w:val="21"/>
                <w:highlight w:val="none"/>
                <w:lang w:eastAsia="zh-CN"/>
              </w:rPr>
            </w:pPr>
            <w:r>
              <w:rPr>
                <w:rFonts w:hint="eastAsia" w:cs="宋体"/>
                <w:color w:val="auto"/>
                <w:sz w:val="21"/>
                <w:szCs w:val="21"/>
                <w:highlight w:val="none"/>
                <w:lang w:val="en-US" w:eastAsia="zh-CN"/>
              </w:rPr>
              <w:t>根据前文水平衡分析可知，本项目锅炉排污水为1.28</w:t>
            </w:r>
            <w:r>
              <w:rPr>
                <w:rFonts w:hint="default" w:ascii="Times New Roman" w:hAnsi="Times New Roman" w:cs="Times New Roman"/>
                <w:color w:val="auto"/>
                <w:sz w:val="21"/>
                <w:szCs w:val="21"/>
                <w:highlight w:val="none"/>
              </w:rPr>
              <w:t>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rPr>
              <w:t>/</w:t>
            </w:r>
            <w:r>
              <w:rPr>
                <w:rFonts w:hint="default" w:ascii="Times New Roman" w:hAnsi="Times New Roman" w:cs="Times New Roman"/>
                <w:color w:val="auto"/>
                <w:sz w:val="21"/>
                <w:szCs w:val="21"/>
                <w:highlight w:val="none"/>
                <w:lang w:val="en-US" w:eastAsia="zh-CN"/>
              </w:rPr>
              <w:t>d</w:t>
            </w:r>
            <w:r>
              <w:rPr>
                <w:rFonts w:hint="eastAsia" w:cs="宋体"/>
                <w:color w:val="auto"/>
                <w:sz w:val="21"/>
                <w:szCs w:val="21"/>
                <w:highlight w:val="none"/>
                <w:lang w:val="en-US" w:eastAsia="zh-CN"/>
              </w:rPr>
              <w:t>（349.44</w:t>
            </w:r>
            <w:r>
              <w:rPr>
                <w:rFonts w:hint="default" w:ascii="Times New Roman" w:hAnsi="Times New Roman" w:cs="Times New Roman"/>
                <w:color w:val="auto"/>
                <w:sz w:val="21"/>
                <w:szCs w:val="21"/>
                <w:highlight w:val="none"/>
              </w:rPr>
              <w:t>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rPr>
              <w:t>/a</w:t>
            </w:r>
            <w:r>
              <w:rPr>
                <w:rFonts w:hint="eastAsia" w:cs="宋体"/>
                <w:color w:val="auto"/>
                <w:sz w:val="21"/>
                <w:szCs w:val="21"/>
                <w:highlight w:val="none"/>
                <w:lang w:val="en-US" w:eastAsia="zh-CN"/>
              </w:rPr>
              <w:t>），废水污染物及产生浓度为pH6~9、COD100mg/L、氨氮8mg/L、SS200mg/L、溶解性总固体1200mg/L。锅炉排污水</w:t>
            </w:r>
            <w:r>
              <w:rPr>
                <w:rFonts w:hint="eastAsia" w:ascii="Times New Roman" w:hAnsi="Times New Roman" w:eastAsia="宋体" w:cs="Times New Roman"/>
                <w:b w:val="0"/>
                <w:bCs w:val="0"/>
                <w:color w:val="auto"/>
                <w:sz w:val="21"/>
                <w:szCs w:val="21"/>
                <w:highlight w:val="none"/>
                <w:lang w:eastAsia="zh-CN"/>
              </w:rPr>
              <w:t>排入园区下水管网，</w:t>
            </w:r>
            <w:r>
              <w:rPr>
                <w:rFonts w:hint="eastAsia" w:ascii="Times New Roman" w:hAnsi="Times New Roman" w:eastAsia="宋体" w:cs="Times New Roman"/>
                <w:b w:val="0"/>
                <w:bCs w:val="0"/>
                <w:color w:val="auto"/>
                <w:sz w:val="21"/>
                <w:szCs w:val="21"/>
                <w:highlight w:val="none"/>
                <w:lang w:val="en-US" w:eastAsia="zh-CN"/>
              </w:rPr>
              <w:t>最终</w:t>
            </w:r>
            <w:r>
              <w:rPr>
                <w:rFonts w:hint="eastAsia" w:ascii="Times New Roman" w:hAnsi="Times New Roman" w:eastAsia="宋体" w:cs="Times New Roman"/>
                <w:b w:val="0"/>
                <w:bCs w:val="0"/>
                <w:color w:val="auto"/>
                <w:sz w:val="21"/>
                <w:szCs w:val="21"/>
                <w:highlight w:val="none"/>
                <w:lang w:eastAsia="zh-CN"/>
              </w:rPr>
              <w:t>进入</w:t>
            </w:r>
            <w:r>
              <w:rPr>
                <w:rFonts w:hint="eastAsia"/>
                <w:b w:val="0"/>
                <w:bCs w:val="0"/>
                <w:color w:val="auto"/>
                <w:sz w:val="21"/>
                <w:szCs w:val="21"/>
                <w:highlight w:val="none"/>
                <w:lang w:eastAsia="zh-CN"/>
              </w:rPr>
              <w:t>库尔勒经济技术开发区工业废水处理回用厂</w:t>
            </w:r>
            <w:r>
              <w:rPr>
                <w:rFonts w:hint="eastAsia"/>
                <w:b w:val="0"/>
                <w:bCs w:val="0"/>
                <w:color w:val="auto"/>
                <w:sz w:val="21"/>
                <w:szCs w:val="21"/>
                <w:highlight w:val="none"/>
                <w:lang w:val="en-US" w:eastAsia="zh-CN"/>
              </w:rPr>
              <w:t>深度处理</w:t>
            </w:r>
            <w:r>
              <w:rPr>
                <w:rFonts w:hint="eastAsia" w:ascii="Times New Roman" w:hAnsi="Times New Roman" w:eastAsia="宋体" w:cs="Times New Roman"/>
                <w:b w:val="0"/>
                <w:bCs w:val="0"/>
                <w:color w:val="auto"/>
                <w:sz w:val="21"/>
                <w:szCs w:val="21"/>
                <w:highlight w:val="none"/>
                <w:lang w:eastAsia="zh-CN"/>
              </w:rPr>
              <w:t>。</w:t>
            </w:r>
          </w:p>
          <w:p>
            <w:pPr>
              <w:keepNext w:val="0"/>
              <w:keepLines w:val="0"/>
              <w:suppressLineNumbers w:val="0"/>
              <w:spacing w:before="0" w:beforeAutospacing="0" w:after="0" w:afterAutospacing="0" w:line="360" w:lineRule="auto"/>
              <w:ind w:left="0" w:right="0" w:firstLine="420" w:firstLineChars="200"/>
              <w:contextualSpacing/>
              <w:jc w:val="both"/>
              <w:rPr>
                <w:color w:val="auto"/>
                <w:sz w:val="21"/>
                <w:szCs w:val="21"/>
                <w:highlight w:val="none"/>
              </w:rPr>
            </w:pPr>
            <w:r>
              <w:rPr>
                <w:rFonts w:hint="eastAsia" w:cs="Times New Roman"/>
                <w:b w:val="0"/>
                <w:bCs w:val="0"/>
                <w:color w:val="auto"/>
                <w:sz w:val="21"/>
                <w:szCs w:val="21"/>
                <w:highlight w:val="none"/>
                <w:lang w:val="en-US" w:eastAsia="zh-CN"/>
              </w:rPr>
              <w:t>综上，项目产生的废水量为92.04</w:t>
            </w:r>
            <w:r>
              <w:rPr>
                <w:rFonts w:hint="default" w:ascii="Times New Roman" w:hAnsi="Times New Roman" w:cs="Times New Roman"/>
                <w:color w:val="auto"/>
                <w:sz w:val="21"/>
                <w:szCs w:val="21"/>
                <w:highlight w:val="none"/>
              </w:rPr>
              <w:t>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rPr>
              <w:t>/</w:t>
            </w:r>
            <w:r>
              <w:rPr>
                <w:rFonts w:hint="default" w:ascii="Times New Roman" w:hAnsi="Times New Roman" w:cs="Times New Roman"/>
                <w:color w:val="auto"/>
                <w:sz w:val="21"/>
                <w:szCs w:val="21"/>
                <w:highlight w:val="none"/>
                <w:lang w:val="en-US" w:eastAsia="zh-CN"/>
              </w:rPr>
              <w:t>d</w:t>
            </w:r>
            <w:r>
              <w:rPr>
                <w:rFonts w:hint="eastAsia" w:cs="宋体"/>
                <w:color w:val="auto"/>
                <w:sz w:val="21"/>
                <w:szCs w:val="21"/>
                <w:highlight w:val="none"/>
                <w:lang w:val="en-US" w:eastAsia="zh-CN"/>
              </w:rPr>
              <w:t>（25127.07</w:t>
            </w:r>
            <w:r>
              <w:rPr>
                <w:rFonts w:hint="default" w:ascii="Times New Roman" w:hAnsi="Times New Roman" w:cs="Times New Roman"/>
                <w:color w:val="auto"/>
                <w:sz w:val="21"/>
                <w:szCs w:val="21"/>
                <w:highlight w:val="none"/>
              </w:rPr>
              <w:t>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rPr>
              <w:t>/a</w:t>
            </w:r>
            <w:r>
              <w:rPr>
                <w:rFonts w:hint="eastAsia" w:cs="宋体"/>
                <w:color w:val="auto"/>
                <w:sz w:val="21"/>
                <w:szCs w:val="21"/>
                <w:highlight w:val="none"/>
                <w:lang w:val="en-US" w:eastAsia="zh-CN"/>
              </w:rPr>
              <w:t>）。其中生活污水产生量为</w:t>
            </w:r>
            <w:r>
              <w:rPr>
                <w:rFonts w:hint="eastAsia" w:cs="Times New Roman"/>
                <w:color w:val="auto"/>
                <w:sz w:val="21"/>
                <w:szCs w:val="21"/>
                <w:highlight w:val="none"/>
                <w:lang w:val="en-US" w:eastAsia="zh-CN"/>
              </w:rPr>
              <w:t>2.4</w:t>
            </w:r>
            <w:r>
              <w:rPr>
                <w:rFonts w:hint="default" w:ascii="Times New Roman" w:hAnsi="Times New Roman" w:cs="Times New Roman"/>
                <w:color w:val="auto"/>
                <w:sz w:val="21"/>
                <w:szCs w:val="21"/>
                <w:highlight w:val="none"/>
              </w:rPr>
              <w:t>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rPr>
              <w:t>/</w:t>
            </w:r>
            <w:r>
              <w:rPr>
                <w:rFonts w:hint="default" w:ascii="Times New Roman" w:hAnsi="Times New Roman" w:cs="Times New Roman"/>
                <w:color w:val="auto"/>
                <w:sz w:val="21"/>
                <w:szCs w:val="21"/>
                <w:highlight w:val="none"/>
                <w:lang w:val="en-US" w:eastAsia="zh-CN"/>
              </w:rPr>
              <w:t>d</w:t>
            </w:r>
            <w:r>
              <w:rPr>
                <w:rFonts w:hint="default" w:ascii="Times New Roman" w:hAnsi="Times New Roman" w:cs="Times New Roman"/>
                <w:color w:val="auto"/>
                <w:sz w:val="21"/>
                <w:szCs w:val="21"/>
                <w:highlight w:val="none"/>
                <w:lang w:eastAsia="zh-CN"/>
              </w:rPr>
              <w:t>（</w:t>
            </w:r>
            <w:r>
              <w:rPr>
                <w:rFonts w:hint="eastAsia" w:cs="Times New Roman"/>
                <w:bCs/>
                <w:color w:val="auto"/>
                <w:sz w:val="21"/>
                <w:szCs w:val="21"/>
                <w:highlight w:val="none"/>
                <w:lang w:val="en-US" w:eastAsia="zh-CN"/>
              </w:rPr>
              <w:t>655.2</w:t>
            </w:r>
            <w:r>
              <w:rPr>
                <w:rFonts w:hint="default" w:ascii="Times New Roman" w:hAnsi="Times New Roman" w:cs="Times New Roman"/>
                <w:color w:val="auto"/>
                <w:sz w:val="21"/>
                <w:szCs w:val="21"/>
                <w:highlight w:val="none"/>
              </w:rPr>
              <w:t>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rPr>
              <w:t>/a</w:t>
            </w:r>
            <w:r>
              <w:rPr>
                <w:rFonts w:hint="default" w:ascii="Times New Roman" w:hAnsi="Times New Roman" w:cs="Times New Roman"/>
                <w:color w:val="auto"/>
                <w:sz w:val="21"/>
                <w:szCs w:val="21"/>
                <w:highlight w:val="none"/>
                <w:lang w:val="en-US" w:eastAsia="zh-CN"/>
              </w:rPr>
              <w:t>）</w:t>
            </w:r>
            <w:r>
              <w:rPr>
                <w:rFonts w:hint="eastAsia" w:cs="Times New Roman"/>
                <w:color w:val="auto"/>
                <w:sz w:val="21"/>
                <w:szCs w:val="21"/>
                <w:highlight w:val="none"/>
                <w:lang w:val="en-US" w:eastAsia="zh-CN"/>
              </w:rPr>
              <w:t>，</w:t>
            </w:r>
            <w:r>
              <w:rPr>
                <w:rFonts w:hint="eastAsia" w:cs="宋体"/>
                <w:color w:val="auto"/>
                <w:sz w:val="21"/>
                <w:szCs w:val="21"/>
                <w:highlight w:val="none"/>
                <w:lang w:val="en-US" w:eastAsia="zh-CN"/>
              </w:rPr>
              <w:t>原料清洗废水、洗瓶废水、CIP系统清洗废水总产生量为13.6</w:t>
            </w:r>
            <w:r>
              <w:rPr>
                <w:rFonts w:hint="default" w:ascii="Times New Roman" w:hAnsi="Times New Roman" w:cs="Times New Roman"/>
                <w:color w:val="auto"/>
                <w:sz w:val="21"/>
                <w:szCs w:val="21"/>
                <w:highlight w:val="none"/>
              </w:rPr>
              <w:t>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rPr>
              <w:t>/</w:t>
            </w:r>
            <w:r>
              <w:rPr>
                <w:rFonts w:hint="default" w:ascii="Times New Roman" w:hAnsi="Times New Roman" w:cs="Times New Roman"/>
                <w:color w:val="auto"/>
                <w:sz w:val="21"/>
                <w:szCs w:val="21"/>
                <w:highlight w:val="none"/>
                <w:lang w:val="en-US" w:eastAsia="zh-CN"/>
              </w:rPr>
              <w:t>d</w:t>
            </w:r>
            <w:r>
              <w:rPr>
                <w:rFonts w:hint="eastAsia" w:cs="宋体"/>
                <w:color w:val="auto"/>
                <w:sz w:val="21"/>
                <w:szCs w:val="21"/>
                <w:highlight w:val="none"/>
                <w:lang w:val="en-US" w:eastAsia="zh-CN"/>
              </w:rPr>
              <w:t>（3712.8</w:t>
            </w:r>
            <w:r>
              <w:rPr>
                <w:rFonts w:hint="default" w:ascii="Times New Roman" w:hAnsi="Times New Roman" w:cs="Times New Roman"/>
                <w:color w:val="auto"/>
                <w:sz w:val="21"/>
                <w:szCs w:val="21"/>
                <w:highlight w:val="none"/>
              </w:rPr>
              <w:t>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rPr>
              <w:t>/a</w:t>
            </w:r>
            <w:r>
              <w:rPr>
                <w:rFonts w:hint="eastAsia" w:cs="宋体"/>
                <w:color w:val="auto"/>
                <w:sz w:val="21"/>
                <w:szCs w:val="21"/>
                <w:highlight w:val="none"/>
                <w:lang w:val="en-US" w:eastAsia="zh-CN"/>
              </w:rPr>
              <w:t>），纯水制备浓水、锅炉排污水总产生量76.04</w:t>
            </w:r>
            <w:r>
              <w:rPr>
                <w:rFonts w:hint="default" w:ascii="Times New Roman" w:hAnsi="Times New Roman" w:cs="Times New Roman"/>
                <w:color w:val="auto"/>
                <w:sz w:val="21"/>
                <w:szCs w:val="21"/>
                <w:highlight w:val="none"/>
              </w:rPr>
              <w:t>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rPr>
              <w:t>/</w:t>
            </w:r>
            <w:r>
              <w:rPr>
                <w:rFonts w:hint="default" w:ascii="Times New Roman" w:hAnsi="Times New Roman" w:cs="Times New Roman"/>
                <w:color w:val="auto"/>
                <w:sz w:val="21"/>
                <w:szCs w:val="21"/>
                <w:highlight w:val="none"/>
                <w:lang w:val="en-US" w:eastAsia="zh-CN"/>
              </w:rPr>
              <w:t>d</w:t>
            </w:r>
            <w:r>
              <w:rPr>
                <w:rFonts w:hint="eastAsia" w:cs="宋体"/>
                <w:color w:val="auto"/>
                <w:sz w:val="21"/>
                <w:szCs w:val="21"/>
                <w:highlight w:val="none"/>
                <w:lang w:val="en-US" w:eastAsia="zh-CN"/>
              </w:rPr>
              <w:t>（20758.07</w:t>
            </w:r>
            <w:r>
              <w:rPr>
                <w:rFonts w:hint="default" w:ascii="Times New Roman" w:hAnsi="Times New Roman" w:cs="Times New Roman"/>
                <w:color w:val="auto"/>
                <w:sz w:val="21"/>
                <w:szCs w:val="21"/>
                <w:highlight w:val="none"/>
              </w:rPr>
              <w:t>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rPr>
              <w:t>/a</w:t>
            </w:r>
            <w:r>
              <w:rPr>
                <w:rFonts w:hint="eastAsia" w:cs="宋体"/>
                <w:color w:val="auto"/>
                <w:sz w:val="21"/>
                <w:szCs w:val="21"/>
                <w:highlight w:val="none"/>
                <w:lang w:val="en-US" w:eastAsia="zh-CN"/>
              </w:rPr>
              <w:t>）.生活污水经化粪池处理后，原料清洗废水、洗瓶废水、CIP系统清洗废水经厂区污水站处理后与纯水制备浓水、锅炉排污水一起排入园区下水管网，</w:t>
            </w:r>
            <w:r>
              <w:rPr>
                <w:rFonts w:hint="eastAsia" w:ascii="Times New Roman" w:hAnsi="Times New Roman" w:eastAsia="宋体" w:cs="Times New Roman"/>
                <w:b w:val="0"/>
                <w:bCs w:val="0"/>
                <w:color w:val="auto"/>
                <w:sz w:val="21"/>
                <w:szCs w:val="21"/>
                <w:highlight w:val="none"/>
                <w:lang w:val="en-US" w:eastAsia="zh-CN"/>
              </w:rPr>
              <w:t>最终</w:t>
            </w:r>
            <w:r>
              <w:rPr>
                <w:rFonts w:hint="eastAsia" w:ascii="Times New Roman" w:hAnsi="Times New Roman" w:eastAsia="宋体" w:cs="Times New Roman"/>
                <w:b w:val="0"/>
                <w:bCs w:val="0"/>
                <w:color w:val="auto"/>
                <w:sz w:val="21"/>
                <w:szCs w:val="21"/>
                <w:highlight w:val="none"/>
                <w:lang w:eastAsia="zh-CN"/>
              </w:rPr>
              <w:t>进入</w:t>
            </w:r>
            <w:r>
              <w:rPr>
                <w:rFonts w:hint="eastAsia"/>
                <w:b w:val="0"/>
                <w:bCs w:val="0"/>
                <w:color w:val="auto"/>
                <w:sz w:val="21"/>
                <w:szCs w:val="21"/>
                <w:highlight w:val="none"/>
                <w:lang w:eastAsia="zh-CN"/>
              </w:rPr>
              <w:t>库尔勒经济技术开发区工业废水处理回用厂</w:t>
            </w:r>
            <w:r>
              <w:rPr>
                <w:rFonts w:hint="eastAsia"/>
                <w:b w:val="0"/>
                <w:bCs w:val="0"/>
                <w:color w:val="auto"/>
                <w:sz w:val="21"/>
                <w:szCs w:val="21"/>
                <w:highlight w:val="none"/>
                <w:lang w:val="en-US" w:eastAsia="zh-CN"/>
              </w:rPr>
              <w:t>深度处理</w:t>
            </w:r>
            <w:r>
              <w:rPr>
                <w:rFonts w:hint="eastAsia" w:ascii="Times New Roman" w:hAnsi="Times New Roman" w:eastAsia="宋体" w:cs="Times New Roman"/>
                <w:b w:val="0"/>
                <w:bCs w:val="0"/>
                <w:color w:val="auto"/>
                <w:sz w:val="21"/>
                <w:szCs w:val="21"/>
                <w:highlight w:val="none"/>
                <w:lang w:eastAsia="zh-CN"/>
              </w:rPr>
              <w:t>。</w:t>
            </w:r>
            <w:r>
              <w:rPr>
                <w:rFonts w:hint="eastAsia" w:cs="Times New Roman"/>
                <w:b w:val="0"/>
                <w:bCs w:val="0"/>
                <w:color w:val="auto"/>
                <w:sz w:val="21"/>
                <w:szCs w:val="21"/>
                <w:highlight w:val="none"/>
                <w:lang w:val="en-US" w:eastAsia="zh-CN"/>
              </w:rPr>
              <w:t>外排废水排放浓度满足</w:t>
            </w:r>
            <w:r>
              <w:rPr>
                <w:rFonts w:hint="default" w:ascii="Times New Roman" w:hAnsi="Times New Roman" w:cs="Times New Roman"/>
                <w:color w:val="auto"/>
                <w:kern w:val="0"/>
                <w:sz w:val="21"/>
                <w:szCs w:val="21"/>
                <w:highlight w:val="none"/>
              </w:rPr>
              <w:t>《污水综合排放标准》（GB8978-1996）三级标准</w:t>
            </w:r>
            <w:r>
              <w:rPr>
                <w:rFonts w:hint="eastAsia" w:cs="Times New Roman"/>
                <w:color w:val="auto"/>
                <w:kern w:val="0"/>
                <w:sz w:val="21"/>
                <w:szCs w:val="21"/>
                <w:highlight w:val="none"/>
                <w:lang w:val="en-US" w:eastAsia="zh-CN"/>
              </w:rPr>
              <w:t>要求</w:t>
            </w:r>
            <w:r>
              <w:rPr>
                <w:rFonts w:hint="eastAsia" w:ascii="Times New Roman" w:hAnsi="Times New Roman" w:cs="Times New Roman"/>
                <w:color w:val="auto"/>
                <w:kern w:val="0"/>
                <w:sz w:val="21"/>
                <w:szCs w:val="21"/>
                <w:highlight w:val="none"/>
                <w:lang w:eastAsia="zh-CN"/>
              </w:rPr>
              <w:t>。</w:t>
            </w:r>
          </w:p>
          <w:p>
            <w:pPr>
              <w:keepNext w:val="0"/>
              <w:keepLines w:val="0"/>
              <w:pageBreakBefore w:val="0"/>
              <w:widowControl/>
              <w:suppressLineNumbers w:val="0"/>
              <w:kinsoku/>
              <w:wordWrap/>
              <w:overflowPunct/>
              <w:topLinePunct w:val="0"/>
              <w:bidi w:val="0"/>
              <w:snapToGrid/>
              <w:spacing w:before="0" w:beforeAutospacing="0" w:after="0" w:afterAutospacing="0" w:line="360" w:lineRule="auto"/>
              <w:ind w:left="0" w:right="0" w:firstLine="422" w:firstLineChars="200"/>
              <w:jc w:val="left"/>
              <w:textAlignment w:val="auto"/>
              <w:rPr>
                <w:rFonts w:hint="eastAsia" w:cs="宋体"/>
                <w:b/>
                <w:bCs w:val="0"/>
                <w:color w:val="auto"/>
                <w:sz w:val="21"/>
                <w:szCs w:val="21"/>
                <w:highlight w:val="none"/>
                <w:lang w:val="en-US" w:eastAsia="zh-CN"/>
              </w:rPr>
            </w:pPr>
            <w:r>
              <w:rPr>
                <w:rFonts w:hint="eastAsia" w:cs="宋体"/>
                <w:b/>
                <w:bCs w:val="0"/>
                <w:color w:val="auto"/>
                <w:sz w:val="21"/>
                <w:szCs w:val="21"/>
                <w:highlight w:val="none"/>
                <w:lang w:val="en-US" w:eastAsia="zh-CN"/>
              </w:rPr>
              <w:t>2.2废水影响分析及污染防治措施可行性分析</w:t>
            </w:r>
          </w:p>
          <w:p>
            <w:pPr>
              <w:keepNext w:val="0"/>
              <w:keepLines w:val="0"/>
              <w:pageBreakBefore w:val="0"/>
              <w:widowControl/>
              <w:suppressLineNumbers w:val="0"/>
              <w:kinsoku/>
              <w:wordWrap/>
              <w:overflowPunct/>
              <w:topLinePunct w:val="0"/>
              <w:bidi w:val="0"/>
              <w:snapToGrid/>
              <w:spacing w:before="0" w:beforeAutospacing="0" w:after="0" w:afterAutospacing="0" w:line="360" w:lineRule="auto"/>
              <w:ind w:left="0" w:right="0" w:firstLine="420" w:firstLineChars="200"/>
              <w:jc w:val="left"/>
              <w:textAlignment w:val="auto"/>
              <w:rPr>
                <w:rFonts w:hint="eastAsia" w:cs="Times New Roman"/>
                <w:color w:val="auto"/>
                <w:highlight w:val="none"/>
                <w:lang w:val="en-US" w:eastAsia="zh-CN"/>
              </w:rPr>
            </w:pPr>
            <w:r>
              <w:rPr>
                <w:rFonts w:hint="eastAsia" w:cs="Times New Roman"/>
                <w:b w:val="0"/>
                <w:bCs w:val="0"/>
                <w:color w:val="auto"/>
                <w:sz w:val="21"/>
                <w:szCs w:val="21"/>
                <w:highlight w:val="none"/>
                <w:lang w:val="en-US" w:eastAsia="zh-CN"/>
              </w:rPr>
              <w:t>为处理本项目产生的</w:t>
            </w:r>
            <w:r>
              <w:rPr>
                <w:rFonts w:hint="eastAsia" w:cs="宋体"/>
                <w:color w:val="auto"/>
                <w:sz w:val="21"/>
                <w:szCs w:val="21"/>
                <w:highlight w:val="none"/>
                <w:lang w:val="en-US" w:eastAsia="zh-CN"/>
              </w:rPr>
              <w:t>原料清洗废水、洗瓶废水、CIP系统清洗废水</w:t>
            </w:r>
            <w:r>
              <w:rPr>
                <w:rFonts w:hint="eastAsia" w:cs="Times New Roman"/>
                <w:b w:val="0"/>
                <w:bCs w:val="0"/>
                <w:color w:val="auto"/>
                <w:sz w:val="21"/>
                <w:szCs w:val="21"/>
                <w:highlight w:val="none"/>
                <w:lang w:val="en-US" w:eastAsia="zh-CN"/>
              </w:rPr>
              <w:t>，建设单位拟在在厂区内建设1座污水处理站，处理能力为30</w:t>
            </w:r>
            <w:r>
              <w:rPr>
                <w:rFonts w:hint="default" w:ascii="Times New Roman" w:hAnsi="Times New Roman" w:cs="Times New Roman"/>
                <w:color w:val="auto"/>
                <w:highlight w:val="none"/>
              </w:rPr>
              <w:t>m</w:t>
            </w:r>
            <w:r>
              <w:rPr>
                <w:rFonts w:hint="default" w:ascii="Times New Roman" w:hAnsi="Times New Roman" w:cs="Times New Roman"/>
                <w:color w:val="auto"/>
                <w:highlight w:val="none"/>
                <w:vertAlign w:val="superscript"/>
              </w:rPr>
              <w:t>3</w:t>
            </w:r>
            <w:r>
              <w:rPr>
                <w:rFonts w:hint="default" w:ascii="Times New Roman" w:hAnsi="Times New Roman" w:cs="Times New Roman"/>
                <w:color w:val="auto"/>
                <w:highlight w:val="none"/>
              </w:rPr>
              <w:t>/d</w:t>
            </w:r>
            <w:r>
              <w:rPr>
                <w:rFonts w:hint="eastAsia" w:cs="Times New Roman"/>
                <w:color w:val="auto"/>
                <w:highlight w:val="none"/>
                <w:lang w:eastAsia="zh-CN"/>
              </w:rPr>
              <w:t>，</w:t>
            </w:r>
            <w:r>
              <w:rPr>
                <w:rFonts w:hint="eastAsia" w:cs="Times New Roman"/>
                <w:color w:val="auto"/>
                <w:highlight w:val="none"/>
                <w:lang w:val="en-US" w:eastAsia="zh-CN"/>
              </w:rPr>
              <w:t>采用“格栅-调节池-厌氧池-好氧池-二沉池-过滤池-清水池”污水处理工艺，污水站具体处理工艺流程见图4-1。</w:t>
            </w:r>
          </w:p>
          <w:p>
            <w:pPr>
              <w:keepNext w:val="0"/>
              <w:keepLines w:val="0"/>
              <w:pageBreakBefore w:val="0"/>
              <w:widowControl/>
              <w:suppressLineNumbers w:val="0"/>
              <w:kinsoku/>
              <w:wordWrap/>
              <w:overflowPunct/>
              <w:topLinePunct w:val="0"/>
              <w:bidi w:val="0"/>
              <w:snapToGrid/>
              <w:spacing w:before="0" w:beforeAutospacing="0" w:after="0" w:afterAutospacing="0" w:line="360" w:lineRule="auto"/>
              <w:ind w:right="0"/>
              <w:jc w:val="left"/>
              <w:textAlignment w:val="auto"/>
              <w:rPr>
                <w:rFonts w:hint="default" w:cs="Times New Roman"/>
                <w:color w:val="auto"/>
                <w:highlight w:val="none"/>
                <w:lang w:val="en-US" w:eastAsia="zh-CN"/>
              </w:rPr>
            </w:pPr>
            <w:r>
              <w:rPr>
                <w:rFonts w:hint="default" w:cs="Times New Roman"/>
                <w:color w:val="auto"/>
                <w:highlight w:val="none"/>
                <w:lang w:val="en-US" w:eastAsia="zh-CN"/>
              </w:rPr>
              <w:drawing>
                <wp:inline distT="0" distB="0" distL="114300" distR="114300">
                  <wp:extent cx="5095875" cy="952500"/>
                  <wp:effectExtent l="0" t="0" r="9525" b="0"/>
                  <wp:docPr id="4" name="图片 4" descr="污水处理工艺"/>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4" descr="污水处理工艺"/>
                          <pic:cNvPicPr>
                            <a:picLocks noChangeAspect="1"/>
                          </pic:cNvPicPr>
                        </pic:nvPicPr>
                        <pic:blipFill>
                          <a:blip r:embed="rId21"/>
                          <a:stretch>
                            <a:fillRect/>
                          </a:stretch>
                        </pic:blipFill>
                        <pic:spPr>
                          <a:xfrm>
                            <a:off x="0" y="0"/>
                            <a:ext cx="5095875" cy="952500"/>
                          </a:xfrm>
                          <a:prstGeom prst="rect">
                            <a:avLst/>
                          </a:prstGeom>
                        </pic:spPr>
                      </pic:pic>
                    </a:graphicData>
                  </a:graphic>
                </wp:inline>
              </w:drawing>
            </w:r>
          </w:p>
          <w:p>
            <w:pPr>
              <w:keepNext w:val="0"/>
              <w:keepLines w:val="0"/>
              <w:pageBreakBefore w:val="0"/>
              <w:widowControl/>
              <w:suppressLineNumbers w:val="0"/>
              <w:kinsoku/>
              <w:wordWrap/>
              <w:overflowPunct/>
              <w:topLinePunct w:val="0"/>
              <w:bidi w:val="0"/>
              <w:snapToGrid/>
              <w:spacing w:before="0" w:beforeAutospacing="0" w:after="0" w:afterAutospacing="0" w:line="360" w:lineRule="auto"/>
              <w:ind w:right="0"/>
              <w:jc w:val="center"/>
              <w:textAlignment w:val="auto"/>
              <w:rPr>
                <w:rFonts w:hint="eastAsia" w:cs="Times New Roman"/>
                <w:b/>
                <w:bCs/>
                <w:color w:val="auto"/>
                <w:highlight w:val="none"/>
                <w:lang w:val="en-US" w:eastAsia="zh-CN"/>
              </w:rPr>
            </w:pPr>
            <w:r>
              <w:rPr>
                <w:rFonts w:hint="eastAsia" w:cs="Times New Roman"/>
                <w:b/>
                <w:bCs/>
                <w:color w:val="auto"/>
                <w:highlight w:val="none"/>
                <w:lang w:val="en-US" w:eastAsia="zh-CN"/>
              </w:rPr>
              <w:t>图4-1 本项目污水处理工艺流程图</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firstLine="420" w:firstLineChars="200"/>
              <w:jc w:val="left"/>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①污水处理站各单元介绍</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firstLine="420" w:firstLineChars="200"/>
              <w:jc w:val="both"/>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格栅：拦截废水中大块漂浮物、果渣、果皮、纤维、泥沙团等大颗粒杂质；防止后续水泵、管道、阀门堵塞，保护厌氧、好氧生化系统稳定运行；减轻后续调节池、生化池的悬浮物负荷。本项目设置格栅专门去除鲜果清洗带来的大量果渣、泥沙等固态杂质。</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firstLine="420" w:firstLineChars="200"/>
              <w:jc w:val="both"/>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调节池：均衡生产时段性排水造成的水量、水质波动，调节废水pH，为厌氧、好氧微生物提供适宜环境，同时初步沉淀部分泥沙，减轻后续单元负荷。</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firstLine="420" w:firstLineChars="200"/>
              <w:jc w:val="both"/>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厌氧池：在无氧条件下，利用厌氧微生物将高浓度有机物（果胶、糖类）分解为甲烷、二氧化碳；大幅降低COD负荷（去除率60%～75%），显著减轻后续好氧池负担；耐有机负荷高，运行能耗低，适合食品类高浓度易生化废水。本项目设置厌氧池可高效降解鲜果清洗、CIP带来的高有机物，是降COD的主力单元。</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firstLine="420" w:firstLineChars="200"/>
              <w:jc w:val="both"/>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好氧池：好氧微生物彻底降解残余COD、BOD</w:t>
            </w:r>
            <w:r>
              <w:rPr>
                <w:rFonts w:hint="eastAsia" w:cs="Times New Roman"/>
                <w:b w:val="0"/>
                <w:bCs w:val="0"/>
                <w:color w:val="auto"/>
                <w:sz w:val="21"/>
                <w:szCs w:val="21"/>
                <w:highlight w:val="none"/>
                <w:vertAlign w:val="subscript"/>
                <w:lang w:val="en-US" w:eastAsia="zh-CN"/>
              </w:rPr>
              <w:t>5</w:t>
            </w:r>
            <w:r>
              <w:rPr>
                <w:rFonts w:hint="eastAsia" w:cs="Times New Roman"/>
                <w:b w:val="0"/>
                <w:bCs w:val="0"/>
                <w:color w:val="auto"/>
                <w:sz w:val="21"/>
                <w:szCs w:val="21"/>
                <w:highlight w:val="none"/>
                <w:lang w:val="en-US" w:eastAsia="zh-CN"/>
              </w:rPr>
              <w:t>；同时对氨氮进行硝化，进一步净化水质；好氧处理是出水达标排放的核心深度处理单元。</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firstLine="420" w:firstLineChars="200"/>
              <w:jc w:val="both"/>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二沉池：实现泥水分离，将好氧池出水的活性污泥沉降分离；污泥回流至好氧池，维持生化系统菌群浓度；排出剩余污泥，保证出水澄清。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firstLine="420" w:firstLineChars="200"/>
              <w:jc w:val="both"/>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过滤池：去除二沉池出水中未沉降的细小悬浮物、胶体、生物絮体；降低出水浊度，进一步提升出水水质；为后续回用或稳定外排提供保障。</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firstLine="420" w:firstLineChars="200"/>
              <w:jc w:val="left"/>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②设计进出水水质</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firstLine="420" w:firstLineChars="200"/>
              <w:jc w:val="left"/>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厂区污水处理站设计进出水水质见下表。</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eastAsia" w:cs="Times New Roman"/>
                <w:b/>
                <w:bCs/>
                <w:color w:val="auto"/>
                <w:sz w:val="21"/>
                <w:szCs w:val="21"/>
                <w:highlight w:val="none"/>
                <w:lang w:val="en-US" w:eastAsia="zh-CN"/>
              </w:rPr>
            </w:pPr>
            <w:r>
              <w:rPr>
                <w:rFonts w:hint="eastAsia" w:cs="Times New Roman"/>
                <w:b/>
                <w:bCs/>
                <w:color w:val="auto"/>
                <w:sz w:val="21"/>
                <w:szCs w:val="21"/>
                <w:highlight w:val="none"/>
                <w:lang w:val="en-US" w:eastAsia="zh-CN"/>
              </w:rPr>
              <w:t>表4-5 厂区污水处理站设计进出水水质要求（单位：mg/L）</w:t>
            </w:r>
          </w:p>
          <w:tbl>
            <w:tblPr>
              <w:tblStyle w:val="22"/>
              <w:tblW w:w="8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03"/>
              <w:gridCol w:w="804"/>
              <w:gridCol w:w="804"/>
              <w:gridCol w:w="804"/>
              <w:gridCol w:w="804"/>
              <w:gridCol w:w="804"/>
              <w:gridCol w:w="804"/>
              <w:gridCol w:w="804"/>
              <w:gridCol w:w="804"/>
              <w:gridCol w:w="8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0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default" w:cs="Times New Roman"/>
                      <w:b w:val="0"/>
                      <w:bCs w:val="0"/>
                      <w:color w:val="auto"/>
                      <w:sz w:val="21"/>
                      <w:szCs w:val="21"/>
                      <w:highlight w:val="none"/>
                      <w:vertAlign w:val="baseline"/>
                      <w:lang w:val="en-US" w:eastAsia="zh-CN"/>
                    </w:rPr>
                  </w:pPr>
                  <w:r>
                    <w:rPr>
                      <w:rFonts w:hint="eastAsia" w:cs="Times New Roman"/>
                      <w:b w:val="0"/>
                      <w:bCs w:val="0"/>
                      <w:color w:val="auto"/>
                      <w:sz w:val="21"/>
                      <w:szCs w:val="21"/>
                      <w:highlight w:val="none"/>
                      <w:vertAlign w:val="baseline"/>
                      <w:lang w:val="en-US" w:eastAsia="zh-CN"/>
                    </w:rPr>
                    <w:t>项目</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default" w:cs="Times New Roman"/>
                      <w:b w:val="0"/>
                      <w:bCs w:val="0"/>
                      <w:color w:val="auto"/>
                      <w:sz w:val="21"/>
                      <w:szCs w:val="21"/>
                      <w:highlight w:val="none"/>
                      <w:vertAlign w:val="baseline"/>
                      <w:lang w:val="en-US" w:eastAsia="zh-CN"/>
                    </w:rPr>
                  </w:pPr>
                  <w:r>
                    <w:rPr>
                      <w:rFonts w:hint="eastAsia" w:cs="Times New Roman"/>
                      <w:b w:val="0"/>
                      <w:bCs w:val="0"/>
                      <w:color w:val="auto"/>
                      <w:sz w:val="21"/>
                      <w:szCs w:val="21"/>
                      <w:highlight w:val="none"/>
                      <w:vertAlign w:val="baseline"/>
                      <w:lang w:val="en-US" w:eastAsia="zh-CN"/>
                    </w:rPr>
                    <w:t>pH</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default" w:cs="Times New Roman"/>
                      <w:b w:val="0"/>
                      <w:bCs w:val="0"/>
                      <w:color w:val="auto"/>
                      <w:sz w:val="21"/>
                      <w:szCs w:val="21"/>
                      <w:highlight w:val="none"/>
                      <w:vertAlign w:val="baseline"/>
                      <w:lang w:val="en-US" w:eastAsia="zh-CN"/>
                    </w:rPr>
                  </w:pPr>
                  <w:r>
                    <w:rPr>
                      <w:rFonts w:hint="eastAsia" w:cs="Times New Roman"/>
                      <w:b w:val="0"/>
                      <w:bCs w:val="0"/>
                      <w:color w:val="auto"/>
                      <w:sz w:val="21"/>
                      <w:szCs w:val="21"/>
                      <w:highlight w:val="none"/>
                      <w:vertAlign w:val="baseline"/>
                      <w:lang w:val="en-US" w:eastAsia="zh-CN"/>
                    </w:rPr>
                    <w:t>COD</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default" w:cs="Times New Roman"/>
                      <w:b w:val="0"/>
                      <w:bCs w:val="0"/>
                      <w:color w:val="auto"/>
                      <w:sz w:val="21"/>
                      <w:szCs w:val="21"/>
                      <w:highlight w:val="none"/>
                      <w:vertAlign w:val="baseline"/>
                      <w:lang w:val="en-US" w:eastAsia="zh-CN"/>
                    </w:rPr>
                  </w:pPr>
                  <w:r>
                    <w:rPr>
                      <w:rFonts w:hint="eastAsia" w:cs="Times New Roman"/>
                      <w:b w:val="0"/>
                      <w:bCs w:val="0"/>
                      <w:color w:val="auto"/>
                      <w:sz w:val="21"/>
                      <w:szCs w:val="21"/>
                      <w:highlight w:val="none"/>
                      <w:vertAlign w:val="baseline"/>
                      <w:lang w:val="en-US" w:eastAsia="zh-CN"/>
                    </w:rPr>
                    <w:t>BOD</w:t>
                  </w:r>
                  <w:r>
                    <w:rPr>
                      <w:rFonts w:hint="eastAsia" w:cs="Times New Roman"/>
                      <w:b w:val="0"/>
                      <w:bCs w:val="0"/>
                      <w:color w:val="auto"/>
                      <w:sz w:val="21"/>
                      <w:szCs w:val="21"/>
                      <w:highlight w:val="none"/>
                      <w:vertAlign w:val="subscript"/>
                      <w:lang w:val="en-US" w:eastAsia="zh-CN"/>
                    </w:rPr>
                    <w:t>5</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default" w:cs="Times New Roman"/>
                      <w:b w:val="0"/>
                      <w:bCs w:val="0"/>
                      <w:color w:val="auto"/>
                      <w:sz w:val="21"/>
                      <w:szCs w:val="21"/>
                      <w:highlight w:val="none"/>
                      <w:vertAlign w:val="baseline"/>
                      <w:lang w:val="en-US" w:eastAsia="zh-CN"/>
                    </w:rPr>
                  </w:pPr>
                  <w:r>
                    <w:rPr>
                      <w:rFonts w:hint="eastAsia" w:cs="Times New Roman"/>
                      <w:b w:val="0"/>
                      <w:bCs w:val="0"/>
                      <w:color w:val="auto"/>
                      <w:sz w:val="21"/>
                      <w:szCs w:val="21"/>
                      <w:highlight w:val="none"/>
                      <w:vertAlign w:val="baseline"/>
                      <w:lang w:val="en-US" w:eastAsia="zh-CN"/>
                    </w:rPr>
                    <w:t>SS</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default" w:cs="Times New Roman"/>
                      <w:b w:val="0"/>
                      <w:bCs w:val="0"/>
                      <w:color w:val="auto"/>
                      <w:sz w:val="21"/>
                      <w:szCs w:val="21"/>
                      <w:highlight w:val="none"/>
                      <w:vertAlign w:val="baseline"/>
                      <w:lang w:val="en-US" w:eastAsia="zh-CN"/>
                    </w:rPr>
                  </w:pPr>
                  <w:r>
                    <w:rPr>
                      <w:rFonts w:hint="eastAsia" w:cs="Times New Roman"/>
                      <w:b w:val="0"/>
                      <w:bCs w:val="0"/>
                      <w:color w:val="auto"/>
                      <w:sz w:val="21"/>
                      <w:szCs w:val="21"/>
                      <w:highlight w:val="none"/>
                      <w:vertAlign w:val="baseline"/>
                      <w:lang w:val="en-US" w:eastAsia="zh-CN"/>
                    </w:rPr>
                    <w:t>氨氮</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default" w:cs="Times New Roman"/>
                      <w:b w:val="0"/>
                      <w:bCs w:val="0"/>
                      <w:color w:val="auto"/>
                      <w:sz w:val="21"/>
                      <w:szCs w:val="21"/>
                      <w:highlight w:val="none"/>
                      <w:vertAlign w:val="baseline"/>
                      <w:lang w:val="en-US" w:eastAsia="zh-CN"/>
                    </w:rPr>
                  </w:pPr>
                  <w:r>
                    <w:rPr>
                      <w:rFonts w:hint="eastAsia" w:cs="Times New Roman"/>
                      <w:b w:val="0"/>
                      <w:bCs w:val="0"/>
                      <w:color w:val="auto"/>
                      <w:sz w:val="21"/>
                      <w:szCs w:val="21"/>
                      <w:highlight w:val="none"/>
                      <w:vertAlign w:val="baseline"/>
                      <w:lang w:val="en-US" w:eastAsia="zh-CN"/>
                    </w:rPr>
                    <w:t>总氮</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default" w:cs="Times New Roman"/>
                      <w:b w:val="0"/>
                      <w:bCs w:val="0"/>
                      <w:color w:val="auto"/>
                      <w:sz w:val="21"/>
                      <w:szCs w:val="21"/>
                      <w:highlight w:val="none"/>
                      <w:vertAlign w:val="baseline"/>
                      <w:lang w:val="en-US" w:eastAsia="zh-CN"/>
                    </w:rPr>
                  </w:pPr>
                  <w:r>
                    <w:rPr>
                      <w:rFonts w:hint="eastAsia" w:cs="Times New Roman"/>
                      <w:b w:val="0"/>
                      <w:bCs w:val="0"/>
                      <w:color w:val="auto"/>
                      <w:sz w:val="21"/>
                      <w:szCs w:val="21"/>
                      <w:highlight w:val="none"/>
                      <w:vertAlign w:val="baseline"/>
                      <w:lang w:val="en-US" w:eastAsia="zh-CN"/>
                    </w:rPr>
                    <w:t>总磷</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default" w:cs="Times New Roman"/>
                      <w:b w:val="0"/>
                      <w:bCs w:val="0"/>
                      <w:color w:val="auto"/>
                      <w:sz w:val="21"/>
                      <w:szCs w:val="21"/>
                      <w:highlight w:val="none"/>
                      <w:vertAlign w:val="baseline"/>
                      <w:lang w:val="en-US" w:eastAsia="zh-CN"/>
                    </w:rPr>
                  </w:pPr>
                  <w:r>
                    <w:rPr>
                      <w:rFonts w:hint="eastAsia" w:cs="Times New Roman"/>
                      <w:b w:val="0"/>
                      <w:bCs w:val="0"/>
                      <w:color w:val="auto"/>
                      <w:sz w:val="21"/>
                      <w:szCs w:val="21"/>
                      <w:highlight w:val="none"/>
                      <w:vertAlign w:val="baseline"/>
                      <w:lang w:val="en-US" w:eastAsia="zh-CN"/>
                    </w:rPr>
                    <w:t>溶解性总固体</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default" w:cs="Times New Roman"/>
                      <w:b w:val="0"/>
                      <w:bCs w:val="0"/>
                      <w:color w:val="auto"/>
                      <w:sz w:val="21"/>
                      <w:szCs w:val="21"/>
                      <w:highlight w:val="none"/>
                      <w:vertAlign w:val="baseline"/>
                      <w:lang w:val="en-US" w:eastAsia="zh-CN"/>
                    </w:rPr>
                  </w:pPr>
                  <w:r>
                    <w:rPr>
                      <w:rFonts w:hint="eastAsia" w:cs="Times New Roman"/>
                      <w:b w:val="0"/>
                      <w:bCs w:val="0"/>
                      <w:color w:val="auto"/>
                      <w:sz w:val="21"/>
                      <w:szCs w:val="21"/>
                      <w:highlight w:val="none"/>
                      <w:vertAlign w:val="baseline"/>
                      <w:lang w:val="en-US" w:eastAsia="zh-CN"/>
                    </w:rPr>
                    <w:t>LAS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0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default" w:cs="Times New Roman"/>
                      <w:b w:val="0"/>
                      <w:bCs w:val="0"/>
                      <w:color w:val="auto"/>
                      <w:sz w:val="21"/>
                      <w:szCs w:val="21"/>
                      <w:highlight w:val="none"/>
                      <w:vertAlign w:val="baseline"/>
                      <w:lang w:val="en-US" w:eastAsia="zh-CN"/>
                    </w:rPr>
                  </w:pPr>
                  <w:r>
                    <w:rPr>
                      <w:rFonts w:hint="eastAsia" w:cs="Times New Roman"/>
                      <w:b w:val="0"/>
                      <w:bCs w:val="0"/>
                      <w:color w:val="auto"/>
                      <w:sz w:val="21"/>
                      <w:szCs w:val="21"/>
                      <w:highlight w:val="none"/>
                      <w:vertAlign w:val="baseline"/>
                      <w:lang w:val="en-US" w:eastAsia="zh-CN"/>
                    </w:rPr>
                    <w:t>进水水质</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default" w:cs="Times New Roman"/>
                      <w:b w:val="0"/>
                      <w:bCs w:val="0"/>
                      <w:color w:val="auto"/>
                      <w:sz w:val="21"/>
                      <w:szCs w:val="21"/>
                      <w:highlight w:val="none"/>
                      <w:vertAlign w:val="baseline"/>
                      <w:lang w:val="en-US" w:eastAsia="zh-CN"/>
                    </w:rPr>
                  </w:pPr>
                  <w:r>
                    <w:rPr>
                      <w:rFonts w:hint="eastAsia" w:cs="Times New Roman"/>
                      <w:b w:val="0"/>
                      <w:bCs w:val="0"/>
                      <w:color w:val="auto"/>
                      <w:sz w:val="21"/>
                      <w:szCs w:val="21"/>
                      <w:highlight w:val="none"/>
                      <w:vertAlign w:val="baseline"/>
                      <w:lang w:val="en-US" w:eastAsia="zh-CN"/>
                    </w:rPr>
                    <w:t>6-9</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default" w:cs="Times New Roman"/>
                      <w:b w:val="0"/>
                      <w:bCs w:val="0"/>
                      <w:color w:val="auto"/>
                      <w:sz w:val="21"/>
                      <w:szCs w:val="21"/>
                      <w:highlight w:val="none"/>
                      <w:vertAlign w:val="baseline"/>
                      <w:lang w:val="en-US" w:eastAsia="zh-CN"/>
                    </w:rPr>
                  </w:pPr>
                  <w:r>
                    <w:rPr>
                      <w:rFonts w:hint="eastAsia" w:cs="Times New Roman"/>
                      <w:b w:val="0"/>
                      <w:bCs w:val="0"/>
                      <w:color w:val="auto"/>
                      <w:sz w:val="21"/>
                      <w:szCs w:val="21"/>
                      <w:highlight w:val="none"/>
                      <w:vertAlign w:val="baseline"/>
                      <w:lang w:val="en-US" w:eastAsia="zh-CN"/>
                    </w:rPr>
                    <w:t>5000</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default" w:cs="Times New Roman"/>
                      <w:b w:val="0"/>
                      <w:bCs w:val="0"/>
                      <w:color w:val="auto"/>
                      <w:sz w:val="21"/>
                      <w:szCs w:val="21"/>
                      <w:highlight w:val="none"/>
                      <w:vertAlign w:val="baseline"/>
                      <w:lang w:val="en-US" w:eastAsia="zh-CN"/>
                    </w:rPr>
                  </w:pPr>
                  <w:r>
                    <w:rPr>
                      <w:rFonts w:hint="eastAsia" w:cs="Times New Roman"/>
                      <w:b w:val="0"/>
                      <w:bCs w:val="0"/>
                      <w:color w:val="auto"/>
                      <w:sz w:val="21"/>
                      <w:szCs w:val="21"/>
                      <w:highlight w:val="none"/>
                      <w:vertAlign w:val="baseline"/>
                      <w:lang w:val="en-US" w:eastAsia="zh-CN"/>
                    </w:rPr>
                    <w:t>3000</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default" w:cs="Times New Roman"/>
                      <w:b w:val="0"/>
                      <w:bCs w:val="0"/>
                      <w:color w:val="auto"/>
                      <w:sz w:val="21"/>
                      <w:szCs w:val="21"/>
                      <w:highlight w:val="none"/>
                      <w:vertAlign w:val="baseline"/>
                      <w:lang w:val="en-US" w:eastAsia="zh-CN"/>
                    </w:rPr>
                  </w:pPr>
                  <w:r>
                    <w:rPr>
                      <w:rFonts w:hint="eastAsia" w:cs="Times New Roman"/>
                      <w:b w:val="0"/>
                      <w:bCs w:val="0"/>
                      <w:color w:val="auto"/>
                      <w:sz w:val="21"/>
                      <w:szCs w:val="21"/>
                      <w:highlight w:val="none"/>
                      <w:vertAlign w:val="baseline"/>
                      <w:lang w:val="en-US" w:eastAsia="zh-CN"/>
                    </w:rPr>
                    <w:t>2000</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default" w:cs="Times New Roman"/>
                      <w:b w:val="0"/>
                      <w:bCs w:val="0"/>
                      <w:color w:val="auto"/>
                      <w:sz w:val="21"/>
                      <w:szCs w:val="21"/>
                      <w:highlight w:val="none"/>
                      <w:vertAlign w:val="baseline"/>
                      <w:lang w:val="en-US" w:eastAsia="zh-CN"/>
                    </w:rPr>
                  </w:pPr>
                  <w:r>
                    <w:rPr>
                      <w:rFonts w:hint="eastAsia" w:cs="Times New Roman"/>
                      <w:b w:val="0"/>
                      <w:bCs w:val="0"/>
                      <w:color w:val="auto"/>
                      <w:sz w:val="21"/>
                      <w:szCs w:val="21"/>
                      <w:highlight w:val="none"/>
                      <w:vertAlign w:val="baseline"/>
                      <w:lang w:val="en-US" w:eastAsia="zh-CN"/>
                    </w:rPr>
                    <w:t>50</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default" w:cs="Times New Roman"/>
                      <w:b w:val="0"/>
                      <w:bCs w:val="0"/>
                      <w:color w:val="auto"/>
                      <w:sz w:val="21"/>
                      <w:szCs w:val="21"/>
                      <w:highlight w:val="none"/>
                      <w:vertAlign w:val="baseline"/>
                      <w:lang w:val="en-US" w:eastAsia="zh-CN"/>
                    </w:rPr>
                  </w:pPr>
                  <w:r>
                    <w:rPr>
                      <w:rFonts w:hint="eastAsia" w:cs="Times New Roman"/>
                      <w:b w:val="0"/>
                      <w:bCs w:val="0"/>
                      <w:color w:val="auto"/>
                      <w:sz w:val="21"/>
                      <w:szCs w:val="21"/>
                      <w:highlight w:val="none"/>
                      <w:vertAlign w:val="baseline"/>
                      <w:lang w:val="en-US" w:eastAsia="zh-CN"/>
                    </w:rPr>
                    <w:t>70</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default" w:cs="Times New Roman"/>
                      <w:b w:val="0"/>
                      <w:bCs w:val="0"/>
                      <w:color w:val="auto"/>
                      <w:sz w:val="21"/>
                      <w:szCs w:val="21"/>
                      <w:highlight w:val="none"/>
                      <w:vertAlign w:val="baseline"/>
                      <w:lang w:val="en-US" w:eastAsia="zh-CN"/>
                    </w:rPr>
                  </w:pPr>
                  <w:r>
                    <w:rPr>
                      <w:rFonts w:hint="eastAsia" w:cs="Times New Roman"/>
                      <w:b w:val="0"/>
                      <w:bCs w:val="0"/>
                      <w:color w:val="auto"/>
                      <w:sz w:val="21"/>
                      <w:szCs w:val="21"/>
                      <w:highlight w:val="none"/>
                      <w:vertAlign w:val="baseline"/>
                      <w:lang w:val="en-US" w:eastAsia="zh-CN"/>
                    </w:rPr>
                    <w:t>5</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default" w:ascii="Times New Roman" w:hAnsi="Times New Roman" w:eastAsia="宋体"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1200</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default" w:ascii="Times New Roman" w:hAnsi="Times New Roman" w:eastAsia="宋体"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803"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default" w:cs="Times New Roman"/>
                      <w:b w:val="0"/>
                      <w:bCs w:val="0"/>
                      <w:color w:val="auto"/>
                      <w:sz w:val="21"/>
                      <w:szCs w:val="21"/>
                      <w:highlight w:val="none"/>
                      <w:vertAlign w:val="baseline"/>
                      <w:lang w:val="en-US" w:eastAsia="zh-CN"/>
                    </w:rPr>
                  </w:pPr>
                  <w:r>
                    <w:rPr>
                      <w:rFonts w:hint="eastAsia" w:cs="Times New Roman"/>
                      <w:b w:val="0"/>
                      <w:bCs w:val="0"/>
                      <w:color w:val="auto"/>
                      <w:sz w:val="21"/>
                      <w:szCs w:val="21"/>
                      <w:highlight w:val="none"/>
                      <w:vertAlign w:val="baseline"/>
                      <w:lang w:val="en-US" w:eastAsia="zh-CN"/>
                    </w:rPr>
                    <w:t>出水水质</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default" w:cs="Times New Roman"/>
                      <w:b w:val="0"/>
                      <w:bCs w:val="0"/>
                      <w:color w:val="auto"/>
                      <w:sz w:val="21"/>
                      <w:szCs w:val="21"/>
                      <w:highlight w:val="none"/>
                      <w:vertAlign w:val="baseline"/>
                      <w:lang w:val="en-US" w:eastAsia="zh-CN"/>
                    </w:rPr>
                  </w:pPr>
                  <w:r>
                    <w:rPr>
                      <w:rFonts w:hint="eastAsia" w:cs="Times New Roman"/>
                      <w:b w:val="0"/>
                      <w:bCs w:val="0"/>
                      <w:color w:val="auto"/>
                      <w:sz w:val="21"/>
                      <w:szCs w:val="21"/>
                      <w:highlight w:val="none"/>
                      <w:vertAlign w:val="baseline"/>
                      <w:lang w:val="en-US" w:eastAsia="zh-CN"/>
                    </w:rPr>
                    <w:t>6-9</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default" w:cs="Times New Roman"/>
                      <w:b w:val="0"/>
                      <w:bCs w:val="0"/>
                      <w:color w:val="auto"/>
                      <w:sz w:val="21"/>
                      <w:szCs w:val="21"/>
                      <w:highlight w:val="none"/>
                      <w:vertAlign w:val="baseline"/>
                      <w:lang w:val="en-US" w:eastAsia="zh-CN"/>
                    </w:rPr>
                  </w:pPr>
                  <w:r>
                    <w:rPr>
                      <w:rFonts w:hint="eastAsia" w:cs="Times New Roman"/>
                      <w:b w:val="0"/>
                      <w:bCs w:val="0"/>
                      <w:color w:val="auto"/>
                      <w:sz w:val="21"/>
                      <w:szCs w:val="21"/>
                      <w:highlight w:val="none"/>
                      <w:vertAlign w:val="baseline"/>
                      <w:lang w:val="en-US" w:eastAsia="zh-CN"/>
                    </w:rPr>
                    <w:t>500</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default" w:cs="Times New Roman"/>
                      <w:b w:val="0"/>
                      <w:bCs w:val="0"/>
                      <w:color w:val="auto"/>
                      <w:sz w:val="21"/>
                      <w:szCs w:val="21"/>
                      <w:highlight w:val="none"/>
                      <w:vertAlign w:val="baseline"/>
                      <w:lang w:val="en-US" w:eastAsia="zh-CN"/>
                    </w:rPr>
                  </w:pPr>
                  <w:r>
                    <w:rPr>
                      <w:rFonts w:hint="eastAsia" w:cs="Times New Roman"/>
                      <w:b w:val="0"/>
                      <w:bCs w:val="0"/>
                      <w:color w:val="auto"/>
                      <w:sz w:val="21"/>
                      <w:szCs w:val="21"/>
                      <w:highlight w:val="none"/>
                      <w:vertAlign w:val="baseline"/>
                      <w:lang w:val="en-US" w:eastAsia="zh-CN"/>
                    </w:rPr>
                    <w:t>300</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default" w:cs="Times New Roman"/>
                      <w:b w:val="0"/>
                      <w:bCs w:val="0"/>
                      <w:color w:val="auto"/>
                      <w:sz w:val="21"/>
                      <w:szCs w:val="21"/>
                      <w:highlight w:val="none"/>
                      <w:vertAlign w:val="baseline"/>
                      <w:lang w:val="en-US" w:eastAsia="zh-CN"/>
                    </w:rPr>
                  </w:pPr>
                  <w:r>
                    <w:rPr>
                      <w:rFonts w:hint="eastAsia" w:cs="Times New Roman"/>
                      <w:b w:val="0"/>
                      <w:bCs w:val="0"/>
                      <w:color w:val="auto"/>
                      <w:sz w:val="21"/>
                      <w:szCs w:val="21"/>
                      <w:highlight w:val="none"/>
                      <w:vertAlign w:val="baseline"/>
                      <w:lang w:val="en-US" w:eastAsia="zh-CN"/>
                    </w:rPr>
                    <w:t>250</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default" w:cs="Times New Roman"/>
                      <w:b w:val="0"/>
                      <w:bCs w:val="0"/>
                      <w:color w:val="auto"/>
                      <w:sz w:val="21"/>
                      <w:szCs w:val="21"/>
                      <w:highlight w:val="none"/>
                      <w:vertAlign w:val="baseline"/>
                      <w:lang w:val="en-US" w:eastAsia="zh-CN"/>
                    </w:rPr>
                  </w:pPr>
                  <w:r>
                    <w:rPr>
                      <w:rFonts w:hint="eastAsia" w:cs="Times New Roman"/>
                      <w:b w:val="0"/>
                      <w:bCs w:val="0"/>
                      <w:color w:val="auto"/>
                      <w:sz w:val="21"/>
                      <w:szCs w:val="21"/>
                      <w:highlight w:val="none"/>
                      <w:vertAlign w:val="baseline"/>
                      <w:lang w:val="en-US" w:eastAsia="zh-CN"/>
                    </w:rPr>
                    <w:t>40</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default" w:cs="Times New Roman"/>
                      <w:b w:val="0"/>
                      <w:bCs w:val="0"/>
                      <w:color w:val="auto"/>
                      <w:sz w:val="21"/>
                      <w:szCs w:val="21"/>
                      <w:highlight w:val="none"/>
                      <w:vertAlign w:val="baseline"/>
                      <w:lang w:val="en-US" w:eastAsia="zh-CN"/>
                    </w:rPr>
                  </w:pPr>
                  <w:r>
                    <w:rPr>
                      <w:rFonts w:hint="eastAsia" w:cs="Times New Roman"/>
                      <w:b w:val="0"/>
                      <w:bCs w:val="0"/>
                      <w:color w:val="auto"/>
                      <w:sz w:val="21"/>
                      <w:szCs w:val="21"/>
                      <w:highlight w:val="none"/>
                      <w:vertAlign w:val="baseline"/>
                      <w:lang w:val="en-US" w:eastAsia="zh-CN"/>
                    </w:rPr>
                    <w:t>60</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default" w:cs="Times New Roman"/>
                      <w:b w:val="0"/>
                      <w:bCs w:val="0"/>
                      <w:color w:val="auto"/>
                      <w:sz w:val="21"/>
                      <w:szCs w:val="21"/>
                      <w:highlight w:val="none"/>
                      <w:vertAlign w:val="baseline"/>
                      <w:lang w:val="en-US" w:eastAsia="zh-CN"/>
                    </w:rPr>
                  </w:pPr>
                  <w:r>
                    <w:rPr>
                      <w:rFonts w:hint="eastAsia" w:cs="Times New Roman"/>
                      <w:b w:val="0"/>
                      <w:bCs w:val="0"/>
                      <w:color w:val="auto"/>
                      <w:sz w:val="21"/>
                      <w:szCs w:val="21"/>
                      <w:highlight w:val="none"/>
                      <w:vertAlign w:val="baseline"/>
                      <w:lang w:val="en-US" w:eastAsia="zh-CN"/>
                    </w:rPr>
                    <w:t>4</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default" w:ascii="Times New Roman" w:hAnsi="Times New Roman" w:eastAsia="宋体"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1080</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default" w:ascii="Times New Roman" w:hAnsi="Times New Roman" w:eastAsia="宋体"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2.0</w:t>
                  </w:r>
                </w:p>
              </w:tc>
            </w:tr>
          </w:tbl>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firstLine="420" w:firstLineChars="200"/>
              <w:jc w:val="both"/>
              <w:textAlignment w:val="auto"/>
              <w:rPr>
                <w:rFonts w:hint="default"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③处理规模及效率</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firstLine="420" w:firstLineChars="200"/>
              <w:jc w:val="left"/>
              <w:textAlignment w:val="auto"/>
              <w:rPr>
                <w:rFonts w:hint="default"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项目厂区污水站设计处理能力为30m</w:t>
            </w:r>
            <w:r>
              <w:rPr>
                <w:rFonts w:hint="eastAsia" w:cs="Times New Roman"/>
                <w:b w:val="0"/>
                <w:bCs w:val="0"/>
                <w:color w:val="auto"/>
                <w:sz w:val="21"/>
                <w:szCs w:val="21"/>
                <w:highlight w:val="none"/>
                <w:vertAlign w:val="superscript"/>
                <w:lang w:val="en-US" w:eastAsia="zh-CN"/>
              </w:rPr>
              <w:t>3</w:t>
            </w:r>
            <w:r>
              <w:rPr>
                <w:rFonts w:hint="eastAsia" w:cs="Times New Roman"/>
                <w:b w:val="0"/>
                <w:bCs w:val="0"/>
                <w:color w:val="auto"/>
                <w:sz w:val="21"/>
                <w:szCs w:val="21"/>
                <w:highlight w:val="none"/>
                <w:lang w:val="en-US" w:eastAsia="zh-CN"/>
              </w:rPr>
              <w:t>/d，污水站个单元处理效率见下表。</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eastAsia" w:cs="Times New Roman"/>
                <w:b/>
                <w:bCs/>
                <w:color w:val="auto"/>
                <w:sz w:val="21"/>
                <w:szCs w:val="21"/>
                <w:highlight w:val="none"/>
                <w:lang w:val="en-US" w:eastAsia="zh-CN"/>
              </w:rPr>
            </w:pPr>
            <w:r>
              <w:rPr>
                <w:rFonts w:hint="eastAsia" w:cs="Times New Roman"/>
                <w:b/>
                <w:bCs/>
                <w:color w:val="auto"/>
                <w:sz w:val="21"/>
                <w:szCs w:val="21"/>
                <w:highlight w:val="none"/>
                <w:lang w:val="en-US" w:eastAsia="zh-CN"/>
              </w:rPr>
              <w:t>表4-6 厂区污水处理站各单元处理效果一览表（单位：mg/L）</w:t>
            </w:r>
          </w:p>
          <w:tbl>
            <w:tblPr>
              <w:tblStyle w:val="22"/>
              <w:tblW w:w="8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847"/>
              <w:gridCol w:w="867"/>
              <w:gridCol w:w="697"/>
              <w:gridCol w:w="804"/>
              <w:gridCol w:w="804"/>
              <w:gridCol w:w="804"/>
              <w:gridCol w:w="804"/>
              <w:gridCol w:w="804"/>
              <w:gridCol w:w="804"/>
              <w:gridCol w:w="80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trPr>
              <w:tc>
                <w:tcPr>
                  <w:tcW w:w="1714" w:type="dxa"/>
                  <w:gridSpan w:val="2"/>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环节</w:t>
                  </w:r>
                </w:p>
              </w:tc>
              <w:tc>
                <w:tcPr>
                  <w:tcW w:w="697"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COD</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SS</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BOD</w:t>
                  </w:r>
                  <w:r>
                    <w:rPr>
                      <w:rFonts w:hint="eastAsia" w:cs="宋体"/>
                      <w:bCs/>
                      <w:i w:val="0"/>
                      <w:iCs w:val="0"/>
                      <w:color w:val="auto"/>
                      <w:kern w:val="2"/>
                      <w:sz w:val="21"/>
                      <w:szCs w:val="21"/>
                      <w:highlight w:val="none"/>
                      <w:vertAlign w:val="subscript"/>
                      <w:lang w:val="en-US" w:eastAsia="zh-CN" w:bidi="ar-SA"/>
                    </w:rPr>
                    <w:t>5</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氨氮</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总氮</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总磷</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溶解性总固体</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LAS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847"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eastAsia"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格栅</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调节池</w:t>
                  </w:r>
                </w:p>
              </w:tc>
              <w:tc>
                <w:tcPr>
                  <w:tcW w:w="867"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进水</w:t>
                  </w:r>
                </w:p>
              </w:tc>
              <w:tc>
                <w:tcPr>
                  <w:tcW w:w="697"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3700</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1000</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2500</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25</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45</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3.0</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1000</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trPr>
              <w:tc>
                <w:tcPr>
                  <w:tcW w:w="847"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eastAsia" w:cs="宋体"/>
                      <w:bCs/>
                      <w:i w:val="0"/>
                      <w:iCs w:val="0"/>
                      <w:color w:val="auto"/>
                      <w:kern w:val="2"/>
                      <w:sz w:val="21"/>
                      <w:szCs w:val="21"/>
                      <w:highlight w:val="none"/>
                      <w:lang w:val="en-US" w:eastAsia="zh-CN" w:bidi="ar-SA"/>
                    </w:rPr>
                  </w:pPr>
                </w:p>
              </w:tc>
              <w:tc>
                <w:tcPr>
                  <w:tcW w:w="867"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eastAsia"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去除率</w:t>
                  </w:r>
                </w:p>
              </w:tc>
              <w:tc>
                <w:tcPr>
                  <w:tcW w:w="697"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5%</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20%</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5%</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10%</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trPr>
              <w:tc>
                <w:tcPr>
                  <w:tcW w:w="847"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eastAsia" w:cs="宋体"/>
                      <w:bCs/>
                      <w:i w:val="0"/>
                      <w:iCs w:val="0"/>
                      <w:color w:val="auto"/>
                      <w:kern w:val="2"/>
                      <w:sz w:val="21"/>
                      <w:szCs w:val="21"/>
                      <w:highlight w:val="none"/>
                      <w:lang w:val="en-US" w:eastAsia="zh-CN" w:bidi="ar-SA"/>
                    </w:rPr>
                  </w:pPr>
                </w:p>
              </w:tc>
              <w:tc>
                <w:tcPr>
                  <w:tcW w:w="867"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eastAsia"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出水</w:t>
                  </w:r>
                </w:p>
              </w:tc>
              <w:tc>
                <w:tcPr>
                  <w:tcW w:w="697"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3515</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800</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2375</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25</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45</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3.0</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900</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trPr>
              <w:tc>
                <w:tcPr>
                  <w:tcW w:w="847"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eastAsia"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厌氧池</w:t>
                  </w:r>
                </w:p>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好氧池</w:t>
                  </w:r>
                </w:p>
              </w:tc>
              <w:tc>
                <w:tcPr>
                  <w:tcW w:w="867"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进水</w:t>
                  </w:r>
                </w:p>
              </w:tc>
              <w:tc>
                <w:tcPr>
                  <w:tcW w:w="697"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3515</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800</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2375</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25</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45</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3.0</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900</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trPr>
              <w:tc>
                <w:tcPr>
                  <w:tcW w:w="847"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eastAsia" w:cs="宋体"/>
                      <w:bCs/>
                      <w:i w:val="0"/>
                      <w:iCs w:val="0"/>
                      <w:color w:val="auto"/>
                      <w:kern w:val="2"/>
                      <w:sz w:val="21"/>
                      <w:szCs w:val="21"/>
                      <w:highlight w:val="none"/>
                      <w:lang w:val="en-US" w:eastAsia="zh-CN" w:bidi="ar-SA"/>
                    </w:rPr>
                  </w:pPr>
                </w:p>
              </w:tc>
              <w:tc>
                <w:tcPr>
                  <w:tcW w:w="867"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eastAsia"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去除率</w:t>
                  </w:r>
                </w:p>
              </w:tc>
              <w:tc>
                <w:tcPr>
                  <w:tcW w:w="697"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89%</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20%</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89%</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50%</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50%</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20%</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80%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trPr>
              <w:tc>
                <w:tcPr>
                  <w:tcW w:w="847"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eastAsia" w:cs="宋体"/>
                      <w:bCs/>
                      <w:i w:val="0"/>
                      <w:iCs w:val="0"/>
                      <w:color w:val="auto"/>
                      <w:kern w:val="2"/>
                      <w:sz w:val="21"/>
                      <w:szCs w:val="21"/>
                      <w:highlight w:val="none"/>
                      <w:lang w:val="en-US" w:eastAsia="zh-CN" w:bidi="ar-SA"/>
                    </w:rPr>
                  </w:pPr>
                </w:p>
              </w:tc>
              <w:tc>
                <w:tcPr>
                  <w:tcW w:w="867"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eastAsia"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出水</w:t>
                  </w:r>
                </w:p>
              </w:tc>
              <w:tc>
                <w:tcPr>
                  <w:tcW w:w="697"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387</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640</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261</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12.5</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22.5</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2.4</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900</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trPr>
              <w:tc>
                <w:tcPr>
                  <w:tcW w:w="847"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二沉池过滤池</w:t>
                  </w:r>
                </w:p>
              </w:tc>
              <w:tc>
                <w:tcPr>
                  <w:tcW w:w="867"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进水</w:t>
                  </w:r>
                </w:p>
              </w:tc>
              <w:tc>
                <w:tcPr>
                  <w:tcW w:w="697"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387</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640</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261</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12.5</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22.5</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2.4</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900</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trPr>
              <w:tc>
                <w:tcPr>
                  <w:tcW w:w="847"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eastAsia" w:cs="宋体"/>
                      <w:bCs/>
                      <w:i w:val="0"/>
                      <w:iCs w:val="0"/>
                      <w:color w:val="auto"/>
                      <w:kern w:val="2"/>
                      <w:sz w:val="21"/>
                      <w:szCs w:val="21"/>
                      <w:highlight w:val="none"/>
                      <w:lang w:val="en-US" w:eastAsia="zh-CN" w:bidi="ar-SA"/>
                    </w:rPr>
                  </w:pPr>
                </w:p>
              </w:tc>
              <w:tc>
                <w:tcPr>
                  <w:tcW w:w="867"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eastAsia"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去除率</w:t>
                  </w:r>
                </w:p>
              </w:tc>
              <w:tc>
                <w:tcPr>
                  <w:tcW w:w="697"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80%</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eastAsia"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trPr>
              <w:tc>
                <w:tcPr>
                  <w:tcW w:w="847" w:type="dxa"/>
                  <w:vMerge w:val="continue"/>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eastAsia" w:cs="宋体"/>
                      <w:bCs/>
                      <w:i w:val="0"/>
                      <w:iCs w:val="0"/>
                      <w:color w:val="auto"/>
                      <w:kern w:val="2"/>
                      <w:sz w:val="21"/>
                      <w:szCs w:val="21"/>
                      <w:highlight w:val="none"/>
                      <w:lang w:val="en-US" w:eastAsia="zh-CN" w:bidi="ar-SA"/>
                    </w:rPr>
                  </w:pPr>
                </w:p>
              </w:tc>
              <w:tc>
                <w:tcPr>
                  <w:tcW w:w="867"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eastAsia"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出水</w:t>
                  </w:r>
                </w:p>
              </w:tc>
              <w:tc>
                <w:tcPr>
                  <w:tcW w:w="697"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387</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128</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261</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12.5</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22.5</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2.4</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900</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trPr>
              <w:tc>
                <w:tcPr>
                  <w:tcW w:w="1714" w:type="dxa"/>
                  <w:gridSpan w:val="2"/>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eastAsia"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厂区污水站设计出水水质</w:t>
                  </w:r>
                </w:p>
              </w:tc>
              <w:tc>
                <w:tcPr>
                  <w:tcW w:w="697"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500</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250</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300</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40</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60</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4</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1080</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2.0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25" w:hRule="atLeast"/>
              </w:trPr>
              <w:tc>
                <w:tcPr>
                  <w:tcW w:w="1714" w:type="dxa"/>
                  <w:gridSpan w:val="2"/>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eastAsia"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排水水质执行标准</w:t>
                  </w:r>
                </w:p>
              </w:tc>
              <w:tc>
                <w:tcPr>
                  <w:tcW w:w="697"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500</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400</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300</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w:t>
                  </w:r>
                </w:p>
              </w:tc>
              <w:tc>
                <w:tcPr>
                  <w:tcW w:w="804" w:type="dxa"/>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20</w:t>
                  </w:r>
                </w:p>
              </w:tc>
            </w:tr>
          </w:tbl>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360" w:lineRule="auto"/>
              <w:ind w:right="0" w:firstLine="420" w:firstLineChars="200"/>
              <w:jc w:val="left"/>
              <w:textAlignment w:val="auto"/>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本项目需排入厂区污水站处理的废水量合计13.6m</w:t>
            </w:r>
            <w:r>
              <w:rPr>
                <w:rFonts w:hint="eastAsia" w:cs="Times New Roman"/>
                <w:b w:val="0"/>
                <w:bCs w:val="0"/>
                <w:color w:val="auto"/>
                <w:sz w:val="21"/>
                <w:szCs w:val="21"/>
                <w:highlight w:val="none"/>
                <w:vertAlign w:val="superscript"/>
                <w:lang w:val="en-US" w:eastAsia="zh-CN"/>
              </w:rPr>
              <w:t>3</w:t>
            </w:r>
            <w:r>
              <w:rPr>
                <w:rFonts w:hint="eastAsia" w:cs="Times New Roman"/>
                <w:b w:val="0"/>
                <w:bCs w:val="0"/>
                <w:color w:val="auto"/>
                <w:sz w:val="21"/>
                <w:szCs w:val="21"/>
                <w:highlight w:val="none"/>
                <w:lang w:val="en-US" w:eastAsia="zh-CN"/>
              </w:rPr>
              <w:t>/d（3712.8m</w:t>
            </w:r>
            <w:r>
              <w:rPr>
                <w:rFonts w:hint="eastAsia" w:cs="Times New Roman"/>
                <w:b w:val="0"/>
                <w:bCs w:val="0"/>
                <w:color w:val="auto"/>
                <w:sz w:val="21"/>
                <w:szCs w:val="21"/>
                <w:highlight w:val="none"/>
                <w:vertAlign w:val="superscript"/>
                <w:lang w:val="en-US" w:eastAsia="zh-CN"/>
              </w:rPr>
              <w:t>3</w:t>
            </w:r>
            <w:r>
              <w:rPr>
                <w:rFonts w:hint="eastAsia" w:cs="Times New Roman"/>
                <w:b w:val="0"/>
                <w:bCs w:val="0"/>
                <w:color w:val="auto"/>
                <w:sz w:val="21"/>
                <w:szCs w:val="21"/>
                <w:highlight w:val="none"/>
                <w:lang w:val="en-US" w:eastAsia="zh-CN"/>
              </w:rPr>
              <w:t>/a），污水站设计处理能力为30m</w:t>
            </w:r>
            <w:r>
              <w:rPr>
                <w:rFonts w:hint="eastAsia" w:cs="Times New Roman"/>
                <w:b w:val="0"/>
                <w:bCs w:val="0"/>
                <w:color w:val="auto"/>
                <w:sz w:val="21"/>
                <w:szCs w:val="21"/>
                <w:highlight w:val="none"/>
                <w:vertAlign w:val="superscript"/>
                <w:lang w:val="en-US" w:eastAsia="zh-CN"/>
              </w:rPr>
              <w:t>3</w:t>
            </w:r>
            <w:r>
              <w:rPr>
                <w:rFonts w:hint="eastAsia" w:cs="Times New Roman"/>
                <w:b w:val="0"/>
                <w:bCs w:val="0"/>
                <w:color w:val="auto"/>
                <w:sz w:val="21"/>
                <w:szCs w:val="21"/>
                <w:highlight w:val="none"/>
                <w:lang w:val="en-US" w:eastAsia="zh-CN"/>
              </w:rPr>
              <w:t>/d（8190m</w:t>
            </w:r>
            <w:r>
              <w:rPr>
                <w:rFonts w:hint="eastAsia" w:cs="Times New Roman"/>
                <w:b w:val="0"/>
                <w:bCs w:val="0"/>
                <w:color w:val="auto"/>
                <w:sz w:val="21"/>
                <w:szCs w:val="21"/>
                <w:highlight w:val="none"/>
                <w:vertAlign w:val="superscript"/>
                <w:lang w:val="en-US" w:eastAsia="zh-CN"/>
              </w:rPr>
              <w:t>3</w:t>
            </w:r>
            <w:r>
              <w:rPr>
                <w:rFonts w:hint="eastAsia" w:cs="Times New Roman"/>
                <w:b w:val="0"/>
                <w:bCs w:val="0"/>
                <w:color w:val="auto"/>
                <w:sz w:val="21"/>
                <w:szCs w:val="21"/>
                <w:highlight w:val="none"/>
                <w:lang w:val="en-US" w:eastAsia="zh-CN"/>
              </w:rPr>
              <w:t>/a），因此厂内污水站可满足本项目废水排放处理要求。</w:t>
            </w:r>
          </w:p>
          <w:p>
            <w:pPr>
              <w:keepNext w:val="0"/>
              <w:keepLines w:val="0"/>
              <w:suppressLineNumbers w:val="0"/>
              <w:spacing w:before="0" w:beforeAutospacing="0" w:after="0" w:afterAutospacing="0" w:line="360" w:lineRule="auto"/>
              <w:ind w:left="0" w:right="0" w:firstLine="420" w:firstLineChars="200"/>
              <w:contextualSpacing/>
              <w:jc w:val="both"/>
              <w:rPr>
                <w:rFonts w:hint="eastAsia"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④处理工艺可行性分析</w:t>
            </w:r>
          </w:p>
          <w:p>
            <w:pPr>
              <w:keepNext w:val="0"/>
              <w:keepLines w:val="0"/>
              <w:suppressLineNumbers w:val="0"/>
              <w:spacing w:before="0" w:beforeAutospacing="0" w:after="0" w:afterAutospacing="0" w:line="360" w:lineRule="auto"/>
              <w:ind w:left="0" w:right="0" w:firstLine="420" w:firstLineChars="200"/>
              <w:contextualSpacing/>
              <w:jc w:val="both"/>
              <w:rPr>
                <w:rFonts w:hint="eastAsia" w:cs="Times New Roman"/>
                <w:color w:val="auto"/>
                <w:kern w:val="0"/>
                <w:sz w:val="21"/>
                <w:szCs w:val="21"/>
                <w:highlight w:val="none"/>
                <w:lang w:val="en-US" w:eastAsia="zh-CN"/>
              </w:rPr>
            </w:pPr>
            <w:r>
              <w:rPr>
                <w:rFonts w:hint="default" w:cs="Times New Roman"/>
                <w:b w:val="0"/>
                <w:bCs w:val="0"/>
                <w:color w:val="auto"/>
                <w:highlight w:val="none"/>
                <w:lang w:val="en-US" w:eastAsia="zh-CN"/>
              </w:rPr>
              <w:t xml:space="preserve">根据《排污许可证申请与核发技术规范 </w:t>
            </w:r>
            <w:r>
              <w:rPr>
                <w:rFonts w:hint="eastAsia" w:cs="Times New Roman"/>
                <w:b w:val="0"/>
                <w:bCs w:val="0"/>
                <w:color w:val="auto"/>
                <w:highlight w:val="none"/>
                <w:lang w:val="en-US" w:eastAsia="zh-CN"/>
              </w:rPr>
              <w:t>酒、饮料制造工业</w:t>
            </w:r>
            <w:r>
              <w:rPr>
                <w:rFonts w:hint="default" w:cs="Times New Roman"/>
                <w:b w:val="0"/>
                <w:bCs w:val="0"/>
                <w:color w:val="auto"/>
                <w:highlight w:val="none"/>
                <w:lang w:val="en-US" w:eastAsia="zh-CN"/>
              </w:rPr>
              <w:t xml:space="preserve">》（HJ </w:t>
            </w:r>
            <w:r>
              <w:rPr>
                <w:rFonts w:hint="eastAsia" w:cs="Times New Roman"/>
                <w:b w:val="0"/>
                <w:bCs w:val="0"/>
                <w:color w:val="auto"/>
                <w:highlight w:val="none"/>
                <w:lang w:val="en-US" w:eastAsia="zh-CN"/>
              </w:rPr>
              <w:t>1028-2019</w:t>
            </w:r>
            <w:r>
              <w:rPr>
                <w:rFonts w:hint="default" w:cs="Times New Roman"/>
                <w:b w:val="0"/>
                <w:bCs w:val="0"/>
                <w:color w:val="auto"/>
                <w:highlight w:val="none"/>
                <w:lang w:val="en-US" w:eastAsia="zh-CN"/>
              </w:rPr>
              <w:t>），废水处理工艺为预处理：</w:t>
            </w:r>
            <w:r>
              <w:rPr>
                <w:rFonts w:hint="eastAsia" w:cs="Times New Roman"/>
                <w:b w:val="0"/>
                <w:bCs w:val="0"/>
                <w:color w:val="auto"/>
                <w:highlight w:val="none"/>
                <w:lang w:val="en-US" w:eastAsia="zh-CN"/>
              </w:rPr>
              <w:t>除油、沉淀、过滤，二级处理：好氧、水解酸化好氧、厌氧-好氧、兼性-好氧、氧化沟、生物转盘</w:t>
            </w:r>
            <w:r>
              <w:rPr>
                <w:rFonts w:hint="default" w:cs="Times New Roman"/>
                <w:b w:val="0"/>
                <w:bCs w:val="0"/>
                <w:color w:val="auto"/>
                <w:highlight w:val="none"/>
                <w:lang w:val="en-US" w:eastAsia="zh-CN"/>
              </w:rPr>
              <w:t>。</w:t>
            </w:r>
            <w:r>
              <w:rPr>
                <w:rFonts w:hint="eastAsia" w:cs="Times New Roman"/>
                <w:b w:val="0"/>
                <w:bCs w:val="0"/>
                <w:color w:val="auto"/>
                <w:highlight w:val="none"/>
                <w:lang w:val="en-US" w:eastAsia="zh-CN"/>
              </w:rPr>
              <w:t>本</w:t>
            </w:r>
            <w:r>
              <w:rPr>
                <w:rFonts w:hint="default" w:cs="Times New Roman"/>
                <w:b w:val="0"/>
                <w:bCs w:val="0"/>
                <w:color w:val="auto"/>
                <w:highlight w:val="none"/>
                <w:lang w:val="en-US" w:eastAsia="zh-CN"/>
              </w:rPr>
              <w:t>项目</w:t>
            </w:r>
            <w:r>
              <w:rPr>
                <w:rFonts w:hint="eastAsia" w:cs="Times New Roman"/>
                <w:b w:val="0"/>
                <w:bCs w:val="0"/>
                <w:color w:val="auto"/>
                <w:highlight w:val="none"/>
                <w:lang w:val="en-US" w:eastAsia="zh-CN"/>
              </w:rPr>
              <w:t>原料清洗废水、洗瓶废水及CIP系统清洗废水等生产</w:t>
            </w:r>
            <w:r>
              <w:rPr>
                <w:rFonts w:hint="default" w:cs="Times New Roman"/>
                <w:b w:val="0"/>
                <w:bCs w:val="0"/>
                <w:color w:val="auto"/>
                <w:highlight w:val="none"/>
                <w:lang w:val="en-US" w:eastAsia="zh-CN"/>
              </w:rPr>
              <w:t>废水经厂区内污水处理站（处理工艺：</w:t>
            </w:r>
            <w:r>
              <w:rPr>
                <w:rFonts w:hint="eastAsia" w:cs="Times New Roman"/>
                <w:color w:val="auto"/>
                <w:highlight w:val="none"/>
                <w:lang w:val="en-US" w:eastAsia="zh-CN"/>
              </w:rPr>
              <w:t>格栅-调节池-厌氧池-好氧池-二沉池-过滤池-清水池</w:t>
            </w:r>
            <w:r>
              <w:rPr>
                <w:rFonts w:hint="default" w:cs="Times New Roman"/>
                <w:b w:val="0"/>
                <w:bCs w:val="0"/>
                <w:color w:val="auto"/>
                <w:highlight w:val="none"/>
                <w:lang w:val="en-US" w:eastAsia="zh-CN"/>
              </w:rPr>
              <w:t>）处理后</w:t>
            </w:r>
            <w:r>
              <w:rPr>
                <w:rFonts w:hint="eastAsia" w:cs="Times New Roman"/>
                <w:b w:val="0"/>
                <w:bCs w:val="0"/>
                <w:color w:val="auto"/>
                <w:highlight w:val="none"/>
                <w:lang w:val="en-US" w:eastAsia="zh-CN"/>
              </w:rPr>
              <w:t>，废水中各污染物排放</w:t>
            </w:r>
            <w:r>
              <w:rPr>
                <w:rFonts w:hint="eastAsia" w:cs="Times New Roman"/>
                <w:b w:val="0"/>
                <w:bCs w:val="0"/>
                <w:color w:val="auto"/>
                <w:sz w:val="21"/>
                <w:szCs w:val="21"/>
                <w:highlight w:val="none"/>
                <w:lang w:val="en-US" w:eastAsia="zh-CN"/>
              </w:rPr>
              <w:t>满足</w:t>
            </w:r>
            <w:r>
              <w:rPr>
                <w:rFonts w:hint="default" w:ascii="Times New Roman" w:hAnsi="Times New Roman" w:cs="Times New Roman"/>
                <w:color w:val="auto"/>
                <w:kern w:val="0"/>
                <w:sz w:val="21"/>
                <w:szCs w:val="21"/>
                <w:highlight w:val="none"/>
              </w:rPr>
              <w:t>《污水综合排放标准》（GB8978-1996）三级标准</w:t>
            </w:r>
            <w:r>
              <w:rPr>
                <w:rFonts w:hint="eastAsia" w:cs="Times New Roman"/>
                <w:color w:val="auto"/>
                <w:kern w:val="0"/>
                <w:sz w:val="21"/>
                <w:szCs w:val="21"/>
                <w:highlight w:val="none"/>
                <w:lang w:val="en-US" w:eastAsia="zh-CN"/>
              </w:rPr>
              <w:t>要求。</w:t>
            </w:r>
          </w:p>
          <w:p>
            <w:pPr>
              <w:keepNext w:val="0"/>
              <w:keepLines w:val="0"/>
              <w:suppressLineNumbers w:val="0"/>
              <w:spacing w:before="0" w:beforeAutospacing="0" w:after="0" w:afterAutospacing="0" w:line="360" w:lineRule="auto"/>
              <w:ind w:left="0" w:right="0" w:firstLine="422" w:firstLineChars="200"/>
              <w:contextualSpacing/>
              <w:jc w:val="both"/>
              <w:rPr>
                <w:rFonts w:hint="eastAsia" w:cs="Times New Roman"/>
                <w:b/>
                <w:bCs/>
                <w:color w:val="auto"/>
                <w:kern w:val="0"/>
                <w:sz w:val="21"/>
                <w:szCs w:val="21"/>
                <w:highlight w:val="none"/>
                <w:lang w:val="en-US" w:eastAsia="zh-CN"/>
              </w:rPr>
            </w:pPr>
            <w:r>
              <w:rPr>
                <w:rFonts w:hint="eastAsia" w:cs="Times New Roman"/>
                <w:b/>
                <w:bCs/>
                <w:color w:val="auto"/>
                <w:kern w:val="0"/>
                <w:sz w:val="21"/>
                <w:szCs w:val="21"/>
                <w:highlight w:val="none"/>
                <w:lang w:val="en-US" w:eastAsia="zh-CN"/>
              </w:rPr>
              <w:t>2.3本项目废水排放口情况</w:t>
            </w:r>
          </w:p>
          <w:p>
            <w:pPr>
              <w:keepNext w:val="0"/>
              <w:keepLines w:val="0"/>
              <w:suppressLineNumbers w:val="0"/>
              <w:spacing w:before="0" w:beforeAutospacing="0" w:after="0" w:afterAutospacing="0" w:line="360" w:lineRule="auto"/>
              <w:ind w:left="0" w:right="0" w:firstLine="420" w:firstLineChars="200"/>
              <w:contextualSpacing/>
              <w:jc w:val="both"/>
              <w:rPr>
                <w:rFonts w:hint="eastAsia" w:cs="Times New Roman"/>
                <w:b w:val="0"/>
                <w:bCs w:val="0"/>
                <w:color w:val="auto"/>
                <w:kern w:val="0"/>
                <w:sz w:val="21"/>
                <w:szCs w:val="21"/>
                <w:highlight w:val="none"/>
                <w:lang w:val="en-US" w:eastAsia="zh-CN"/>
              </w:rPr>
            </w:pPr>
            <w:r>
              <w:rPr>
                <w:rFonts w:hint="eastAsia" w:cs="Times New Roman"/>
                <w:b w:val="0"/>
                <w:bCs w:val="0"/>
                <w:color w:val="auto"/>
                <w:kern w:val="0"/>
                <w:sz w:val="21"/>
                <w:szCs w:val="21"/>
                <w:highlight w:val="none"/>
                <w:lang w:val="en-US" w:eastAsia="zh-CN"/>
              </w:rPr>
              <w:t>本项目外排废水水质见下表。</w:t>
            </w:r>
          </w:p>
          <w:p>
            <w:pPr>
              <w:keepNext w:val="0"/>
              <w:keepLines w:val="0"/>
              <w:suppressLineNumbers w:val="0"/>
              <w:spacing w:before="0" w:beforeAutospacing="0" w:after="0" w:afterAutospacing="0" w:line="240" w:lineRule="auto"/>
              <w:ind w:right="0"/>
              <w:contextualSpacing/>
              <w:jc w:val="center"/>
              <w:rPr>
                <w:rFonts w:hint="eastAsia" w:cs="Times New Roman"/>
                <w:b/>
                <w:bCs/>
                <w:color w:val="auto"/>
                <w:kern w:val="0"/>
                <w:sz w:val="21"/>
                <w:szCs w:val="21"/>
                <w:highlight w:val="none"/>
                <w:lang w:val="en-US" w:eastAsia="zh-CN"/>
              </w:rPr>
            </w:pPr>
            <w:r>
              <w:rPr>
                <w:rFonts w:hint="eastAsia" w:cs="Times New Roman"/>
                <w:b/>
                <w:bCs/>
                <w:color w:val="auto"/>
                <w:kern w:val="0"/>
                <w:sz w:val="21"/>
                <w:szCs w:val="21"/>
                <w:highlight w:val="none"/>
                <w:lang w:val="en-US" w:eastAsia="zh-CN"/>
              </w:rPr>
              <w:t>表4-7 本项目外排废水污染物产生情况一览表</w:t>
            </w:r>
          </w:p>
          <w:tbl>
            <w:tblPr>
              <w:tblStyle w:val="22"/>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24"/>
              <w:gridCol w:w="897"/>
              <w:gridCol w:w="576"/>
              <w:gridCol w:w="608"/>
              <w:gridCol w:w="757"/>
              <w:gridCol w:w="662"/>
              <w:gridCol w:w="586"/>
              <w:gridCol w:w="564"/>
              <w:gridCol w:w="539"/>
              <w:gridCol w:w="677"/>
              <w:gridCol w:w="636"/>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39" w:hRule="atLeast"/>
              </w:trPr>
              <w:tc>
                <w:tcPr>
                  <w:tcW w:w="949" w:type="pct"/>
                  <w:vMerge w:val="restar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contextualSpacing/>
                    <w:jc w:val="center"/>
                    <w:textAlignment w:val="auto"/>
                    <w:rPr>
                      <w:rFonts w:hint="default" w:cs="Times New Roman"/>
                      <w:b w:val="0"/>
                      <w:bCs w:val="0"/>
                      <w:color w:val="auto"/>
                      <w:kern w:val="0"/>
                      <w:sz w:val="21"/>
                      <w:szCs w:val="21"/>
                      <w:highlight w:val="none"/>
                      <w:vertAlign w:val="baseline"/>
                      <w:lang w:val="en-US" w:eastAsia="zh-CN"/>
                    </w:rPr>
                  </w:pPr>
                  <w:r>
                    <w:rPr>
                      <w:rFonts w:hint="eastAsia" w:cs="Times New Roman"/>
                      <w:b w:val="0"/>
                      <w:bCs w:val="0"/>
                      <w:color w:val="auto"/>
                      <w:kern w:val="0"/>
                      <w:sz w:val="21"/>
                      <w:szCs w:val="21"/>
                      <w:highlight w:val="none"/>
                      <w:vertAlign w:val="baseline"/>
                      <w:lang w:val="en-US" w:eastAsia="zh-CN"/>
                    </w:rPr>
                    <w:t>废水类型</w:t>
                  </w:r>
                </w:p>
              </w:tc>
              <w:tc>
                <w:tcPr>
                  <w:tcW w:w="558" w:type="pct"/>
                  <w:vMerge w:val="restar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contextualSpacing/>
                    <w:jc w:val="center"/>
                    <w:textAlignment w:val="auto"/>
                    <w:rPr>
                      <w:rFonts w:hint="default" w:cs="Times New Roman"/>
                      <w:b w:val="0"/>
                      <w:bCs w:val="0"/>
                      <w:color w:val="auto"/>
                      <w:kern w:val="0"/>
                      <w:sz w:val="21"/>
                      <w:szCs w:val="21"/>
                      <w:highlight w:val="none"/>
                      <w:vertAlign w:val="baseline"/>
                      <w:lang w:val="en-US" w:eastAsia="zh-CN"/>
                    </w:rPr>
                  </w:pPr>
                  <w:r>
                    <w:rPr>
                      <w:rFonts w:hint="eastAsia" w:cs="Times New Roman"/>
                      <w:b w:val="0"/>
                      <w:bCs w:val="0"/>
                      <w:color w:val="auto"/>
                      <w:kern w:val="0"/>
                      <w:sz w:val="21"/>
                      <w:szCs w:val="21"/>
                      <w:highlight w:val="none"/>
                      <w:vertAlign w:val="baseline"/>
                      <w:lang w:val="en-US" w:eastAsia="zh-CN"/>
                    </w:rPr>
                    <w:t>废水量(m</w:t>
                  </w:r>
                  <w:r>
                    <w:rPr>
                      <w:rFonts w:hint="eastAsia" w:cs="Times New Roman"/>
                      <w:b w:val="0"/>
                      <w:bCs w:val="0"/>
                      <w:color w:val="auto"/>
                      <w:kern w:val="0"/>
                      <w:sz w:val="21"/>
                      <w:szCs w:val="21"/>
                      <w:highlight w:val="none"/>
                      <w:vertAlign w:val="superscript"/>
                      <w:lang w:val="en-US" w:eastAsia="zh-CN"/>
                    </w:rPr>
                    <w:t>3</w:t>
                  </w:r>
                  <w:r>
                    <w:rPr>
                      <w:rFonts w:hint="eastAsia" w:cs="Times New Roman"/>
                      <w:b w:val="0"/>
                      <w:bCs w:val="0"/>
                      <w:color w:val="auto"/>
                      <w:kern w:val="0"/>
                      <w:sz w:val="21"/>
                      <w:szCs w:val="21"/>
                      <w:highlight w:val="none"/>
                      <w:vertAlign w:val="baseline"/>
                      <w:lang w:val="en-US" w:eastAsia="zh-CN"/>
                    </w:rPr>
                    <w:t>/a)</w:t>
                  </w:r>
                </w:p>
              </w:tc>
              <w:tc>
                <w:tcPr>
                  <w:tcW w:w="3491" w:type="pct"/>
                  <w:gridSpan w:val="9"/>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contextualSpacing/>
                    <w:jc w:val="center"/>
                    <w:textAlignment w:val="auto"/>
                    <w:rPr>
                      <w:rFonts w:hint="eastAsia" w:cs="Times New Roman"/>
                      <w:b w:val="0"/>
                      <w:bCs w:val="0"/>
                      <w:color w:val="auto"/>
                      <w:kern w:val="0"/>
                      <w:sz w:val="21"/>
                      <w:szCs w:val="21"/>
                      <w:highlight w:val="none"/>
                      <w:vertAlign w:val="baseline"/>
                      <w:lang w:val="en-US" w:eastAsia="zh-CN"/>
                    </w:rPr>
                  </w:pPr>
                  <w:r>
                    <w:rPr>
                      <w:rFonts w:hint="eastAsia" w:cs="Times New Roman"/>
                      <w:b w:val="0"/>
                      <w:bCs w:val="0"/>
                      <w:color w:val="auto"/>
                      <w:kern w:val="0"/>
                      <w:sz w:val="21"/>
                      <w:szCs w:val="21"/>
                      <w:highlight w:val="none"/>
                      <w:vertAlign w:val="baseline"/>
                      <w:lang w:val="en-US" w:eastAsia="zh-CN"/>
                    </w:rPr>
                    <w:t>污染物浓度（mg/L）</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9" w:hRule="atLeast"/>
              </w:trPr>
              <w:tc>
                <w:tcPr>
                  <w:tcW w:w="949" w:type="pct"/>
                  <w:vMerge w:val="continue"/>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contextualSpacing/>
                    <w:jc w:val="center"/>
                    <w:textAlignment w:val="auto"/>
                    <w:rPr>
                      <w:color w:val="auto"/>
                      <w:sz w:val="21"/>
                      <w:szCs w:val="21"/>
                    </w:rPr>
                  </w:pPr>
                </w:p>
              </w:tc>
              <w:tc>
                <w:tcPr>
                  <w:tcW w:w="558" w:type="pct"/>
                  <w:vMerge w:val="continue"/>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contextualSpacing/>
                    <w:jc w:val="center"/>
                    <w:textAlignment w:val="auto"/>
                    <w:rPr>
                      <w:color w:val="auto"/>
                      <w:sz w:val="21"/>
                      <w:szCs w:val="21"/>
                    </w:rPr>
                  </w:pPr>
                </w:p>
              </w:tc>
              <w:tc>
                <w:tcPr>
                  <w:tcW w:w="358"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contextualSpacing/>
                    <w:jc w:val="center"/>
                    <w:textAlignment w:val="auto"/>
                    <w:rPr>
                      <w:rFonts w:hint="default" w:cs="Times New Roman"/>
                      <w:b w:val="0"/>
                      <w:bCs w:val="0"/>
                      <w:color w:val="auto"/>
                      <w:kern w:val="0"/>
                      <w:sz w:val="21"/>
                      <w:szCs w:val="21"/>
                      <w:highlight w:val="none"/>
                      <w:vertAlign w:val="baseline"/>
                      <w:lang w:val="en-US" w:eastAsia="zh-CN"/>
                    </w:rPr>
                  </w:pPr>
                  <w:r>
                    <w:rPr>
                      <w:rFonts w:hint="eastAsia" w:cs="Times New Roman"/>
                      <w:b w:val="0"/>
                      <w:bCs w:val="0"/>
                      <w:color w:val="auto"/>
                      <w:kern w:val="0"/>
                      <w:sz w:val="21"/>
                      <w:szCs w:val="21"/>
                      <w:highlight w:val="none"/>
                      <w:vertAlign w:val="baseline"/>
                      <w:lang w:val="en-US" w:eastAsia="zh-CN"/>
                    </w:rPr>
                    <w:t>pH</w:t>
                  </w:r>
                </w:p>
              </w:tc>
              <w:tc>
                <w:tcPr>
                  <w:tcW w:w="378"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contextualSpacing/>
                    <w:jc w:val="center"/>
                    <w:textAlignment w:val="auto"/>
                    <w:rPr>
                      <w:rFonts w:hint="default" w:cs="Times New Roman"/>
                      <w:b w:val="0"/>
                      <w:bCs w:val="0"/>
                      <w:color w:val="auto"/>
                      <w:kern w:val="0"/>
                      <w:sz w:val="21"/>
                      <w:szCs w:val="21"/>
                      <w:highlight w:val="none"/>
                      <w:vertAlign w:val="baseline"/>
                      <w:lang w:val="en-US" w:eastAsia="zh-CN"/>
                    </w:rPr>
                  </w:pPr>
                  <w:r>
                    <w:rPr>
                      <w:rFonts w:hint="eastAsia" w:cs="Times New Roman"/>
                      <w:b w:val="0"/>
                      <w:bCs w:val="0"/>
                      <w:color w:val="auto"/>
                      <w:kern w:val="0"/>
                      <w:sz w:val="21"/>
                      <w:szCs w:val="21"/>
                      <w:highlight w:val="none"/>
                      <w:vertAlign w:val="baseline"/>
                      <w:lang w:val="en-US" w:eastAsia="zh-CN"/>
                    </w:rPr>
                    <w:t>COD</w:t>
                  </w:r>
                </w:p>
              </w:tc>
              <w:tc>
                <w:tcPr>
                  <w:tcW w:w="471"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contextualSpacing/>
                    <w:jc w:val="center"/>
                    <w:textAlignment w:val="auto"/>
                    <w:rPr>
                      <w:rFonts w:hint="default" w:cs="Times New Roman"/>
                      <w:b w:val="0"/>
                      <w:bCs w:val="0"/>
                      <w:color w:val="auto"/>
                      <w:kern w:val="0"/>
                      <w:sz w:val="21"/>
                      <w:szCs w:val="21"/>
                      <w:highlight w:val="none"/>
                      <w:vertAlign w:val="baseline"/>
                      <w:lang w:val="en-US" w:eastAsia="zh-CN"/>
                    </w:rPr>
                  </w:pPr>
                  <w:r>
                    <w:rPr>
                      <w:rFonts w:hint="eastAsia" w:cs="Times New Roman"/>
                      <w:b w:val="0"/>
                      <w:bCs w:val="0"/>
                      <w:color w:val="auto"/>
                      <w:kern w:val="0"/>
                      <w:sz w:val="21"/>
                      <w:szCs w:val="21"/>
                      <w:highlight w:val="none"/>
                      <w:vertAlign w:val="baseline"/>
                      <w:lang w:val="en-US" w:eastAsia="zh-CN"/>
                    </w:rPr>
                    <w:t>BOD</w:t>
                  </w:r>
                  <w:r>
                    <w:rPr>
                      <w:rFonts w:hint="eastAsia" w:cs="Times New Roman"/>
                      <w:b w:val="0"/>
                      <w:bCs w:val="0"/>
                      <w:color w:val="auto"/>
                      <w:kern w:val="0"/>
                      <w:sz w:val="21"/>
                      <w:szCs w:val="21"/>
                      <w:highlight w:val="none"/>
                      <w:vertAlign w:val="subscript"/>
                      <w:lang w:val="en-US" w:eastAsia="zh-CN"/>
                    </w:rPr>
                    <w:t>5</w:t>
                  </w:r>
                </w:p>
              </w:tc>
              <w:tc>
                <w:tcPr>
                  <w:tcW w:w="412"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contextualSpacing/>
                    <w:jc w:val="center"/>
                    <w:textAlignment w:val="auto"/>
                    <w:rPr>
                      <w:rFonts w:hint="default" w:cs="Times New Roman"/>
                      <w:b w:val="0"/>
                      <w:bCs w:val="0"/>
                      <w:color w:val="auto"/>
                      <w:kern w:val="0"/>
                      <w:sz w:val="21"/>
                      <w:szCs w:val="21"/>
                      <w:highlight w:val="none"/>
                      <w:vertAlign w:val="baseline"/>
                      <w:lang w:val="en-US" w:eastAsia="zh-CN"/>
                    </w:rPr>
                  </w:pPr>
                  <w:r>
                    <w:rPr>
                      <w:rFonts w:hint="eastAsia" w:cs="Times New Roman"/>
                      <w:b w:val="0"/>
                      <w:bCs w:val="0"/>
                      <w:color w:val="auto"/>
                      <w:kern w:val="0"/>
                      <w:sz w:val="21"/>
                      <w:szCs w:val="21"/>
                      <w:highlight w:val="none"/>
                      <w:vertAlign w:val="baseline"/>
                      <w:lang w:val="en-US" w:eastAsia="zh-CN"/>
                    </w:rPr>
                    <w:t>SS</w:t>
                  </w:r>
                </w:p>
              </w:tc>
              <w:tc>
                <w:tcPr>
                  <w:tcW w:w="365"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contextualSpacing/>
                    <w:jc w:val="center"/>
                    <w:textAlignment w:val="auto"/>
                    <w:rPr>
                      <w:rFonts w:hint="default" w:cs="Times New Roman"/>
                      <w:b w:val="0"/>
                      <w:bCs w:val="0"/>
                      <w:color w:val="auto"/>
                      <w:kern w:val="0"/>
                      <w:sz w:val="21"/>
                      <w:szCs w:val="21"/>
                      <w:highlight w:val="none"/>
                      <w:vertAlign w:val="baseline"/>
                      <w:lang w:val="en-US" w:eastAsia="zh-CN"/>
                    </w:rPr>
                  </w:pPr>
                  <w:r>
                    <w:rPr>
                      <w:rFonts w:hint="eastAsia" w:cs="Times New Roman"/>
                      <w:b w:val="0"/>
                      <w:bCs w:val="0"/>
                      <w:color w:val="auto"/>
                      <w:kern w:val="0"/>
                      <w:sz w:val="21"/>
                      <w:szCs w:val="21"/>
                      <w:highlight w:val="none"/>
                      <w:vertAlign w:val="baseline"/>
                      <w:lang w:val="en-US" w:eastAsia="zh-CN"/>
                    </w:rPr>
                    <w:t>氨氮</w:t>
                  </w:r>
                </w:p>
              </w:tc>
              <w:tc>
                <w:tcPr>
                  <w:tcW w:w="351"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contextualSpacing/>
                    <w:jc w:val="center"/>
                    <w:textAlignment w:val="auto"/>
                    <w:rPr>
                      <w:rFonts w:hint="default" w:cs="Times New Roman"/>
                      <w:b w:val="0"/>
                      <w:bCs w:val="0"/>
                      <w:color w:val="auto"/>
                      <w:kern w:val="0"/>
                      <w:sz w:val="21"/>
                      <w:szCs w:val="21"/>
                      <w:highlight w:val="none"/>
                      <w:vertAlign w:val="baseline"/>
                      <w:lang w:val="en-US" w:eastAsia="zh-CN"/>
                    </w:rPr>
                  </w:pPr>
                  <w:r>
                    <w:rPr>
                      <w:rFonts w:hint="eastAsia" w:cs="Times New Roman"/>
                      <w:b w:val="0"/>
                      <w:bCs w:val="0"/>
                      <w:color w:val="auto"/>
                      <w:kern w:val="0"/>
                      <w:sz w:val="21"/>
                      <w:szCs w:val="21"/>
                      <w:highlight w:val="none"/>
                      <w:vertAlign w:val="baseline"/>
                      <w:lang w:val="en-US" w:eastAsia="zh-CN"/>
                    </w:rPr>
                    <w:t>总氮</w:t>
                  </w:r>
                </w:p>
              </w:tc>
              <w:tc>
                <w:tcPr>
                  <w:tcW w:w="335"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contextualSpacing/>
                    <w:jc w:val="center"/>
                    <w:textAlignment w:val="auto"/>
                    <w:rPr>
                      <w:rFonts w:hint="default" w:cs="Times New Roman"/>
                      <w:b w:val="0"/>
                      <w:bCs w:val="0"/>
                      <w:color w:val="auto"/>
                      <w:kern w:val="0"/>
                      <w:sz w:val="21"/>
                      <w:szCs w:val="21"/>
                      <w:highlight w:val="none"/>
                      <w:vertAlign w:val="baseline"/>
                      <w:lang w:val="en-US" w:eastAsia="zh-CN"/>
                    </w:rPr>
                  </w:pPr>
                  <w:r>
                    <w:rPr>
                      <w:rFonts w:hint="eastAsia" w:cs="Times New Roman"/>
                      <w:b w:val="0"/>
                      <w:bCs w:val="0"/>
                      <w:color w:val="auto"/>
                      <w:kern w:val="0"/>
                      <w:sz w:val="21"/>
                      <w:szCs w:val="21"/>
                      <w:highlight w:val="none"/>
                      <w:vertAlign w:val="baseline"/>
                      <w:lang w:val="en-US" w:eastAsia="zh-CN"/>
                    </w:rPr>
                    <w:t>总磷</w:t>
                  </w:r>
                </w:p>
              </w:tc>
              <w:tc>
                <w:tcPr>
                  <w:tcW w:w="421"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contextualSpacing/>
                    <w:jc w:val="center"/>
                    <w:textAlignment w:val="auto"/>
                    <w:rPr>
                      <w:rFonts w:hint="default" w:cs="Times New Roman"/>
                      <w:b w:val="0"/>
                      <w:bCs w:val="0"/>
                      <w:color w:val="auto"/>
                      <w:kern w:val="0"/>
                      <w:sz w:val="21"/>
                      <w:szCs w:val="21"/>
                      <w:highlight w:val="none"/>
                      <w:vertAlign w:val="baseline"/>
                      <w:lang w:val="en-US" w:eastAsia="zh-CN"/>
                    </w:rPr>
                  </w:pPr>
                  <w:r>
                    <w:rPr>
                      <w:rFonts w:hint="eastAsia" w:cs="Times New Roman"/>
                      <w:b w:val="0"/>
                      <w:bCs w:val="0"/>
                      <w:color w:val="auto"/>
                      <w:kern w:val="0"/>
                      <w:sz w:val="21"/>
                      <w:szCs w:val="21"/>
                      <w:highlight w:val="none"/>
                      <w:vertAlign w:val="baseline"/>
                      <w:lang w:val="en-US" w:eastAsia="zh-CN"/>
                    </w:rPr>
                    <w:t>溶解性总固体</w:t>
                  </w:r>
                </w:p>
              </w:tc>
              <w:tc>
                <w:tcPr>
                  <w:tcW w:w="396"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contextualSpacing/>
                    <w:jc w:val="center"/>
                    <w:textAlignment w:val="auto"/>
                    <w:rPr>
                      <w:rFonts w:hint="default" w:cs="Times New Roman"/>
                      <w:b w:val="0"/>
                      <w:bCs w:val="0"/>
                      <w:color w:val="auto"/>
                      <w:kern w:val="0"/>
                      <w:sz w:val="21"/>
                      <w:szCs w:val="21"/>
                      <w:highlight w:val="none"/>
                      <w:vertAlign w:val="baseline"/>
                      <w:lang w:val="en-US" w:eastAsia="zh-CN"/>
                    </w:rPr>
                  </w:pPr>
                  <w:r>
                    <w:rPr>
                      <w:rFonts w:hint="eastAsia" w:cs="Times New Roman"/>
                      <w:b w:val="0"/>
                      <w:bCs w:val="0"/>
                      <w:color w:val="auto"/>
                      <w:kern w:val="0"/>
                      <w:sz w:val="21"/>
                      <w:szCs w:val="21"/>
                      <w:highlight w:val="none"/>
                      <w:vertAlign w:val="baseline"/>
                      <w:lang w:val="en-US" w:eastAsia="zh-CN"/>
                    </w:rPr>
                    <w:t>LAS</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49"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contextualSpacing/>
                    <w:jc w:val="center"/>
                    <w:textAlignment w:val="auto"/>
                    <w:rPr>
                      <w:rFonts w:hint="default" w:cs="Times New Roman"/>
                      <w:b w:val="0"/>
                      <w:bCs w:val="0"/>
                      <w:color w:val="auto"/>
                      <w:kern w:val="0"/>
                      <w:sz w:val="21"/>
                      <w:szCs w:val="21"/>
                      <w:highlight w:val="none"/>
                      <w:vertAlign w:val="baseline"/>
                      <w:lang w:val="en-US" w:eastAsia="zh-CN"/>
                    </w:rPr>
                  </w:pPr>
                  <w:r>
                    <w:rPr>
                      <w:rFonts w:hint="eastAsia" w:cs="Times New Roman"/>
                      <w:b w:val="0"/>
                      <w:bCs w:val="0"/>
                      <w:color w:val="auto"/>
                      <w:kern w:val="0"/>
                      <w:sz w:val="21"/>
                      <w:szCs w:val="21"/>
                      <w:highlight w:val="none"/>
                      <w:vertAlign w:val="baseline"/>
                      <w:lang w:val="en-US" w:eastAsia="zh-CN"/>
                    </w:rPr>
                    <w:t>生活污水</w:t>
                  </w:r>
                </w:p>
              </w:tc>
              <w:tc>
                <w:tcPr>
                  <w:tcW w:w="558" w:type="pct"/>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655.2</w:t>
                  </w:r>
                </w:p>
              </w:tc>
              <w:tc>
                <w:tcPr>
                  <w:tcW w:w="358" w:type="pct"/>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6-9</w:t>
                  </w:r>
                </w:p>
              </w:tc>
              <w:tc>
                <w:tcPr>
                  <w:tcW w:w="378" w:type="pct"/>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350</w:t>
                  </w:r>
                </w:p>
              </w:tc>
              <w:tc>
                <w:tcPr>
                  <w:tcW w:w="471" w:type="pct"/>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250</w:t>
                  </w:r>
                </w:p>
              </w:tc>
              <w:tc>
                <w:tcPr>
                  <w:tcW w:w="412" w:type="pct"/>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200</w:t>
                  </w:r>
                </w:p>
              </w:tc>
              <w:tc>
                <w:tcPr>
                  <w:tcW w:w="365" w:type="pct"/>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30</w:t>
                  </w:r>
                </w:p>
              </w:tc>
              <w:tc>
                <w:tcPr>
                  <w:tcW w:w="351" w:type="pct"/>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45</w:t>
                  </w:r>
                </w:p>
              </w:tc>
              <w:tc>
                <w:tcPr>
                  <w:tcW w:w="335" w:type="pct"/>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3</w:t>
                  </w:r>
                </w:p>
              </w:tc>
              <w:tc>
                <w:tcPr>
                  <w:tcW w:w="421" w:type="pct"/>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600</w:t>
                  </w:r>
                </w:p>
              </w:tc>
              <w:tc>
                <w:tcPr>
                  <w:tcW w:w="396" w:type="pct"/>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49"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contextualSpacing/>
                    <w:jc w:val="center"/>
                    <w:textAlignment w:val="auto"/>
                    <w:rPr>
                      <w:rFonts w:hint="default" w:cs="Times New Roman"/>
                      <w:b w:val="0"/>
                      <w:bCs w:val="0"/>
                      <w:color w:val="auto"/>
                      <w:kern w:val="0"/>
                      <w:sz w:val="21"/>
                      <w:szCs w:val="21"/>
                      <w:highlight w:val="none"/>
                      <w:vertAlign w:val="baseline"/>
                      <w:lang w:val="en-US" w:eastAsia="zh-CN"/>
                    </w:rPr>
                  </w:pPr>
                  <w:r>
                    <w:rPr>
                      <w:rFonts w:hint="eastAsia" w:cs="Times New Roman"/>
                      <w:b w:val="0"/>
                      <w:bCs w:val="0"/>
                      <w:color w:val="auto"/>
                      <w:kern w:val="0"/>
                      <w:sz w:val="21"/>
                      <w:szCs w:val="21"/>
                      <w:highlight w:val="none"/>
                      <w:vertAlign w:val="baseline"/>
                      <w:lang w:val="en-US" w:eastAsia="zh-CN"/>
                    </w:rPr>
                    <w:t>原料清洗废水、洗瓶废水、CIP系统清洗废水（处理后设计水质）</w:t>
                  </w:r>
                </w:p>
              </w:tc>
              <w:tc>
                <w:tcPr>
                  <w:tcW w:w="558" w:type="pct"/>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3712.8</w:t>
                  </w:r>
                </w:p>
              </w:tc>
              <w:tc>
                <w:tcPr>
                  <w:tcW w:w="358" w:type="pct"/>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6-9</w:t>
                  </w:r>
                </w:p>
              </w:tc>
              <w:tc>
                <w:tcPr>
                  <w:tcW w:w="378" w:type="pct"/>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387</w:t>
                  </w:r>
                </w:p>
              </w:tc>
              <w:tc>
                <w:tcPr>
                  <w:tcW w:w="471" w:type="pct"/>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261</w:t>
                  </w:r>
                </w:p>
              </w:tc>
              <w:tc>
                <w:tcPr>
                  <w:tcW w:w="412" w:type="pct"/>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128</w:t>
                  </w:r>
                </w:p>
              </w:tc>
              <w:tc>
                <w:tcPr>
                  <w:tcW w:w="365" w:type="pct"/>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12.5</w:t>
                  </w:r>
                </w:p>
              </w:tc>
              <w:tc>
                <w:tcPr>
                  <w:tcW w:w="351" w:type="pct"/>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22.5</w:t>
                  </w:r>
                </w:p>
              </w:tc>
              <w:tc>
                <w:tcPr>
                  <w:tcW w:w="335" w:type="pct"/>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2.4</w:t>
                  </w:r>
                </w:p>
              </w:tc>
              <w:tc>
                <w:tcPr>
                  <w:tcW w:w="421" w:type="pct"/>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900</w:t>
                  </w:r>
                </w:p>
              </w:tc>
              <w:tc>
                <w:tcPr>
                  <w:tcW w:w="396" w:type="pct"/>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1.0</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49"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contextualSpacing/>
                    <w:jc w:val="center"/>
                    <w:textAlignment w:val="auto"/>
                    <w:rPr>
                      <w:rFonts w:hint="default" w:cs="Times New Roman"/>
                      <w:b w:val="0"/>
                      <w:bCs w:val="0"/>
                      <w:color w:val="auto"/>
                      <w:kern w:val="0"/>
                      <w:sz w:val="21"/>
                      <w:szCs w:val="21"/>
                      <w:highlight w:val="none"/>
                      <w:vertAlign w:val="baseline"/>
                      <w:lang w:val="en-US" w:eastAsia="zh-CN"/>
                    </w:rPr>
                  </w:pPr>
                  <w:r>
                    <w:rPr>
                      <w:rFonts w:hint="eastAsia" w:cs="Times New Roman"/>
                      <w:b w:val="0"/>
                      <w:bCs w:val="0"/>
                      <w:color w:val="auto"/>
                      <w:kern w:val="0"/>
                      <w:sz w:val="21"/>
                      <w:szCs w:val="21"/>
                      <w:highlight w:val="none"/>
                      <w:vertAlign w:val="baseline"/>
                      <w:lang w:val="en-US" w:eastAsia="zh-CN"/>
                    </w:rPr>
                    <w:t>纯水制备废水</w:t>
                  </w:r>
                </w:p>
              </w:tc>
              <w:tc>
                <w:tcPr>
                  <w:tcW w:w="558" w:type="pct"/>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20409.63</w:t>
                  </w:r>
                </w:p>
              </w:tc>
              <w:tc>
                <w:tcPr>
                  <w:tcW w:w="358" w:type="pct"/>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6-9</w:t>
                  </w:r>
                </w:p>
              </w:tc>
              <w:tc>
                <w:tcPr>
                  <w:tcW w:w="378" w:type="pct"/>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100</w:t>
                  </w:r>
                </w:p>
              </w:tc>
              <w:tc>
                <w:tcPr>
                  <w:tcW w:w="471" w:type="pct"/>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20</w:t>
                  </w:r>
                </w:p>
              </w:tc>
              <w:tc>
                <w:tcPr>
                  <w:tcW w:w="412" w:type="pct"/>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w:t>
                  </w:r>
                </w:p>
              </w:tc>
              <w:tc>
                <w:tcPr>
                  <w:tcW w:w="365" w:type="pct"/>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8</w:t>
                  </w:r>
                </w:p>
              </w:tc>
              <w:tc>
                <w:tcPr>
                  <w:tcW w:w="351" w:type="pct"/>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10</w:t>
                  </w:r>
                </w:p>
              </w:tc>
              <w:tc>
                <w:tcPr>
                  <w:tcW w:w="335" w:type="pct"/>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w:t>
                  </w:r>
                </w:p>
              </w:tc>
              <w:tc>
                <w:tcPr>
                  <w:tcW w:w="421" w:type="pct"/>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1200</w:t>
                  </w:r>
                </w:p>
              </w:tc>
              <w:tc>
                <w:tcPr>
                  <w:tcW w:w="396" w:type="pct"/>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49"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contextualSpacing/>
                    <w:jc w:val="center"/>
                    <w:textAlignment w:val="auto"/>
                    <w:rPr>
                      <w:rFonts w:hint="default" w:cs="Times New Roman"/>
                      <w:b w:val="0"/>
                      <w:bCs w:val="0"/>
                      <w:color w:val="auto"/>
                      <w:kern w:val="0"/>
                      <w:sz w:val="21"/>
                      <w:szCs w:val="21"/>
                      <w:highlight w:val="none"/>
                      <w:vertAlign w:val="baseline"/>
                      <w:lang w:val="en-US" w:eastAsia="zh-CN"/>
                    </w:rPr>
                  </w:pPr>
                  <w:r>
                    <w:rPr>
                      <w:rFonts w:hint="eastAsia" w:cs="Times New Roman"/>
                      <w:b w:val="0"/>
                      <w:bCs w:val="0"/>
                      <w:color w:val="auto"/>
                      <w:kern w:val="0"/>
                      <w:sz w:val="21"/>
                      <w:szCs w:val="21"/>
                      <w:highlight w:val="none"/>
                      <w:vertAlign w:val="baseline"/>
                      <w:lang w:val="en-US" w:eastAsia="zh-CN"/>
                    </w:rPr>
                    <w:t>锅炉排污水</w:t>
                  </w:r>
                </w:p>
              </w:tc>
              <w:tc>
                <w:tcPr>
                  <w:tcW w:w="558" w:type="pct"/>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349.44</w:t>
                  </w:r>
                </w:p>
              </w:tc>
              <w:tc>
                <w:tcPr>
                  <w:tcW w:w="358" w:type="pct"/>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6-9</w:t>
                  </w:r>
                </w:p>
              </w:tc>
              <w:tc>
                <w:tcPr>
                  <w:tcW w:w="378" w:type="pct"/>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100</w:t>
                  </w:r>
                </w:p>
              </w:tc>
              <w:tc>
                <w:tcPr>
                  <w:tcW w:w="471" w:type="pct"/>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20</w:t>
                  </w:r>
                </w:p>
              </w:tc>
              <w:tc>
                <w:tcPr>
                  <w:tcW w:w="412" w:type="pct"/>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20</w:t>
                  </w:r>
                </w:p>
              </w:tc>
              <w:tc>
                <w:tcPr>
                  <w:tcW w:w="365" w:type="pct"/>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8</w:t>
                  </w:r>
                </w:p>
              </w:tc>
              <w:tc>
                <w:tcPr>
                  <w:tcW w:w="351" w:type="pct"/>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10</w:t>
                  </w:r>
                </w:p>
              </w:tc>
              <w:tc>
                <w:tcPr>
                  <w:tcW w:w="335" w:type="pct"/>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w:t>
                  </w:r>
                </w:p>
              </w:tc>
              <w:tc>
                <w:tcPr>
                  <w:tcW w:w="421" w:type="pct"/>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1200</w:t>
                  </w:r>
                </w:p>
              </w:tc>
              <w:tc>
                <w:tcPr>
                  <w:tcW w:w="396" w:type="pct"/>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49"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contextualSpacing/>
                    <w:jc w:val="center"/>
                    <w:textAlignment w:val="auto"/>
                    <w:rPr>
                      <w:rFonts w:hint="default" w:cs="Times New Roman"/>
                      <w:b w:val="0"/>
                      <w:bCs w:val="0"/>
                      <w:color w:val="auto"/>
                      <w:kern w:val="0"/>
                      <w:sz w:val="21"/>
                      <w:szCs w:val="21"/>
                      <w:highlight w:val="none"/>
                      <w:vertAlign w:val="baseline"/>
                      <w:lang w:val="en-US" w:eastAsia="zh-CN"/>
                    </w:rPr>
                  </w:pPr>
                  <w:r>
                    <w:rPr>
                      <w:rFonts w:hint="eastAsia" w:cs="Times New Roman"/>
                      <w:b w:val="0"/>
                      <w:bCs w:val="0"/>
                      <w:color w:val="auto"/>
                      <w:kern w:val="0"/>
                      <w:sz w:val="21"/>
                      <w:szCs w:val="21"/>
                      <w:highlight w:val="none"/>
                      <w:vertAlign w:val="baseline"/>
                      <w:lang w:val="en-US" w:eastAsia="zh-CN"/>
                    </w:rPr>
                    <w:t>外排综合废水</w:t>
                  </w:r>
                </w:p>
              </w:tc>
              <w:tc>
                <w:tcPr>
                  <w:tcW w:w="558" w:type="pct"/>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25127.07</w:t>
                  </w:r>
                </w:p>
              </w:tc>
              <w:tc>
                <w:tcPr>
                  <w:tcW w:w="358" w:type="pct"/>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6-9</w:t>
                  </w:r>
                </w:p>
              </w:tc>
              <w:tc>
                <w:tcPr>
                  <w:tcW w:w="378" w:type="pct"/>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149</w:t>
                  </w:r>
                </w:p>
              </w:tc>
              <w:tc>
                <w:tcPr>
                  <w:tcW w:w="471" w:type="pct"/>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61.7</w:t>
                  </w:r>
                </w:p>
              </w:tc>
              <w:tc>
                <w:tcPr>
                  <w:tcW w:w="412" w:type="pct"/>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24</w:t>
                  </w:r>
                </w:p>
              </w:tc>
              <w:tc>
                <w:tcPr>
                  <w:tcW w:w="365" w:type="pct"/>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9.24</w:t>
                  </w:r>
                </w:p>
              </w:tc>
              <w:tc>
                <w:tcPr>
                  <w:tcW w:w="351" w:type="pct"/>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12.8</w:t>
                  </w:r>
                </w:p>
              </w:tc>
              <w:tc>
                <w:tcPr>
                  <w:tcW w:w="335" w:type="pct"/>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0.43</w:t>
                  </w:r>
                </w:p>
              </w:tc>
              <w:tc>
                <w:tcPr>
                  <w:tcW w:w="421" w:type="pct"/>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1140</w:t>
                  </w:r>
                </w:p>
              </w:tc>
              <w:tc>
                <w:tcPr>
                  <w:tcW w:w="396" w:type="pct"/>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0.18</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949"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contextualSpacing/>
                    <w:jc w:val="center"/>
                    <w:textAlignment w:val="auto"/>
                    <w:rPr>
                      <w:rFonts w:hint="default" w:cs="Times New Roman"/>
                      <w:b w:val="0"/>
                      <w:bCs w:val="0"/>
                      <w:color w:val="auto"/>
                      <w:kern w:val="0"/>
                      <w:sz w:val="21"/>
                      <w:szCs w:val="21"/>
                      <w:highlight w:val="none"/>
                      <w:vertAlign w:val="baseline"/>
                      <w:lang w:val="en-US" w:eastAsia="zh-CN"/>
                    </w:rPr>
                  </w:pPr>
                  <w:r>
                    <w:rPr>
                      <w:rFonts w:hint="eastAsia" w:cs="Times New Roman"/>
                      <w:b w:val="0"/>
                      <w:bCs w:val="0"/>
                      <w:color w:val="auto"/>
                      <w:kern w:val="0"/>
                      <w:sz w:val="21"/>
                      <w:szCs w:val="21"/>
                      <w:highlight w:val="none"/>
                      <w:vertAlign w:val="baseline"/>
                      <w:lang w:val="en-US" w:eastAsia="zh-CN"/>
                    </w:rPr>
                    <w:t>废水中污染物排放量（t/a）</w:t>
                  </w:r>
                </w:p>
              </w:tc>
              <w:tc>
                <w:tcPr>
                  <w:tcW w:w="558" w:type="pct"/>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w:t>
                  </w:r>
                </w:p>
              </w:tc>
              <w:tc>
                <w:tcPr>
                  <w:tcW w:w="358" w:type="pct"/>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w:t>
                  </w:r>
                </w:p>
              </w:tc>
              <w:tc>
                <w:tcPr>
                  <w:tcW w:w="378" w:type="pct"/>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3.74</w:t>
                  </w:r>
                </w:p>
              </w:tc>
              <w:tc>
                <w:tcPr>
                  <w:tcW w:w="471" w:type="pct"/>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1.55</w:t>
                  </w:r>
                </w:p>
              </w:tc>
              <w:tc>
                <w:tcPr>
                  <w:tcW w:w="412" w:type="pct"/>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0.603</w:t>
                  </w:r>
                </w:p>
              </w:tc>
              <w:tc>
                <w:tcPr>
                  <w:tcW w:w="365" w:type="pct"/>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0.232</w:t>
                  </w:r>
                </w:p>
              </w:tc>
              <w:tc>
                <w:tcPr>
                  <w:tcW w:w="351" w:type="pct"/>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0.322</w:t>
                  </w:r>
                </w:p>
              </w:tc>
              <w:tc>
                <w:tcPr>
                  <w:tcW w:w="335" w:type="pct"/>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0.011</w:t>
                  </w:r>
                </w:p>
              </w:tc>
              <w:tc>
                <w:tcPr>
                  <w:tcW w:w="421" w:type="pct"/>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28.6</w:t>
                  </w:r>
                </w:p>
              </w:tc>
              <w:tc>
                <w:tcPr>
                  <w:tcW w:w="396" w:type="pct"/>
                  <w:vAlign w:val="center"/>
                </w:tcPr>
                <w:p>
                  <w:pPr>
                    <w:keepNext w:val="0"/>
                    <w:keepLines w:val="0"/>
                    <w:pageBreakBefore w:val="0"/>
                    <w:widowControl/>
                    <w:suppressLineNumbers w:val="0"/>
                    <w:kinsoku/>
                    <w:wordWrap/>
                    <w:overflowPunct/>
                    <w:topLinePunct w:val="0"/>
                    <w:autoSpaceDE/>
                    <w:autoSpaceDN/>
                    <w:bidi w:val="0"/>
                    <w:adjustRightInd/>
                    <w:snapToGrid/>
                    <w:spacing w:before="0" w:beforeAutospacing="0" w:after="0" w:afterAutospacing="0" w:line="240" w:lineRule="auto"/>
                    <w:ind w:right="0" w:rightChars="0"/>
                    <w:jc w:val="center"/>
                    <w:textAlignment w:val="auto"/>
                    <w:rPr>
                      <w:rFonts w:hint="default" w:cs="宋体"/>
                      <w:bCs/>
                      <w:i w:val="0"/>
                      <w:iCs w:val="0"/>
                      <w:color w:val="auto"/>
                      <w:kern w:val="2"/>
                      <w:sz w:val="21"/>
                      <w:szCs w:val="21"/>
                      <w:highlight w:val="none"/>
                      <w:lang w:val="en-US" w:eastAsia="zh-CN" w:bidi="ar-SA"/>
                    </w:rPr>
                  </w:pPr>
                  <w:r>
                    <w:rPr>
                      <w:rFonts w:hint="eastAsia" w:cs="宋体"/>
                      <w:bCs/>
                      <w:i w:val="0"/>
                      <w:iCs w:val="0"/>
                      <w:color w:val="auto"/>
                      <w:kern w:val="2"/>
                      <w:sz w:val="21"/>
                      <w:szCs w:val="21"/>
                      <w:highlight w:val="none"/>
                      <w:lang w:val="en-US" w:eastAsia="zh-CN" w:bidi="ar-SA"/>
                    </w:rPr>
                    <w:t>0.005</w:t>
                  </w:r>
                </w:p>
              </w:tc>
            </w:tr>
          </w:tbl>
          <w:p>
            <w:pPr>
              <w:keepNext w:val="0"/>
              <w:keepLines w:val="0"/>
              <w:suppressLineNumbers w:val="0"/>
              <w:spacing w:before="0" w:beforeAutospacing="0" w:after="0" w:afterAutospacing="0" w:line="360" w:lineRule="auto"/>
              <w:ind w:left="0" w:right="0" w:firstLine="420" w:firstLineChars="200"/>
              <w:contextualSpacing/>
              <w:jc w:val="both"/>
              <w:rPr>
                <w:rFonts w:hint="eastAsia" w:cs="Times New Roman"/>
                <w:b w:val="0"/>
                <w:bCs w:val="0"/>
                <w:color w:val="auto"/>
                <w:kern w:val="0"/>
                <w:sz w:val="21"/>
                <w:szCs w:val="21"/>
                <w:highlight w:val="none"/>
                <w:lang w:val="en-US" w:eastAsia="zh-CN"/>
              </w:rPr>
            </w:pPr>
            <w:r>
              <w:rPr>
                <w:rFonts w:hint="default" w:cs="Times New Roman"/>
                <w:b w:val="0"/>
                <w:bCs w:val="0"/>
                <w:color w:val="auto"/>
                <w:kern w:val="0"/>
                <w:sz w:val="21"/>
                <w:szCs w:val="21"/>
                <w:highlight w:val="none"/>
                <w:lang w:val="en-US" w:eastAsia="zh-CN"/>
              </w:rPr>
              <w:t>由上表可知，项目</w:t>
            </w:r>
            <w:r>
              <w:rPr>
                <w:rFonts w:hint="eastAsia" w:cs="Times New Roman"/>
                <w:b w:val="0"/>
                <w:bCs w:val="0"/>
                <w:color w:val="auto"/>
                <w:kern w:val="0"/>
                <w:sz w:val="21"/>
                <w:szCs w:val="21"/>
                <w:highlight w:val="none"/>
                <w:lang w:val="en-US" w:eastAsia="zh-CN"/>
              </w:rPr>
              <w:t>外排综合</w:t>
            </w:r>
            <w:r>
              <w:rPr>
                <w:rFonts w:hint="default" w:cs="Times New Roman"/>
                <w:b w:val="0"/>
                <w:bCs w:val="0"/>
                <w:color w:val="auto"/>
                <w:kern w:val="0"/>
                <w:sz w:val="21"/>
                <w:szCs w:val="21"/>
                <w:highlight w:val="none"/>
                <w:lang w:val="en-US" w:eastAsia="zh-CN"/>
              </w:rPr>
              <w:t>废水中各污染因子均满足《污水综合排放标准》（GB</w:t>
            </w:r>
            <w:r>
              <w:rPr>
                <w:rFonts w:hint="eastAsia" w:cs="Times New Roman"/>
                <w:b w:val="0"/>
                <w:bCs w:val="0"/>
                <w:color w:val="auto"/>
                <w:kern w:val="0"/>
                <w:sz w:val="21"/>
                <w:szCs w:val="21"/>
                <w:highlight w:val="none"/>
                <w:lang w:val="en-US" w:eastAsia="zh-CN"/>
              </w:rPr>
              <w:t xml:space="preserve"> </w:t>
            </w:r>
            <w:r>
              <w:rPr>
                <w:rFonts w:hint="default" w:cs="Times New Roman"/>
                <w:b w:val="0"/>
                <w:bCs w:val="0"/>
                <w:color w:val="auto"/>
                <w:kern w:val="0"/>
                <w:sz w:val="21"/>
                <w:szCs w:val="21"/>
                <w:highlight w:val="none"/>
                <w:lang w:val="en-US" w:eastAsia="zh-CN"/>
              </w:rPr>
              <w:t>8978-1996）三级标准要求</w:t>
            </w:r>
            <w:r>
              <w:rPr>
                <w:rFonts w:hint="eastAsia" w:cs="Times New Roman"/>
                <w:b w:val="0"/>
                <w:bCs w:val="0"/>
                <w:color w:val="auto"/>
                <w:kern w:val="0"/>
                <w:sz w:val="21"/>
                <w:szCs w:val="21"/>
                <w:highlight w:val="none"/>
                <w:lang w:val="en-US" w:eastAsia="zh-CN"/>
              </w:rPr>
              <w:t>。</w:t>
            </w:r>
          </w:p>
          <w:p>
            <w:pPr>
              <w:keepNext w:val="0"/>
              <w:keepLines w:val="0"/>
              <w:suppressLineNumbers w:val="0"/>
              <w:spacing w:before="0" w:beforeAutospacing="0" w:after="0" w:afterAutospacing="0" w:line="360" w:lineRule="auto"/>
              <w:ind w:left="0" w:right="0" w:firstLine="420" w:firstLineChars="200"/>
              <w:contextualSpacing/>
              <w:jc w:val="both"/>
              <w:rPr>
                <w:rFonts w:hint="eastAsia" w:cs="Times New Roman"/>
                <w:b w:val="0"/>
                <w:bCs w:val="0"/>
                <w:color w:val="auto"/>
                <w:kern w:val="0"/>
                <w:sz w:val="21"/>
                <w:szCs w:val="21"/>
                <w:highlight w:val="none"/>
                <w:lang w:val="en-US" w:eastAsia="zh-CN"/>
              </w:rPr>
            </w:pPr>
            <w:r>
              <w:rPr>
                <w:rFonts w:hint="eastAsia" w:cs="Times New Roman"/>
                <w:b w:val="0"/>
                <w:bCs w:val="0"/>
                <w:color w:val="auto"/>
                <w:kern w:val="0"/>
                <w:sz w:val="21"/>
                <w:szCs w:val="21"/>
                <w:highlight w:val="none"/>
                <w:lang w:val="en-US" w:eastAsia="zh-CN"/>
              </w:rPr>
              <w:t>项目废水排放口情况见下表。</w:t>
            </w:r>
          </w:p>
          <w:p>
            <w:pPr>
              <w:keepNext w:val="0"/>
              <w:keepLines w:val="0"/>
              <w:suppressLineNumbers w:val="0"/>
              <w:spacing w:before="0" w:beforeAutospacing="0" w:after="0" w:afterAutospacing="0" w:line="240" w:lineRule="auto"/>
              <w:ind w:right="0"/>
              <w:contextualSpacing/>
              <w:jc w:val="center"/>
              <w:rPr>
                <w:rFonts w:hint="default" w:cs="Times New Roman"/>
                <w:b/>
                <w:bCs/>
                <w:color w:val="auto"/>
                <w:kern w:val="0"/>
                <w:sz w:val="21"/>
                <w:szCs w:val="21"/>
                <w:highlight w:val="none"/>
                <w:lang w:val="en-US" w:eastAsia="zh-CN"/>
              </w:rPr>
            </w:pPr>
            <w:r>
              <w:rPr>
                <w:rFonts w:hint="eastAsia" w:cs="Times New Roman"/>
                <w:b/>
                <w:bCs/>
                <w:color w:val="auto"/>
                <w:kern w:val="0"/>
                <w:sz w:val="21"/>
                <w:szCs w:val="21"/>
                <w:highlight w:val="none"/>
                <w:lang w:val="en-US" w:eastAsia="zh-CN"/>
              </w:rPr>
              <w:t>表4-8 废水排放口情况表</w:t>
            </w:r>
          </w:p>
          <w:tbl>
            <w:tblPr>
              <w:tblStyle w:val="22"/>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3"/>
              <w:gridCol w:w="756"/>
              <w:gridCol w:w="980"/>
              <w:gridCol w:w="960"/>
              <w:gridCol w:w="1270"/>
              <w:gridCol w:w="1000"/>
              <w:gridCol w:w="1294"/>
              <w:gridCol w:w="783"/>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550" w:hRule="atLeast"/>
              </w:trPr>
              <w:tc>
                <w:tcPr>
                  <w:tcW w:w="612" w:type="pct"/>
                  <w:vMerge w:val="restar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contextualSpacing/>
                    <w:jc w:val="center"/>
                    <w:textAlignment w:val="auto"/>
                    <w:rPr>
                      <w:rFonts w:hint="default" w:cs="Times New Roman"/>
                      <w:b w:val="0"/>
                      <w:bCs w:val="0"/>
                      <w:color w:val="auto"/>
                      <w:kern w:val="0"/>
                      <w:sz w:val="21"/>
                      <w:szCs w:val="21"/>
                      <w:highlight w:val="none"/>
                      <w:vertAlign w:val="baseline"/>
                      <w:lang w:val="en-US" w:eastAsia="zh-CN"/>
                    </w:rPr>
                  </w:pPr>
                  <w:r>
                    <w:rPr>
                      <w:rFonts w:hint="eastAsia" w:cs="Times New Roman"/>
                      <w:b w:val="0"/>
                      <w:bCs w:val="0"/>
                      <w:color w:val="auto"/>
                      <w:kern w:val="0"/>
                      <w:sz w:val="21"/>
                      <w:szCs w:val="21"/>
                      <w:highlight w:val="none"/>
                      <w:vertAlign w:val="baseline"/>
                      <w:lang w:val="en-US" w:eastAsia="zh-CN"/>
                    </w:rPr>
                    <w:t>排放口编号</w:t>
                  </w:r>
                </w:p>
              </w:tc>
              <w:tc>
                <w:tcPr>
                  <w:tcW w:w="470" w:type="pct"/>
                  <w:vMerge w:val="restar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contextualSpacing/>
                    <w:jc w:val="center"/>
                    <w:textAlignment w:val="auto"/>
                    <w:rPr>
                      <w:rFonts w:hint="default" w:cs="Times New Roman"/>
                      <w:b w:val="0"/>
                      <w:bCs w:val="0"/>
                      <w:color w:val="auto"/>
                      <w:kern w:val="0"/>
                      <w:sz w:val="21"/>
                      <w:szCs w:val="21"/>
                      <w:highlight w:val="none"/>
                      <w:vertAlign w:val="baseline"/>
                      <w:lang w:val="en-US" w:eastAsia="zh-CN"/>
                    </w:rPr>
                  </w:pPr>
                  <w:r>
                    <w:rPr>
                      <w:rFonts w:hint="eastAsia" w:cs="Times New Roman"/>
                      <w:b w:val="0"/>
                      <w:bCs w:val="0"/>
                      <w:color w:val="auto"/>
                      <w:kern w:val="0"/>
                      <w:sz w:val="21"/>
                      <w:szCs w:val="21"/>
                      <w:highlight w:val="none"/>
                      <w:vertAlign w:val="baseline"/>
                      <w:lang w:val="en-US" w:eastAsia="zh-CN"/>
                    </w:rPr>
                    <w:t>名称</w:t>
                  </w:r>
                </w:p>
              </w:tc>
              <w:tc>
                <w:tcPr>
                  <w:tcW w:w="1208" w:type="pct"/>
                  <w:gridSpan w:val="2"/>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contextualSpacing/>
                    <w:jc w:val="center"/>
                    <w:textAlignment w:val="auto"/>
                    <w:rPr>
                      <w:rFonts w:hint="default" w:cs="Times New Roman"/>
                      <w:b w:val="0"/>
                      <w:bCs w:val="0"/>
                      <w:color w:val="auto"/>
                      <w:kern w:val="0"/>
                      <w:sz w:val="21"/>
                      <w:szCs w:val="21"/>
                      <w:highlight w:val="none"/>
                      <w:vertAlign w:val="baseline"/>
                      <w:lang w:val="en-US" w:eastAsia="zh-CN"/>
                    </w:rPr>
                  </w:pPr>
                  <w:r>
                    <w:rPr>
                      <w:rFonts w:hint="eastAsia" w:cs="Times New Roman"/>
                      <w:b w:val="0"/>
                      <w:bCs w:val="0"/>
                      <w:color w:val="auto"/>
                      <w:kern w:val="0"/>
                      <w:sz w:val="21"/>
                      <w:szCs w:val="21"/>
                      <w:highlight w:val="none"/>
                      <w:vertAlign w:val="baseline"/>
                      <w:lang w:val="en-US" w:eastAsia="zh-CN"/>
                    </w:rPr>
                    <w:t>排放口地理坐标</w:t>
                  </w:r>
                </w:p>
              </w:tc>
              <w:tc>
                <w:tcPr>
                  <w:tcW w:w="791" w:type="pct"/>
                  <w:vMerge w:val="restar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contextualSpacing/>
                    <w:jc w:val="center"/>
                    <w:textAlignment w:val="auto"/>
                    <w:rPr>
                      <w:rFonts w:hint="default" w:cs="Times New Roman"/>
                      <w:b w:val="0"/>
                      <w:bCs w:val="0"/>
                      <w:color w:val="auto"/>
                      <w:kern w:val="0"/>
                      <w:sz w:val="21"/>
                      <w:szCs w:val="21"/>
                      <w:highlight w:val="none"/>
                      <w:vertAlign w:val="baseline"/>
                      <w:lang w:val="en-US" w:eastAsia="zh-CN"/>
                    </w:rPr>
                  </w:pPr>
                  <w:r>
                    <w:rPr>
                      <w:rFonts w:hint="eastAsia" w:cs="Times New Roman"/>
                      <w:b w:val="0"/>
                      <w:bCs w:val="0"/>
                      <w:color w:val="auto"/>
                      <w:kern w:val="0"/>
                      <w:sz w:val="21"/>
                      <w:szCs w:val="21"/>
                      <w:highlight w:val="none"/>
                      <w:vertAlign w:val="baseline"/>
                      <w:lang w:val="en-US" w:eastAsia="zh-CN"/>
                    </w:rPr>
                    <w:t>污染物种类</w:t>
                  </w:r>
                </w:p>
              </w:tc>
              <w:tc>
                <w:tcPr>
                  <w:tcW w:w="622" w:type="pct"/>
                  <w:vMerge w:val="restar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contextualSpacing/>
                    <w:jc w:val="center"/>
                    <w:textAlignment w:val="auto"/>
                    <w:rPr>
                      <w:rFonts w:hint="default" w:cs="Times New Roman"/>
                      <w:b w:val="0"/>
                      <w:bCs w:val="0"/>
                      <w:color w:val="auto"/>
                      <w:kern w:val="0"/>
                      <w:sz w:val="21"/>
                      <w:szCs w:val="21"/>
                      <w:highlight w:val="none"/>
                      <w:vertAlign w:val="baseline"/>
                      <w:lang w:val="en-US" w:eastAsia="zh-CN"/>
                    </w:rPr>
                  </w:pPr>
                  <w:r>
                    <w:rPr>
                      <w:rFonts w:hint="eastAsia" w:cs="Times New Roman"/>
                      <w:b w:val="0"/>
                      <w:bCs w:val="0"/>
                      <w:color w:val="auto"/>
                      <w:kern w:val="0"/>
                      <w:sz w:val="21"/>
                      <w:szCs w:val="21"/>
                      <w:highlight w:val="none"/>
                      <w:vertAlign w:val="baseline"/>
                      <w:lang w:val="en-US" w:eastAsia="zh-CN"/>
                    </w:rPr>
                    <w:t>排放去向</w:t>
                  </w:r>
                </w:p>
              </w:tc>
              <w:tc>
                <w:tcPr>
                  <w:tcW w:w="806" w:type="pct"/>
                  <w:vMerge w:val="restar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contextualSpacing/>
                    <w:jc w:val="center"/>
                    <w:textAlignment w:val="auto"/>
                    <w:rPr>
                      <w:rFonts w:hint="default" w:cs="Times New Roman"/>
                      <w:b w:val="0"/>
                      <w:bCs w:val="0"/>
                      <w:color w:val="auto"/>
                      <w:kern w:val="0"/>
                      <w:sz w:val="21"/>
                      <w:szCs w:val="21"/>
                      <w:highlight w:val="none"/>
                      <w:vertAlign w:val="baseline"/>
                      <w:lang w:val="en-US" w:eastAsia="zh-CN"/>
                    </w:rPr>
                  </w:pPr>
                  <w:r>
                    <w:rPr>
                      <w:rFonts w:hint="eastAsia" w:cs="Times New Roman"/>
                      <w:b w:val="0"/>
                      <w:bCs w:val="0"/>
                      <w:color w:val="auto"/>
                      <w:kern w:val="0"/>
                      <w:sz w:val="21"/>
                      <w:szCs w:val="21"/>
                      <w:highlight w:val="none"/>
                      <w:vertAlign w:val="baseline"/>
                      <w:lang w:val="en-US" w:eastAsia="zh-CN"/>
                    </w:rPr>
                    <w:t>排放规律</w:t>
                  </w:r>
                </w:p>
              </w:tc>
              <w:tc>
                <w:tcPr>
                  <w:tcW w:w="487" w:type="pct"/>
                  <w:vMerge w:val="restar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contextualSpacing/>
                    <w:jc w:val="center"/>
                    <w:textAlignment w:val="auto"/>
                    <w:rPr>
                      <w:rFonts w:hint="default" w:cs="Times New Roman"/>
                      <w:b w:val="0"/>
                      <w:bCs w:val="0"/>
                      <w:color w:val="auto"/>
                      <w:kern w:val="0"/>
                      <w:sz w:val="21"/>
                      <w:szCs w:val="21"/>
                      <w:highlight w:val="none"/>
                      <w:vertAlign w:val="baseline"/>
                      <w:lang w:val="en-US" w:eastAsia="zh-CN"/>
                    </w:rPr>
                  </w:pPr>
                  <w:r>
                    <w:rPr>
                      <w:rFonts w:hint="eastAsia" w:cs="Times New Roman"/>
                      <w:b w:val="0"/>
                      <w:bCs w:val="0"/>
                      <w:color w:val="auto"/>
                      <w:kern w:val="0"/>
                      <w:sz w:val="21"/>
                      <w:szCs w:val="21"/>
                      <w:highlight w:val="none"/>
                      <w:vertAlign w:val="baseline"/>
                      <w:lang w:val="en-US" w:eastAsia="zh-CN"/>
                    </w:rPr>
                    <w:t>排放口类型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0" w:hRule="atLeast"/>
              </w:trPr>
              <w:tc>
                <w:tcPr>
                  <w:tcW w:w="612" w:type="pct"/>
                  <w:vMerge w:val="continue"/>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contextualSpacing/>
                    <w:jc w:val="center"/>
                    <w:textAlignment w:val="auto"/>
                    <w:rPr>
                      <w:color w:val="auto"/>
                    </w:rPr>
                  </w:pPr>
                </w:p>
              </w:tc>
              <w:tc>
                <w:tcPr>
                  <w:tcW w:w="470" w:type="pct"/>
                  <w:vMerge w:val="continue"/>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contextualSpacing/>
                    <w:jc w:val="center"/>
                    <w:textAlignment w:val="auto"/>
                    <w:rPr>
                      <w:color w:val="auto"/>
                    </w:rPr>
                  </w:pPr>
                </w:p>
              </w:tc>
              <w:tc>
                <w:tcPr>
                  <w:tcW w:w="610"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contextualSpacing/>
                    <w:jc w:val="center"/>
                    <w:textAlignment w:val="auto"/>
                    <w:rPr>
                      <w:rFonts w:hint="default" w:cs="Times New Roman"/>
                      <w:b w:val="0"/>
                      <w:bCs w:val="0"/>
                      <w:color w:val="auto"/>
                      <w:kern w:val="0"/>
                      <w:sz w:val="21"/>
                      <w:szCs w:val="21"/>
                      <w:highlight w:val="none"/>
                      <w:vertAlign w:val="baseline"/>
                      <w:lang w:val="en-US" w:eastAsia="zh-CN"/>
                    </w:rPr>
                  </w:pPr>
                  <w:r>
                    <w:rPr>
                      <w:rFonts w:hint="eastAsia" w:cs="Times New Roman"/>
                      <w:b w:val="0"/>
                      <w:bCs w:val="0"/>
                      <w:color w:val="auto"/>
                      <w:kern w:val="0"/>
                      <w:sz w:val="21"/>
                      <w:szCs w:val="21"/>
                      <w:highlight w:val="none"/>
                      <w:vertAlign w:val="baseline"/>
                      <w:lang w:val="en-US" w:eastAsia="zh-CN"/>
                    </w:rPr>
                    <w:t>经度</w:t>
                  </w:r>
                </w:p>
              </w:tc>
              <w:tc>
                <w:tcPr>
                  <w:tcW w:w="598"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contextualSpacing/>
                    <w:jc w:val="center"/>
                    <w:textAlignment w:val="auto"/>
                    <w:rPr>
                      <w:rFonts w:hint="default" w:cs="Times New Roman"/>
                      <w:b w:val="0"/>
                      <w:bCs w:val="0"/>
                      <w:color w:val="auto"/>
                      <w:kern w:val="0"/>
                      <w:sz w:val="21"/>
                      <w:szCs w:val="21"/>
                      <w:highlight w:val="none"/>
                      <w:vertAlign w:val="baseline"/>
                      <w:lang w:val="en-US" w:eastAsia="zh-CN"/>
                    </w:rPr>
                  </w:pPr>
                  <w:r>
                    <w:rPr>
                      <w:rFonts w:hint="eastAsia" w:cs="Times New Roman"/>
                      <w:b w:val="0"/>
                      <w:bCs w:val="0"/>
                      <w:color w:val="auto"/>
                      <w:kern w:val="0"/>
                      <w:sz w:val="21"/>
                      <w:szCs w:val="21"/>
                      <w:highlight w:val="none"/>
                      <w:vertAlign w:val="baseline"/>
                      <w:lang w:val="en-US" w:eastAsia="zh-CN"/>
                    </w:rPr>
                    <w:t>纬度</w:t>
                  </w:r>
                </w:p>
              </w:tc>
              <w:tc>
                <w:tcPr>
                  <w:tcW w:w="791" w:type="pct"/>
                  <w:vMerge w:val="continue"/>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contextualSpacing/>
                    <w:jc w:val="center"/>
                    <w:textAlignment w:val="auto"/>
                    <w:rPr>
                      <w:rFonts w:hint="eastAsia" w:cs="Times New Roman"/>
                      <w:b w:val="0"/>
                      <w:bCs w:val="0"/>
                      <w:color w:val="auto"/>
                      <w:kern w:val="0"/>
                      <w:sz w:val="21"/>
                      <w:szCs w:val="21"/>
                      <w:highlight w:val="none"/>
                      <w:vertAlign w:val="baseline"/>
                      <w:lang w:val="en-US" w:eastAsia="zh-CN"/>
                    </w:rPr>
                  </w:pPr>
                </w:p>
              </w:tc>
              <w:tc>
                <w:tcPr>
                  <w:tcW w:w="622" w:type="pct"/>
                  <w:vMerge w:val="continue"/>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contextualSpacing/>
                    <w:jc w:val="center"/>
                    <w:textAlignment w:val="auto"/>
                    <w:rPr>
                      <w:rFonts w:hint="eastAsia" w:cs="Times New Roman"/>
                      <w:b w:val="0"/>
                      <w:bCs w:val="0"/>
                      <w:color w:val="auto"/>
                      <w:kern w:val="0"/>
                      <w:sz w:val="21"/>
                      <w:szCs w:val="21"/>
                      <w:highlight w:val="none"/>
                      <w:vertAlign w:val="baseline"/>
                      <w:lang w:val="en-US" w:eastAsia="zh-CN"/>
                    </w:rPr>
                  </w:pPr>
                </w:p>
              </w:tc>
              <w:tc>
                <w:tcPr>
                  <w:tcW w:w="806" w:type="pct"/>
                  <w:vMerge w:val="continue"/>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contextualSpacing/>
                    <w:jc w:val="center"/>
                    <w:textAlignment w:val="auto"/>
                    <w:rPr>
                      <w:rFonts w:hint="eastAsia" w:cs="Times New Roman"/>
                      <w:b w:val="0"/>
                      <w:bCs w:val="0"/>
                      <w:color w:val="auto"/>
                      <w:kern w:val="0"/>
                      <w:sz w:val="21"/>
                      <w:szCs w:val="21"/>
                      <w:highlight w:val="none"/>
                      <w:vertAlign w:val="baseline"/>
                      <w:lang w:val="en-US" w:eastAsia="zh-CN"/>
                    </w:rPr>
                  </w:pPr>
                </w:p>
              </w:tc>
              <w:tc>
                <w:tcPr>
                  <w:tcW w:w="487" w:type="pct"/>
                  <w:vMerge w:val="continue"/>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contextualSpacing/>
                    <w:jc w:val="center"/>
                    <w:textAlignment w:val="auto"/>
                    <w:rPr>
                      <w:rFonts w:hint="eastAsia" w:cs="Times New Roman"/>
                      <w:b w:val="0"/>
                      <w:bCs w:val="0"/>
                      <w:color w:val="auto"/>
                      <w:kern w:val="0"/>
                      <w:sz w:val="21"/>
                      <w:szCs w:val="21"/>
                      <w:highlight w:val="none"/>
                      <w:vertAlign w:val="baseli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111" w:hRule="atLeast"/>
              </w:trPr>
              <w:tc>
                <w:tcPr>
                  <w:tcW w:w="612"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contextualSpacing/>
                    <w:jc w:val="center"/>
                    <w:textAlignment w:val="auto"/>
                    <w:rPr>
                      <w:rFonts w:hint="default" w:cs="Times New Roman"/>
                      <w:b w:val="0"/>
                      <w:bCs w:val="0"/>
                      <w:color w:val="auto"/>
                      <w:kern w:val="0"/>
                      <w:sz w:val="21"/>
                      <w:szCs w:val="21"/>
                      <w:highlight w:val="none"/>
                      <w:vertAlign w:val="baseline"/>
                      <w:lang w:val="en-US" w:eastAsia="zh-CN"/>
                    </w:rPr>
                  </w:pPr>
                  <w:r>
                    <w:rPr>
                      <w:rFonts w:hint="eastAsia" w:cs="Times New Roman"/>
                      <w:b w:val="0"/>
                      <w:bCs w:val="0"/>
                      <w:color w:val="auto"/>
                      <w:kern w:val="0"/>
                      <w:sz w:val="21"/>
                      <w:szCs w:val="21"/>
                      <w:highlight w:val="none"/>
                      <w:vertAlign w:val="baseline"/>
                      <w:lang w:val="en-US" w:eastAsia="zh-CN"/>
                    </w:rPr>
                    <w:t>DW001</w:t>
                  </w:r>
                </w:p>
              </w:tc>
              <w:tc>
                <w:tcPr>
                  <w:tcW w:w="470"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contextualSpacing/>
                    <w:jc w:val="center"/>
                    <w:textAlignment w:val="auto"/>
                    <w:rPr>
                      <w:rFonts w:hint="default" w:cs="Times New Roman"/>
                      <w:b w:val="0"/>
                      <w:bCs w:val="0"/>
                      <w:color w:val="auto"/>
                      <w:kern w:val="0"/>
                      <w:sz w:val="21"/>
                      <w:szCs w:val="21"/>
                      <w:highlight w:val="none"/>
                      <w:vertAlign w:val="baseline"/>
                      <w:lang w:val="en-US" w:eastAsia="zh-CN"/>
                    </w:rPr>
                  </w:pPr>
                  <w:r>
                    <w:rPr>
                      <w:rFonts w:hint="eastAsia" w:cs="Times New Roman"/>
                      <w:b w:val="0"/>
                      <w:bCs w:val="0"/>
                      <w:color w:val="auto"/>
                      <w:kern w:val="0"/>
                      <w:sz w:val="21"/>
                      <w:szCs w:val="21"/>
                      <w:highlight w:val="none"/>
                      <w:vertAlign w:val="baseline"/>
                      <w:lang w:val="en-US" w:eastAsia="zh-CN"/>
                    </w:rPr>
                    <w:t>污水总排放口</w:t>
                  </w:r>
                </w:p>
              </w:tc>
              <w:tc>
                <w:tcPr>
                  <w:tcW w:w="610"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contextualSpacing/>
                    <w:jc w:val="center"/>
                    <w:textAlignment w:val="auto"/>
                    <w:rPr>
                      <w:rFonts w:hint="eastAsia" w:cs="Times New Roman"/>
                      <w:b w:val="0"/>
                      <w:bCs w:val="0"/>
                      <w:color w:val="auto"/>
                      <w:kern w:val="0"/>
                      <w:sz w:val="21"/>
                      <w:szCs w:val="21"/>
                      <w:highlight w:val="none"/>
                      <w:vertAlign w:val="baseline"/>
                      <w:lang w:val="en-US" w:eastAsia="zh-CN"/>
                    </w:rPr>
                  </w:pPr>
                  <w:r>
                    <w:rPr>
                      <w:rFonts w:hint="default" w:ascii="Times New Roman" w:hAnsi="Times New Roman" w:cs="Times New Roman"/>
                      <w:color w:val="auto"/>
                      <w:sz w:val="21"/>
                      <w:szCs w:val="21"/>
                      <w:highlight w:val="none"/>
                      <w:lang w:val="en-US"/>
                    </w:rPr>
                    <w:t>86°13′46.04</w:t>
                  </w:r>
                  <w:r>
                    <w:rPr>
                      <w:rFonts w:hint="eastAsia" w:cs="Times New Roman"/>
                      <w:color w:val="auto"/>
                      <w:sz w:val="21"/>
                      <w:szCs w:val="21"/>
                      <w:highlight w:val="none"/>
                      <w:lang w:val="en-US" w:eastAsia="zh-CN"/>
                    </w:rPr>
                    <w:t>1</w:t>
                  </w:r>
                  <w:r>
                    <w:rPr>
                      <w:rFonts w:hint="default" w:ascii="Times New Roman" w:hAnsi="Times New Roman" w:cs="Times New Roman"/>
                      <w:color w:val="auto"/>
                      <w:sz w:val="21"/>
                      <w:szCs w:val="21"/>
                      <w:highlight w:val="none"/>
                      <w:lang w:val="en-US"/>
                    </w:rPr>
                    <w:t>″</w:t>
                  </w:r>
                  <w:r>
                    <w:rPr>
                      <w:rFonts w:hint="eastAsia" w:cs="Times New Roman"/>
                      <w:color w:val="auto"/>
                      <w:sz w:val="21"/>
                      <w:szCs w:val="21"/>
                      <w:highlight w:val="none"/>
                      <w:lang w:val="en-US" w:eastAsia="zh-CN"/>
                    </w:rPr>
                    <w:t>E</w:t>
                  </w:r>
                </w:p>
              </w:tc>
              <w:tc>
                <w:tcPr>
                  <w:tcW w:w="598"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contextualSpacing/>
                    <w:jc w:val="center"/>
                    <w:textAlignment w:val="auto"/>
                    <w:rPr>
                      <w:rFonts w:hint="eastAsia" w:eastAsia="宋体" w:cs="Times New Roman"/>
                      <w:b w:val="0"/>
                      <w:bCs w:val="0"/>
                      <w:color w:val="auto"/>
                      <w:kern w:val="0"/>
                      <w:sz w:val="21"/>
                      <w:szCs w:val="21"/>
                      <w:highlight w:val="none"/>
                      <w:vertAlign w:val="baseline"/>
                      <w:lang w:val="en-US" w:eastAsia="zh-CN"/>
                    </w:rPr>
                  </w:pPr>
                  <w:r>
                    <w:rPr>
                      <w:rFonts w:hint="default" w:ascii="Times New Roman" w:hAnsi="Times New Roman" w:cs="Times New Roman"/>
                      <w:color w:val="auto"/>
                      <w:sz w:val="21"/>
                      <w:szCs w:val="21"/>
                      <w:highlight w:val="none"/>
                      <w:lang w:val="en-US"/>
                    </w:rPr>
                    <w:t>41°40′51.20</w:t>
                  </w:r>
                  <w:r>
                    <w:rPr>
                      <w:rFonts w:hint="eastAsia" w:cs="Times New Roman"/>
                      <w:color w:val="auto"/>
                      <w:sz w:val="21"/>
                      <w:szCs w:val="21"/>
                      <w:highlight w:val="none"/>
                      <w:lang w:val="en-US" w:eastAsia="zh-CN"/>
                    </w:rPr>
                    <w:t>2</w:t>
                  </w:r>
                  <w:r>
                    <w:rPr>
                      <w:rFonts w:hint="default" w:ascii="Times New Roman" w:hAnsi="Times New Roman" w:cs="Times New Roman"/>
                      <w:color w:val="auto"/>
                      <w:sz w:val="21"/>
                      <w:szCs w:val="21"/>
                      <w:highlight w:val="none"/>
                      <w:lang w:val="en-US"/>
                    </w:rPr>
                    <w:t>″</w:t>
                  </w:r>
                  <w:r>
                    <w:rPr>
                      <w:rFonts w:hint="eastAsia" w:cs="Times New Roman"/>
                      <w:color w:val="auto"/>
                      <w:sz w:val="21"/>
                      <w:szCs w:val="21"/>
                      <w:highlight w:val="none"/>
                      <w:lang w:val="en-US" w:eastAsia="zh-CN"/>
                    </w:rPr>
                    <w:t>N</w:t>
                  </w:r>
                </w:p>
              </w:tc>
              <w:tc>
                <w:tcPr>
                  <w:tcW w:w="791"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contextualSpacing/>
                    <w:jc w:val="center"/>
                    <w:textAlignment w:val="auto"/>
                    <w:rPr>
                      <w:rFonts w:hint="default" w:cs="Times New Roman"/>
                      <w:b w:val="0"/>
                      <w:bCs w:val="0"/>
                      <w:color w:val="auto"/>
                      <w:kern w:val="0"/>
                      <w:sz w:val="21"/>
                      <w:szCs w:val="21"/>
                      <w:highlight w:val="none"/>
                      <w:vertAlign w:val="baseline"/>
                      <w:lang w:val="en-US" w:eastAsia="zh-CN"/>
                    </w:rPr>
                  </w:pPr>
                  <w:r>
                    <w:rPr>
                      <w:rFonts w:hint="eastAsia" w:cs="Times New Roman"/>
                      <w:b w:val="0"/>
                      <w:bCs w:val="0"/>
                      <w:color w:val="auto"/>
                      <w:kern w:val="0"/>
                      <w:sz w:val="21"/>
                      <w:szCs w:val="21"/>
                      <w:highlight w:val="none"/>
                      <w:vertAlign w:val="baseline"/>
                      <w:lang w:val="en-US" w:eastAsia="zh-CN"/>
                    </w:rPr>
                    <w:t>pH、COD、BOD</w:t>
                  </w:r>
                  <w:r>
                    <w:rPr>
                      <w:rFonts w:hint="eastAsia" w:cs="Times New Roman"/>
                      <w:b w:val="0"/>
                      <w:bCs w:val="0"/>
                      <w:color w:val="auto"/>
                      <w:kern w:val="0"/>
                      <w:sz w:val="21"/>
                      <w:szCs w:val="21"/>
                      <w:highlight w:val="none"/>
                      <w:vertAlign w:val="subscript"/>
                      <w:lang w:val="en-US" w:eastAsia="zh-CN"/>
                    </w:rPr>
                    <w:t>5</w:t>
                  </w:r>
                  <w:r>
                    <w:rPr>
                      <w:rFonts w:hint="eastAsia" w:cs="Times New Roman"/>
                      <w:b w:val="0"/>
                      <w:bCs w:val="0"/>
                      <w:color w:val="auto"/>
                      <w:kern w:val="0"/>
                      <w:sz w:val="21"/>
                      <w:szCs w:val="21"/>
                      <w:highlight w:val="none"/>
                      <w:vertAlign w:val="baseline"/>
                      <w:lang w:val="en-US" w:eastAsia="zh-CN"/>
                    </w:rPr>
                    <w:t>、氨氮、总氮、总磷、悬浮物、溶解性总固体、LAS</w:t>
                  </w:r>
                </w:p>
              </w:tc>
              <w:tc>
                <w:tcPr>
                  <w:tcW w:w="622"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contextualSpacing/>
                    <w:jc w:val="center"/>
                    <w:textAlignment w:val="auto"/>
                    <w:rPr>
                      <w:rFonts w:hint="default" w:cs="Times New Roman"/>
                      <w:b w:val="0"/>
                      <w:bCs w:val="0"/>
                      <w:color w:val="auto"/>
                      <w:kern w:val="0"/>
                      <w:sz w:val="21"/>
                      <w:szCs w:val="21"/>
                      <w:highlight w:val="none"/>
                      <w:vertAlign w:val="baseline"/>
                      <w:lang w:val="en-US" w:eastAsia="zh-CN"/>
                    </w:rPr>
                  </w:pPr>
                  <w:r>
                    <w:rPr>
                      <w:rFonts w:hint="eastAsia" w:cs="Times New Roman"/>
                      <w:b w:val="0"/>
                      <w:bCs w:val="0"/>
                      <w:color w:val="auto"/>
                      <w:kern w:val="0"/>
                      <w:sz w:val="21"/>
                      <w:szCs w:val="21"/>
                      <w:highlight w:val="none"/>
                      <w:vertAlign w:val="baseline"/>
                      <w:lang w:val="en-US" w:eastAsia="zh-CN"/>
                    </w:rPr>
                    <w:t>排入</w:t>
                  </w:r>
                  <w:r>
                    <w:rPr>
                      <w:rFonts w:hint="eastAsia" w:cs="Times New Roman"/>
                      <w:b w:val="0"/>
                      <w:bCs w:val="0"/>
                      <w:color w:val="auto"/>
                      <w:sz w:val="21"/>
                      <w:szCs w:val="21"/>
                      <w:highlight w:val="none"/>
                      <w:lang w:eastAsia="zh-CN"/>
                    </w:rPr>
                    <w:t>库尔勒经济技术开发区工业废水处理回用厂</w:t>
                  </w:r>
                </w:p>
              </w:tc>
              <w:tc>
                <w:tcPr>
                  <w:tcW w:w="806"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contextualSpacing/>
                    <w:jc w:val="center"/>
                    <w:textAlignment w:val="auto"/>
                    <w:rPr>
                      <w:rFonts w:hint="eastAsia" w:cs="Times New Roman"/>
                      <w:b w:val="0"/>
                      <w:bCs w:val="0"/>
                      <w:color w:val="auto"/>
                      <w:kern w:val="0"/>
                      <w:sz w:val="21"/>
                      <w:szCs w:val="21"/>
                      <w:highlight w:val="none"/>
                      <w:vertAlign w:val="baseline"/>
                      <w:lang w:val="en-US" w:eastAsia="zh-CN"/>
                    </w:rPr>
                  </w:pPr>
                  <w:r>
                    <w:rPr>
                      <w:rFonts w:hint="eastAsia" w:cs="Times New Roman"/>
                      <w:b w:val="0"/>
                      <w:bCs w:val="0"/>
                      <w:color w:val="auto"/>
                      <w:kern w:val="0"/>
                      <w:sz w:val="21"/>
                      <w:szCs w:val="21"/>
                      <w:highlight w:val="none"/>
                      <w:vertAlign w:val="baseline"/>
                      <w:lang w:val="en-US" w:eastAsia="zh-CN"/>
                    </w:rPr>
                    <w:t>间断排放，排放期间流量不稳定且无规律，但不属于冲击型排放</w:t>
                  </w:r>
                </w:p>
              </w:tc>
              <w:tc>
                <w:tcPr>
                  <w:tcW w:w="487" w:type="pct"/>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contextualSpacing/>
                    <w:jc w:val="center"/>
                    <w:textAlignment w:val="auto"/>
                    <w:rPr>
                      <w:rFonts w:hint="default" w:cs="Times New Roman"/>
                      <w:b w:val="0"/>
                      <w:bCs w:val="0"/>
                      <w:color w:val="auto"/>
                      <w:kern w:val="0"/>
                      <w:sz w:val="21"/>
                      <w:szCs w:val="21"/>
                      <w:highlight w:val="none"/>
                      <w:vertAlign w:val="baseline"/>
                      <w:lang w:val="en-US" w:eastAsia="zh-CN"/>
                    </w:rPr>
                  </w:pPr>
                  <w:r>
                    <w:rPr>
                      <w:rFonts w:hint="eastAsia" w:cs="Times New Roman"/>
                      <w:b w:val="0"/>
                      <w:bCs w:val="0"/>
                      <w:color w:val="auto"/>
                      <w:kern w:val="0"/>
                      <w:sz w:val="21"/>
                      <w:szCs w:val="21"/>
                      <w:highlight w:val="none"/>
                      <w:vertAlign w:val="baseline"/>
                      <w:lang w:val="en-US" w:eastAsia="zh-CN"/>
                    </w:rPr>
                    <w:t>一般排放口</w:t>
                  </w:r>
                </w:p>
              </w:tc>
            </w:tr>
          </w:tbl>
          <w:p>
            <w:pPr>
              <w:pStyle w:val="56"/>
              <w:keepNext w:val="0"/>
              <w:keepLines w:val="0"/>
              <w:pageBreakBefore w:val="0"/>
              <w:kinsoku/>
              <w:overflowPunct/>
              <w:topLinePunct w:val="0"/>
              <w:autoSpaceDE/>
              <w:autoSpaceDN/>
              <w:bidi w:val="0"/>
              <w:spacing w:line="360" w:lineRule="auto"/>
              <w:ind w:firstLine="422" w:firstLineChars="200"/>
              <w:jc w:val="both"/>
              <w:textAlignment w:val="auto"/>
              <w:rPr>
                <w:rFonts w:hint="eastAsia" w:cs="宋体"/>
                <w:b/>
                <w:bCs w:val="0"/>
                <w:color w:val="auto"/>
                <w:sz w:val="21"/>
                <w:szCs w:val="21"/>
                <w:highlight w:val="none"/>
                <w:lang w:val="en-US" w:eastAsia="zh-CN"/>
              </w:rPr>
            </w:pPr>
            <w:r>
              <w:rPr>
                <w:rFonts w:hint="eastAsia" w:cs="宋体"/>
                <w:b/>
                <w:bCs w:val="0"/>
                <w:color w:val="auto"/>
                <w:sz w:val="21"/>
                <w:szCs w:val="21"/>
                <w:highlight w:val="none"/>
                <w:lang w:val="en-US" w:eastAsia="zh-CN"/>
              </w:rPr>
              <w:t>2.4依托污水处理厂可行性分析</w:t>
            </w:r>
          </w:p>
          <w:p>
            <w:pPr>
              <w:keepNext w:val="0"/>
              <w:keepLines w:val="0"/>
              <w:pageBreakBefore w:val="0"/>
              <w:widowControl/>
              <w:suppressLineNumbers w:val="0"/>
              <w:kinsoku/>
              <w:wordWrap/>
              <w:overflowPunct/>
              <w:topLinePunct w:val="0"/>
              <w:bidi w:val="0"/>
              <w:snapToGrid/>
              <w:spacing w:before="0" w:beforeAutospacing="0" w:after="0" w:afterAutospacing="0" w:line="360" w:lineRule="auto"/>
              <w:ind w:left="0" w:right="0" w:firstLine="420" w:firstLineChars="200"/>
              <w:jc w:val="left"/>
              <w:textAlignment w:val="auto"/>
              <w:rPr>
                <w:rFonts w:hint="eastAsia" w:cs="Times New Roman"/>
                <w:b w:val="0"/>
                <w:bCs w:val="0"/>
                <w:color w:val="auto"/>
                <w:sz w:val="21"/>
                <w:szCs w:val="21"/>
                <w:highlight w:val="none"/>
                <w:lang w:eastAsia="zh-CN"/>
              </w:rPr>
            </w:pPr>
            <w:r>
              <w:rPr>
                <w:rFonts w:hint="eastAsia" w:cs="Times New Roman"/>
                <w:b w:val="0"/>
                <w:bCs w:val="0"/>
                <w:color w:val="auto"/>
                <w:sz w:val="21"/>
                <w:szCs w:val="21"/>
                <w:highlight w:val="none"/>
                <w:lang w:eastAsia="zh-CN"/>
              </w:rPr>
              <w:t>库尔勒经济技术开发区工业废水处理回用厂</w:t>
            </w:r>
            <w:r>
              <w:rPr>
                <w:rFonts w:hint="default" w:ascii="Times New Roman" w:hAnsi="Times New Roman" w:eastAsia="宋体" w:cs="Times New Roman"/>
                <w:b w:val="0"/>
                <w:bCs w:val="0"/>
                <w:color w:val="auto"/>
                <w:sz w:val="21"/>
                <w:szCs w:val="21"/>
                <w:highlight w:val="none"/>
                <w:lang w:eastAsia="zh-CN"/>
              </w:rPr>
              <w:t>处于库尔勒经济技术开发区内，设计处理规模</w:t>
            </w:r>
            <w:r>
              <w:rPr>
                <w:rFonts w:hint="eastAsia" w:cs="Times New Roman"/>
                <w:b w:val="0"/>
                <w:bCs w:val="0"/>
                <w:color w:val="auto"/>
                <w:sz w:val="21"/>
                <w:szCs w:val="21"/>
                <w:highlight w:val="none"/>
                <w:lang w:val="en-US" w:eastAsia="zh-CN"/>
              </w:rPr>
              <w:t>为</w:t>
            </w:r>
            <w:r>
              <w:rPr>
                <w:rFonts w:hint="default" w:ascii="Times New Roman" w:hAnsi="Times New Roman" w:eastAsia="宋体" w:cs="Times New Roman"/>
                <w:b w:val="0"/>
                <w:bCs w:val="0"/>
                <w:color w:val="auto"/>
                <w:sz w:val="21"/>
                <w:szCs w:val="21"/>
                <w:highlight w:val="none"/>
                <w:lang w:eastAsia="zh-CN"/>
              </w:rPr>
              <w:t>50000m</w:t>
            </w:r>
            <w:r>
              <w:rPr>
                <w:rFonts w:hint="default" w:ascii="Times New Roman" w:hAnsi="Times New Roman" w:eastAsia="宋体" w:cs="Times New Roman"/>
                <w:b w:val="0"/>
                <w:bCs w:val="0"/>
                <w:color w:val="auto"/>
                <w:sz w:val="21"/>
                <w:szCs w:val="21"/>
                <w:highlight w:val="none"/>
                <w:vertAlign w:val="superscript"/>
                <w:lang w:eastAsia="zh-CN"/>
              </w:rPr>
              <w:t>3</w:t>
            </w:r>
            <w:r>
              <w:rPr>
                <w:rFonts w:hint="default" w:ascii="Times New Roman" w:hAnsi="Times New Roman" w:eastAsia="宋体" w:cs="Times New Roman"/>
                <w:b w:val="0"/>
                <w:bCs w:val="0"/>
                <w:color w:val="auto"/>
                <w:sz w:val="21"/>
                <w:szCs w:val="21"/>
                <w:highlight w:val="none"/>
                <w:lang w:eastAsia="zh-CN"/>
              </w:rPr>
              <w:t>/d</w:t>
            </w:r>
            <w:r>
              <w:rPr>
                <w:rFonts w:hint="eastAsia" w:cs="Times New Roman"/>
                <w:b w:val="0"/>
                <w:bCs w:val="0"/>
                <w:color w:val="auto"/>
                <w:sz w:val="21"/>
                <w:szCs w:val="21"/>
                <w:highlight w:val="none"/>
                <w:lang w:eastAsia="zh-CN"/>
              </w:rPr>
              <w:t>，</w:t>
            </w:r>
            <w:r>
              <w:rPr>
                <w:rFonts w:hint="default" w:ascii="Times New Roman" w:hAnsi="Times New Roman" w:eastAsia="宋体" w:cs="Times New Roman"/>
                <w:b w:val="0"/>
                <w:bCs w:val="0"/>
                <w:color w:val="auto"/>
                <w:sz w:val="21"/>
                <w:szCs w:val="21"/>
                <w:highlight w:val="none"/>
                <w:lang w:eastAsia="zh-CN"/>
              </w:rPr>
              <w:t>采用</w:t>
            </w:r>
            <w:r>
              <w:rPr>
                <w:rFonts w:hint="eastAsia" w:cs="Times New Roman"/>
                <w:b w:val="0"/>
                <w:bCs w:val="0"/>
                <w:color w:val="auto"/>
                <w:sz w:val="21"/>
                <w:szCs w:val="21"/>
                <w:highlight w:val="none"/>
                <w:lang w:eastAsia="zh-CN"/>
              </w:rPr>
              <w:t>“</w:t>
            </w:r>
            <w:r>
              <w:rPr>
                <w:rFonts w:hint="default" w:ascii="Times New Roman" w:hAnsi="Times New Roman" w:eastAsia="宋体" w:cs="Times New Roman"/>
                <w:b w:val="0"/>
                <w:bCs w:val="0"/>
                <w:color w:val="auto"/>
                <w:sz w:val="21"/>
                <w:szCs w:val="21"/>
                <w:highlight w:val="none"/>
                <w:lang w:eastAsia="zh-CN"/>
              </w:rPr>
              <w:t>水解酸化+AO+絮凝沉淀+加氯消毒</w:t>
            </w:r>
            <w:r>
              <w:rPr>
                <w:rFonts w:hint="eastAsia" w:cs="Times New Roman"/>
                <w:b w:val="0"/>
                <w:bCs w:val="0"/>
                <w:color w:val="auto"/>
                <w:sz w:val="21"/>
                <w:szCs w:val="21"/>
                <w:highlight w:val="none"/>
                <w:lang w:eastAsia="zh-CN"/>
              </w:rPr>
              <w:t>”</w:t>
            </w:r>
            <w:r>
              <w:rPr>
                <w:rFonts w:hint="default" w:ascii="Times New Roman" w:hAnsi="Times New Roman" w:eastAsia="宋体" w:cs="Times New Roman"/>
                <w:b w:val="0"/>
                <w:bCs w:val="0"/>
                <w:color w:val="auto"/>
                <w:sz w:val="21"/>
                <w:szCs w:val="21"/>
                <w:highlight w:val="none"/>
                <w:lang w:eastAsia="zh-CN"/>
              </w:rPr>
              <w:t>工艺，出水水质</w:t>
            </w:r>
            <w:r>
              <w:rPr>
                <w:rFonts w:hint="eastAsia" w:cs="Times New Roman"/>
                <w:b w:val="0"/>
                <w:bCs w:val="0"/>
                <w:color w:val="auto"/>
                <w:sz w:val="21"/>
                <w:szCs w:val="21"/>
                <w:highlight w:val="none"/>
                <w:lang w:val="en-US" w:eastAsia="zh-CN"/>
              </w:rPr>
              <w:t>执行</w:t>
            </w:r>
            <w:r>
              <w:rPr>
                <w:rFonts w:hint="default" w:ascii="Times New Roman" w:hAnsi="Times New Roman" w:eastAsia="宋体" w:cs="Times New Roman"/>
                <w:b w:val="0"/>
                <w:bCs w:val="0"/>
                <w:color w:val="auto"/>
                <w:sz w:val="21"/>
                <w:szCs w:val="21"/>
                <w:highlight w:val="none"/>
                <w:lang w:eastAsia="zh-CN"/>
              </w:rPr>
              <w:t>《城镇污水处理厂污染物排放标准》（GB18918-2002）中一级A标准。</w:t>
            </w:r>
          </w:p>
          <w:p>
            <w:pPr>
              <w:keepNext w:val="0"/>
              <w:keepLines w:val="0"/>
              <w:pageBreakBefore w:val="0"/>
              <w:widowControl/>
              <w:suppressLineNumbers w:val="0"/>
              <w:kinsoku/>
              <w:wordWrap/>
              <w:overflowPunct/>
              <w:topLinePunct w:val="0"/>
              <w:bidi w:val="0"/>
              <w:snapToGrid/>
              <w:spacing w:before="0" w:beforeAutospacing="0" w:after="0" w:afterAutospacing="0" w:line="360" w:lineRule="auto"/>
              <w:ind w:left="0" w:right="0" w:firstLine="420" w:firstLineChars="200"/>
              <w:jc w:val="left"/>
              <w:textAlignment w:val="auto"/>
              <w:rPr>
                <w:rFonts w:hint="default" w:ascii="Times New Roman" w:hAnsi="Times New Roman" w:eastAsia="宋体" w:cs="Times New Roman"/>
                <w:b w:val="0"/>
                <w:bCs w:val="0"/>
                <w:color w:val="auto"/>
                <w:sz w:val="21"/>
                <w:szCs w:val="21"/>
                <w:highlight w:val="none"/>
                <w:lang w:eastAsia="zh-CN"/>
              </w:rPr>
            </w:pPr>
            <w:r>
              <w:rPr>
                <w:rFonts w:hint="eastAsia" w:cs="Times New Roman"/>
                <w:b w:val="0"/>
                <w:bCs w:val="0"/>
                <w:color w:val="auto"/>
                <w:sz w:val="21"/>
                <w:szCs w:val="21"/>
                <w:highlight w:val="none"/>
                <w:lang w:eastAsia="zh-CN"/>
              </w:rPr>
              <w:t>库尔勒经济技术开发区工业废水处理回用厂</w:t>
            </w:r>
            <w:r>
              <w:rPr>
                <w:rFonts w:hint="eastAsia" w:cs="Times New Roman"/>
                <w:b w:val="0"/>
                <w:bCs w:val="0"/>
                <w:color w:val="auto"/>
                <w:sz w:val="21"/>
                <w:szCs w:val="21"/>
                <w:highlight w:val="none"/>
                <w:lang w:val="en-US" w:eastAsia="zh-CN"/>
              </w:rPr>
              <w:t>近期处理水量约为24000</w:t>
            </w:r>
            <w:r>
              <w:rPr>
                <w:rFonts w:hint="default" w:ascii="Times New Roman" w:hAnsi="Times New Roman" w:eastAsia="宋体" w:cs="Times New Roman"/>
                <w:b w:val="0"/>
                <w:bCs w:val="0"/>
                <w:color w:val="auto"/>
                <w:sz w:val="21"/>
                <w:szCs w:val="21"/>
                <w:highlight w:val="none"/>
                <w:lang w:eastAsia="zh-CN"/>
              </w:rPr>
              <w:t>m</w:t>
            </w:r>
            <w:r>
              <w:rPr>
                <w:rFonts w:hint="default" w:ascii="Times New Roman" w:hAnsi="Times New Roman" w:eastAsia="宋体" w:cs="Times New Roman"/>
                <w:b w:val="0"/>
                <w:bCs w:val="0"/>
                <w:color w:val="auto"/>
                <w:sz w:val="21"/>
                <w:szCs w:val="21"/>
                <w:highlight w:val="none"/>
                <w:vertAlign w:val="superscript"/>
                <w:lang w:eastAsia="zh-CN"/>
              </w:rPr>
              <w:t>3</w:t>
            </w:r>
            <w:r>
              <w:rPr>
                <w:rFonts w:hint="default" w:ascii="Times New Roman" w:hAnsi="Times New Roman" w:eastAsia="宋体" w:cs="Times New Roman"/>
                <w:b w:val="0"/>
                <w:bCs w:val="0"/>
                <w:color w:val="auto"/>
                <w:sz w:val="21"/>
                <w:szCs w:val="21"/>
                <w:highlight w:val="none"/>
                <w:lang w:eastAsia="zh-CN"/>
              </w:rPr>
              <w:t>/d</w:t>
            </w:r>
            <w:r>
              <w:rPr>
                <w:rFonts w:hint="eastAsia" w:cs="Times New Roman"/>
                <w:b w:val="0"/>
                <w:bCs w:val="0"/>
                <w:color w:val="auto"/>
                <w:sz w:val="21"/>
                <w:szCs w:val="21"/>
                <w:highlight w:val="none"/>
                <w:lang w:eastAsia="zh-CN"/>
              </w:rPr>
              <w:t>，</w:t>
            </w:r>
            <w:r>
              <w:rPr>
                <w:rFonts w:hint="eastAsia" w:cs="Times New Roman"/>
                <w:b w:val="0"/>
                <w:bCs w:val="0"/>
                <w:color w:val="auto"/>
                <w:sz w:val="21"/>
                <w:szCs w:val="21"/>
                <w:highlight w:val="none"/>
                <w:lang w:val="en-US" w:eastAsia="zh-CN"/>
              </w:rPr>
              <w:t>剩余处理能力约为26000</w:t>
            </w:r>
            <w:r>
              <w:rPr>
                <w:rFonts w:hint="default" w:ascii="Times New Roman" w:hAnsi="Times New Roman" w:eastAsia="宋体" w:cs="Times New Roman"/>
                <w:b w:val="0"/>
                <w:bCs w:val="0"/>
                <w:color w:val="auto"/>
                <w:sz w:val="21"/>
                <w:szCs w:val="21"/>
                <w:highlight w:val="none"/>
                <w:lang w:eastAsia="zh-CN"/>
              </w:rPr>
              <w:t>m</w:t>
            </w:r>
            <w:r>
              <w:rPr>
                <w:rFonts w:hint="default" w:ascii="Times New Roman" w:hAnsi="Times New Roman" w:eastAsia="宋体" w:cs="Times New Roman"/>
                <w:b w:val="0"/>
                <w:bCs w:val="0"/>
                <w:color w:val="auto"/>
                <w:sz w:val="21"/>
                <w:szCs w:val="21"/>
                <w:highlight w:val="none"/>
                <w:vertAlign w:val="superscript"/>
                <w:lang w:eastAsia="zh-CN"/>
              </w:rPr>
              <w:t>3</w:t>
            </w:r>
            <w:r>
              <w:rPr>
                <w:rFonts w:hint="default" w:ascii="Times New Roman" w:hAnsi="Times New Roman" w:eastAsia="宋体" w:cs="Times New Roman"/>
                <w:b w:val="0"/>
                <w:bCs w:val="0"/>
                <w:color w:val="auto"/>
                <w:sz w:val="21"/>
                <w:szCs w:val="21"/>
                <w:highlight w:val="none"/>
                <w:lang w:eastAsia="zh-CN"/>
              </w:rPr>
              <w:t>/d</w:t>
            </w:r>
            <w:r>
              <w:rPr>
                <w:rFonts w:hint="eastAsia" w:cs="Times New Roman"/>
                <w:b w:val="0"/>
                <w:bCs w:val="0"/>
                <w:color w:val="auto"/>
                <w:sz w:val="21"/>
                <w:szCs w:val="21"/>
                <w:highlight w:val="none"/>
                <w:lang w:eastAsia="zh-CN"/>
              </w:rPr>
              <w:t>，</w:t>
            </w:r>
            <w:r>
              <w:rPr>
                <w:rFonts w:hint="default" w:ascii="Times New Roman" w:hAnsi="Times New Roman" w:eastAsia="宋体" w:cs="Times New Roman"/>
                <w:b w:val="0"/>
                <w:bCs w:val="0"/>
                <w:color w:val="auto"/>
                <w:sz w:val="21"/>
                <w:szCs w:val="21"/>
                <w:highlight w:val="none"/>
                <w:lang w:eastAsia="zh-CN"/>
              </w:rPr>
              <w:t>本项目</w:t>
            </w:r>
            <w:r>
              <w:rPr>
                <w:rFonts w:hint="eastAsia" w:cs="Times New Roman"/>
                <w:b w:val="0"/>
                <w:bCs w:val="0"/>
                <w:color w:val="auto"/>
                <w:sz w:val="21"/>
                <w:szCs w:val="21"/>
                <w:highlight w:val="none"/>
                <w:lang w:val="en-US" w:eastAsia="zh-CN"/>
              </w:rPr>
              <w:t>污水</w:t>
            </w:r>
            <w:r>
              <w:rPr>
                <w:rFonts w:hint="default" w:ascii="Times New Roman" w:hAnsi="Times New Roman" w:eastAsia="宋体" w:cs="Times New Roman"/>
                <w:b w:val="0"/>
                <w:bCs w:val="0"/>
                <w:color w:val="auto"/>
                <w:sz w:val="21"/>
                <w:szCs w:val="21"/>
                <w:highlight w:val="none"/>
                <w:lang w:eastAsia="zh-CN"/>
              </w:rPr>
              <w:t>排放量为</w:t>
            </w:r>
            <w:r>
              <w:rPr>
                <w:rFonts w:hint="eastAsia" w:cs="Times New Roman"/>
                <w:b w:val="0"/>
                <w:bCs w:val="0"/>
                <w:color w:val="auto"/>
                <w:sz w:val="21"/>
                <w:szCs w:val="21"/>
                <w:highlight w:val="none"/>
                <w:lang w:val="en-US" w:eastAsia="zh-CN"/>
              </w:rPr>
              <w:t>92.04</w:t>
            </w:r>
            <w:r>
              <w:rPr>
                <w:rFonts w:hint="default" w:ascii="Times New Roman" w:hAnsi="Times New Roman" w:eastAsia="宋体" w:cs="Times New Roman"/>
                <w:b w:val="0"/>
                <w:bCs w:val="0"/>
                <w:color w:val="auto"/>
                <w:sz w:val="21"/>
                <w:szCs w:val="21"/>
                <w:highlight w:val="none"/>
                <w:lang w:eastAsia="zh-CN"/>
              </w:rPr>
              <w:t>m</w:t>
            </w:r>
            <w:r>
              <w:rPr>
                <w:rFonts w:hint="default" w:ascii="Times New Roman" w:hAnsi="Times New Roman" w:eastAsia="宋体" w:cs="Times New Roman"/>
                <w:b w:val="0"/>
                <w:bCs w:val="0"/>
                <w:color w:val="auto"/>
                <w:sz w:val="21"/>
                <w:szCs w:val="21"/>
                <w:highlight w:val="none"/>
                <w:vertAlign w:val="superscript"/>
                <w:lang w:eastAsia="zh-CN"/>
              </w:rPr>
              <w:t>3</w:t>
            </w:r>
            <w:r>
              <w:rPr>
                <w:rFonts w:hint="default" w:ascii="Times New Roman" w:hAnsi="Times New Roman" w:eastAsia="宋体" w:cs="Times New Roman"/>
                <w:b w:val="0"/>
                <w:bCs w:val="0"/>
                <w:color w:val="auto"/>
                <w:sz w:val="21"/>
                <w:szCs w:val="21"/>
                <w:highlight w:val="none"/>
                <w:lang w:eastAsia="zh-CN"/>
              </w:rPr>
              <w:t>/d</w:t>
            </w:r>
            <w:r>
              <w:rPr>
                <w:rFonts w:hint="eastAsia" w:cs="Times New Roman"/>
                <w:b w:val="0"/>
                <w:bCs w:val="0"/>
                <w:color w:val="auto"/>
                <w:sz w:val="21"/>
                <w:szCs w:val="21"/>
                <w:highlight w:val="none"/>
                <w:lang w:eastAsia="zh-CN"/>
              </w:rPr>
              <w:t>。</w:t>
            </w:r>
            <w:r>
              <w:rPr>
                <w:rFonts w:hint="default" w:ascii="Times New Roman" w:hAnsi="Times New Roman" w:eastAsia="宋体" w:cs="Times New Roman"/>
                <w:b w:val="0"/>
                <w:bCs w:val="0"/>
                <w:color w:val="auto"/>
                <w:sz w:val="21"/>
                <w:szCs w:val="21"/>
                <w:highlight w:val="none"/>
                <w:lang w:eastAsia="zh-CN"/>
              </w:rPr>
              <w:t>从水量上来说</w:t>
            </w:r>
            <w:r>
              <w:rPr>
                <w:rFonts w:hint="eastAsia" w:ascii="Times New Roman" w:hAnsi="Times New Roman" w:eastAsia="宋体" w:cs="Times New Roman"/>
                <w:b w:val="0"/>
                <w:bCs w:val="0"/>
                <w:color w:val="auto"/>
                <w:sz w:val="21"/>
                <w:szCs w:val="21"/>
                <w:highlight w:val="none"/>
                <w:lang w:eastAsia="zh-CN"/>
              </w:rPr>
              <w:t>，</w:t>
            </w:r>
            <w:r>
              <w:rPr>
                <w:rFonts w:hint="eastAsia" w:ascii="Times New Roman" w:hAnsi="Times New Roman" w:eastAsia="宋体" w:cs="Times New Roman"/>
                <w:b w:val="0"/>
                <w:bCs w:val="0"/>
                <w:color w:val="auto"/>
                <w:sz w:val="21"/>
                <w:szCs w:val="21"/>
                <w:highlight w:val="none"/>
                <w:lang w:val="en-US" w:eastAsia="zh-CN"/>
              </w:rPr>
              <w:t>对比</w:t>
            </w:r>
            <w:r>
              <w:rPr>
                <w:rFonts w:hint="default" w:ascii="Times New Roman" w:hAnsi="Times New Roman" w:eastAsia="宋体" w:cs="Times New Roman"/>
                <w:b w:val="0"/>
                <w:bCs w:val="0"/>
                <w:color w:val="auto"/>
                <w:sz w:val="21"/>
                <w:szCs w:val="21"/>
                <w:highlight w:val="none"/>
                <w:lang w:eastAsia="zh-CN"/>
              </w:rPr>
              <w:t>污水处理厂日处理量</w:t>
            </w:r>
            <w:r>
              <w:rPr>
                <w:rFonts w:hint="eastAsia" w:ascii="Times New Roman" w:hAnsi="Times New Roman" w:eastAsia="宋体" w:cs="Times New Roman"/>
                <w:b w:val="0"/>
                <w:bCs w:val="0"/>
                <w:color w:val="auto"/>
                <w:sz w:val="21"/>
                <w:szCs w:val="21"/>
                <w:highlight w:val="none"/>
                <w:lang w:val="en-US" w:eastAsia="zh-CN"/>
              </w:rPr>
              <w:t>占比非常低</w:t>
            </w:r>
            <w:r>
              <w:rPr>
                <w:rFonts w:hint="eastAsia" w:cs="Times New Roman"/>
                <w:b w:val="0"/>
                <w:bCs w:val="0"/>
                <w:color w:val="auto"/>
                <w:sz w:val="21"/>
                <w:szCs w:val="21"/>
                <w:highlight w:val="none"/>
                <w:lang w:eastAsia="zh-CN"/>
              </w:rPr>
              <w:t>，</w:t>
            </w:r>
            <w:r>
              <w:rPr>
                <w:rFonts w:hint="eastAsia" w:cs="Times New Roman"/>
                <w:b w:val="0"/>
                <w:bCs w:val="0"/>
                <w:color w:val="auto"/>
                <w:sz w:val="21"/>
                <w:szCs w:val="21"/>
                <w:highlight w:val="none"/>
                <w:lang w:val="en-US" w:eastAsia="zh-CN"/>
              </w:rPr>
              <w:t>且项目废水水质满足</w:t>
            </w:r>
            <w:r>
              <w:rPr>
                <w:rFonts w:hint="default" w:ascii="Times New Roman" w:hAnsi="Times New Roman" w:eastAsia="宋体" w:cs="Times New Roman"/>
                <w:b w:val="0"/>
                <w:bCs w:val="0"/>
                <w:color w:val="auto"/>
                <w:sz w:val="21"/>
                <w:szCs w:val="21"/>
                <w:highlight w:val="none"/>
                <w:lang w:eastAsia="zh-CN"/>
              </w:rPr>
              <w:t>《污水综合排放标准》（GB8978-1996）表4中三级标准</w:t>
            </w:r>
            <w:r>
              <w:rPr>
                <w:rFonts w:hint="eastAsia" w:cs="Times New Roman"/>
                <w:b w:val="0"/>
                <w:bCs w:val="0"/>
                <w:color w:val="auto"/>
                <w:sz w:val="21"/>
                <w:szCs w:val="21"/>
                <w:highlight w:val="none"/>
                <w:lang w:eastAsia="zh-CN"/>
              </w:rPr>
              <w:t>，</w:t>
            </w:r>
            <w:r>
              <w:rPr>
                <w:rFonts w:hint="eastAsia" w:cs="Times New Roman"/>
                <w:b w:val="0"/>
                <w:bCs w:val="0"/>
                <w:color w:val="auto"/>
                <w:sz w:val="21"/>
                <w:szCs w:val="21"/>
                <w:highlight w:val="none"/>
                <w:lang w:val="en-US" w:eastAsia="zh-CN"/>
              </w:rPr>
              <w:t>符合</w:t>
            </w:r>
            <w:r>
              <w:rPr>
                <w:rFonts w:hint="eastAsia" w:cs="Times New Roman"/>
                <w:b w:val="0"/>
                <w:bCs w:val="0"/>
                <w:color w:val="auto"/>
                <w:sz w:val="21"/>
                <w:szCs w:val="21"/>
                <w:highlight w:val="none"/>
                <w:lang w:eastAsia="zh-CN"/>
              </w:rPr>
              <w:t>库尔勒经济技术开发区工业废水处理回用厂</w:t>
            </w:r>
            <w:r>
              <w:rPr>
                <w:rFonts w:hint="eastAsia" w:cs="Times New Roman"/>
                <w:b w:val="0"/>
                <w:bCs w:val="0"/>
                <w:color w:val="auto"/>
                <w:sz w:val="21"/>
                <w:szCs w:val="21"/>
                <w:highlight w:val="none"/>
                <w:lang w:val="en-US" w:eastAsia="zh-CN"/>
              </w:rPr>
              <w:t>纳管要求，</w:t>
            </w:r>
            <w:r>
              <w:rPr>
                <w:rFonts w:hint="default" w:ascii="Times New Roman" w:hAnsi="Times New Roman" w:eastAsia="宋体" w:cs="Times New Roman"/>
                <w:b w:val="0"/>
                <w:bCs w:val="0"/>
                <w:color w:val="auto"/>
                <w:sz w:val="21"/>
                <w:szCs w:val="21"/>
                <w:highlight w:val="none"/>
                <w:lang w:eastAsia="zh-CN"/>
              </w:rPr>
              <w:t>因此从处理能力上看污水处理厂有能力接纳项目</w:t>
            </w:r>
            <w:r>
              <w:rPr>
                <w:rFonts w:hint="eastAsia" w:ascii="Times New Roman" w:hAnsi="Times New Roman" w:eastAsia="宋体" w:cs="Times New Roman"/>
                <w:b w:val="0"/>
                <w:bCs w:val="0"/>
                <w:color w:val="auto"/>
                <w:sz w:val="21"/>
                <w:szCs w:val="21"/>
                <w:highlight w:val="none"/>
                <w:lang w:val="en-US" w:eastAsia="zh-CN"/>
              </w:rPr>
              <w:t>废水</w:t>
            </w:r>
            <w:r>
              <w:rPr>
                <w:rFonts w:hint="eastAsia" w:eastAsia="宋体" w:cs="Times New Roman"/>
                <w:b w:val="0"/>
                <w:bCs w:val="0"/>
                <w:color w:val="auto"/>
                <w:sz w:val="21"/>
                <w:szCs w:val="21"/>
                <w:highlight w:val="none"/>
                <w:lang w:val="en-US" w:eastAsia="zh-CN"/>
              </w:rPr>
              <w:t>，</w:t>
            </w:r>
            <w:r>
              <w:rPr>
                <w:rFonts w:hint="default" w:ascii="Times New Roman" w:hAnsi="Times New Roman" w:eastAsia="宋体" w:cs="Times New Roman"/>
                <w:b w:val="0"/>
                <w:bCs w:val="0"/>
                <w:color w:val="auto"/>
                <w:sz w:val="21"/>
                <w:szCs w:val="21"/>
                <w:highlight w:val="none"/>
                <w:lang w:eastAsia="zh-CN"/>
              </w:rPr>
              <w:t>项目</w:t>
            </w:r>
            <w:r>
              <w:rPr>
                <w:rFonts w:hint="eastAsia" w:ascii="Times New Roman" w:hAnsi="Times New Roman" w:eastAsia="宋体" w:cs="Times New Roman"/>
                <w:b w:val="0"/>
                <w:bCs w:val="0"/>
                <w:color w:val="auto"/>
                <w:sz w:val="21"/>
                <w:szCs w:val="21"/>
                <w:highlight w:val="none"/>
                <w:lang w:eastAsia="zh-CN"/>
              </w:rPr>
              <w:t>生活污水</w:t>
            </w:r>
            <w:r>
              <w:rPr>
                <w:rFonts w:hint="eastAsia" w:ascii="Times New Roman" w:hAnsi="Times New Roman" w:eastAsia="宋体" w:cs="Times New Roman"/>
                <w:b w:val="0"/>
                <w:bCs w:val="0"/>
                <w:color w:val="auto"/>
                <w:sz w:val="21"/>
                <w:szCs w:val="21"/>
                <w:highlight w:val="none"/>
                <w:lang w:val="en-US" w:eastAsia="zh-CN"/>
              </w:rPr>
              <w:t>和生产废水</w:t>
            </w:r>
            <w:r>
              <w:rPr>
                <w:rFonts w:hint="default" w:ascii="Times New Roman" w:hAnsi="Times New Roman" w:eastAsia="宋体" w:cs="Times New Roman"/>
                <w:b w:val="0"/>
                <w:bCs w:val="0"/>
                <w:color w:val="auto"/>
                <w:sz w:val="21"/>
                <w:szCs w:val="21"/>
                <w:highlight w:val="none"/>
                <w:lang w:eastAsia="zh-CN"/>
              </w:rPr>
              <w:t>水量和水质不会对污水处理厂的处理能力和处理工艺造成冲击，因此依托</w:t>
            </w:r>
            <w:r>
              <w:rPr>
                <w:rFonts w:hint="eastAsia" w:cs="Times New Roman"/>
                <w:b w:val="0"/>
                <w:bCs w:val="0"/>
                <w:color w:val="auto"/>
                <w:sz w:val="21"/>
                <w:szCs w:val="21"/>
                <w:highlight w:val="none"/>
                <w:lang w:eastAsia="zh-CN"/>
              </w:rPr>
              <w:t>库尔勒经济技术开发区工业废水处理回用厂</w:t>
            </w:r>
            <w:r>
              <w:rPr>
                <w:rFonts w:hint="default" w:ascii="Times New Roman" w:hAnsi="Times New Roman" w:eastAsia="宋体" w:cs="Times New Roman"/>
                <w:b w:val="0"/>
                <w:bCs w:val="0"/>
                <w:color w:val="auto"/>
                <w:sz w:val="21"/>
                <w:szCs w:val="21"/>
                <w:highlight w:val="none"/>
                <w:lang w:eastAsia="zh-CN"/>
              </w:rPr>
              <w:t>可行。</w:t>
            </w:r>
          </w:p>
          <w:p>
            <w:pPr>
              <w:pStyle w:val="56"/>
              <w:keepNext w:val="0"/>
              <w:keepLines w:val="0"/>
              <w:pageBreakBefore w:val="0"/>
              <w:kinsoku/>
              <w:overflowPunct/>
              <w:topLinePunct w:val="0"/>
              <w:autoSpaceDE/>
              <w:autoSpaceDN/>
              <w:bidi w:val="0"/>
              <w:spacing w:line="360" w:lineRule="auto"/>
              <w:jc w:val="both"/>
              <w:textAlignment w:val="auto"/>
              <w:rPr>
                <w:rFonts w:hint="eastAsia" w:cs="宋体"/>
                <w:b/>
                <w:bCs w:val="0"/>
                <w:color w:val="auto"/>
                <w:sz w:val="21"/>
                <w:szCs w:val="21"/>
                <w:highlight w:val="none"/>
                <w:lang w:val="en-US" w:eastAsia="zh-CN"/>
              </w:rPr>
            </w:pPr>
            <w:r>
              <w:rPr>
                <w:rFonts w:hint="eastAsia" w:cs="宋体"/>
                <w:b/>
                <w:bCs w:val="0"/>
                <w:color w:val="auto"/>
                <w:sz w:val="21"/>
                <w:szCs w:val="21"/>
                <w:highlight w:val="none"/>
                <w:lang w:val="en-US" w:eastAsia="zh-CN"/>
              </w:rPr>
              <w:t>2.5监测计划</w:t>
            </w:r>
          </w:p>
          <w:p>
            <w:pPr>
              <w:spacing w:line="360" w:lineRule="auto"/>
              <w:ind w:firstLine="420" w:firstLineChars="200"/>
              <w:rPr>
                <w:rFonts w:hint="default" w:ascii="Times New Roman" w:hAnsi="Times New Roman" w:eastAsia="宋体" w:cs="Times New Roman"/>
                <w:b w:val="0"/>
                <w:bCs w:val="0"/>
                <w:snapToGrid w:val="0"/>
                <w:color w:val="auto"/>
                <w:spacing w:val="0"/>
                <w:kern w:val="0"/>
                <w:sz w:val="21"/>
                <w:szCs w:val="21"/>
                <w:highlight w:val="none"/>
                <w:lang w:val="en-US" w:eastAsia="zh-CN"/>
              </w:rPr>
            </w:pPr>
            <w:r>
              <w:rPr>
                <w:rFonts w:hint="default" w:ascii="Times New Roman" w:hAnsi="Times New Roman" w:eastAsia="宋体" w:cs="Times New Roman"/>
                <w:b w:val="0"/>
                <w:bCs w:val="0"/>
                <w:snapToGrid w:val="0"/>
                <w:color w:val="auto"/>
                <w:spacing w:val="0"/>
                <w:kern w:val="0"/>
                <w:sz w:val="21"/>
                <w:szCs w:val="21"/>
                <w:highlight w:val="none"/>
                <w:lang w:val="en-US" w:eastAsia="zh-CN"/>
              </w:rPr>
              <w:t>根据</w:t>
            </w:r>
            <w:r>
              <w:rPr>
                <w:rFonts w:hint="default" w:ascii="Times New Roman" w:hAnsi="Times New Roman" w:eastAsia="宋体" w:cs="Times New Roman"/>
                <w:b w:val="0"/>
                <w:bCs w:val="0"/>
                <w:snapToGrid w:val="0"/>
                <w:color w:val="auto"/>
                <w:spacing w:val="0"/>
                <w:kern w:val="0"/>
                <w:sz w:val="21"/>
                <w:szCs w:val="21"/>
                <w:highlight w:val="none"/>
                <w:lang w:eastAsia="zh-CN"/>
              </w:rPr>
              <w:t>《排污单位自行监测技术指南 总则》（HJ819-2017）、</w:t>
            </w:r>
            <w:r>
              <w:rPr>
                <w:rFonts w:hint="default" w:ascii="Times New Roman" w:hAnsi="Times New Roman" w:eastAsia="宋体" w:cs="Times New Roman"/>
                <w:snapToGrid w:val="0"/>
                <w:color w:val="auto"/>
                <w:spacing w:val="0"/>
                <w:kern w:val="0"/>
                <w:sz w:val="21"/>
                <w:szCs w:val="21"/>
                <w:highlight w:val="none"/>
                <w:lang w:eastAsia="zh-CN"/>
              </w:rPr>
              <w:t>《</w:t>
            </w:r>
            <w:r>
              <w:rPr>
                <w:rFonts w:hint="default" w:ascii="Times New Roman" w:hAnsi="Times New Roman" w:eastAsia="宋体" w:cs="Times New Roman"/>
                <w:snapToGrid w:val="0"/>
                <w:color w:val="auto"/>
                <w:spacing w:val="0"/>
                <w:kern w:val="0"/>
                <w:sz w:val="21"/>
                <w:szCs w:val="21"/>
                <w:highlight w:val="none"/>
              </w:rPr>
              <w:t xml:space="preserve">排污单位自行监测技术指南 </w:t>
            </w:r>
            <w:r>
              <w:rPr>
                <w:rFonts w:hint="default" w:ascii="Times New Roman" w:hAnsi="Times New Roman" w:eastAsia="宋体" w:cs="Times New Roman"/>
                <w:snapToGrid w:val="0"/>
                <w:color w:val="auto"/>
                <w:spacing w:val="0"/>
                <w:kern w:val="0"/>
                <w:sz w:val="21"/>
                <w:szCs w:val="21"/>
                <w:highlight w:val="none"/>
                <w:lang w:val="en-US" w:eastAsia="zh-CN"/>
              </w:rPr>
              <w:t>酒、饮料制造工业</w:t>
            </w:r>
            <w:r>
              <w:rPr>
                <w:rFonts w:hint="default" w:ascii="Times New Roman" w:hAnsi="Times New Roman" w:eastAsia="宋体" w:cs="Times New Roman"/>
                <w:snapToGrid w:val="0"/>
                <w:color w:val="auto"/>
                <w:spacing w:val="0"/>
                <w:kern w:val="0"/>
                <w:sz w:val="21"/>
                <w:szCs w:val="21"/>
                <w:highlight w:val="none"/>
                <w:lang w:eastAsia="zh-CN"/>
              </w:rPr>
              <w:t>》（</w:t>
            </w:r>
            <w:r>
              <w:rPr>
                <w:rFonts w:hint="default" w:ascii="Times New Roman" w:hAnsi="Times New Roman" w:eastAsia="宋体" w:cs="Times New Roman"/>
                <w:snapToGrid w:val="0"/>
                <w:color w:val="auto"/>
                <w:spacing w:val="0"/>
                <w:kern w:val="0"/>
                <w:sz w:val="21"/>
                <w:szCs w:val="21"/>
                <w:highlight w:val="none"/>
                <w:lang w:val="en-US" w:eastAsia="zh-CN"/>
              </w:rPr>
              <w:t>HJ10</w:t>
            </w:r>
            <w:r>
              <w:rPr>
                <w:rFonts w:hint="eastAsia" w:cs="Times New Roman"/>
                <w:snapToGrid w:val="0"/>
                <w:color w:val="auto"/>
                <w:spacing w:val="0"/>
                <w:kern w:val="0"/>
                <w:sz w:val="21"/>
                <w:szCs w:val="21"/>
                <w:highlight w:val="none"/>
                <w:lang w:val="en-US" w:eastAsia="zh-CN"/>
              </w:rPr>
              <w:t>85</w:t>
            </w:r>
            <w:r>
              <w:rPr>
                <w:rFonts w:hint="default" w:ascii="Times New Roman" w:hAnsi="Times New Roman" w:eastAsia="宋体" w:cs="Times New Roman"/>
                <w:snapToGrid w:val="0"/>
                <w:color w:val="auto"/>
                <w:spacing w:val="0"/>
                <w:kern w:val="0"/>
                <w:sz w:val="21"/>
                <w:szCs w:val="21"/>
                <w:highlight w:val="none"/>
                <w:lang w:val="en-US" w:eastAsia="zh-CN"/>
              </w:rPr>
              <w:t>-20</w:t>
            </w:r>
            <w:r>
              <w:rPr>
                <w:rFonts w:hint="eastAsia" w:cs="Times New Roman"/>
                <w:snapToGrid w:val="0"/>
                <w:color w:val="auto"/>
                <w:spacing w:val="0"/>
                <w:kern w:val="0"/>
                <w:sz w:val="21"/>
                <w:szCs w:val="21"/>
                <w:highlight w:val="none"/>
                <w:lang w:val="en-US" w:eastAsia="zh-CN"/>
              </w:rPr>
              <w:t>20</w:t>
            </w:r>
            <w:r>
              <w:rPr>
                <w:rFonts w:hint="default" w:ascii="Times New Roman" w:hAnsi="Times New Roman" w:eastAsia="宋体" w:cs="Times New Roman"/>
                <w:snapToGrid w:val="0"/>
                <w:color w:val="auto"/>
                <w:spacing w:val="0"/>
                <w:kern w:val="0"/>
                <w:sz w:val="21"/>
                <w:szCs w:val="21"/>
                <w:highlight w:val="none"/>
                <w:lang w:eastAsia="zh-CN"/>
              </w:rPr>
              <w:t>）</w:t>
            </w:r>
            <w:r>
              <w:rPr>
                <w:rFonts w:hint="default" w:ascii="Times New Roman" w:hAnsi="Times New Roman" w:cs="Times New Roman"/>
                <w:snapToGrid w:val="0"/>
                <w:color w:val="auto"/>
                <w:spacing w:val="0"/>
                <w:kern w:val="0"/>
                <w:sz w:val="21"/>
                <w:szCs w:val="21"/>
                <w:highlight w:val="none"/>
                <w:lang w:val="en-US" w:eastAsia="zh-CN"/>
              </w:rPr>
              <w:t>以及</w:t>
            </w:r>
            <w:r>
              <w:rPr>
                <w:rFonts w:hint="default" w:ascii="Times New Roman" w:hAnsi="Times New Roman" w:cs="Times New Roman"/>
                <w:bCs/>
                <w:snapToGrid w:val="0"/>
                <w:color w:val="auto"/>
                <w:spacing w:val="0"/>
                <w:kern w:val="0"/>
                <w:sz w:val="21"/>
                <w:szCs w:val="21"/>
                <w:highlight w:val="none"/>
              </w:rPr>
              <w:t>《排污单位自行监测技术指南</w:t>
            </w:r>
            <w:r>
              <w:rPr>
                <w:rFonts w:hint="default" w:ascii="Times New Roman" w:hAnsi="Times New Roman" w:cs="Times New Roman"/>
                <w:bCs/>
                <w:snapToGrid w:val="0"/>
                <w:color w:val="auto"/>
                <w:spacing w:val="0"/>
                <w:kern w:val="0"/>
                <w:sz w:val="21"/>
                <w:szCs w:val="21"/>
                <w:highlight w:val="none"/>
                <w:lang w:val="en-US" w:eastAsia="zh-CN"/>
              </w:rPr>
              <w:t xml:space="preserve"> </w:t>
            </w:r>
            <w:r>
              <w:rPr>
                <w:rFonts w:hint="default" w:ascii="Times New Roman" w:hAnsi="Times New Roman" w:cs="Times New Roman"/>
                <w:bCs/>
                <w:snapToGrid w:val="0"/>
                <w:color w:val="auto"/>
                <w:spacing w:val="0"/>
                <w:kern w:val="0"/>
                <w:sz w:val="21"/>
                <w:szCs w:val="21"/>
                <w:highlight w:val="none"/>
              </w:rPr>
              <w:t>火力发电及锅炉》（HJ820-2017）</w:t>
            </w:r>
            <w:r>
              <w:rPr>
                <w:rFonts w:hint="default" w:ascii="Times New Roman" w:hAnsi="Times New Roman" w:eastAsia="宋体" w:cs="Times New Roman"/>
                <w:bCs/>
                <w:snapToGrid w:val="0"/>
                <w:color w:val="auto"/>
                <w:spacing w:val="0"/>
                <w:kern w:val="0"/>
                <w:sz w:val="21"/>
                <w:szCs w:val="21"/>
                <w:highlight w:val="none"/>
                <w:lang w:eastAsia="zh-CN"/>
              </w:rPr>
              <w:t>的相关要求，</w:t>
            </w:r>
            <w:r>
              <w:rPr>
                <w:rFonts w:hint="default" w:ascii="Times New Roman" w:hAnsi="Times New Roman" w:cs="Times New Roman"/>
                <w:bCs/>
                <w:snapToGrid w:val="0"/>
                <w:color w:val="auto"/>
                <w:spacing w:val="0"/>
                <w:kern w:val="0"/>
                <w:sz w:val="21"/>
                <w:szCs w:val="21"/>
                <w:highlight w:val="none"/>
                <w:lang w:val="en-US" w:eastAsia="zh-CN"/>
              </w:rPr>
              <w:t>本项目</w:t>
            </w:r>
            <w:r>
              <w:rPr>
                <w:rFonts w:hint="default" w:ascii="Times New Roman" w:hAnsi="Times New Roman" w:eastAsia="宋体" w:cs="Times New Roman"/>
                <w:b w:val="0"/>
                <w:bCs w:val="0"/>
                <w:snapToGrid w:val="0"/>
                <w:color w:val="auto"/>
                <w:spacing w:val="0"/>
                <w:kern w:val="0"/>
                <w:sz w:val="21"/>
                <w:szCs w:val="21"/>
                <w:highlight w:val="none"/>
                <w:lang w:val="en-US" w:eastAsia="zh-CN"/>
              </w:rPr>
              <w:t>废水监测计划见下表。</w:t>
            </w:r>
          </w:p>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auto"/>
                <w:sz w:val="21"/>
                <w:szCs w:val="21"/>
                <w:highlight w:val="none"/>
              </w:rPr>
            </w:pPr>
            <w:r>
              <w:rPr>
                <w:rFonts w:hint="default" w:ascii="Times New Roman" w:hAnsi="Times New Roman" w:cs="Times New Roman"/>
                <w:b/>
                <w:bCs/>
                <w:color w:val="auto"/>
                <w:sz w:val="21"/>
                <w:szCs w:val="21"/>
                <w:highlight w:val="none"/>
              </w:rPr>
              <w:t>表</w:t>
            </w:r>
            <w:r>
              <w:rPr>
                <w:rFonts w:hint="eastAsia" w:ascii="Times New Roman" w:hAnsi="Times New Roman" w:cs="Times New Roman"/>
                <w:b/>
                <w:bCs/>
                <w:color w:val="auto"/>
                <w:sz w:val="21"/>
                <w:szCs w:val="21"/>
                <w:highlight w:val="none"/>
                <w:lang w:val="en-US" w:eastAsia="zh-CN"/>
              </w:rPr>
              <w:t>4-</w:t>
            </w:r>
            <w:r>
              <w:rPr>
                <w:rFonts w:hint="eastAsia" w:cs="Times New Roman"/>
                <w:b/>
                <w:bCs/>
                <w:color w:val="auto"/>
                <w:sz w:val="21"/>
                <w:szCs w:val="21"/>
                <w:highlight w:val="none"/>
                <w:lang w:val="en-US" w:eastAsia="zh-CN"/>
              </w:rPr>
              <w:t>9</w:t>
            </w:r>
            <w:r>
              <w:rPr>
                <w:rFonts w:hint="eastAsia" w:ascii="Times New Roman" w:hAnsi="Times New Roman" w:cs="Times New Roman"/>
                <w:b/>
                <w:bCs/>
                <w:color w:val="auto"/>
                <w:sz w:val="21"/>
                <w:szCs w:val="21"/>
                <w:highlight w:val="none"/>
                <w:lang w:val="en-US" w:eastAsia="zh-CN"/>
              </w:rPr>
              <w:t xml:space="preserve"> </w:t>
            </w:r>
            <w:r>
              <w:rPr>
                <w:rFonts w:hint="default" w:ascii="Times New Roman" w:hAnsi="Times New Roman" w:cs="Times New Roman"/>
                <w:b/>
                <w:bCs/>
                <w:color w:val="auto"/>
                <w:sz w:val="21"/>
                <w:szCs w:val="21"/>
                <w:highlight w:val="none"/>
              </w:rPr>
              <w:t xml:space="preserve"> 废水环境监测计划</w:t>
            </w:r>
          </w:p>
          <w:tbl>
            <w:tblPr>
              <w:tblStyle w:val="22"/>
              <w:tblW w:w="8039"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009"/>
              <w:gridCol w:w="4020"/>
              <w:gridCol w:w="20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482" w:hRule="atLeast"/>
              </w:trPr>
              <w:tc>
                <w:tcPr>
                  <w:tcW w:w="200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cs="Times New Roman"/>
                      <w:b w:val="0"/>
                      <w:bCs w:val="0"/>
                      <w:color w:val="auto"/>
                      <w:sz w:val="21"/>
                      <w:szCs w:val="21"/>
                      <w:highlight w:val="none"/>
                      <w:vertAlign w:val="baseline"/>
                      <w:lang w:val="en-US" w:eastAsia="zh-CN"/>
                    </w:rPr>
                    <w:t>监测点位</w:t>
                  </w:r>
                </w:p>
              </w:tc>
              <w:tc>
                <w:tcPr>
                  <w:tcW w:w="402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default" w:ascii="Times New Roman" w:hAnsi="Times New Roman" w:cs="Times New Roman"/>
                      <w:b w:val="0"/>
                      <w:bCs w:val="0"/>
                      <w:color w:val="auto"/>
                      <w:sz w:val="21"/>
                      <w:szCs w:val="21"/>
                      <w:highlight w:val="none"/>
                      <w:vertAlign w:val="baseline"/>
                    </w:rPr>
                  </w:pPr>
                  <w:r>
                    <w:rPr>
                      <w:rFonts w:hint="eastAsia" w:cs="Times New Roman"/>
                      <w:b w:val="0"/>
                      <w:bCs w:val="0"/>
                      <w:color w:val="auto"/>
                      <w:sz w:val="21"/>
                      <w:szCs w:val="21"/>
                      <w:highlight w:val="none"/>
                      <w:vertAlign w:val="baseline"/>
                      <w:lang w:val="en-US" w:eastAsia="zh-CN"/>
                    </w:rPr>
                    <w:t>监测因子</w:t>
                  </w:r>
                </w:p>
              </w:tc>
              <w:tc>
                <w:tcPr>
                  <w:tcW w:w="201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cs="Times New Roman"/>
                      <w:b w:val="0"/>
                      <w:bCs w:val="0"/>
                      <w:color w:val="auto"/>
                      <w:sz w:val="21"/>
                      <w:szCs w:val="21"/>
                      <w:highlight w:val="none"/>
                      <w:vertAlign w:val="baseline"/>
                      <w:lang w:val="en-US" w:eastAsia="zh-CN"/>
                    </w:rPr>
                    <w:t>监测频次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2009"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cs="Times New Roman"/>
                      <w:b w:val="0"/>
                      <w:bCs w:val="0"/>
                      <w:color w:val="auto"/>
                      <w:sz w:val="21"/>
                      <w:szCs w:val="21"/>
                      <w:highlight w:val="none"/>
                      <w:vertAlign w:val="baseline"/>
                      <w:lang w:val="en-US" w:eastAsia="zh-CN"/>
                    </w:rPr>
                    <w:t>废水总排口DW001</w:t>
                  </w:r>
                </w:p>
              </w:tc>
              <w:tc>
                <w:tcPr>
                  <w:tcW w:w="402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contextualSpacing/>
                    <w:jc w:val="center"/>
                    <w:textAlignment w:val="auto"/>
                    <w:rPr>
                      <w:rFonts w:hint="default" w:ascii="Times New Roman" w:hAnsi="Times New Roman" w:cs="Times New Roman"/>
                      <w:b w:val="0"/>
                      <w:bCs w:val="0"/>
                      <w:color w:val="auto"/>
                      <w:sz w:val="21"/>
                      <w:szCs w:val="21"/>
                      <w:highlight w:val="none"/>
                      <w:vertAlign w:val="baseline"/>
                    </w:rPr>
                  </w:pPr>
                  <w:r>
                    <w:rPr>
                      <w:rFonts w:hint="eastAsia" w:cs="Times New Roman"/>
                      <w:b w:val="0"/>
                      <w:bCs w:val="0"/>
                      <w:color w:val="auto"/>
                      <w:kern w:val="0"/>
                      <w:sz w:val="21"/>
                      <w:szCs w:val="21"/>
                      <w:highlight w:val="none"/>
                      <w:vertAlign w:val="baseline"/>
                      <w:lang w:val="en-US" w:eastAsia="zh-CN"/>
                    </w:rPr>
                    <w:t>pH、COD、BOD</w:t>
                  </w:r>
                  <w:r>
                    <w:rPr>
                      <w:rFonts w:hint="eastAsia" w:cs="Times New Roman"/>
                      <w:b w:val="0"/>
                      <w:bCs w:val="0"/>
                      <w:color w:val="auto"/>
                      <w:kern w:val="0"/>
                      <w:sz w:val="21"/>
                      <w:szCs w:val="21"/>
                      <w:highlight w:val="none"/>
                      <w:vertAlign w:val="subscript"/>
                      <w:lang w:val="en-US" w:eastAsia="zh-CN"/>
                    </w:rPr>
                    <w:t>5</w:t>
                  </w:r>
                  <w:r>
                    <w:rPr>
                      <w:rFonts w:hint="eastAsia" w:cs="Times New Roman"/>
                      <w:b w:val="0"/>
                      <w:bCs w:val="0"/>
                      <w:color w:val="auto"/>
                      <w:kern w:val="0"/>
                      <w:sz w:val="21"/>
                      <w:szCs w:val="21"/>
                      <w:highlight w:val="none"/>
                      <w:vertAlign w:val="baseline"/>
                      <w:lang w:val="en-US" w:eastAsia="zh-CN"/>
                    </w:rPr>
                    <w:t>、氨氮、总氮、总磷、悬浮物、溶解性总固体、LAS</w:t>
                  </w:r>
                </w:p>
              </w:tc>
              <w:tc>
                <w:tcPr>
                  <w:tcW w:w="2010" w:type="dxa"/>
                  <w:vAlign w:val="center"/>
                </w:tcPr>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right="0"/>
                    <w:jc w:val="center"/>
                    <w:textAlignment w:val="auto"/>
                    <w:rPr>
                      <w:rFonts w:hint="default" w:ascii="Times New Roman" w:hAnsi="Times New Roman" w:eastAsia="宋体" w:cs="Times New Roman"/>
                      <w:b w:val="0"/>
                      <w:bCs w:val="0"/>
                      <w:color w:val="auto"/>
                      <w:sz w:val="21"/>
                      <w:szCs w:val="21"/>
                      <w:highlight w:val="none"/>
                      <w:vertAlign w:val="baseline"/>
                      <w:lang w:val="en-US" w:eastAsia="zh-CN"/>
                    </w:rPr>
                  </w:pPr>
                  <w:r>
                    <w:rPr>
                      <w:rFonts w:hint="eastAsia" w:cs="Times New Roman"/>
                      <w:b w:val="0"/>
                      <w:bCs w:val="0"/>
                      <w:color w:val="auto"/>
                      <w:sz w:val="21"/>
                      <w:szCs w:val="21"/>
                      <w:highlight w:val="none"/>
                      <w:vertAlign w:val="baseline"/>
                      <w:lang w:val="en-US" w:eastAsia="zh-CN"/>
                    </w:rPr>
                    <w:t>1次/半年</w:t>
                  </w:r>
                </w:p>
              </w:tc>
            </w:tr>
          </w:tbl>
          <w:p>
            <w:pPr>
              <w:keepNext w:val="0"/>
              <w:keepLines w:val="0"/>
              <w:pageBreakBefore w:val="0"/>
              <w:widowControl w:val="0"/>
              <w:suppressLineNumbers w:val="0"/>
              <w:kinsoku/>
              <w:wordWrap/>
              <w:overflowPunct/>
              <w:topLinePunct w:val="0"/>
              <w:autoSpaceDE/>
              <w:autoSpaceDN/>
              <w:bidi w:val="0"/>
              <w:adjustRightInd/>
              <w:snapToGrid/>
              <w:spacing w:before="0" w:beforeAutospacing="0" w:after="0" w:afterAutospacing="0" w:line="240" w:lineRule="auto"/>
              <w:ind w:left="0" w:right="0"/>
              <w:jc w:val="center"/>
              <w:textAlignment w:val="auto"/>
              <w:rPr>
                <w:rFonts w:hint="default" w:ascii="Times New Roman" w:hAnsi="Times New Roman" w:cs="Times New Roman"/>
                <w:b/>
                <w:bCs/>
                <w:color w:val="auto"/>
                <w:sz w:val="21"/>
                <w:szCs w:val="21"/>
                <w:highlight w:val="none"/>
              </w:rPr>
            </w:pPr>
          </w:p>
          <w:p>
            <w:pPr>
              <w:numPr>
                <w:ilvl w:val="0"/>
                <w:numId w:val="0"/>
              </w:numPr>
              <w:spacing w:line="360" w:lineRule="auto"/>
              <w:jc w:val="left"/>
              <w:rPr>
                <w:rFonts w:hint="default" w:ascii="Times New Roman" w:hAnsi="Times New Roman" w:cs="Times New Roman"/>
                <w:b/>
                <w:bCs/>
                <w:color w:val="auto"/>
                <w:sz w:val="21"/>
                <w:szCs w:val="21"/>
                <w:highlight w:val="none"/>
              </w:rPr>
            </w:pPr>
            <w:r>
              <w:rPr>
                <w:rFonts w:hint="eastAsia" w:cs="Times New Roman"/>
                <w:b/>
                <w:bCs/>
                <w:color w:val="auto"/>
                <w:sz w:val="21"/>
                <w:szCs w:val="21"/>
                <w:highlight w:val="none"/>
                <w:lang w:val="en-US" w:eastAsia="zh-CN"/>
              </w:rPr>
              <w:t>3</w:t>
            </w:r>
            <w:r>
              <w:rPr>
                <w:rFonts w:hint="default" w:ascii="Times New Roman" w:hAnsi="Times New Roman" w:cs="Times New Roman"/>
                <w:b/>
                <w:bCs/>
                <w:color w:val="auto"/>
                <w:sz w:val="21"/>
                <w:szCs w:val="21"/>
                <w:highlight w:val="none"/>
                <w:lang w:eastAsia="zh-CN"/>
              </w:rPr>
              <w:t>噪</w:t>
            </w:r>
            <w:r>
              <w:rPr>
                <w:rFonts w:hint="default" w:ascii="Times New Roman" w:hAnsi="Times New Roman" w:cs="Times New Roman"/>
                <w:b/>
                <w:bCs/>
                <w:color w:val="auto"/>
                <w:sz w:val="21"/>
                <w:szCs w:val="21"/>
                <w:highlight w:val="none"/>
              </w:rPr>
              <w:t>声</w:t>
            </w:r>
            <w:r>
              <w:rPr>
                <w:rFonts w:hint="eastAsia" w:ascii="Times New Roman" w:hAnsi="Times New Roman" w:cs="Times New Roman"/>
                <w:b/>
                <w:bCs/>
                <w:color w:val="auto"/>
                <w:sz w:val="21"/>
                <w:szCs w:val="21"/>
                <w:highlight w:val="none"/>
                <w:lang w:eastAsia="zh-CN"/>
              </w:rPr>
              <w:t>环境影响和保护措施</w:t>
            </w:r>
          </w:p>
          <w:p>
            <w:pPr>
              <w:keepNext w:val="0"/>
              <w:keepLines w:val="0"/>
              <w:pageBreakBefore w:val="0"/>
              <w:widowControl w:val="0"/>
              <w:kinsoku/>
              <w:wordWrap/>
              <w:overflowPunct/>
              <w:topLinePunct w:val="0"/>
              <w:autoSpaceDE/>
              <w:autoSpaceDN/>
              <w:bidi w:val="0"/>
              <w:adjustRightInd/>
              <w:snapToGrid/>
              <w:spacing w:line="360" w:lineRule="auto"/>
              <w:ind w:firstLine="422"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b/>
                <w:bCs/>
                <w:color w:val="auto"/>
                <w:sz w:val="21"/>
                <w:szCs w:val="21"/>
                <w:highlight w:val="none"/>
              </w:rPr>
              <w:t>3.1污染工序及源强分析</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Times New Roman" w:hAnsi="Times New Roman" w:eastAsia="宋体" w:cs="Times New Roman"/>
                <w:bCs/>
                <w:color w:val="auto"/>
                <w:sz w:val="21"/>
                <w:szCs w:val="21"/>
                <w:highlight w:val="none"/>
              </w:rPr>
            </w:pPr>
            <w:r>
              <w:rPr>
                <w:rFonts w:ascii="Times New Roman" w:hAnsi="Times New Roman" w:eastAsia="宋体" w:cs="Times New Roman"/>
                <w:bCs/>
                <w:color w:val="auto"/>
                <w:sz w:val="21"/>
                <w:szCs w:val="21"/>
                <w:highlight w:val="none"/>
              </w:rPr>
              <w:t>1</w:t>
            </w:r>
            <w:r>
              <w:rPr>
                <w:rFonts w:hint="eastAsia" w:ascii="Times New Roman" w:hAnsi="Times New Roman" w:eastAsia="宋体" w:cs="Times New Roman"/>
                <w:bCs/>
                <w:color w:val="auto"/>
                <w:sz w:val="21"/>
                <w:szCs w:val="21"/>
                <w:highlight w:val="none"/>
              </w:rPr>
              <w:t>、预测模式的确定</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bCs/>
                <w:color w:val="auto"/>
                <w:sz w:val="21"/>
                <w:szCs w:val="21"/>
                <w:highlight w:val="none"/>
                <w:lang w:eastAsia="zh-CN"/>
              </w:rPr>
            </w:pPr>
            <w:r>
              <w:rPr>
                <w:rFonts w:hint="default" w:ascii="Times New Roman" w:hAnsi="Times New Roman" w:eastAsia="宋体" w:cs="Times New Roman"/>
                <w:bCs/>
                <w:color w:val="auto"/>
                <w:sz w:val="21"/>
                <w:szCs w:val="21"/>
                <w:highlight w:val="none"/>
                <w:lang w:eastAsia="zh-CN"/>
              </w:rPr>
              <w:t>根据项目建设内容及《环境影响评价技术导则</w:t>
            </w:r>
            <w:r>
              <w:rPr>
                <w:rFonts w:hint="eastAsia" w:cs="Times New Roman"/>
                <w:bCs/>
                <w:color w:val="auto"/>
                <w:sz w:val="21"/>
                <w:szCs w:val="21"/>
                <w:highlight w:val="none"/>
                <w:lang w:val="en-US" w:eastAsia="zh-CN"/>
              </w:rPr>
              <w:t xml:space="preserve"> </w:t>
            </w:r>
            <w:r>
              <w:rPr>
                <w:rFonts w:hint="default" w:ascii="Times New Roman" w:hAnsi="Times New Roman" w:eastAsia="宋体" w:cs="Times New Roman"/>
                <w:bCs/>
                <w:color w:val="auto"/>
                <w:sz w:val="21"/>
                <w:szCs w:val="21"/>
                <w:highlight w:val="none"/>
                <w:lang w:eastAsia="zh-CN"/>
              </w:rPr>
              <w:t>声环境》（HJ2.4-2021）的要求，项目环评采用的模型为《环境影响评价技术导则 声环境》</w:t>
            </w:r>
            <w:r>
              <w:rPr>
                <w:rFonts w:hint="eastAsia" w:ascii="Times New Roman" w:hAnsi="Times New Roman" w:eastAsia="宋体" w:cs="Times New Roman"/>
                <w:bCs/>
                <w:color w:val="auto"/>
                <w:sz w:val="21"/>
                <w:szCs w:val="21"/>
                <w:highlight w:val="none"/>
                <w:lang w:eastAsia="zh-CN"/>
              </w:rPr>
              <w:t>（</w:t>
            </w:r>
            <w:r>
              <w:rPr>
                <w:rFonts w:hint="default" w:ascii="Times New Roman" w:hAnsi="Times New Roman" w:eastAsia="宋体" w:cs="Times New Roman"/>
                <w:bCs/>
                <w:color w:val="auto"/>
                <w:sz w:val="21"/>
                <w:szCs w:val="21"/>
                <w:highlight w:val="none"/>
                <w:lang w:eastAsia="zh-CN"/>
              </w:rPr>
              <w:t>HJ2.4</w:t>
            </w:r>
            <w:r>
              <w:rPr>
                <w:rFonts w:hint="eastAsia" w:cs="Times New Roman"/>
                <w:bCs/>
                <w:color w:val="auto"/>
                <w:sz w:val="21"/>
                <w:szCs w:val="21"/>
                <w:highlight w:val="none"/>
                <w:lang w:val="en-US" w:eastAsia="zh-CN"/>
              </w:rPr>
              <w:t>-</w:t>
            </w:r>
            <w:r>
              <w:rPr>
                <w:rFonts w:hint="default" w:ascii="Times New Roman" w:hAnsi="Times New Roman" w:eastAsia="宋体" w:cs="Times New Roman"/>
                <w:bCs/>
                <w:color w:val="auto"/>
                <w:sz w:val="21"/>
                <w:szCs w:val="21"/>
                <w:highlight w:val="none"/>
                <w:lang w:eastAsia="zh-CN"/>
              </w:rPr>
              <w:t>2021</w:t>
            </w:r>
            <w:r>
              <w:rPr>
                <w:rFonts w:hint="eastAsia" w:ascii="Times New Roman" w:hAnsi="Times New Roman" w:eastAsia="宋体" w:cs="Times New Roman"/>
                <w:bCs/>
                <w:color w:val="auto"/>
                <w:sz w:val="21"/>
                <w:szCs w:val="21"/>
                <w:highlight w:val="none"/>
                <w:lang w:eastAsia="zh-CN"/>
              </w:rPr>
              <w:t>）</w:t>
            </w:r>
            <w:r>
              <w:rPr>
                <w:rFonts w:hint="default" w:ascii="Times New Roman" w:hAnsi="Times New Roman" w:eastAsia="宋体" w:cs="Times New Roman"/>
                <w:bCs/>
                <w:color w:val="auto"/>
                <w:sz w:val="21"/>
                <w:szCs w:val="21"/>
                <w:highlight w:val="none"/>
                <w:lang w:eastAsia="zh-CN"/>
              </w:rPr>
              <w:t>附录A（规范性附录）户外声传播的衰减和附录B（规范性附录）中“B.1工业噪声预测计算模型”。</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2、噪声源参数的确定</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eastAsia" w:ascii="宋体" w:cs="宋体"/>
                <w:b/>
                <w:color w:val="auto"/>
                <w:kern w:val="0"/>
                <w:sz w:val="28"/>
                <w:szCs w:val="28"/>
                <w:highlight w:val="none"/>
                <w:vertAlign w:val="baseline"/>
              </w:rPr>
            </w:pPr>
            <w:r>
              <w:rPr>
                <w:rFonts w:hint="default" w:ascii="Times New Roman" w:hAnsi="Times New Roman" w:eastAsia="宋体" w:cs="Times New Roman"/>
                <w:bCs/>
                <w:color w:val="auto"/>
                <w:sz w:val="21"/>
                <w:szCs w:val="21"/>
                <w:highlight w:val="none"/>
              </w:rPr>
              <w:t>根据建设单位所提供的参数及类比调查的结果</w:t>
            </w:r>
            <w:r>
              <w:rPr>
                <w:rFonts w:hint="default" w:ascii="Times New Roman" w:hAnsi="Times New Roman" w:eastAsia="宋体" w:cs="Times New Roman"/>
                <w:bCs/>
                <w:color w:val="auto"/>
                <w:sz w:val="21"/>
                <w:szCs w:val="21"/>
                <w:highlight w:val="none"/>
                <w:lang w:eastAsia="zh-CN"/>
              </w:rPr>
              <w:t>，</w:t>
            </w:r>
            <w:r>
              <w:rPr>
                <w:rFonts w:hint="default" w:ascii="Times New Roman" w:hAnsi="Times New Roman" w:eastAsia="宋体" w:cs="Times New Roman"/>
                <w:bCs/>
                <w:color w:val="auto"/>
                <w:sz w:val="21"/>
                <w:szCs w:val="21"/>
                <w:highlight w:val="none"/>
              </w:rPr>
              <w:t>主要产噪设备参数见下表。</w:t>
            </w:r>
          </w:p>
        </w:tc>
      </w:tr>
    </w:tbl>
    <w:p>
      <w:pPr>
        <w:adjustRightInd w:val="0"/>
        <w:snapToGrid w:val="0"/>
        <w:spacing w:line="360" w:lineRule="auto"/>
        <w:rPr>
          <w:rFonts w:hint="eastAsia" w:ascii="宋体" w:cs="宋体"/>
          <w:b/>
          <w:color w:val="auto"/>
          <w:kern w:val="0"/>
          <w:sz w:val="28"/>
          <w:szCs w:val="28"/>
          <w:highlight w:val="none"/>
        </w:rPr>
        <w:sectPr>
          <w:pgSz w:w="11907" w:h="16840"/>
          <w:pgMar w:top="1701" w:right="1531" w:bottom="2127" w:left="1531" w:header="851" w:footer="851" w:gutter="0"/>
          <w:cols w:space="720" w:num="1"/>
          <w:docGrid w:linePitch="312" w:charSpace="0"/>
        </w:sectPr>
      </w:pPr>
    </w:p>
    <w:tbl>
      <w:tblPr>
        <w:tblStyle w:val="22"/>
        <w:tblW w:w="1328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2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813" w:hRule="atLeast"/>
        </w:trPr>
        <w:tc>
          <w:tcPr>
            <w:tcW w:w="13282" w:type="dxa"/>
            <w:vAlign w:val="top"/>
          </w:tcPr>
          <w:p>
            <w:pPr>
              <w:pStyle w:val="20"/>
              <w:keepNext w:val="0"/>
              <w:keepLines w:val="0"/>
              <w:pageBreakBefore w:val="0"/>
              <w:widowControl/>
              <w:kinsoku/>
              <w:wordWrap/>
              <w:overflowPunct/>
              <w:topLinePunct w:val="0"/>
              <w:autoSpaceDE/>
              <w:autoSpaceDN/>
              <w:bidi w:val="0"/>
              <w:adjustRightInd w:val="0"/>
              <w:snapToGrid w:val="0"/>
              <w:spacing w:before="0" w:after="0" w:line="520" w:lineRule="exact"/>
              <w:ind w:right="0" w:firstLine="0" w:firstLineChars="0"/>
              <w:jc w:val="center"/>
              <w:textAlignment w:val="auto"/>
              <w:rPr>
                <w:rFonts w:ascii="Times New Roman" w:hAnsi="Times New Roman" w:cs="Times New Roman"/>
                <w:color w:val="auto"/>
                <w:sz w:val="21"/>
                <w:szCs w:val="21"/>
                <w:highlight w:val="none"/>
                <w:lang w:eastAsia="zh-CN"/>
              </w:rPr>
            </w:pPr>
            <w:r>
              <w:rPr>
                <w:rFonts w:hint="default" w:ascii="Times New Roman" w:hAnsi="Times New Roman" w:eastAsia="宋体" w:cs="Times New Roman"/>
                <w:b/>
                <w:bCs/>
                <w:color w:val="auto"/>
                <w:kern w:val="2"/>
                <w:sz w:val="21"/>
                <w:szCs w:val="21"/>
                <w:highlight w:val="none"/>
                <w:lang w:val="en-US" w:eastAsia="zh-CN" w:bidi="ar-SA"/>
              </w:rPr>
              <w:t>表</w:t>
            </w:r>
            <w:r>
              <w:rPr>
                <w:rFonts w:hint="eastAsia" w:ascii="Times New Roman" w:hAnsi="Times New Roman" w:eastAsia="宋体" w:cs="Times New Roman"/>
                <w:b/>
                <w:bCs/>
                <w:color w:val="auto"/>
                <w:kern w:val="2"/>
                <w:sz w:val="21"/>
                <w:szCs w:val="21"/>
                <w:highlight w:val="none"/>
                <w:lang w:val="en-US" w:eastAsia="zh-CN" w:bidi="ar-SA"/>
              </w:rPr>
              <w:t>4-</w:t>
            </w:r>
            <w:r>
              <w:rPr>
                <w:rFonts w:hint="eastAsia" w:cs="Times New Roman"/>
                <w:b/>
                <w:bCs/>
                <w:color w:val="auto"/>
                <w:kern w:val="2"/>
                <w:sz w:val="21"/>
                <w:szCs w:val="21"/>
                <w:highlight w:val="none"/>
                <w:lang w:val="en-US" w:eastAsia="zh-CN" w:bidi="ar-SA"/>
              </w:rPr>
              <w:t xml:space="preserve">10 </w:t>
            </w:r>
            <w:r>
              <w:rPr>
                <w:rFonts w:hint="default" w:ascii="Times New Roman" w:hAnsi="Times New Roman" w:eastAsia="宋体" w:cs="Times New Roman"/>
                <w:b/>
                <w:bCs/>
                <w:color w:val="auto"/>
                <w:kern w:val="2"/>
                <w:sz w:val="21"/>
                <w:szCs w:val="21"/>
                <w:highlight w:val="none"/>
                <w:lang w:val="en-US" w:eastAsia="zh-CN" w:bidi="ar-SA"/>
              </w:rPr>
              <w:t>工业企业噪声源强调查清单（室外声源）</w:t>
            </w:r>
            <w:bookmarkStart w:id="9" w:name="PT_5"/>
          </w:p>
          <w:tbl>
            <w:tblPr>
              <w:tblStyle w:val="21"/>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8"/>
              <w:gridCol w:w="2835"/>
              <w:gridCol w:w="1066"/>
              <w:gridCol w:w="1066"/>
              <w:gridCol w:w="786"/>
              <w:gridCol w:w="2354"/>
              <w:gridCol w:w="2354"/>
              <w:gridCol w:w="16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97" w:hRule="exact"/>
              </w:trPr>
              <w:tc>
                <w:tcPr>
                  <w:tcW w:w="347" w:type="pct"/>
                  <w:vMerge w:val="restart"/>
                  <w:shd w:val="clear" w:color="auto" w:fill="auto"/>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color w:val="auto"/>
                      <w:sz w:val="21"/>
                      <w:szCs w:val="21"/>
                      <w:highlight w:val="none"/>
                    </w:rPr>
                    <w:t>序号</w:t>
                  </w:r>
                </w:p>
              </w:tc>
              <w:tc>
                <w:tcPr>
                  <w:tcW w:w="1086" w:type="pct"/>
                  <w:vMerge w:val="restart"/>
                  <w:shd w:val="clear" w:color="auto" w:fill="auto"/>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color w:val="auto"/>
                      <w:sz w:val="21"/>
                      <w:szCs w:val="21"/>
                      <w:highlight w:val="none"/>
                    </w:rPr>
                    <w:t>声源名称</w:t>
                  </w:r>
                </w:p>
              </w:tc>
              <w:tc>
                <w:tcPr>
                  <w:tcW w:w="1117" w:type="pct"/>
                  <w:gridSpan w:val="3"/>
                  <w:shd w:val="clear" w:color="auto" w:fill="auto"/>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color w:val="auto"/>
                      <w:sz w:val="21"/>
                      <w:szCs w:val="21"/>
                      <w:highlight w:val="none"/>
                    </w:rPr>
                    <w:t>空间相对位置/m</w:t>
                  </w:r>
                </w:p>
              </w:tc>
              <w:tc>
                <w:tcPr>
                  <w:tcW w:w="901" w:type="pct"/>
                  <w:vMerge w:val="restart"/>
                  <w:shd w:val="clear" w:color="auto" w:fill="auto"/>
                  <w:vAlign w:val="center"/>
                </w:tcPr>
                <w:p>
                  <w:pPr>
                    <w:jc w:val="center"/>
                    <w:rPr>
                      <w:rFonts w:hint="default" w:ascii="Times New Roman" w:hAnsi="Times New Roman" w:eastAsia="宋体" w:cs="Times New Roman"/>
                      <w:b/>
                      <w:bCs/>
                      <w:color w:val="auto"/>
                      <w:sz w:val="21"/>
                      <w:szCs w:val="21"/>
                      <w:highlight w:val="none"/>
                    </w:rPr>
                  </w:pPr>
                  <w:r>
                    <w:rPr>
                      <w:rFonts w:hint="default" w:ascii="Times New Roman" w:hAnsi="Times New Roman" w:eastAsia="宋体" w:cs="Times New Roman"/>
                      <w:b/>
                      <w:bCs/>
                      <w:color w:val="auto"/>
                      <w:sz w:val="21"/>
                      <w:szCs w:val="21"/>
                      <w:highlight w:val="none"/>
                    </w:rPr>
                    <w:t>声功率级/dB(A)</w:t>
                  </w:r>
                </w:p>
              </w:tc>
              <w:tc>
                <w:tcPr>
                  <w:tcW w:w="901" w:type="pct"/>
                  <w:vMerge w:val="restart"/>
                  <w:shd w:val="clear" w:color="auto" w:fill="auto"/>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color w:val="auto"/>
                      <w:sz w:val="21"/>
                      <w:szCs w:val="21"/>
                      <w:highlight w:val="none"/>
                    </w:rPr>
                    <w:t>声源控制措施</w:t>
                  </w:r>
                </w:p>
              </w:tc>
              <w:tc>
                <w:tcPr>
                  <w:tcW w:w="644" w:type="pct"/>
                  <w:vMerge w:val="restart"/>
                  <w:shd w:val="clear" w:color="auto" w:fill="auto"/>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color w:val="auto"/>
                      <w:sz w:val="21"/>
                      <w:szCs w:val="21"/>
                      <w:highlight w:val="none"/>
                    </w:rPr>
                    <w:t>运行时段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29" w:hRule="atLeast"/>
              </w:trPr>
              <w:tc>
                <w:tcPr>
                  <w:tcW w:w="347" w:type="pct"/>
                  <w:vMerge w:val="continue"/>
                  <w:shd w:val="clear" w:color="auto" w:fill="auto"/>
                  <w:vAlign w:val="center"/>
                </w:tcPr>
                <w:p>
                  <w:pPr>
                    <w:jc w:val="center"/>
                    <w:rPr>
                      <w:rFonts w:hint="default" w:ascii="Times New Roman" w:hAnsi="Times New Roman" w:eastAsia="宋体" w:cs="Times New Roman"/>
                      <w:color w:val="auto"/>
                      <w:sz w:val="21"/>
                      <w:szCs w:val="21"/>
                      <w:highlight w:val="none"/>
                    </w:rPr>
                  </w:pPr>
                </w:p>
              </w:tc>
              <w:tc>
                <w:tcPr>
                  <w:tcW w:w="1086" w:type="pct"/>
                  <w:vMerge w:val="continue"/>
                  <w:shd w:val="clear" w:color="auto" w:fill="auto"/>
                  <w:vAlign w:val="center"/>
                </w:tcPr>
                <w:p>
                  <w:pPr>
                    <w:jc w:val="center"/>
                    <w:rPr>
                      <w:rFonts w:hint="default" w:ascii="Times New Roman" w:hAnsi="Times New Roman" w:eastAsia="宋体" w:cs="Times New Roman"/>
                      <w:color w:val="auto"/>
                      <w:sz w:val="21"/>
                      <w:szCs w:val="21"/>
                      <w:highlight w:val="none"/>
                    </w:rPr>
                  </w:pPr>
                </w:p>
              </w:tc>
              <w:tc>
                <w:tcPr>
                  <w:tcW w:w="408" w:type="pct"/>
                  <w:shd w:val="clear" w:color="auto" w:fill="auto"/>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X</w:t>
                  </w:r>
                </w:p>
              </w:tc>
              <w:tc>
                <w:tcPr>
                  <w:tcW w:w="408" w:type="pct"/>
                  <w:shd w:val="clear" w:color="auto" w:fill="auto"/>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Y</w:t>
                  </w:r>
                </w:p>
              </w:tc>
              <w:tc>
                <w:tcPr>
                  <w:tcW w:w="301" w:type="pct"/>
                  <w:shd w:val="clear" w:color="auto" w:fill="auto"/>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Z</w:t>
                  </w:r>
                </w:p>
              </w:tc>
              <w:tc>
                <w:tcPr>
                  <w:tcW w:w="901" w:type="pct"/>
                  <w:vMerge w:val="continue"/>
                  <w:shd w:val="clear" w:color="auto" w:fill="auto"/>
                  <w:vAlign w:val="center"/>
                </w:tcPr>
                <w:p>
                  <w:pPr>
                    <w:jc w:val="center"/>
                    <w:rPr>
                      <w:rFonts w:hint="default" w:ascii="Times New Roman" w:hAnsi="Times New Roman" w:eastAsia="宋体" w:cs="Times New Roman"/>
                      <w:color w:val="auto"/>
                      <w:sz w:val="21"/>
                      <w:szCs w:val="21"/>
                      <w:highlight w:val="none"/>
                    </w:rPr>
                  </w:pPr>
                </w:p>
              </w:tc>
              <w:tc>
                <w:tcPr>
                  <w:tcW w:w="901" w:type="pct"/>
                  <w:vMerge w:val="continue"/>
                  <w:shd w:val="clear" w:color="auto" w:fill="auto"/>
                  <w:vAlign w:val="center"/>
                </w:tcPr>
                <w:p>
                  <w:pPr>
                    <w:jc w:val="center"/>
                    <w:rPr>
                      <w:rFonts w:hint="default" w:ascii="Times New Roman" w:hAnsi="Times New Roman" w:eastAsia="宋体" w:cs="Times New Roman"/>
                      <w:color w:val="auto"/>
                      <w:sz w:val="21"/>
                      <w:szCs w:val="21"/>
                      <w:highlight w:val="none"/>
                    </w:rPr>
                  </w:pPr>
                </w:p>
                <w:bookmarkEnd w:id="9"/>
              </w:tc>
              <w:tc>
                <w:tcPr>
                  <w:tcW w:w="644" w:type="pct"/>
                  <w:vMerge w:val="continue"/>
                  <w:shd w:val="clear" w:color="auto" w:fill="auto"/>
                  <w:vAlign w:val="center"/>
                </w:tcPr>
                <w:p>
                  <w:pPr>
                    <w:jc w:val="center"/>
                    <w:rPr>
                      <w:rFonts w:hint="default" w:ascii="Times New Roman" w:hAnsi="Times New Roman" w:eastAsia="宋体" w:cs="Times New Roman"/>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PrEx>
              <w:trPr>
                <w:trHeight w:val="482" w:hRule="exact"/>
              </w:trPr>
              <w:tc>
                <w:tcPr>
                  <w:tcW w:w="347" w:type="pct"/>
                  <w:shd w:val="clear" w:color="auto" w:fill="auto"/>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c>
                <w:tcPr>
                  <w:tcW w:w="1086" w:type="pct"/>
                  <w:shd w:val="clear" w:color="auto" w:fill="auto"/>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冷却塔（带循环水泵）</w:t>
                  </w:r>
                </w:p>
              </w:tc>
              <w:tc>
                <w:tcPr>
                  <w:tcW w:w="408" w:type="pct"/>
                  <w:shd w:val="clear" w:color="auto" w:fill="auto"/>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-15.1</w:t>
                  </w:r>
                </w:p>
              </w:tc>
              <w:tc>
                <w:tcPr>
                  <w:tcW w:w="408" w:type="pct"/>
                  <w:shd w:val="clear" w:color="auto" w:fill="auto"/>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-37.3</w:t>
                  </w:r>
                </w:p>
              </w:tc>
              <w:tc>
                <w:tcPr>
                  <w:tcW w:w="301" w:type="pct"/>
                  <w:shd w:val="clear" w:color="auto" w:fill="auto"/>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1.2</w:t>
                  </w:r>
                </w:p>
              </w:tc>
              <w:tc>
                <w:tcPr>
                  <w:tcW w:w="901" w:type="pct"/>
                  <w:shd w:val="clear" w:color="auto" w:fill="auto"/>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80</w:t>
                  </w:r>
                </w:p>
              </w:tc>
              <w:tc>
                <w:tcPr>
                  <w:tcW w:w="901" w:type="pct"/>
                  <w:vMerge w:val="restart"/>
                  <w:shd w:val="clear" w:color="auto" w:fill="auto"/>
                  <w:vAlign w:val="center"/>
                </w:tcPr>
                <w:p>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基础减振、厂区绿化</w:t>
                  </w:r>
                </w:p>
              </w:tc>
              <w:tc>
                <w:tcPr>
                  <w:tcW w:w="644" w:type="pct"/>
                  <w:vMerge w:val="restart"/>
                  <w:shd w:val="clear" w:color="auto" w:fill="auto"/>
                  <w:vAlign w:val="center"/>
                </w:tcPr>
                <w:p>
                  <w:pPr>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工作时段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PrEx>
              <w:trPr>
                <w:trHeight w:val="482" w:hRule="exact"/>
              </w:trPr>
              <w:tc>
                <w:tcPr>
                  <w:tcW w:w="347" w:type="pct"/>
                  <w:shd w:val="clear" w:color="auto" w:fill="auto"/>
                  <w:vAlign w:val="center"/>
                </w:tcPr>
                <w:p>
                  <w:pPr>
                    <w:jc w:val="center"/>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w:t>
                  </w:r>
                </w:p>
              </w:tc>
              <w:tc>
                <w:tcPr>
                  <w:tcW w:w="1086" w:type="pct"/>
                  <w:shd w:val="clear" w:color="auto" w:fill="auto"/>
                  <w:vAlign w:val="center"/>
                </w:tcPr>
                <w:p>
                  <w:pPr>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P2风机</w:t>
                  </w:r>
                </w:p>
              </w:tc>
              <w:tc>
                <w:tcPr>
                  <w:tcW w:w="408" w:type="pct"/>
                  <w:shd w:val="clear" w:color="auto" w:fill="auto"/>
                  <w:vAlign w:val="center"/>
                </w:tcPr>
                <w:p>
                  <w:pPr>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42.5</w:t>
                  </w:r>
                </w:p>
              </w:tc>
              <w:tc>
                <w:tcPr>
                  <w:tcW w:w="408" w:type="pct"/>
                  <w:shd w:val="clear" w:color="auto" w:fill="auto"/>
                  <w:vAlign w:val="center"/>
                </w:tcPr>
                <w:p>
                  <w:pPr>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21.5</w:t>
                  </w:r>
                </w:p>
              </w:tc>
              <w:tc>
                <w:tcPr>
                  <w:tcW w:w="301" w:type="pct"/>
                  <w:shd w:val="clear" w:color="auto" w:fill="auto"/>
                  <w:vAlign w:val="center"/>
                </w:tcPr>
                <w:p>
                  <w:pPr>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0.3</w:t>
                  </w:r>
                </w:p>
              </w:tc>
              <w:tc>
                <w:tcPr>
                  <w:tcW w:w="901" w:type="pct"/>
                  <w:shd w:val="clear" w:color="auto" w:fill="auto"/>
                  <w:vAlign w:val="center"/>
                </w:tcPr>
                <w:p>
                  <w:pPr>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85</w:t>
                  </w:r>
                </w:p>
              </w:tc>
              <w:tc>
                <w:tcPr>
                  <w:tcW w:w="901" w:type="pct"/>
                  <w:vMerge w:val="continue"/>
                  <w:shd w:val="clear" w:color="auto" w:fill="auto"/>
                  <w:vAlign w:val="center"/>
                </w:tcPr>
                <w:p>
                  <w:pPr>
                    <w:jc w:val="center"/>
                    <w:rPr>
                      <w:rFonts w:hint="default" w:ascii="Times New Roman" w:hAnsi="Times New Roman" w:eastAsia="宋体" w:cs="Times New Roman"/>
                      <w:color w:val="auto"/>
                      <w:sz w:val="21"/>
                      <w:szCs w:val="21"/>
                      <w:highlight w:val="none"/>
                      <w:lang w:val="en-US" w:eastAsia="zh-CN"/>
                    </w:rPr>
                  </w:pPr>
                </w:p>
              </w:tc>
              <w:tc>
                <w:tcPr>
                  <w:tcW w:w="644" w:type="pct"/>
                  <w:vMerge w:val="continue"/>
                  <w:shd w:val="clear" w:color="auto" w:fill="auto"/>
                  <w:vAlign w:val="center"/>
                </w:tcPr>
                <w:p>
                  <w:pPr>
                    <w:jc w:val="center"/>
                    <w:rPr>
                      <w:rFonts w:hint="default" w:ascii="Times New Roman" w:hAnsi="Times New Roman" w:eastAsia="宋体" w:cs="Times New Roman"/>
                      <w:color w:val="auto"/>
                      <w:sz w:val="21"/>
                      <w:szCs w:val="21"/>
                      <w:highlight w:val="none"/>
                      <w:lang w:val="en-US" w:eastAsia="zh-CN"/>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PrEx>
              <w:trPr>
                <w:trHeight w:val="482" w:hRule="exact"/>
              </w:trPr>
              <w:tc>
                <w:tcPr>
                  <w:tcW w:w="347" w:type="pct"/>
                  <w:shd w:val="clear" w:color="auto" w:fill="auto"/>
                  <w:vAlign w:val="center"/>
                </w:tcPr>
                <w:p>
                  <w:pPr>
                    <w:jc w:val="center"/>
                    <w:rPr>
                      <w:rFonts w:hint="eastAsia"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3</w:t>
                  </w:r>
                </w:p>
              </w:tc>
              <w:tc>
                <w:tcPr>
                  <w:tcW w:w="1086" w:type="pct"/>
                  <w:shd w:val="clear" w:color="auto" w:fill="auto"/>
                  <w:vAlign w:val="center"/>
                </w:tcPr>
                <w:p>
                  <w:pPr>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P3风机</w:t>
                  </w:r>
                </w:p>
              </w:tc>
              <w:tc>
                <w:tcPr>
                  <w:tcW w:w="408" w:type="pct"/>
                  <w:shd w:val="clear" w:color="auto" w:fill="auto"/>
                  <w:vAlign w:val="center"/>
                </w:tcPr>
                <w:p>
                  <w:pPr>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85.0</w:t>
                  </w:r>
                </w:p>
              </w:tc>
              <w:tc>
                <w:tcPr>
                  <w:tcW w:w="408" w:type="pct"/>
                  <w:shd w:val="clear" w:color="auto" w:fill="auto"/>
                  <w:vAlign w:val="center"/>
                </w:tcPr>
                <w:p>
                  <w:pPr>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21.5</w:t>
                  </w:r>
                </w:p>
              </w:tc>
              <w:tc>
                <w:tcPr>
                  <w:tcW w:w="301" w:type="pct"/>
                  <w:shd w:val="clear" w:color="auto" w:fill="auto"/>
                  <w:vAlign w:val="center"/>
                </w:tcPr>
                <w:p>
                  <w:pPr>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0.3</w:t>
                  </w:r>
                </w:p>
              </w:tc>
              <w:tc>
                <w:tcPr>
                  <w:tcW w:w="901" w:type="pct"/>
                  <w:shd w:val="clear" w:color="auto" w:fill="auto"/>
                  <w:vAlign w:val="center"/>
                </w:tcPr>
                <w:p>
                  <w:pPr>
                    <w:jc w:val="center"/>
                    <w:rPr>
                      <w:rFonts w:hint="default" w:ascii="Times New Roman" w:hAnsi="Times New Roman" w:eastAsia="宋体" w:cs="Times New Roman"/>
                      <w:color w:val="auto"/>
                      <w:sz w:val="21"/>
                      <w:szCs w:val="21"/>
                      <w:highlight w:val="none"/>
                    </w:rPr>
                  </w:pPr>
                  <w:r>
                    <w:rPr>
                      <w:rFonts w:hint="eastAsia" w:cs="Times New Roman"/>
                      <w:color w:val="auto"/>
                      <w:sz w:val="21"/>
                      <w:szCs w:val="21"/>
                      <w:highlight w:val="none"/>
                      <w:lang w:val="en-US" w:eastAsia="zh-CN"/>
                    </w:rPr>
                    <w:t>80</w:t>
                  </w:r>
                </w:p>
              </w:tc>
              <w:tc>
                <w:tcPr>
                  <w:tcW w:w="901" w:type="pct"/>
                  <w:vMerge w:val="continue"/>
                  <w:shd w:val="clear" w:color="auto" w:fill="auto"/>
                  <w:vAlign w:val="center"/>
                </w:tcPr>
                <w:p>
                  <w:pPr>
                    <w:jc w:val="center"/>
                    <w:rPr>
                      <w:rFonts w:hint="default" w:ascii="Times New Roman" w:hAnsi="Times New Roman" w:eastAsia="宋体" w:cs="Times New Roman"/>
                      <w:color w:val="auto"/>
                      <w:sz w:val="21"/>
                      <w:szCs w:val="21"/>
                      <w:highlight w:val="none"/>
                      <w:lang w:val="en-US" w:eastAsia="zh-CN"/>
                    </w:rPr>
                  </w:pPr>
                </w:p>
              </w:tc>
              <w:tc>
                <w:tcPr>
                  <w:tcW w:w="644" w:type="pct"/>
                  <w:vMerge w:val="continue"/>
                  <w:shd w:val="clear" w:color="auto" w:fill="auto"/>
                  <w:vAlign w:val="center"/>
                </w:tcPr>
                <w:p>
                  <w:pPr>
                    <w:jc w:val="center"/>
                    <w:rPr>
                      <w:rFonts w:hint="default" w:ascii="Times New Roman" w:hAnsi="Times New Roman" w:eastAsia="宋体" w:cs="Times New Roman"/>
                      <w:color w:val="auto"/>
                      <w:sz w:val="21"/>
                      <w:szCs w:val="21"/>
                      <w:highlight w:val="none"/>
                      <w:lang w:val="en-US" w:eastAsia="zh-CN"/>
                    </w:rPr>
                  </w:pPr>
                </w:p>
              </w:tc>
            </w:tr>
          </w:tbl>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hint="default" w:ascii="Times New Roman" w:hAnsi="Times New Roman" w:eastAsia="宋体" w:cs="Times New Roman"/>
                <w:b/>
                <w:bCs/>
                <w:color w:val="auto"/>
                <w:sz w:val="21"/>
                <w:szCs w:val="21"/>
                <w:highlight w:val="none"/>
                <w:lang w:eastAsia="zh-CN"/>
              </w:rPr>
            </w:pPr>
            <w:r>
              <w:rPr>
                <w:rFonts w:hint="default" w:ascii="Times New Roman" w:hAnsi="Times New Roman" w:eastAsia="宋体" w:cs="Times New Roman"/>
                <w:b/>
                <w:bCs/>
                <w:color w:val="auto"/>
                <w:sz w:val="21"/>
                <w:szCs w:val="21"/>
                <w:highlight w:val="none"/>
              </w:rPr>
              <w:t>表</w:t>
            </w:r>
            <w:r>
              <w:rPr>
                <w:rFonts w:hint="default" w:ascii="Times New Roman" w:hAnsi="Times New Roman" w:cs="Times New Roman"/>
                <w:b/>
                <w:bCs/>
                <w:color w:val="auto"/>
                <w:sz w:val="21"/>
                <w:szCs w:val="21"/>
                <w:highlight w:val="none"/>
                <w:lang w:val="en-US" w:eastAsia="zh-CN"/>
              </w:rPr>
              <w:t>4-</w:t>
            </w:r>
            <w:r>
              <w:rPr>
                <w:rFonts w:hint="eastAsia" w:cs="Times New Roman"/>
                <w:b/>
                <w:bCs/>
                <w:color w:val="auto"/>
                <w:sz w:val="21"/>
                <w:szCs w:val="21"/>
                <w:highlight w:val="none"/>
                <w:lang w:val="en-US" w:eastAsia="zh-CN"/>
              </w:rPr>
              <w:t>11</w:t>
            </w:r>
            <w:r>
              <w:rPr>
                <w:rFonts w:hint="default" w:ascii="Times New Roman" w:hAnsi="Times New Roman" w:eastAsia="宋体" w:cs="Times New Roman"/>
                <w:b/>
                <w:bCs/>
                <w:color w:val="auto"/>
                <w:sz w:val="21"/>
                <w:szCs w:val="21"/>
                <w:highlight w:val="none"/>
              </w:rPr>
              <w:t xml:space="preserve"> 工业企业噪声源强调查清单</w:t>
            </w:r>
            <w:r>
              <w:rPr>
                <w:rFonts w:hint="default" w:ascii="Times New Roman" w:hAnsi="Times New Roman" w:eastAsia="宋体" w:cs="Times New Roman"/>
                <w:b/>
                <w:bCs/>
                <w:color w:val="auto"/>
                <w:sz w:val="21"/>
                <w:szCs w:val="21"/>
                <w:highlight w:val="none"/>
                <w:lang w:eastAsia="zh-CN"/>
              </w:rPr>
              <w:t>（</w:t>
            </w:r>
            <w:r>
              <w:rPr>
                <w:rFonts w:hint="default" w:ascii="Times New Roman" w:hAnsi="Times New Roman" w:eastAsia="宋体" w:cs="Times New Roman"/>
                <w:b/>
                <w:bCs/>
                <w:color w:val="auto"/>
                <w:sz w:val="21"/>
                <w:szCs w:val="21"/>
                <w:highlight w:val="none"/>
              </w:rPr>
              <w:t>室内声源</w:t>
            </w:r>
            <w:r>
              <w:rPr>
                <w:rFonts w:hint="default" w:ascii="Times New Roman" w:hAnsi="Times New Roman" w:eastAsia="宋体" w:cs="Times New Roman"/>
                <w:b/>
                <w:bCs/>
                <w:color w:val="auto"/>
                <w:sz w:val="21"/>
                <w:szCs w:val="21"/>
                <w:highlight w:val="none"/>
                <w:lang w:eastAsia="zh-CN"/>
              </w:rPr>
              <w:t>）</w:t>
            </w:r>
          </w:p>
          <w:tbl>
            <w:tblPr>
              <w:tblStyle w:val="21"/>
              <w:tblW w:w="4952"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Layout w:type="fixed"/>
              <w:tblCellMar>
                <w:top w:w="0" w:type="dxa"/>
                <w:left w:w="108" w:type="dxa"/>
                <w:bottom w:w="0" w:type="dxa"/>
                <w:right w:w="108" w:type="dxa"/>
              </w:tblCellMar>
            </w:tblPr>
            <w:tblGrid>
              <w:gridCol w:w="427"/>
              <w:gridCol w:w="575"/>
              <w:gridCol w:w="850"/>
              <w:gridCol w:w="715"/>
              <w:gridCol w:w="568"/>
              <w:gridCol w:w="525"/>
              <w:gridCol w:w="580"/>
              <w:gridCol w:w="559"/>
              <w:gridCol w:w="520"/>
              <w:gridCol w:w="528"/>
              <w:gridCol w:w="520"/>
              <w:gridCol w:w="538"/>
              <w:gridCol w:w="515"/>
              <w:gridCol w:w="515"/>
              <w:gridCol w:w="515"/>
              <w:gridCol w:w="519"/>
              <w:gridCol w:w="473"/>
              <w:gridCol w:w="695"/>
              <w:gridCol w:w="505"/>
              <w:gridCol w:w="537"/>
              <w:gridCol w:w="537"/>
              <w:gridCol w:w="647"/>
              <w:gridCol w:w="5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820" w:hRule="exact"/>
                <w:jc w:val="center"/>
              </w:trPr>
              <w:tc>
                <w:tcPr>
                  <w:tcW w:w="165" w:type="pct"/>
                  <w:vMerge w:val="restart"/>
                  <w:shd w:val="clear" w:color="auto" w:fill="auto"/>
                  <w:vAlign w:val="center"/>
                </w:tcPr>
                <w:p>
                  <w:pPr>
                    <w:jc w:val="center"/>
                    <w:rPr>
                      <w:rFonts w:hint="default" w:ascii="Times New Roman" w:hAnsi="Times New Roman" w:eastAsia="宋体" w:cs="Times New Roman"/>
                      <w:color w:val="auto"/>
                      <w:sz w:val="21"/>
                      <w:szCs w:val="21"/>
                      <w:highlight w:val="none"/>
                    </w:rPr>
                  </w:pPr>
                  <w:bookmarkStart w:id="10" w:name="PT_6"/>
                  <w:r>
                    <w:rPr>
                      <w:rFonts w:hint="default" w:ascii="Times New Roman" w:hAnsi="Times New Roman" w:eastAsia="宋体" w:cs="Times New Roman"/>
                      <w:b/>
                      <w:color w:val="auto"/>
                      <w:sz w:val="21"/>
                      <w:szCs w:val="21"/>
                      <w:highlight w:val="none"/>
                    </w:rPr>
                    <w:t>序号</w:t>
                  </w:r>
                </w:p>
              </w:tc>
              <w:tc>
                <w:tcPr>
                  <w:tcW w:w="222" w:type="pct"/>
                  <w:vMerge w:val="restart"/>
                  <w:shd w:val="clear" w:color="auto" w:fill="auto"/>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color w:val="auto"/>
                      <w:sz w:val="21"/>
                      <w:szCs w:val="21"/>
                      <w:highlight w:val="none"/>
                    </w:rPr>
                    <w:t>建筑物名称</w:t>
                  </w:r>
                </w:p>
              </w:tc>
              <w:tc>
                <w:tcPr>
                  <w:tcW w:w="328" w:type="pct"/>
                  <w:vMerge w:val="restart"/>
                  <w:shd w:val="clear" w:color="auto" w:fill="auto"/>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color w:val="auto"/>
                      <w:sz w:val="21"/>
                      <w:szCs w:val="21"/>
                      <w:highlight w:val="none"/>
                    </w:rPr>
                    <w:t>声源名称</w:t>
                  </w:r>
                </w:p>
              </w:tc>
              <w:tc>
                <w:tcPr>
                  <w:tcW w:w="276" w:type="pct"/>
                  <w:shd w:val="clear" w:color="auto" w:fill="auto"/>
                  <w:vAlign w:val="center"/>
                </w:tcPr>
                <w:p>
                  <w:pPr>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eastAsia="宋体" w:cs="Times New Roman"/>
                      <w:b/>
                      <w:color w:val="auto"/>
                      <w:sz w:val="21"/>
                      <w:szCs w:val="21"/>
                      <w:highlight w:val="none"/>
                      <w:lang w:eastAsia="zh-CN"/>
                    </w:rPr>
                    <w:t>声源源强</w:t>
                  </w:r>
                </w:p>
              </w:tc>
              <w:tc>
                <w:tcPr>
                  <w:tcW w:w="219" w:type="pct"/>
                  <w:vMerge w:val="restart"/>
                  <w:shd w:val="clear" w:color="auto" w:fill="auto"/>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color w:val="auto"/>
                      <w:sz w:val="21"/>
                      <w:szCs w:val="21"/>
                      <w:highlight w:val="none"/>
                    </w:rPr>
                    <w:t>声源控制措施</w:t>
                  </w:r>
                </w:p>
              </w:tc>
              <w:tc>
                <w:tcPr>
                  <w:tcW w:w="643" w:type="pct"/>
                  <w:gridSpan w:val="3"/>
                  <w:shd w:val="clear" w:color="auto" w:fill="auto"/>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color w:val="auto"/>
                      <w:sz w:val="21"/>
                      <w:szCs w:val="21"/>
                      <w:highlight w:val="none"/>
                    </w:rPr>
                    <w:t>空间相对位置/m</w:t>
                  </w:r>
                </w:p>
              </w:tc>
              <w:tc>
                <w:tcPr>
                  <w:tcW w:w="814" w:type="pct"/>
                  <w:gridSpan w:val="4"/>
                  <w:shd w:val="clear" w:color="auto" w:fill="auto"/>
                  <w:vAlign w:val="center"/>
                </w:tcPr>
                <w:p>
                  <w:pPr>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距室内边界距离/m</w:t>
                  </w:r>
                </w:p>
              </w:tc>
              <w:tc>
                <w:tcPr>
                  <w:tcW w:w="798" w:type="pct"/>
                  <w:gridSpan w:val="4"/>
                  <w:shd w:val="clear" w:color="auto" w:fill="auto"/>
                  <w:vAlign w:val="center"/>
                </w:tcPr>
                <w:p>
                  <w:pPr>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室内边界声级/dB(A)</w:t>
                  </w:r>
                </w:p>
              </w:tc>
              <w:tc>
                <w:tcPr>
                  <w:tcW w:w="182" w:type="pct"/>
                  <w:vMerge w:val="restart"/>
                  <w:shd w:val="clear" w:color="auto" w:fill="auto"/>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b/>
                      <w:color w:val="auto"/>
                      <w:sz w:val="21"/>
                      <w:szCs w:val="21"/>
                      <w:highlight w:val="none"/>
                    </w:rPr>
                    <w:t>运行时段</w:t>
                  </w:r>
                </w:p>
              </w:tc>
              <w:tc>
                <w:tcPr>
                  <w:tcW w:w="268" w:type="pct"/>
                  <w:vMerge w:val="restart"/>
                  <w:shd w:val="clear" w:color="auto" w:fill="auto"/>
                  <w:vAlign w:val="center"/>
                </w:tcPr>
                <w:p>
                  <w:pPr>
                    <w:jc w:val="center"/>
                    <w:rPr>
                      <w:rFonts w:hint="default" w:ascii="Times New Roman" w:hAnsi="Times New Roman" w:eastAsia="宋体" w:cs="Times New Roman"/>
                      <w:b/>
                      <w:color w:val="auto"/>
                      <w:sz w:val="21"/>
                      <w:szCs w:val="21"/>
                      <w:highlight w:val="none"/>
                    </w:rPr>
                  </w:pPr>
                  <w:r>
                    <w:rPr>
                      <w:rFonts w:hint="default" w:ascii="Times New Roman" w:hAnsi="Times New Roman" w:eastAsia="宋体" w:cs="Times New Roman"/>
                      <w:b/>
                      <w:color w:val="auto"/>
                      <w:sz w:val="21"/>
                      <w:szCs w:val="21"/>
                      <w:highlight w:val="none"/>
                    </w:rPr>
                    <w:t>建筑物插入损失/dB(A)</w:t>
                  </w:r>
                </w:p>
              </w:tc>
              <w:tc>
                <w:tcPr>
                  <w:tcW w:w="1080" w:type="pct"/>
                  <w:gridSpan w:val="5"/>
                  <w:shd w:val="clear" w:color="auto" w:fill="auto"/>
                  <w:vAlign w:val="center"/>
                </w:tcPr>
                <w:p>
                  <w:pPr>
                    <w:jc w:val="center"/>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建筑物外噪声声压级/dB(A)</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CellMar>
                  <w:top w:w="0" w:type="dxa"/>
                  <w:left w:w="108" w:type="dxa"/>
                  <w:bottom w:w="0" w:type="dxa"/>
                  <w:right w:w="108" w:type="dxa"/>
                </w:tblCellMar>
              </w:tblPrEx>
              <w:trPr>
                <w:trHeight w:val="0" w:hRule="atLeast"/>
                <w:jc w:val="center"/>
              </w:trPr>
              <w:tc>
                <w:tcPr>
                  <w:tcW w:w="165"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p>
              </w:tc>
              <w:tc>
                <w:tcPr>
                  <w:tcW w:w="222"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p>
              </w:tc>
              <w:tc>
                <w:tcPr>
                  <w:tcW w:w="328"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p>
              </w:tc>
              <w:tc>
                <w:tcPr>
                  <w:tcW w:w="276"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声功率级/dB(A)</w:t>
                  </w:r>
                </w:p>
              </w:tc>
              <w:tc>
                <w:tcPr>
                  <w:tcW w:w="219"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p>
              </w:tc>
              <w:tc>
                <w:tcPr>
                  <w:tcW w:w="202"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X</w:t>
                  </w:r>
                </w:p>
              </w:tc>
              <w:tc>
                <w:tcPr>
                  <w:tcW w:w="224"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Y</w:t>
                  </w:r>
                </w:p>
              </w:tc>
              <w:tc>
                <w:tcPr>
                  <w:tcW w:w="216"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Z</w:t>
                  </w:r>
                </w:p>
              </w:tc>
              <w:tc>
                <w:tcPr>
                  <w:tcW w:w="201"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东</w:t>
                  </w:r>
                </w:p>
              </w:tc>
              <w:tc>
                <w:tcPr>
                  <w:tcW w:w="204"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南</w:t>
                  </w:r>
                </w:p>
              </w:tc>
              <w:tc>
                <w:tcPr>
                  <w:tcW w:w="201"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西</w:t>
                  </w:r>
                </w:p>
              </w:tc>
              <w:tc>
                <w:tcPr>
                  <w:tcW w:w="20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北</w:t>
                  </w:r>
                </w:p>
              </w:tc>
              <w:tc>
                <w:tcPr>
                  <w:tcW w:w="19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东</w:t>
                  </w:r>
                </w:p>
              </w:tc>
              <w:tc>
                <w:tcPr>
                  <w:tcW w:w="19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南</w:t>
                  </w:r>
                </w:p>
              </w:tc>
              <w:tc>
                <w:tcPr>
                  <w:tcW w:w="19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西</w:t>
                  </w:r>
                </w:p>
              </w:tc>
              <w:tc>
                <w:tcPr>
                  <w:tcW w:w="200"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北</w:t>
                  </w:r>
                </w:p>
              </w:tc>
              <w:tc>
                <w:tcPr>
                  <w:tcW w:w="182"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p>
              </w:tc>
              <w:tc>
                <w:tcPr>
                  <w:tcW w:w="268"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p>
              </w:tc>
              <w:tc>
                <w:tcPr>
                  <w:tcW w:w="195"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东</w:t>
                  </w:r>
                </w:p>
              </w:tc>
              <w:tc>
                <w:tcPr>
                  <w:tcW w:w="207"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南</w:t>
                  </w:r>
                </w:p>
              </w:tc>
              <w:tc>
                <w:tcPr>
                  <w:tcW w:w="207"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西</w:t>
                  </w:r>
                </w:p>
              </w:tc>
              <w:tc>
                <w:tcPr>
                  <w:tcW w:w="250"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北</w:t>
                  </w:r>
                </w:p>
              </w:tc>
              <w:tc>
                <w:tcPr>
                  <w:tcW w:w="21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建筑物外距离</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0" w:hRule="atLeast"/>
                <w:jc w:val="center"/>
              </w:trPr>
              <w:tc>
                <w:tcPr>
                  <w:tcW w:w="165"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c>
                <w:tcPr>
                  <w:tcW w:w="222" w:type="pct"/>
                  <w:vMerge w:val="restar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生产车间</w:t>
                  </w:r>
                </w:p>
              </w:tc>
              <w:tc>
                <w:tcPr>
                  <w:tcW w:w="32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毛刷清洗机</w:t>
                  </w:r>
                </w:p>
              </w:tc>
              <w:tc>
                <w:tcPr>
                  <w:tcW w:w="276"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75</w:t>
                  </w:r>
                </w:p>
              </w:tc>
              <w:tc>
                <w:tcPr>
                  <w:tcW w:w="219" w:type="pct"/>
                  <w:vMerge w:val="restar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基础减振、厂房隔声、厂区绿化</w:t>
                  </w:r>
                </w:p>
              </w:tc>
              <w:tc>
                <w:tcPr>
                  <w:tcW w:w="525"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14.1</w:t>
                  </w:r>
                </w:p>
              </w:tc>
              <w:tc>
                <w:tcPr>
                  <w:tcW w:w="580"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2.6</w:t>
                  </w:r>
                </w:p>
              </w:tc>
              <w:tc>
                <w:tcPr>
                  <w:tcW w:w="559"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0.8</w:t>
                  </w:r>
                </w:p>
              </w:tc>
              <w:tc>
                <w:tcPr>
                  <w:tcW w:w="520"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9.3</w:t>
                  </w:r>
                </w:p>
              </w:tc>
              <w:tc>
                <w:tcPr>
                  <w:tcW w:w="528"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76.3</w:t>
                  </w:r>
                </w:p>
              </w:tc>
              <w:tc>
                <w:tcPr>
                  <w:tcW w:w="520"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38.8</w:t>
                  </w:r>
                </w:p>
              </w:tc>
              <w:tc>
                <w:tcPr>
                  <w:tcW w:w="538"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51.3</w:t>
                  </w:r>
                </w:p>
              </w:tc>
              <w:tc>
                <w:tcPr>
                  <w:tcW w:w="515"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57.7</w:t>
                  </w:r>
                </w:p>
              </w:tc>
              <w:tc>
                <w:tcPr>
                  <w:tcW w:w="515"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57.5</w:t>
                  </w:r>
                </w:p>
              </w:tc>
              <w:tc>
                <w:tcPr>
                  <w:tcW w:w="515"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57.5</w:t>
                  </w:r>
                </w:p>
              </w:tc>
              <w:tc>
                <w:tcPr>
                  <w:tcW w:w="519"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57.5</w:t>
                  </w:r>
                </w:p>
              </w:tc>
              <w:tc>
                <w:tcPr>
                  <w:tcW w:w="182" w:type="pct"/>
                  <w:vMerge w:val="restar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工作时段</w:t>
                  </w:r>
                </w:p>
              </w:tc>
              <w:tc>
                <w:tcPr>
                  <w:tcW w:w="26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25.0</w:t>
                  </w:r>
                </w:p>
              </w:tc>
              <w:tc>
                <w:tcPr>
                  <w:tcW w:w="505"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47.7</w:t>
                  </w:r>
                </w:p>
              </w:tc>
              <w:tc>
                <w:tcPr>
                  <w:tcW w:w="537"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47.5</w:t>
                  </w:r>
                </w:p>
              </w:tc>
              <w:tc>
                <w:tcPr>
                  <w:tcW w:w="537"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47.5</w:t>
                  </w:r>
                </w:p>
              </w:tc>
              <w:tc>
                <w:tcPr>
                  <w:tcW w:w="647"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47.5</w:t>
                  </w:r>
                </w:p>
              </w:tc>
              <w:tc>
                <w:tcPr>
                  <w:tcW w:w="21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0" w:hRule="atLeast"/>
                <w:jc w:val="center"/>
              </w:trPr>
              <w:tc>
                <w:tcPr>
                  <w:tcW w:w="165"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w:t>
                  </w:r>
                </w:p>
              </w:tc>
              <w:tc>
                <w:tcPr>
                  <w:tcW w:w="222"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p>
              </w:tc>
              <w:tc>
                <w:tcPr>
                  <w:tcW w:w="32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破碎机</w:t>
                  </w:r>
                </w:p>
              </w:tc>
              <w:tc>
                <w:tcPr>
                  <w:tcW w:w="276"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80</w:t>
                  </w:r>
                </w:p>
              </w:tc>
              <w:tc>
                <w:tcPr>
                  <w:tcW w:w="219"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p>
              </w:tc>
              <w:tc>
                <w:tcPr>
                  <w:tcW w:w="525"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18.5</w:t>
                  </w:r>
                </w:p>
              </w:tc>
              <w:tc>
                <w:tcPr>
                  <w:tcW w:w="580"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2.1</w:t>
                  </w:r>
                </w:p>
              </w:tc>
              <w:tc>
                <w:tcPr>
                  <w:tcW w:w="559"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0.8</w:t>
                  </w:r>
                </w:p>
              </w:tc>
              <w:tc>
                <w:tcPr>
                  <w:tcW w:w="520"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4.9</w:t>
                  </w:r>
                </w:p>
              </w:tc>
              <w:tc>
                <w:tcPr>
                  <w:tcW w:w="528"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75.8</w:t>
                  </w:r>
                </w:p>
              </w:tc>
              <w:tc>
                <w:tcPr>
                  <w:tcW w:w="520"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43.2</w:t>
                  </w:r>
                </w:p>
              </w:tc>
              <w:tc>
                <w:tcPr>
                  <w:tcW w:w="538"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51.8</w:t>
                  </w:r>
                </w:p>
              </w:tc>
              <w:tc>
                <w:tcPr>
                  <w:tcW w:w="515"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63.3</w:t>
                  </w:r>
                </w:p>
              </w:tc>
              <w:tc>
                <w:tcPr>
                  <w:tcW w:w="515"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62.5</w:t>
                  </w:r>
                </w:p>
              </w:tc>
              <w:tc>
                <w:tcPr>
                  <w:tcW w:w="515"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62.5</w:t>
                  </w:r>
                </w:p>
              </w:tc>
              <w:tc>
                <w:tcPr>
                  <w:tcW w:w="519"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62.5</w:t>
                  </w:r>
                </w:p>
              </w:tc>
              <w:tc>
                <w:tcPr>
                  <w:tcW w:w="182"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p>
              </w:tc>
              <w:tc>
                <w:tcPr>
                  <w:tcW w:w="26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25.0</w:t>
                  </w:r>
                </w:p>
              </w:tc>
              <w:tc>
                <w:tcPr>
                  <w:tcW w:w="505"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53.3</w:t>
                  </w:r>
                </w:p>
              </w:tc>
              <w:tc>
                <w:tcPr>
                  <w:tcW w:w="537"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52.5</w:t>
                  </w:r>
                </w:p>
              </w:tc>
              <w:tc>
                <w:tcPr>
                  <w:tcW w:w="537"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52.5</w:t>
                  </w:r>
                </w:p>
              </w:tc>
              <w:tc>
                <w:tcPr>
                  <w:tcW w:w="647"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52.5</w:t>
                  </w:r>
                </w:p>
              </w:tc>
              <w:tc>
                <w:tcPr>
                  <w:tcW w:w="21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0" w:hRule="atLeast"/>
                <w:jc w:val="center"/>
              </w:trPr>
              <w:tc>
                <w:tcPr>
                  <w:tcW w:w="165"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w:t>
                  </w:r>
                </w:p>
              </w:tc>
              <w:tc>
                <w:tcPr>
                  <w:tcW w:w="222"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p>
              </w:tc>
              <w:tc>
                <w:tcPr>
                  <w:tcW w:w="32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打浆机（2台）,2台（按点声源组预测）</w:t>
                  </w:r>
                </w:p>
              </w:tc>
              <w:tc>
                <w:tcPr>
                  <w:tcW w:w="276"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75（等效后：78.0)</w:t>
                  </w:r>
                </w:p>
              </w:tc>
              <w:tc>
                <w:tcPr>
                  <w:tcW w:w="219"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p>
              </w:tc>
              <w:tc>
                <w:tcPr>
                  <w:tcW w:w="525"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16.1</w:t>
                  </w:r>
                </w:p>
              </w:tc>
              <w:tc>
                <w:tcPr>
                  <w:tcW w:w="580"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-4.3</w:t>
                  </w:r>
                </w:p>
              </w:tc>
              <w:tc>
                <w:tcPr>
                  <w:tcW w:w="559"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1.2</w:t>
                  </w:r>
                </w:p>
              </w:tc>
              <w:tc>
                <w:tcPr>
                  <w:tcW w:w="520"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7.3</w:t>
                  </w:r>
                </w:p>
              </w:tc>
              <w:tc>
                <w:tcPr>
                  <w:tcW w:w="528"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69.4</w:t>
                  </w:r>
                </w:p>
              </w:tc>
              <w:tc>
                <w:tcPr>
                  <w:tcW w:w="520"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40.8</w:t>
                  </w:r>
                </w:p>
              </w:tc>
              <w:tc>
                <w:tcPr>
                  <w:tcW w:w="538"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58.2</w:t>
                  </w:r>
                </w:p>
              </w:tc>
              <w:tc>
                <w:tcPr>
                  <w:tcW w:w="515"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60.9</w:t>
                  </w:r>
                </w:p>
              </w:tc>
              <w:tc>
                <w:tcPr>
                  <w:tcW w:w="515"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60.5</w:t>
                  </w:r>
                </w:p>
              </w:tc>
              <w:tc>
                <w:tcPr>
                  <w:tcW w:w="515"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60.5</w:t>
                  </w:r>
                </w:p>
              </w:tc>
              <w:tc>
                <w:tcPr>
                  <w:tcW w:w="519"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60.5</w:t>
                  </w:r>
                </w:p>
              </w:tc>
              <w:tc>
                <w:tcPr>
                  <w:tcW w:w="182"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p>
              </w:tc>
              <w:tc>
                <w:tcPr>
                  <w:tcW w:w="26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25.0</w:t>
                  </w:r>
                </w:p>
              </w:tc>
              <w:tc>
                <w:tcPr>
                  <w:tcW w:w="505"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50.9</w:t>
                  </w:r>
                </w:p>
              </w:tc>
              <w:tc>
                <w:tcPr>
                  <w:tcW w:w="537"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50.5</w:t>
                  </w:r>
                </w:p>
              </w:tc>
              <w:tc>
                <w:tcPr>
                  <w:tcW w:w="537"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50.5</w:t>
                  </w:r>
                </w:p>
              </w:tc>
              <w:tc>
                <w:tcPr>
                  <w:tcW w:w="647"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50.5</w:t>
                  </w:r>
                </w:p>
              </w:tc>
              <w:tc>
                <w:tcPr>
                  <w:tcW w:w="21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0" w:hRule="atLeast"/>
                <w:jc w:val="center"/>
              </w:trPr>
              <w:tc>
                <w:tcPr>
                  <w:tcW w:w="165"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4</w:t>
                  </w:r>
                </w:p>
              </w:tc>
              <w:tc>
                <w:tcPr>
                  <w:tcW w:w="222"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p>
              </w:tc>
              <w:tc>
                <w:tcPr>
                  <w:tcW w:w="32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电机（4台）,4台（按点声源组预测）</w:t>
                  </w:r>
                </w:p>
              </w:tc>
              <w:tc>
                <w:tcPr>
                  <w:tcW w:w="276"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70（等效后：76.0)</w:t>
                  </w:r>
                </w:p>
              </w:tc>
              <w:tc>
                <w:tcPr>
                  <w:tcW w:w="219"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p>
              </w:tc>
              <w:tc>
                <w:tcPr>
                  <w:tcW w:w="525"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15.8</w:t>
                  </w:r>
                </w:p>
              </w:tc>
              <w:tc>
                <w:tcPr>
                  <w:tcW w:w="580"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-10.8</w:t>
                  </w:r>
                </w:p>
              </w:tc>
              <w:tc>
                <w:tcPr>
                  <w:tcW w:w="559"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0.8</w:t>
                  </w:r>
                </w:p>
              </w:tc>
              <w:tc>
                <w:tcPr>
                  <w:tcW w:w="520"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7.6</w:t>
                  </w:r>
                </w:p>
              </w:tc>
              <w:tc>
                <w:tcPr>
                  <w:tcW w:w="528"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62.9</w:t>
                  </w:r>
                </w:p>
              </w:tc>
              <w:tc>
                <w:tcPr>
                  <w:tcW w:w="520"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40.5</w:t>
                  </w:r>
                </w:p>
              </w:tc>
              <w:tc>
                <w:tcPr>
                  <w:tcW w:w="538"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64.7</w:t>
                  </w:r>
                </w:p>
              </w:tc>
              <w:tc>
                <w:tcPr>
                  <w:tcW w:w="515"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58.8</w:t>
                  </w:r>
                </w:p>
              </w:tc>
              <w:tc>
                <w:tcPr>
                  <w:tcW w:w="515"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58.5</w:t>
                  </w:r>
                </w:p>
              </w:tc>
              <w:tc>
                <w:tcPr>
                  <w:tcW w:w="515"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58.5</w:t>
                  </w:r>
                </w:p>
              </w:tc>
              <w:tc>
                <w:tcPr>
                  <w:tcW w:w="519"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58.5</w:t>
                  </w:r>
                </w:p>
              </w:tc>
              <w:tc>
                <w:tcPr>
                  <w:tcW w:w="182"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p>
              </w:tc>
              <w:tc>
                <w:tcPr>
                  <w:tcW w:w="26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25.0</w:t>
                  </w:r>
                </w:p>
              </w:tc>
              <w:tc>
                <w:tcPr>
                  <w:tcW w:w="505"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48.8</w:t>
                  </w:r>
                </w:p>
              </w:tc>
              <w:tc>
                <w:tcPr>
                  <w:tcW w:w="537"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48.5</w:t>
                  </w:r>
                </w:p>
              </w:tc>
              <w:tc>
                <w:tcPr>
                  <w:tcW w:w="537"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48.5</w:t>
                  </w:r>
                </w:p>
              </w:tc>
              <w:tc>
                <w:tcPr>
                  <w:tcW w:w="647"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48.5</w:t>
                  </w:r>
                </w:p>
              </w:tc>
              <w:tc>
                <w:tcPr>
                  <w:tcW w:w="21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0" w:hRule="atLeast"/>
                <w:jc w:val="center"/>
              </w:trPr>
              <w:tc>
                <w:tcPr>
                  <w:tcW w:w="165"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5</w:t>
                  </w:r>
                </w:p>
              </w:tc>
              <w:tc>
                <w:tcPr>
                  <w:tcW w:w="222"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p>
              </w:tc>
              <w:tc>
                <w:tcPr>
                  <w:tcW w:w="32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离心机</w:t>
                  </w:r>
                </w:p>
              </w:tc>
              <w:tc>
                <w:tcPr>
                  <w:tcW w:w="276"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70</w:t>
                  </w:r>
                </w:p>
              </w:tc>
              <w:tc>
                <w:tcPr>
                  <w:tcW w:w="219"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p>
              </w:tc>
              <w:tc>
                <w:tcPr>
                  <w:tcW w:w="525"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6.5</w:t>
                  </w:r>
                </w:p>
              </w:tc>
              <w:tc>
                <w:tcPr>
                  <w:tcW w:w="580"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-9</w:t>
                  </w:r>
                </w:p>
              </w:tc>
              <w:tc>
                <w:tcPr>
                  <w:tcW w:w="559"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0.8</w:t>
                  </w:r>
                </w:p>
              </w:tc>
              <w:tc>
                <w:tcPr>
                  <w:tcW w:w="520"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16.9</w:t>
                  </w:r>
                </w:p>
              </w:tc>
              <w:tc>
                <w:tcPr>
                  <w:tcW w:w="528"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64.7</w:t>
                  </w:r>
                </w:p>
              </w:tc>
              <w:tc>
                <w:tcPr>
                  <w:tcW w:w="520"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31.2</w:t>
                  </w:r>
                </w:p>
              </w:tc>
              <w:tc>
                <w:tcPr>
                  <w:tcW w:w="538"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62.9</w:t>
                  </w:r>
                </w:p>
              </w:tc>
              <w:tc>
                <w:tcPr>
                  <w:tcW w:w="515"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52.6</w:t>
                  </w:r>
                </w:p>
              </w:tc>
              <w:tc>
                <w:tcPr>
                  <w:tcW w:w="515"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52.5</w:t>
                  </w:r>
                </w:p>
              </w:tc>
              <w:tc>
                <w:tcPr>
                  <w:tcW w:w="515"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52.5</w:t>
                  </w:r>
                </w:p>
              </w:tc>
              <w:tc>
                <w:tcPr>
                  <w:tcW w:w="519"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52.5</w:t>
                  </w:r>
                </w:p>
              </w:tc>
              <w:tc>
                <w:tcPr>
                  <w:tcW w:w="182"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p>
              </w:tc>
              <w:tc>
                <w:tcPr>
                  <w:tcW w:w="26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25.0</w:t>
                  </w:r>
                </w:p>
              </w:tc>
              <w:tc>
                <w:tcPr>
                  <w:tcW w:w="505"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42.6</w:t>
                  </w:r>
                </w:p>
              </w:tc>
              <w:tc>
                <w:tcPr>
                  <w:tcW w:w="537"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42.5</w:t>
                  </w:r>
                </w:p>
              </w:tc>
              <w:tc>
                <w:tcPr>
                  <w:tcW w:w="537"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42.5</w:t>
                  </w:r>
                </w:p>
              </w:tc>
              <w:tc>
                <w:tcPr>
                  <w:tcW w:w="647"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42.5</w:t>
                  </w:r>
                </w:p>
              </w:tc>
              <w:tc>
                <w:tcPr>
                  <w:tcW w:w="21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0" w:hRule="atLeast"/>
                <w:jc w:val="center"/>
              </w:trPr>
              <w:tc>
                <w:tcPr>
                  <w:tcW w:w="165"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6</w:t>
                  </w:r>
                </w:p>
              </w:tc>
              <w:tc>
                <w:tcPr>
                  <w:tcW w:w="222"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p>
              </w:tc>
              <w:tc>
                <w:tcPr>
                  <w:tcW w:w="32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输送泵（4台）,4台（按点声源组预测）</w:t>
                  </w:r>
                </w:p>
              </w:tc>
              <w:tc>
                <w:tcPr>
                  <w:tcW w:w="276"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60（等效后：66.0)</w:t>
                  </w:r>
                </w:p>
              </w:tc>
              <w:tc>
                <w:tcPr>
                  <w:tcW w:w="219"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p>
              </w:tc>
              <w:tc>
                <w:tcPr>
                  <w:tcW w:w="525"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-3.3</w:t>
                  </w:r>
                </w:p>
              </w:tc>
              <w:tc>
                <w:tcPr>
                  <w:tcW w:w="580"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-10.3</w:t>
                  </w:r>
                </w:p>
              </w:tc>
              <w:tc>
                <w:tcPr>
                  <w:tcW w:w="559"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0.5</w:t>
                  </w:r>
                </w:p>
              </w:tc>
              <w:tc>
                <w:tcPr>
                  <w:tcW w:w="520"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26.7</w:t>
                  </w:r>
                </w:p>
              </w:tc>
              <w:tc>
                <w:tcPr>
                  <w:tcW w:w="528"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63.4</w:t>
                  </w:r>
                </w:p>
              </w:tc>
              <w:tc>
                <w:tcPr>
                  <w:tcW w:w="520"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21.4</w:t>
                  </w:r>
                </w:p>
              </w:tc>
              <w:tc>
                <w:tcPr>
                  <w:tcW w:w="538"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64.2</w:t>
                  </w:r>
                </w:p>
              </w:tc>
              <w:tc>
                <w:tcPr>
                  <w:tcW w:w="515"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48.5</w:t>
                  </w:r>
                </w:p>
              </w:tc>
              <w:tc>
                <w:tcPr>
                  <w:tcW w:w="515"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48.5</w:t>
                  </w:r>
                </w:p>
              </w:tc>
              <w:tc>
                <w:tcPr>
                  <w:tcW w:w="515"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48.6</w:t>
                  </w:r>
                </w:p>
              </w:tc>
              <w:tc>
                <w:tcPr>
                  <w:tcW w:w="519"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48.5</w:t>
                  </w:r>
                </w:p>
              </w:tc>
              <w:tc>
                <w:tcPr>
                  <w:tcW w:w="182"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p>
              </w:tc>
              <w:tc>
                <w:tcPr>
                  <w:tcW w:w="26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25.0</w:t>
                  </w:r>
                </w:p>
              </w:tc>
              <w:tc>
                <w:tcPr>
                  <w:tcW w:w="505"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38.5</w:t>
                  </w:r>
                </w:p>
              </w:tc>
              <w:tc>
                <w:tcPr>
                  <w:tcW w:w="537"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38.5</w:t>
                  </w:r>
                </w:p>
              </w:tc>
              <w:tc>
                <w:tcPr>
                  <w:tcW w:w="537"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38.6</w:t>
                  </w:r>
                </w:p>
              </w:tc>
              <w:tc>
                <w:tcPr>
                  <w:tcW w:w="647"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38.5</w:t>
                  </w:r>
                </w:p>
              </w:tc>
              <w:tc>
                <w:tcPr>
                  <w:tcW w:w="21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0" w:hRule="atLeast"/>
                <w:jc w:val="center"/>
              </w:trPr>
              <w:tc>
                <w:tcPr>
                  <w:tcW w:w="165"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7</w:t>
                  </w:r>
                </w:p>
              </w:tc>
              <w:tc>
                <w:tcPr>
                  <w:tcW w:w="222"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p>
              </w:tc>
              <w:tc>
                <w:tcPr>
                  <w:tcW w:w="32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超高温瞬时灭菌机</w:t>
                  </w:r>
                </w:p>
              </w:tc>
              <w:tc>
                <w:tcPr>
                  <w:tcW w:w="276"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65</w:t>
                  </w:r>
                </w:p>
              </w:tc>
              <w:tc>
                <w:tcPr>
                  <w:tcW w:w="219"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p>
              </w:tc>
              <w:tc>
                <w:tcPr>
                  <w:tcW w:w="525"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-14.5</w:t>
                  </w:r>
                </w:p>
              </w:tc>
              <w:tc>
                <w:tcPr>
                  <w:tcW w:w="580"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-9.4</w:t>
                  </w:r>
                </w:p>
              </w:tc>
              <w:tc>
                <w:tcPr>
                  <w:tcW w:w="559"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1.2</w:t>
                  </w:r>
                </w:p>
              </w:tc>
              <w:tc>
                <w:tcPr>
                  <w:tcW w:w="520"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37.9</w:t>
                  </w:r>
                </w:p>
              </w:tc>
              <w:tc>
                <w:tcPr>
                  <w:tcW w:w="528"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64.3</w:t>
                  </w:r>
                </w:p>
              </w:tc>
              <w:tc>
                <w:tcPr>
                  <w:tcW w:w="520"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10.2</w:t>
                  </w:r>
                </w:p>
              </w:tc>
              <w:tc>
                <w:tcPr>
                  <w:tcW w:w="538"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63.3</w:t>
                  </w:r>
                </w:p>
              </w:tc>
              <w:tc>
                <w:tcPr>
                  <w:tcW w:w="515"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47.5</w:t>
                  </w:r>
                </w:p>
              </w:tc>
              <w:tc>
                <w:tcPr>
                  <w:tcW w:w="515"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47.5</w:t>
                  </w:r>
                </w:p>
              </w:tc>
              <w:tc>
                <w:tcPr>
                  <w:tcW w:w="515"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47.7</w:t>
                  </w:r>
                </w:p>
              </w:tc>
              <w:tc>
                <w:tcPr>
                  <w:tcW w:w="519"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47.5</w:t>
                  </w:r>
                </w:p>
              </w:tc>
              <w:tc>
                <w:tcPr>
                  <w:tcW w:w="182"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p>
              </w:tc>
              <w:tc>
                <w:tcPr>
                  <w:tcW w:w="26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25.0</w:t>
                  </w:r>
                </w:p>
              </w:tc>
              <w:tc>
                <w:tcPr>
                  <w:tcW w:w="505"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37.5</w:t>
                  </w:r>
                </w:p>
              </w:tc>
              <w:tc>
                <w:tcPr>
                  <w:tcW w:w="537"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37.5</w:t>
                  </w:r>
                </w:p>
              </w:tc>
              <w:tc>
                <w:tcPr>
                  <w:tcW w:w="537"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37.7</w:t>
                  </w:r>
                </w:p>
              </w:tc>
              <w:tc>
                <w:tcPr>
                  <w:tcW w:w="647"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37.5</w:t>
                  </w:r>
                </w:p>
              </w:tc>
              <w:tc>
                <w:tcPr>
                  <w:tcW w:w="21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0" w:hRule="atLeast"/>
                <w:jc w:val="center"/>
              </w:trPr>
              <w:tc>
                <w:tcPr>
                  <w:tcW w:w="165"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8</w:t>
                  </w:r>
                </w:p>
              </w:tc>
              <w:tc>
                <w:tcPr>
                  <w:tcW w:w="222"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p>
              </w:tc>
              <w:tc>
                <w:tcPr>
                  <w:tcW w:w="32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成品搅拌（2台）,2台（按点声源组预测）</w:t>
                  </w:r>
                </w:p>
              </w:tc>
              <w:tc>
                <w:tcPr>
                  <w:tcW w:w="276"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60（等效后：63.0)</w:t>
                  </w:r>
                </w:p>
              </w:tc>
              <w:tc>
                <w:tcPr>
                  <w:tcW w:w="219"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p>
              </w:tc>
              <w:tc>
                <w:tcPr>
                  <w:tcW w:w="525"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-17.4</w:t>
                  </w:r>
                </w:p>
              </w:tc>
              <w:tc>
                <w:tcPr>
                  <w:tcW w:w="580"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-14.4</w:t>
                  </w:r>
                </w:p>
              </w:tc>
              <w:tc>
                <w:tcPr>
                  <w:tcW w:w="559"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0.8</w:t>
                  </w:r>
                </w:p>
              </w:tc>
              <w:tc>
                <w:tcPr>
                  <w:tcW w:w="520"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40.8</w:t>
                  </w:r>
                </w:p>
              </w:tc>
              <w:tc>
                <w:tcPr>
                  <w:tcW w:w="528"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59.3</w:t>
                  </w:r>
                </w:p>
              </w:tc>
              <w:tc>
                <w:tcPr>
                  <w:tcW w:w="520"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7.3</w:t>
                  </w:r>
                </w:p>
              </w:tc>
              <w:tc>
                <w:tcPr>
                  <w:tcW w:w="538"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68.3</w:t>
                  </w:r>
                </w:p>
              </w:tc>
              <w:tc>
                <w:tcPr>
                  <w:tcW w:w="515"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45.5</w:t>
                  </w:r>
                </w:p>
              </w:tc>
              <w:tc>
                <w:tcPr>
                  <w:tcW w:w="515"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45.5</w:t>
                  </w:r>
                </w:p>
              </w:tc>
              <w:tc>
                <w:tcPr>
                  <w:tcW w:w="515"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45.9</w:t>
                  </w:r>
                </w:p>
              </w:tc>
              <w:tc>
                <w:tcPr>
                  <w:tcW w:w="519"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45.5</w:t>
                  </w:r>
                </w:p>
              </w:tc>
              <w:tc>
                <w:tcPr>
                  <w:tcW w:w="182"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p>
              </w:tc>
              <w:tc>
                <w:tcPr>
                  <w:tcW w:w="26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25.0</w:t>
                  </w:r>
                </w:p>
              </w:tc>
              <w:tc>
                <w:tcPr>
                  <w:tcW w:w="505"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35.5</w:t>
                  </w:r>
                </w:p>
              </w:tc>
              <w:tc>
                <w:tcPr>
                  <w:tcW w:w="537"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35.5</w:t>
                  </w:r>
                </w:p>
              </w:tc>
              <w:tc>
                <w:tcPr>
                  <w:tcW w:w="537"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35.9</w:t>
                  </w:r>
                </w:p>
              </w:tc>
              <w:tc>
                <w:tcPr>
                  <w:tcW w:w="647"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35.5</w:t>
                  </w:r>
                </w:p>
              </w:tc>
              <w:tc>
                <w:tcPr>
                  <w:tcW w:w="21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0" w:hRule="atLeast"/>
                <w:jc w:val="center"/>
              </w:trPr>
              <w:tc>
                <w:tcPr>
                  <w:tcW w:w="165"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9</w:t>
                  </w:r>
                </w:p>
              </w:tc>
              <w:tc>
                <w:tcPr>
                  <w:tcW w:w="222"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p>
              </w:tc>
              <w:tc>
                <w:tcPr>
                  <w:tcW w:w="32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干燥机</w:t>
                  </w:r>
                </w:p>
              </w:tc>
              <w:tc>
                <w:tcPr>
                  <w:tcW w:w="276"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70</w:t>
                  </w:r>
                </w:p>
              </w:tc>
              <w:tc>
                <w:tcPr>
                  <w:tcW w:w="219"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p>
              </w:tc>
              <w:tc>
                <w:tcPr>
                  <w:tcW w:w="525"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-13.6</w:t>
                  </w:r>
                </w:p>
              </w:tc>
              <w:tc>
                <w:tcPr>
                  <w:tcW w:w="580"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-17.9</w:t>
                  </w:r>
                </w:p>
              </w:tc>
              <w:tc>
                <w:tcPr>
                  <w:tcW w:w="559"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1.2</w:t>
                  </w:r>
                </w:p>
              </w:tc>
              <w:tc>
                <w:tcPr>
                  <w:tcW w:w="520"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37.0</w:t>
                  </w:r>
                </w:p>
              </w:tc>
              <w:tc>
                <w:tcPr>
                  <w:tcW w:w="528"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55.8</w:t>
                  </w:r>
                </w:p>
              </w:tc>
              <w:tc>
                <w:tcPr>
                  <w:tcW w:w="520"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11.1</w:t>
                  </w:r>
                </w:p>
              </w:tc>
              <w:tc>
                <w:tcPr>
                  <w:tcW w:w="538"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71.8</w:t>
                  </w:r>
                </w:p>
              </w:tc>
              <w:tc>
                <w:tcPr>
                  <w:tcW w:w="515"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52.5</w:t>
                  </w:r>
                </w:p>
              </w:tc>
              <w:tc>
                <w:tcPr>
                  <w:tcW w:w="515"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52.5</w:t>
                  </w:r>
                </w:p>
              </w:tc>
              <w:tc>
                <w:tcPr>
                  <w:tcW w:w="515"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52.7</w:t>
                  </w:r>
                </w:p>
              </w:tc>
              <w:tc>
                <w:tcPr>
                  <w:tcW w:w="519"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52.5</w:t>
                  </w:r>
                </w:p>
              </w:tc>
              <w:tc>
                <w:tcPr>
                  <w:tcW w:w="182"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p>
              </w:tc>
              <w:tc>
                <w:tcPr>
                  <w:tcW w:w="26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25.0</w:t>
                  </w:r>
                </w:p>
              </w:tc>
              <w:tc>
                <w:tcPr>
                  <w:tcW w:w="505"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42.5</w:t>
                  </w:r>
                </w:p>
              </w:tc>
              <w:tc>
                <w:tcPr>
                  <w:tcW w:w="537"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42.5</w:t>
                  </w:r>
                </w:p>
              </w:tc>
              <w:tc>
                <w:tcPr>
                  <w:tcW w:w="537"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42.7</w:t>
                  </w:r>
                </w:p>
              </w:tc>
              <w:tc>
                <w:tcPr>
                  <w:tcW w:w="647"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42.5</w:t>
                  </w:r>
                </w:p>
              </w:tc>
              <w:tc>
                <w:tcPr>
                  <w:tcW w:w="21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0" w:hRule="atLeast"/>
                <w:jc w:val="center"/>
              </w:trPr>
              <w:tc>
                <w:tcPr>
                  <w:tcW w:w="165"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10</w:t>
                  </w:r>
                </w:p>
              </w:tc>
              <w:tc>
                <w:tcPr>
                  <w:tcW w:w="222"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p>
              </w:tc>
              <w:tc>
                <w:tcPr>
                  <w:tcW w:w="32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空压机</w:t>
                  </w:r>
                </w:p>
              </w:tc>
              <w:tc>
                <w:tcPr>
                  <w:tcW w:w="276"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80</w:t>
                  </w:r>
                </w:p>
              </w:tc>
              <w:tc>
                <w:tcPr>
                  <w:tcW w:w="219"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p>
              </w:tc>
              <w:tc>
                <w:tcPr>
                  <w:tcW w:w="525"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-21.6</w:t>
                  </w:r>
                </w:p>
              </w:tc>
              <w:tc>
                <w:tcPr>
                  <w:tcW w:w="580"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3</w:t>
                  </w:r>
                </w:p>
              </w:tc>
              <w:tc>
                <w:tcPr>
                  <w:tcW w:w="559"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0.5</w:t>
                  </w:r>
                </w:p>
              </w:tc>
              <w:tc>
                <w:tcPr>
                  <w:tcW w:w="520"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45.0</w:t>
                  </w:r>
                </w:p>
              </w:tc>
              <w:tc>
                <w:tcPr>
                  <w:tcW w:w="528"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76.7</w:t>
                  </w:r>
                </w:p>
              </w:tc>
              <w:tc>
                <w:tcPr>
                  <w:tcW w:w="520"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3.1</w:t>
                  </w:r>
                </w:p>
              </w:tc>
              <w:tc>
                <w:tcPr>
                  <w:tcW w:w="538"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50.9</w:t>
                  </w:r>
                </w:p>
              </w:tc>
              <w:tc>
                <w:tcPr>
                  <w:tcW w:w="515"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62.5</w:t>
                  </w:r>
                </w:p>
              </w:tc>
              <w:tc>
                <w:tcPr>
                  <w:tcW w:w="515"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62.5</w:t>
                  </w:r>
                </w:p>
              </w:tc>
              <w:tc>
                <w:tcPr>
                  <w:tcW w:w="515"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64.2</w:t>
                  </w:r>
                </w:p>
              </w:tc>
              <w:tc>
                <w:tcPr>
                  <w:tcW w:w="519"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62.5</w:t>
                  </w:r>
                </w:p>
              </w:tc>
              <w:tc>
                <w:tcPr>
                  <w:tcW w:w="182"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p>
              </w:tc>
              <w:tc>
                <w:tcPr>
                  <w:tcW w:w="26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25.0</w:t>
                  </w:r>
                </w:p>
              </w:tc>
              <w:tc>
                <w:tcPr>
                  <w:tcW w:w="505"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52.5</w:t>
                  </w:r>
                </w:p>
              </w:tc>
              <w:tc>
                <w:tcPr>
                  <w:tcW w:w="537"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52.5</w:t>
                  </w:r>
                </w:p>
              </w:tc>
              <w:tc>
                <w:tcPr>
                  <w:tcW w:w="537"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54.2</w:t>
                  </w:r>
                </w:p>
              </w:tc>
              <w:tc>
                <w:tcPr>
                  <w:tcW w:w="647"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52.5</w:t>
                  </w:r>
                </w:p>
              </w:tc>
              <w:tc>
                <w:tcPr>
                  <w:tcW w:w="21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0" w:hRule="atLeast"/>
                <w:jc w:val="center"/>
              </w:trPr>
              <w:tc>
                <w:tcPr>
                  <w:tcW w:w="165"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11</w:t>
                  </w:r>
                </w:p>
              </w:tc>
              <w:tc>
                <w:tcPr>
                  <w:tcW w:w="222"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p>
              </w:tc>
              <w:tc>
                <w:tcPr>
                  <w:tcW w:w="32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五合一吹灌旋机组</w:t>
                  </w:r>
                </w:p>
              </w:tc>
              <w:tc>
                <w:tcPr>
                  <w:tcW w:w="276"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75</w:t>
                  </w:r>
                </w:p>
              </w:tc>
              <w:tc>
                <w:tcPr>
                  <w:tcW w:w="219"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p>
              </w:tc>
              <w:tc>
                <w:tcPr>
                  <w:tcW w:w="525"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-4.7</w:t>
                  </w:r>
                </w:p>
              </w:tc>
              <w:tc>
                <w:tcPr>
                  <w:tcW w:w="580"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-17.5</w:t>
                  </w:r>
                </w:p>
              </w:tc>
              <w:tc>
                <w:tcPr>
                  <w:tcW w:w="559"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1.2</w:t>
                  </w:r>
                </w:p>
              </w:tc>
              <w:tc>
                <w:tcPr>
                  <w:tcW w:w="520"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28.1</w:t>
                  </w:r>
                </w:p>
              </w:tc>
              <w:tc>
                <w:tcPr>
                  <w:tcW w:w="528"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56.2</w:t>
                  </w:r>
                </w:p>
              </w:tc>
              <w:tc>
                <w:tcPr>
                  <w:tcW w:w="520"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20.0</w:t>
                  </w:r>
                </w:p>
              </w:tc>
              <w:tc>
                <w:tcPr>
                  <w:tcW w:w="538"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71.4</w:t>
                  </w:r>
                </w:p>
              </w:tc>
              <w:tc>
                <w:tcPr>
                  <w:tcW w:w="515"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57.5</w:t>
                  </w:r>
                </w:p>
              </w:tc>
              <w:tc>
                <w:tcPr>
                  <w:tcW w:w="515"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57.5</w:t>
                  </w:r>
                </w:p>
              </w:tc>
              <w:tc>
                <w:tcPr>
                  <w:tcW w:w="515"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57.6</w:t>
                  </w:r>
                </w:p>
              </w:tc>
              <w:tc>
                <w:tcPr>
                  <w:tcW w:w="519"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57.5</w:t>
                  </w:r>
                </w:p>
              </w:tc>
              <w:tc>
                <w:tcPr>
                  <w:tcW w:w="182"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p>
              </w:tc>
              <w:tc>
                <w:tcPr>
                  <w:tcW w:w="26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25.0</w:t>
                  </w:r>
                </w:p>
              </w:tc>
              <w:tc>
                <w:tcPr>
                  <w:tcW w:w="505"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47.5</w:t>
                  </w:r>
                </w:p>
              </w:tc>
              <w:tc>
                <w:tcPr>
                  <w:tcW w:w="537"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47.5</w:t>
                  </w:r>
                </w:p>
              </w:tc>
              <w:tc>
                <w:tcPr>
                  <w:tcW w:w="537"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47.6</w:t>
                  </w:r>
                </w:p>
              </w:tc>
              <w:tc>
                <w:tcPr>
                  <w:tcW w:w="647"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47.5</w:t>
                  </w:r>
                </w:p>
              </w:tc>
              <w:tc>
                <w:tcPr>
                  <w:tcW w:w="21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0" w:hRule="atLeast"/>
                <w:jc w:val="center"/>
              </w:trPr>
              <w:tc>
                <w:tcPr>
                  <w:tcW w:w="165"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12</w:t>
                  </w:r>
                </w:p>
              </w:tc>
              <w:tc>
                <w:tcPr>
                  <w:tcW w:w="222"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p>
              </w:tc>
              <w:tc>
                <w:tcPr>
                  <w:tcW w:w="32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输送减速机</w:t>
                  </w:r>
                </w:p>
              </w:tc>
              <w:tc>
                <w:tcPr>
                  <w:tcW w:w="276"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70</w:t>
                  </w:r>
                </w:p>
              </w:tc>
              <w:tc>
                <w:tcPr>
                  <w:tcW w:w="219"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p>
              </w:tc>
              <w:tc>
                <w:tcPr>
                  <w:tcW w:w="525"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1.6</w:t>
                  </w:r>
                </w:p>
              </w:tc>
              <w:tc>
                <w:tcPr>
                  <w:tcW w:w="580"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-16.6</w:t>
                  </w:r>
                </w:p>
              </w:tc>
              <w:tc>
                <w:tcPr>
                  <w:tcW w:w="559"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1.2</w:t>
                  </w:r>
                </w:p>
              </w:tc>
              <w:tc>
                <w:tcPr>
                  <w:tcW w:w="520"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21.8</w:t>
                  </w:r>
                </w:p>
              </w:tc>
              <w:tc>
                <w:tcPr>
                  <w:tcW w:w="528"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57.1</w:t>
                  </w:r>
                </w:p>
              </w:tc>
              <w:tc>
                <w:tcPr>
                  <w:tcW w:w="520"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26.3</w:t>
                  </w:r>
                </w:p>
              </w:tc>
              <w:tc>
                <w:tcPr>
                  <w:tcW w:w="538"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70.5</w:t>
                  </w:r>
                </w:p>
              </w:tc>
              <w:tc>
                <w:tcPr>
                  <w:tcW w:w="515"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52.6</w:t>
                  </w:r>
                </w:p>
              </w:tc>
              <w:tc>
                <w:tcPr>
                  <w:tcW w:w="515"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52.5</w:t>
                  </w:r>
                </w:p>
              </w:tc>
              <w:tc>
                <w:tcPr>
                  <w:tcW w:w="515"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52.5</w:t>
                  </w:r>
                </w:p>
              </w:tc>
              <w:tc>
                <w:tcPr>
                  <w:tcW w:w="519"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52.5</w:t>
                  </w:r>
                </w:p>
              </w:tc>
              <w:tc>
                <w:tcPr>
                  <w:tcW w:w="182"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p>
              </w:tc>
              <w:tc>
                <w:tcPr>
                  <w:tcW w:w="26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25.0</w:t>
                  </w:r>
                </w:p>
              </w:tc>
              <w:tc>
                <w:tcPr>
                  <w:tcW w:w="505"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42.6</w:t>
                  </w:r>
                </w:p>
              </w:tc>
              <w:tc>
                <w:tcPr>
                  <w:tcW w:w="537"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42.5</w:t>
                  </w:r>
                </w:p>
              </w:tc>
              <w:tc>
                <w:tcPr>
                  <w:tcW w:w="537"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42.5</w:t>
                  </w:r>
                </w:p>
              </w:tc>
              <w:tc>
                <w:tcPr>
                  <w:tcW w:w="647"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42.5</w:t>
                  </w:r>
                </w:p>
              </w:tc>
              <w:tc>
                <w:tcPr>
                  <w:tcW w:w="21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0" w:hRule="atLeast"/>
                <w:jc w:val="center"/>
              </w:trPr>
              <w:tc>
                <w:tcPr>
                  <w:tcW w:w="165"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13</w:t>
                  </w:r>
                </w:p>
              </w:tc>
              <w:tc>
                <w:tcPr>
                  <w:tcW w:w="222"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p>
              </w:tc>
              <w:tc>
                <w:tcPr>
                  <w:tcW w:w="32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喷淋冷却机</w:t>
                  </w:r>
                </w:p>
              </w:tc>
              <w:tc>
                <w:tcPr>
                  <w:tcW w:w="276"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70</w:t>
                  </w:r>
                </w:p>
              </w:tc>
              <w:tc>
                <w:tcPr>
                  <w:tcW w:w="219"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p>
              </w:tc>
              <w:tc>
                <w:tcPr>
                  <w:tcW w:w="525"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7.4</w:t>
                  </w:r>
                </w:p>
              </w:tc>
              <w:tc>
                <w:tcPr>
                  <w:tcW w:w="580"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-16.6</w:t>
                  </w:r>
                </w:p>
              </w:tc>
              <w:tc>
                <w:tcPr>
                  <w:tcW w:w="559"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1.2</w:t>
                  </w:r>
                </w:p>
              </w:tc>
              <w:tc>
                <w:tcPr>
                  <w:tcW w:w="520"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16.0</w:t>
                  </w:r>
                </w:p>
              </w:tc>
              <w:tc>
                <w:tcPr>
                  <w:tcW w:w="528"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57.1</w:t>
                  </w:r>
                </w:p>
              </w:tc>
              <w:tc>
                <w:tcPr>
                  <w:tcW w:w="520"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32.1</w:t>
                  </w:r>
                </w:p>
              </w:tc>
              <w:tc>
                <w:tcPr>
                  <w:tcW w:w="538"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70.5</w:t>
                  </w:r>
                </w:p>
              </w:tc>
              <w:tc>
                <w:tcPr>
                  <w:tcW w:w="515"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52.6</w:t>
                  </w:r>
                </w:p>
              </w:tc>
              <w:tc>
                <w:tcPr>
                  <w:tcW w:w="515"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52.5</w:t>
                  </w:r>
                </w:p>
              </w:tc>
              <w:tc>
                <w:tcPr>
                  <w:tcW w:w="515"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52.5</w:t>
                  </w:r>
                </w:p>
              </w:tc>
              <w:tc>
                <w:tcPr>
                  <w:tcW w:w="519"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52.5</w:t>
                  </w:r>
                </w:p>
              </w:tc>
              <w:tc>
                <w:tcPr>
                  <w:tcW w:w="182"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p>
              </w:tc>
              <w:tc>
                <w:tcPr>
                  <w:tcW w:w="26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25.0</w:t>
                  </w:r>
                </w:p>
              </w:tc>
              <w:tc>
                <w:tcPr>
                  <w:tcW w:w="505"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42.6</w:t>
                  </w:r>
                </w:p>
              </w:tc>
              <w:tc>
                <w:tcPr>
                  <w:tcW w:w="537"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42.5</w:t>
                  </w:r>
                </w:p>
              </w:tc>
              <w:tc>
                <w:tcPr>
                  <w:tcW w:w="537"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42.5</w:t>
                  </w:r>
                </w:p>
              </w:tc>
              <w:tc>
                <w:tcPr>
                  <w:tcW w:w="647"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42.5</w:t>
                  </w:r>
                </w:p>
              </w:tc>
              <w:tc>
                <w:tcPr>
                  <w:tcW w:w="21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0" w:hRule="atLeast"/>
                <w:jc w:val="center"/>
              </w:trPr>
              <w:tc>
                <w:tcPr>
                  <w:tcW w:w="165"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14</w:t>
                  </w:r>
                </w:p>
              </w:tc>
              <w:tc>
                <w:tcPr>
                  <w:tcW w:w="222"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p>
              </w:tc>
              <w:tc>
                <w:tcPr>
                  <w:tcW w:w="32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热风机</w:t>
                  </w:r>
                </w:p>
              </w:tc>
              <w:tc>
                <w:tcPr>
                  <w:tcW w:w="276"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70</w:t>
                  </w:r>
                </w:p>
              </w:tc>
              <w:tc>
                <w:tcPr>
                  <w:tcW w:w="219"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p>
              </w:tc>
              <w:tc>
                <w:tcPr>
                  <w:tcW w:w="525"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10.9</w:t>
                  </w:r>
                </w:p>
              </w:tc>
              <w:tc>
                <w:tcPr>
                  <w:tcW w:w="580"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-16.6</w:t>
                  </w:r>
                </w:p>
              </w:tc>
              <w:tc>
                <w:tcPr>
                  <w:tcW w:w="559"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1.2</w:t>
                  </w:r>
                </w:p>
              </w:tc>
              <w:tc>
                <w:tcPr>
                  <w:tcW w:w="520"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12.5</w:t>
                  </w:r>
                </w:p>
              </w:tc>
              <w:tc>
                <w:tcPr>
                  <w:tcW w:w="528"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57.1</w:t>
                  </w:r>
                </w:p>
              </w:tc>
              <w:tc>
                <w:tcPr>
                  <w:tcW w:w="520"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35.6</w:t>
                  </w:r>
                </w:p>
              </w:tc>
              <w:tc>
                <w:tcPr>
                  <w:tcW w:w="538"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70.5</w:t>
                  </w:r>
                </w:p>
              </w:tc>
              <w:tc>
                <w:tcPr>
                  <w:tcW w:w="515"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52.6</w:t>
                  </w:r>
                </w:p>
              </w:tc>
              <w:tc>
                <w:tcPr>
                  <w:tcW w:w="515"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52.5</w:t>
                  </w:r>
                </w:p>
              </w:tc>
              <w:tc>
                <w:tcPr>
                  <w:tcW w:w="515"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52.5</w:t>
                  </w:r>
                </w:p>
              </w:tc>
              <w:tc>
                <w:tcPr>
                  <w:tcW w:w="519"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52.5</w:t>
                  </w:r>
                </w:p>
              </w:tc>
              <w:tc>
                <w:tcPr>
                  <w:tcW w:w="182"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p>
              </w:tc>
              <w:tc>
                <w:tcPr>
                  <w:tcW w:w="26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25.0</w:t>
                  </w:r>
                </w:p>
              </w:tc>
              <w:tc>
                <w:tcPr>
                  <w:tcW w:w="505"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42.6</w:t>
                  </w:r>
                </w:p>
              </w:tc>
              <w:tc>
                <w:tcPr>
                  <w:tcW w:w="537"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42.5</w:t>
                  </w:r>
                </w:p>
              </w:tc>
              <w:tc>
                <w:tcPr>
                  <w:tcW w:w="537"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42.5</w:t>
                  </w:r>
                </w:p>
              </w:tc>
              <w:tc>
                <w:tcPr>
                  <w:tcW w:w="647"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42.5</w:t>
                  </w:r>
                </w:p>
              </w:tc>
              <w:tc>
                <w:tcPr>
                  <w:tcW w:w="21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0" w:hRule="atLeast"/>
                <w:jc w:val="center"/>
              </w:trPr>
              <w:tc>
                <w:tcPr>
                  <w:tcW w:w="165"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15</w:t>
                  </w:r>
                </w:p>
              </w:tc>
              <w:tc>
                <w:tcPr>
                  <w:tcW w:w="222"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p>
              </w:tc>
              <w:tc>
                <w:tcPr>
                  <w:tcW w:w="32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热风机</w:t>
                  </w:r>
                </w:p>
              </w:tc>
              <w:tc>
                <w:tcPr>
                  <w:tcW w:w="276"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70</w:t>
                  </w:r>
                </w:p>
              </w:tc>
              <w:tc>
                <w:tcPr>
                  <w:tcW w:w="219"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p>
              </w:tc>
              <w:tc>
                <w:tcPr>
                  <w:tcW w:w="525"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15.4</w:t>
                  </w:r>
                </w:p>
              </w:tc>
              <w:tc>
                <w:tcPr>
                  <w:tcW w:w="580"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-17</w:t>
                  </w:r>
                </w:p>
              </w:tc>
              <w:tc>
                <w:tcPr>
                  <w:tcW w:w="559"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1.2</w:t>
                  </w:r>
                </w:p>
              </w:tc>
              <w:tc>
                <w:tcPr>
                  <w:tcW w:w="520"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8.0</w:t>
                  </w:r>
                </w:p>
              </w:tc>
              <w:tc>
                <w:tcPr>
                  <w:tcW w:w="528"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56.7</w:t>
                  </w:r>
                </w:p>
              </w:tc>
              <w:tc>
                <w:tcPr>
                  <w:tcW w:w="520"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40.1</w:t>
                  </w:r>
                </w:p>
              </w:tc>
              <w:tc>
                <w:tcPr>
                  <w:tcW w:w="538"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70.9</w:t>
                  </w:r>
                </w:p>
              </w:tc>
              <w:tc>
                <w:tcPr>
                  <w:tcW w:w="515"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52.8</w:t>
                  </w:r>
                </w:p>
              </w:tc>
              <w:tc>
                <w:tcPr>
                  <w:tcW w:w="515"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52.5</w:t>
                  </w:r>
                </w:p>
              </w:tc>
              <w:tc>
                <w:tcPr>
                  <w:tcW w:w="515"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52.5</w:t>
                  </w:r>
                </w:p>
              </w:tc>
              <w:tc>
                <w:tcPr>
                  <w:tcW w:w="519"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52.5</w:t>
                  </w:r>
                </w:p>
              </w:tc>
              <w:tc>
                <w:tcPr>
                  <w:tcW w:w="182"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p>
              </w:tc>
              <w:tc>
                <w:tcPr>
                  <w:tcW w:w="26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25.0</w:t>
                  </w:r>
                </w:p>
              </w:tc>
              <w:tc>
                <w:tcPr>
                  <w:tcW w:w="505"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42.8</w:t>
                  </w:r>
                </w:p>
              </w:tc>
              <w:tc>
                <w:tcPr>
                  <w:tcW w:w="537"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42.5</w:t>
                  </w:r>
                </w:p>
              </w:tc>
              <w:tc>
                <w:tcPr>
                  <w:tcW w:w="537"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42.5</w:t>
                  </w:r>
                </w:p>
              </w:tc>
              <w:tc>
                <w:tcPr>
                  <w:tcW w:w="647"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42.5</w:t>
                  </w:r>
                </w:p>
              </w:tc>
              <w:tc>
                <w:tcPr>
                  <w:tcW w:w="21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0" w:hRule="atLeast"/>
                <w:jc w:val="center"/>
              </w:trPr>
              <w:tc>
                <w:tcPr>
                  <w:tcW w:w="165"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16</w:t>
                  </w:r>
                </w:p>
              </w:tc>
              <w:tc>
                <w:tcPr>
                  <w:tcW w:w="222"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p>
              </w:tc>
              <w:tc>
                <w:tcPr>
                  <w:tcW w:w="32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贴标机</w:t>
                  </w:r>
                </w:p>
              </w:tc>
              <w:tc>
                <w:tcPr>
                  <w:tcW w:w="276"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65</w:t>
                  </w:r>
                </w:p>
              </w:tc>
              <w:tc>
                <w:tcPr>
                  <w:tcW w:w="219"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p>
              </w:tc>
              <w:tc>
                <w:tcPr>
                  <w:tcW w:w="525"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21.2</w:t>
                  </w:r>
                </w:p>
              </w:tc>
              <w:tc>
                <w:tcPr>
                  <w:tcW w:w="580"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-17.9</w:t>
                  </w:r>
                </w:p>
              </w:tc>
              <w:tc>
                <w:tcPr>
                  <w:tcW w:w="559"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1.2</w:t>
                  </w:r>
                </w:p>
              </w:tc>
              <w:tc>
                <w:tcPr>
                  <w:tcW w:w="520"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2.2</w:t>
                  </w:r>
                </w:p>
              </w:tc>
              <w:tc>
                <w:tcPr>
                  <w:tcW w:w="528"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55.8</w:t>
                  </w:r>
                </w:p>
              </w:tc>
              <w:tc>
                <w:tcPr>
                  <w:tcW w:w="520"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45.9</w:t>
                  </w:r>
                </w:p>
              </w:tc>
              <w:tc>
                <w:tcPr>
                  <w:tcW w:w="538"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71.8</w:t>
                  </w:r>
                </w:p>
              </w:tc>
              <w:tc>
                <w:tcPr>
                  <w:tcW w:w="515"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50.4</w:t>
                  </w:r>
                </w:p>
              </w:tc>
              <w:tc>
                <w:tcPr>
                  <w:tcW w:w="515"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47.5</w:t>
                  </w:r>
                </w:p>
              </w:tc>
              <w:tc>
                <w:tcPr>
                  <w:tcW w:w="515"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47.5</w:t>
                  </w:r>
                </w:p>
              </w:tc>
              <w:tc>
                <w:tcPr>
                  <w:tcW w:w="519"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47.5</w:t>
                  </w:r>
                </w:p>
              </w:tc>
              <w:tc>
                <w:tcPr>
                  <w:tcW w:w="182"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p>
              </w:tc>
              <w:tc>
                <w:tcPr>
                  <w:tcW w:w="26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25.0</w:t>
                  </w:r>
                </w:p>
              </w:tc>
              <w:tc>
                <w:tcPr>
                  <w:tcW w:w="505"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40.4</w:t>
                  </w:r>
                </w:p>
              </w:tc>
              <w:tc>
                <w:tcPr>
                  <w:tcW w:w="537"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37.5</w:t>
                  </w:r>
                </w:p>
              </w:tc>
              <w:tc>
                <w:tcPr>
                  <w:tcW w:w="537"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37.5</w:t>
                  </w:r>
                </w:p>
              </w:tc>
              <w:tc>
                <w:tcPr>
                  <w:tcW w:w="647"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37.5</w:t>
                  </w:r>
                </w:p>
              </w:tc>
              <w:tc>
                <w:tcPr>
                  <w:tcW w:w="21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0" w:hRule="atLeast"/>
                <w:jc w:val="center"/>
              </w:trPr>
              <w:tc>
                <w:tcPr>
                  <w:tcW w:w="165"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17</w:t>
                  </w:r>
                </w:p>
              </w:tc>
              <w:tc>
                <w:tcPr>
                  <w:tcW w:w="222"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p>
              </w:tc>
              <w:tc>
                <w:tcPr>
                  <w:tcW w:w="32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套标缩标机</w:t>
                  </w:r>
                </w:p>
              </w:tc>
              <w:tc>
                <w:tcPr>
                  <w:tcW w:w="276"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65</w:t>
                  </w:r>
                </w:p>
              </w:tc>
              <w:tc>
                <w:tcPr>
                  <w:tcW w:w="219"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p>
              </w:tc>
              <w:tc>
                <w:tcPr>
                  <w:tcW w:w="525"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19</w:t>
                  </w:r>
                </w:p>
              </w:tc>
              <w:tc>
                <w:tcPr>
                  <w:tcW w:w="580"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-23.7</w:t>
                  </w:r>
                </w:p>
              </w:tc>
              <w:tc>
                <w:tcPr>
                  <w:tcW w:w="559"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1.2</w:t>
                  </w:r>
                </w:p>
              </w:tc>
              <w:tc>
                <w:tcPr>
                  <w:tcW w:w="520"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4.4</w:t>
                  </w:r>
                </w:p>
              </w:tc>
              <w:tc>
                <w:tcPr>
                  <w:tcW w:w="528"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50.0</w:t>
                  </w:r>
                </w:p>
              </w:tc>
              <w:tc>
                <w:tcPr>
                  <w:tcW w:w="520"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43.7</w:t>
                  </w:r>
                </w:p>
              </w:tc>
              <w:tc>
                <w:tcPr>
                  <w:tcW w:w="538"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77.6</w:t>
                  </w:r>
                </w:p>
              </w:tc>
              <w:tc>
                <w:tcPr>
                  <w:tcW w:w="515"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48.4</w:t>
                  </w:r>
                </w:p>
              </w:tc>
              <w:tc>
                <w:tcPr>
                  <w:tcW w:w="515"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47.5</w:t>
                  </w:r>
                </w:p>
              </w:tc>
              <w:tc>
                <w:tcPr>
                  <w:tcW w:w="515"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47.5</w:t>
                  </w:r>
                </w:p>
              </w:tc>
              <w:tc>
                <w:tcPr>
                  <w:tcW w:w="519"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47.5</w:t>
                  </w:r>
                </w:p>
              </w:tc>
              <w:tc>
                <w:tcPr>
                  <w:tcW w:w="182"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p>
              </w:tc>
              <w:tc>
                <w:tcPr>
                  <w:tcW w:w="695"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25.0</w:t>
                  </w:r>
                </w:p>
              </w:tc>
              <w:tc>
                <w:tcPr>
                  <w:tcW w:w="505"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38.4</w:t>
                  </w:r>
                </w:p>
              </w:tc>
              <w:tc>
                <w:tcPr>
                  <w:tcW w:w="537"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37.5</w:t>
                  </w:r>
                </w:p>
              </w:tc>
              <w:tc>
                <w:tcPr>
                  <w:tcW w:w="537"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37.5</w:t>
                  </w:r>
                </w:p>
              </w:tc>
              <w:tc>
                <w:tcPr>
                  <w:tcW w:w="647"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37.5</w:t>
                  </w:r>
                </w:p>
              </w:tc>
              <w:tc>
                <w:tcPr>
                  <w:tcW w:w="21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0" w:hRule="atLeast"/>
                <w:jc w:val="center"/>
              </w:trPr>
              <w:tc>
                <w:tcPr>
                  <w:tcW w:w="165"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18</w:t>
                  </w:r>
                </w:p>
              </w:tc>
              <w:tc>
                <w:tcPr>
                  <w:tcW w:w="222"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p>
              </w:tc>
              <w:tc>
                <w:tcPr>
                  <w:tcW w:w="32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热力收缩膜包机</w:t>
                  </w:r>
                </w:p>
              </w:tc>
              <w:tc>
                <w:tcPr>
                  <w:tcW w:w="276"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65</w:t>
                  </w:r>
                </w:p>
              </w:tc>
              <w:tc>
                <w:tcPr>
                  <w:tcW w:w="219"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p>
              </w:tc>
              <w:tc>
                <w:tcPr>
                  <w:tcW w:w="525"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12.7</w:t>
                  </w:r>
                </w:p>
              </w:tc>
              <w:tc>
                <w:tcPr>
                  <w:tcW w:w="580"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-19.3</w:t>
                  </w:r>
                </w:p>
              </w:tc>
              <w:tc>
                <w:tcPr>
                  <w:tcW w:w="559"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1.0</w:t>
                  </w:r>
                </w:p>
              </w:tc>
              <w:tc>
                <w:tcPr>
                  <w:tcW w:w="520"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10.7</w:t>
                  </w:r>
                </w:p>
              </w:tc>
              <w:tc>
                <w:tcPr>
                  <w:tcW w:w="528"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54.4</w:t>
                  </w:r>
                </w:p>
              </w:tc>
              <w:tc>
                <w:tcPr>
                  <w:tcW w:w="520"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37.4</w:t>
                  </w:r>
                </w:p>
              </w:tc>
              <w:tc>
                <w:tcPr>
                  <w:tcW w:w="538"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73.2</w:t>
                  </w:r>
                </w:p>
              </w:tc>
              <w:tc>
                <w:tcPr>
                  <w:tcW w:w="515"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47.7</w:t>
                  </w:r>
                </w:p>
              </w:tc>
              <w:tc>
                <w:tcPr>
                  <w:tcW w:w="515"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47.5</w:t>
                  </w:r>
                </w:p>
              </w:tc>
              <w:tc>
                <w:tcPr>
                  <w:tcW w:w="515"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47.5</w:t>
                  </w:r>
                </w:p>
              </w:tc>
              <w:tc>
                <w:tcPr>
                  <w:tcW w:w="519"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47.5</w:t>
                  </w:r>
                </w:p>
              </w:tc>
              <w:tc>
                <w:tcPr>
                  <w:tcW w:w="182"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p>
              </w:tc>
              <w:tc>
                <w:tcPr>
                  <w:tcW w:w="695"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25.0</w:t>
                  </w:r>
                </w:p>
              </w:tc>
              <w:tc>
                <w:tcPr>
                  <w:tcW w:w="505"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37.7</w:t>
                  </w:r>
                </w:p>
              </w:tc>
              <w:tc>
                <w:tcPr>
                  <w:tcW w:w="537"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37.5</w:t>
                  </w:r>
                </w:p>
              </w:tc>
              <w:tc>
                <w:tcPr>
                  <w:tcW w:w="537"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37.5</w:t>
                  </w:r>
                </w:p>
              </w:tc>
              <w:tc>
                <w:tcPr>
                  <w:tcW w:w="647"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37.5</w:t>
                  </w:r>
                </w:p>
              </w:tc>
              <w:tc>
                <w:tcPr>
                  <w:tcW w:w="21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0" w:hRule="atLeast"/>
                <w:jc w:val="center"/>
              </w:trPr>
              <w:tc>
                <w:tcPr>
                  <w:tcW w:w="165"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19</w:t>
                  </w:r>
                </w:p>
              </w:tc>
              <w:tc>
                <w:tcPr>
                  <w:tcW w:w="222"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p>
              </w:tc>
              <w:tc>
                <w:tcPr>
                  <w:tcW w:w="32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自动装箱机</w:t>
                  </w:r>
                </w:p>
              </w:tc>
              <w:tc>
                <w:tcPr>
                  <w:tcW w:w="276"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65</w:t>
                  </w:r>
                </w:p>
              </w:tc>
              <w:tc>
                <w:tcPr>
                  <w:tcW w:w="219"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p>
              </w:tc>
              <w:tc>
                <w:tcPr>
                  <w:tcW w:w="525"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8.3</w:t>
                  </w:r>
                </w:p>
              </w:tc>
              <w:tc>
                <w:tcPr>
                  <w:tcW w:w="580"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-21.9</w:t>
                  </w:r>
                </w:p>
              </w:tc>
              <w:tc>
                <w:tcPr>
                  <w:tcW w:w="559"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1.2</w:t>
                  </w:r>
                </w:p>
              </w:tc>
              <w:tc>
                <w:tcPr>
                  <w:tcW w:w="520"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15.1</w:t>
                  </w:r>
                </w:p>
              </w:tc>
              <w:tc>
                <w:tcPr>
                  <w:tcW w:w="528"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51.8</w:t>
                  </w:r>
                </w:p>
              </w:tc>
              <w:tc>
                <w:tcPr>
                  <w:tcW w:w="520"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33.0</w:t>
                  </w:r>
                </w:p>
              </w:tc>
              <w:tc>
                <w:tcPr>
                  <w:tcW w:w="538"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75.8</w:t>
                  </w:r>
                </w:p>
              </w:tc>
              <w:tc>
                <w:tcPr>
                  <w:tcW w:w="515"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47.6</w:t>
                  </w:r>
                </w:p>
              </w:tc>
              <w:tc>
                <w:tcPr>
                  <w:tcW w:w="515"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47.5</w:t>
                  </w:r>
                </w:p>
              </w:tc>
              <w:tc>
                <w:tcPr>
                  <w:tcW w:w="515"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47.5</w:t>
                  </w:r>
                </w:p>
              </w:tc>
              <w:tc>
                <w:tcPr>
                  <w:tcW w:w="519"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47.5</w:t>
                  </w:r>
                </w:p>
              </w:tc>
              <w:tc>
                <w:tcPr>
                  <w:tcW w:w="182"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p>
              </w:tc>
              <w:tc>
                <w:tcPr>
                  <w:tcW w:w="695"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25.0</w:t>
                  </w:r>
                </w:p>
              </w:tc>
              <w:tc>
                <w:tcPr>
                  <w:tcW w:w="505"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37.6</w:t>
                  </w:r>
                </w:p>
              </w:tc>
              <w:tc>
                <w:tcPr>
                  <w:tcW w:w="537"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37.5</w:t>
                  </w:r>
                </w:p>
              </w:tc>
              <w:tc>
                <w:tcPr>
                  <w:tcW w:w="537"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37.5</w:t>
                  </w:r>
                </w:p>
              </w:tc>
              <w:tc>
                <w:tcPr>
                  <w:tcW w:w="647"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37.5</w:t>
                  </w:r>
                </w:p>
              </w:tc>
              <w:tc>
                <w:tcPr>
                  <w:tcW w:w="21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0" w:hRule="atLeast"/>
                <w:jc w:val="center"/>
              </w:trPr>
              <w:tc>
                <w:tcPr>
                  <w:tcW w:w="165"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20</w:t>
                  </w:r>
                </w:p>
              </w:tc>
              <w:tc>
                <w:tcPr>
                  <w:tcW w:w="222"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p>
              </w:tc>
              <w:tc>
                <w:tcPr>
                  <w:tcW w:w="32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龙门码垛机</w:t>
                  </w:r>
                </w:p>
              </w:tc>
              <w:tc>
                <w:tcPr>
                  <w:tcW w:w="276"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65</w:t>
                  </w:r>
                </w:p>
              </w:tc>
              <w:tc>
                <w:tcPr>
                  <w:tcW w:w="219"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p>
              </w:tc>
              <w:tc>
                <w:tcPr>
                  <w:tcW w:w="525"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4.2</w:t>
                  </w:r>
                </w:p>
              </w:tc>
              <w:tc>
                <w:tcPr>
                  <w:tcW w:w="580"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-23.3</w:t>
                  </w:r>
                </w:p>
              </w:tc>
              <w:tc>
                <w:tcPr>
                  <w:tcW w:w="559"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1.2</w:t>
                  </w:r>
                </w:p>
              </w:tc>
              <w:tc>
                <w:tcPr>
                  <w:tcW w:w="520"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19.2</w:t>
                  </w:r>
                </w:p>
              </w:tc>
              <w:tc>
                <w:tcPr>
                  <w:tcW w:w="528"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50.4</w:t>
                  </w:r>
                </w:p>
              </w:tc>
              <w:tc>
                <w:tcPr>
                  <w:tcW w:w="520"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28.9</w:t>
                  </w:r>
                </w:p>
              </w:tc>
              <w:tc>
                <w:tcPr>
                  <w:tcW w:w="538"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77.2</w:t>
                  </w:r>
                </w:p>
              </w:tc>
              <w:tc>
                <w:tcPr>
                  <w:tcW w:w="515"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47.6</w:t>
                  </w:r>
                </w:p>
              </w:tc>
              <w:tc>
                <w:tcPr>
                  <w:tcW w:w="515"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47.5</w:t>
                  </w:r>
                </w:p>
              </w:tc>
              <w:tc>
                <w:tcPr>
                  <w:tcW w:w="515"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47.5</w:t>
                  </w:r>
                </w:p>
              </w:tc>
              <w:tc>
                <w:tcPr>
                  <w:tcW w:w="519"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47.5</w:t>
                  </w:r>
                </w:p>
              </w:tc>
              <w:tc>
                <w:tcPr>
                  <w:tcW w:w="182"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p>
              </w:tc>
              <w:tc>
                <w:tcPr>
                  <w:tcW w:w="695"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25.0</w:t>
                  </w:r>
                </w:p>
              </w:tc>
              <w:tc>
                <w:tcPr>
                  <w:tcW w:w="505"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37.6</w:t>
                  </w:r>
                </w:p>
              </w:tc>
              <w:tc>
                <w:tcPr>
                  <w:tcW w:w="537"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37.5</w:t>
                  </w:r>
                </w:p>
              </w:tc>
              <w:tc>
                <w:tcPr>
                  <w:tcW w:w="537"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37.5</w:t>
                  </w:r>
                </w:p>
              </w:tc>
              <w:tc>
                <w:tcPr>
                  <w:tcW w:w="647" w:type="dxa"/>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rPr>
                    <w:t>37.5</w:t>
                  </w:r>
                </w:p>
              </w:tc>
              <w:tc>
                <w:tcPr>
                  <w:tcW w:w="21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0" w:hRule="atLeast"/>
                <w:jc w:val="center"/>
              </w:trPr>
              <w:tc>
                <w:tcPr>
                  <w:tcW w:w="165"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21</w:t>
                  </w:r>
                </w:p>
              </w:tc>
              <w:tc>
                <w:tcPr>
                  <w:tcW w:w="222"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p>
              </w:tc>
              <w:tc>
                <w:tcPr>
                  <w:tcW w:w="32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果汁离心泵,6台（按点声源组预测）</w:t>
                  </w:r>
                </w:p>
              </w:tc>
              <w:tc>
                <w:tcPr>
                  <w:tcW w:w="276"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70（等效后：77.8)</w:t>
                  </w:r>
                </w:p>
              </w:tc>
              <w:tc>
                <w:tcPr>
                  <w:tcW w:w="219"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p>
              </w:tc>
              <w:tc>
                <w:tcPr>
                  <w:tcW w:w="202"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7.4</w:t>
                  </w:r>
                </w:p>
              </w:tc>
              <w:tc>
                <w:tcPr>
                  <w:tcW w:w="224"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31.9</w:t>
                  </w:r>
                </w:p>
              </w:tc>
              <w:tc>
                <w:tcPr>
                  <w:tcW w:w="216"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1.2</w:t>
                  </w:r>
                </w:p>
              </w:tc>
              <w:tc>
                <w:tcPr>
                  <w:tcW w:w="201"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18.1</w:t>
                  </w:r>
                </w:p>
              </w:tc>
              <w:tc>
                <w:tcPr>
                  <w:tcW w:w="204"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111.0</w:t>
                  </w:r>
                </w:p>
              </w:tc>
              <w:tc>
                <w:tcPr>
                  <w:tcW w:w="201"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19.4</w:t>
                  </w:r>
                </w:p>
              </w:tc>
              <w:tc>
                <w:tcPr>
                  <w:tcW w:w="20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12.5</w:t>
                  </w:r>
                </w:p>
              </w:tc>
              <w:tc>
                <w:tcPr>
                  <w:tcW w:w="19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60.0</w:t>
                  </w:r>
                </w:p>
              </w:tc>
              <w:tc>
                <w:tcPr>
                  <w:tcW w:w="19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59.9</w:t>
                  </w:r>
                </w:p>
              </w:tc>
              <w:tc>
                <w:tcPr>
                  <w:tcW w:w="19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60.0</w:t>
                  </w:r>
                </w:p>
              </w:tc>
              <w:tc>
                <w:tcPr>
                  <w:tcW w:w="200"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60.0</w:t>
                  </w:r>
                </w:p>
              </w:tc>
              <w:tc>
                <w:tcPr>
                  <w:tcW w:w="182"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p>
              </w:tc>
              <w:tc>
                <w:tcPr>
                  <w:tcW w:w="26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eastAsia="宋体" w:cs="Times New Roman"/>
                      <w:color w:val="auto"/>
                      <w:sz w:val="21"/>
                      <w:szCs w:val="21"/>
                      <w:highlight w:val="none"/>
                      <w:lang w:val="en-US" w:eastAsia="zh-CN"/>
                    </w:rPr>
                    <w:t>25.0</w:t>
                  </w:r>
                </w:p>
              </w:tc>
              <w:tc>
                <w:tcPr>
                  <w:tcW w:w="195"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50.0</w:t>
                  </w:r>
                </w:p>
              </w:tc>
              <w:tc>
                <w:tcPr>
                  <w:tcW w:w="207"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49.9</w:t>
                  </w:r>
                </w:p>
              </w:tc>
              <w:tc>
                <w:tcPr>
                  <w:tcW w:w="207"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50.0</w:t>
                  </w:r>
                </w:p>
              </w:tc>
              <w:tc>
                <w:tcPr>
                  <w:tcW w:w="250"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50.0</w:t>
                  </w:r>
                </w:p>
              </w:tc>
              <w:tc>
                <w:tcPr>
                  <w:tcW w:w="21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0" w:hRule="atLeast"/>
                <w:jc w:val="center"/>
              </w:trPr>
              <w:tc>
                <w:tcPr>
                  <w:tcW w:w="165"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22</w:t>
                  </w:r>
                </w:p>
              </w:tc>
              <w:tc>
                <w:tcPr>
                  <w:tcW w:w="222"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p>
              </w:tc>
              <w:tc>
                <w:tcPr>
                  <w:tcW w:w="32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五合一吹灌旋机组</w:t>
                  </w:r>
                </w:p>
              </w:tc>
              <w:tc>
                <w:tcPr>
                  <w:tcW w:w="276"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75</w:t>
                  </w:r>
                </w:p>
              </w:tc>
              <w:tc>
                <w:tcPr>
                  <w:tcW w:w="219"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p>
              </w:tc>
              <w:tc>
                <w:tcPr>
                  <w:tcW w:w="202"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5.8</w:t>
                  </w:r>
                </w:p>
              </w:tc>
              <w:tc>
                <w:tcPr>
                  <w:tcW w:w="224"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19.5</w:t>
                  </w:r>
                </w:p>
              </w:tc>
              <w:tc>
                <w:tcPr>
                  <w:tcW w:w="216"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1.2</w:t>
                  </w:r>
                </w:p>
              </w:tc>
              <w:tc>
                <w:tcPr>
                  <w:tcW w:w="201"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19.7</w:t>
                  </w:r>
                </w:p>
              </w:tc>
              <w:tc>
                <w:tcPr>
                  <w:tcW w:w="204"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98.6</w:t>
                  </w:r>
                </w:p>
              </w:tc>
              <w:tc>
                <w:tcPr>
                  <w:tcW w:w="201"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17.8</w:t>
                  </w:r>
                </w:p>
              </w:tc>
              <w:tc>
                <w:tcPr>
                  <w:tcW w:w="20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24.9</w:t>
                  </w:r>
                </w:p>
              </w:tc>
              <w:tc>
                <w:tcPr>
                  <w:tcW w:w="19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57.2</w:t>
                  </w:r>
                </w:p>
              </w:tc>
              <w:tc>
                <w:tcPr>
                  <w:tcW w:w="19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57.1</w:t>
                  </w:r>
                </w:p>
              </w:tc>
              <w:tc>
                <w:tcPr>
                  <w:tcW w:w="19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57.2</w:t>
                  </w:r>
                </w:p>
              </w:tc>
              <w:tc>
                <w:tcPr>
                  <w:tcW w:w="200"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57.1</w:t>
                  </w:r>
                </w:p>
              </w:tc>
              <w:tc>
                <w:tcPr>
                  <w:tcW w:w="182"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p>
              </w:tc>
              <w:tc>
                <w:tcPr>
                  <w:tcW w:w="26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25.0</w:t>
                  </w:r>
                </w:p>
              </w:tc>
              <w:tc>
                <w:tcPr>
                  <w:tcW w:w="195"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47.2</w:t>
                  </w:r>
                </w:p>
              </w:tc>
              <w:tc>
                <w:tcPr>
                  <w:tcW w:w="207"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47.1</w:t>
                  </w:r>
                </w:p>
              </w:tc>
              <w:tc>
                <w:tcPr>
                  <w:tcW w:w="207"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47.2</w:t>
                  </w:r>
                </w:p>
              </w:tc>
              <w:tc>
                <w:tcPr>
                  <w:tcW w:w="250"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47.1</w:t>
                  </w:r>
                </w:p>
              </w:tc>
              <w:tc>
                <w:tcPr>
                  <w:tcW w:w="21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0" w:hRule="atLeast"/>
                <w:jc w:val="center"/>
              </w:trPr>
              <w:tc>
                <w:tcPr>
                  <w:tcW w:w="165"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23</w:t>
                  </w:r>
                </w:p>
              </w:tc>
              <w:tc>
                <w:tcPr>
                  <w:tcW w:w="222"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p>
              </w:tc>
              <w:tc>
                <w:tcPr>
                  <w:tcW w:w="32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水处理设备</w:t>
                  </w:r>
                </w:p>
              </w:tc>
              <w:tc>
                <w:tcPr>
                  <w:tcW w:w="276"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65</w:t>
                  </w:r>
                </w:p>
              </w:tc>
              <w:tc>
                <w:tcPr>
                  <w:tcW w:w="219"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p>
              </w:tc>
              <w:tc>
                <w:tcPr>
                  <w:tcW w:w="202"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-3.1</w:t>
                  </w:r>
                </w:p>
              </w:tc>
              <w:tc>
                <w:tcPr>
                  <w:tcW w:w="224"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19.5</w:t>
                  </w:r>
                </w:p>
              </w:tc>
              <w:tc>
                <w:tcPr>
                  <w:tcW w:w="216"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1.2</w:t>
                  </w:r>
                </w:p>
              </w:tc>
              <w:tc>
                <w:tcPr>
                  <w:tcW w:w="201"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28.6</w:t>
                  </w:r>
                </w:p>
              </w:tc>
              <w:tc>
                <w:tcPr>
                  <w:tcW w:w="204"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98.6</w:t>
                  </w:r>
                </w:p>
              </w:tc>
              <w:tc>
                <w:tcPr>
                  <w:tcW w:w="201"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8.9</w:t>
                  </w:r>
                </w:p>
              </w:tc>
              <w:tc>
                <w:tcPr>
                  <w:tcW w:w="20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24.9</w:t>
                  </w:r>
                </w:p>
              </w:tc>
              <w:tc>
                <w:tcPr>
                  <w:tcW w:w="19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47.1</w:t>
                  </w:r>
                </w:p>
              </w:tc>
              <w:tc>
                <w:tcPr>
                  <w:tcW w:w="19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47.1</w:t>
                  </w:r>
                </w:p>
              </w:tc>
              <w:tc>
                <w:tcPr>
                  <w:tcW w:w="19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47.4</w:t>
                  </w:r>
                </w:p>
              </w:tc>
              <w:tc>
                <w:tcPr>
                  <w:tcW w:w="200"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47.1</w:t>
                  </w:r>
                </w:p>
              </w:tc>
              <w:tc>
                <w:tcPr>
                  <w:tcW w:w="182"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p>
              </w:tc>
              <w:tc>
                <w:tcPr>
                  <w:tcW w:w="26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25.0</w:t>
                  </w:r>
                </w:p>
              </w:tc>
              <w:tc>
                <w:tcPr>
                  <w:tcW w:w="195"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37.1</w:t>
                  </w:r>
                </w:p>
              </w:tc>
              <w:tc>
                <w:tcPr>
                  <w:tcW w:w="207"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37.1</w:t>
                  </w:r>
                </w:p>
              </w:tc>
              <w:tc>
                <w:tcPr>
                  <w:tcW w:w="207"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37.4</w:t>
                  </w:r>
                </w:p>
              </w:tc>
              <w:tc>
                <w:tcPr>
                  <w:tcW w:w="250"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37.1</w:t>
                  </w:r>
                </w:p>
              </w:tc>
              <w:tc>
                <w:tcPr>
                  <w:tcW w:w="21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0" w:hRule="atLeast"/>
                <w:jc w:val="center"/>
              </w:trPr>
              <w:tc>
                <w:tcPr>
                  <w:tcW w:w="165"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24</w:t>
                  </w:r>
                </w:p>
              </w:tc>
              <w:tc>
                <w:tcPr>
                  <w:tcW w:w="222"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p>
              </w:tc>
              <w:tc>
                <w:tcPr>
                  <w:tcW w:w="32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热风机,2台（按点声源组预测）</w:t>
                  </w:r>
                </w:p>
              </w:tc>
              <w:tc>
                <w:tcPr>
                  <w:tcW w:w="276"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75（等效后：78.0)</w:t>
                  </w:r>
                </w:p>
              </w:tc>
              <w:tc>
                <w:tcPr>
                  <w:tcW w:w="219"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p>
              </w:tc>
              <w:tc>
                <w:tcPr>
                  <w:tcW w:w="202"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0.3</w:t>
                  </w:r>
                </w:p>
              </w:tc>
              <w:tc>
                <w:tcPr>
                  <w:tcW w:w="224"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11.4</w:t>
                  </w:r>
                </w:p>
              </w:tc>
              <w:tc>
                <w:tcPr>
                  <w:tcW w:w="216"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1.2</w:t>
                  </w:r>
                </w:p>
              </w:tc>
              <w:tc>
                <w:tcPr>
                  <w:tcW w:w="201"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25.2</w:t>
                  </w:r>
                </w:p>
              </w:tc>
              <w:tc>
                <w:tcPr>
                  <w:tcW w:w="204"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90.5</w:t>
                  </w:r>
                </w:p>
              </w:tc>
              <w:tc>
                <w:tcPr>
                  <w:tcW w:w="201"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12.3</w:t>
                  </w:r>
                </w:p>
              </w:tc>
              <w:tc>
                <w:tcPr>
                  <w:tcW w:w="20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33.0</w:t>
                  </w:r>
                </w:p>
              </w:tc>
              <w:tc>
                <w:tcPr>
                  <w:tcW w:w="19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60.1</w:t>
                  </w:r>
                </w:p>
              </w:tc>
              <w:tc>
                <w:tcPr>
                  <w:tcW w:w="19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60.1</w:t>
                  </w:r>
                </w:p>
              </w:tc>
              <w:tc>
                <w:tcPr>
                  <w:tcW w:w="19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60.2</w:t>
                  </w:r>
                </w:p>
              </w:tc>
              <w:tc>
                <w:tcPr>
                  <w:tcW w:w="200"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60.1</w:t>
                  </w:r>
                </w:p>
              </w:tc>
              <w:tc>
                <w:tcPr>
                  <w:tcW w:w="182"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p>
              </w:tc>
              <w:tc>
                <w:tcPr>
                  <w:tcW w:w="26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25.0</w:t>
                  </w:r>
                </w:p>
              </w:tc>
              <w:tc>
                <w:tcPr>
                  <w:tcW w:w="195"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50.1</w:t>
                  </w:r>
                </w:p>
              </w:tc>
              <w:tc>
                <w:tcPr>
                  <w:tcW w:w="207"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50.1</w:t>
                  </w:r>
                </w:p>
              </w:tc>
              <w:tc>
                <w:tcPr>
                  <w:tcW w:w="207"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50.2</w:t>
                  </w:r>
                </w:p>
              </w:tc>
              <w:tc>
                <w:tcPr>
                  <w:tcW w:w="250"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50.1</w:t>
                  </w:r>
                </w:p>
              </w:tc>
              <w:tc>
                <w:tcPr>
                  <w:tcW w:w="21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0" w:hRule="atLeast"/>
                <w:jc w:val="center"/>
              </w:trPr>
              <w:tc>
                <w:tcPr>
                  <w:tcW w:w="165"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25</w:t>
                  </w:r>
                </w:p>
              </w:tc>
              <w:tc>
                <w:tcPr>
                  <w:tcW w:w="222"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p>
              </w:tc>
              <w:tc>
                <w:tcPr>
                  <w:tcW w:w="32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激光打码机</w:t>
                  </w:r>
                </w:p>
              </w:tc>
              <w:tc>
                <w:tcPr>
                  <w:tcW w:w="276"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60d</w:t>
                  </w:r>
                </w:p>
              </w:tc>
              <w:tc>
                <w:tcPr>
                  <w:tcW w:w="219"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p>
              </w:tc>
              <w:tc>
                <w:tcPr>
                  <w:tcW w:w="202"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4.5</w:t>
                  </w:r>
                </w:p>
              </w:tc>
              <w:tc>
                <w:tcPr>
                  <w:tcW w:w="224"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5.6</w:t>
                  </w:r>
                </w:p>
              </w:tc>
              <w:tc>
                <w:tcPr>
                  <w:tcW w:w="216"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1.2</w:t>
                  </w:r>
                </w:p>
              </w:tc>
              <w:tc>
                <w:tcPr>
                  <w:tcW w:w="201"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21.0</w:t>
                  </w:r>
                </w:p>
              </w:tc>
              <w:tc>
                <w:tcPr>
                  <w:tcW w:w="204"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84.7</w:t>
                  </w:r>
                </w:p>
              </w:tc>
              <w:tc>
                <w:tcPr>
                  <w:tcW w:w="201"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16.5</w:t>
                  </w:r>
                </w:p>
              </w:tc>
              <w:tc>
                <w:tcPr>
                  <w:tcW w:w="20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38.8</w:t>
                  </w:r>
                </w:p>
              </w:tc>
              <w:tc>
                <w:tcPr>
                  <w:tcW w:w="19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42.1</w:t>
                  </w:r>
                </w:p>
              </w:tc>
              <w:tc>
                <w:tcPr>
                  <w:tcW w:w="19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42.1</w:t>
                  </w:r>
                </w:p>
              </w:tc>
              <w:tc>
                <w:tcPr>
                  <w:tcW w:w="19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42.2</w:t>
                  </w:r>
                </w:p>
              </w:tc>
              <w:tc>
                <w:tcPr>
                  <w:tcW w:w="200"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42.1</w:t>
                  </w:r>
                </w:p>
              </w:tc>
              <w:tc>
                <w:tcPr>
                  <w:tcW w:w="182"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p>
              </w:tc>
              <w:tc>
                <w:tcPr>
                  <w:tcW w:w="26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25.0</w:t>
                  </w:r>
                </w:p>
              </w:tc>
              <w:tc>
                <w:tcPr>
                  <w:tcW w:w="195"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32.1</w:t>
                  </w:r>
                </w:p>
              </w:tc>
              <w:tc>
                <w:tcPr>
                  <w:tcW w:w="207"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32.1</w:t>
                  </w:r>
                </w:p>
              </w:tc>
              <w:tc>
                <w:tcPr>
                  <w:tcW w:w="207"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32.2</w:t>
                  </w:r>
                </w:p>
              </w:tc>
              <w:tc>
                <w:tcPr>
                  <w:tcW w:w="250"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32.1</w:t>
                  </w:r>
                </w:p>
              </w:tc>
              <w:tc>
                <w:tcPr>
                  <w:tcW w:w="21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0" w:hRule="atLeast"/>
                <w:jc w:val="center"/>
              </w:trPr>
              <w:tc>
                <w:tcPr>
                  <w:tcW w:w="165"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26</w:t>
                  </w:r>
                </w:p>
              </w:tc>
              <w:tc>
                <w:tcPr>
                  <w:tcW w:w="222"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p>
              </w:tc>
              <w:tc>
                <w:tcPr>
                  <w:tcW w:w="32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贴标机</w:t>
                  </w:r>
                </w:p>
              </w:tc>
              <w:tc>
                <w:tcPr>
                  <w:tcW w:w="276"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60</w:t>
                  </w:r>
                </w:p>
              </w:tc>
              <w:tc>
                <w:tcPr>
                  <w:tcW w:w="219"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p>
              </w:tc>
              <w:tc>
                <w:tcPr>
                  <w:tcW w:w="202"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0.5</w:t>
                  </w:r>
                </w:p>
              </w:tc>
              <w:tc>
                <w:tcPr>
                  <w:tcW w:w="224"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5.2</w:t>
                  </w:r>
                </w:p>
              </w:tc>
              <w:tc>
                <w:tcPr>
                  <w:tcW w:w="216"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1.2</w:t>
                  </w:r>
                </w:p>
              </w:tc>
              <w:tc>
                <w:tcPr>
                  <w:tcW w:w="201"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25.0</w:t>
                  </w:r>
                </w:p>
              </w:tc>
              <w:tc>
                <w:tcPr>
                  <w:tcW w:w="204"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84.3</w:t>
                  </w:r>
                </w:p>
              </w:tc>
              <w:tc>
                <w:tcPr>
                  <w:tcW w:w="201"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12.5</w:t>
                  </w:r>
                </w:p>
              </w:tc>
              <w:tc>
                <w:tcPr>
                  <w:tcW w:w="20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39.2</w:t>
                  </w:r>
                </w:p>
              </w:tc>
              <w:tc>
                <w:tcPr>
                  <w:tcW w:w="19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42.1</w:t>
                  </w:r>
                </w:p>
              </w:tc>
              <w:tc>
                <w:tcPr>
                  <w:tcW w:w="19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42.1</w:t>
                  </w:r>
                </w:p>
              </w:tc>
              <w:tc>
                <w:tcPr>
                  <w:tcW w:w="19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42.2</w:t>
                  </w:r>
                </w:p>
              </w:tc>
              <w:tc>
                <w:tcPr>
                  <w:tcW w:w="200"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42.1</w:t>
                  </w:r>
                </w:p>
              </w:tc>
              <w:tc>
                <w:tcPr>
                  <w:tcW w:w="182"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p>
              </w:tc>
              <w:tc>
                <w:tcPr>
                  <w:tcW w:w="26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25.0</w:t>
                  </w:r>
                </w:p>
              </w:tc>
              <w:tc>
                <w:tcPr>
                  <w:tcW w:w="195"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32.1</w:t>
                  </w:r>
                </w:p>
              </w:tc>
              <w:tc>
                <w:tcPr>
                  <w:tcW w:w="207"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32.1</w:t>
                  </w:r>
                </w:p>
              </w:tc>
              <w:tc>
                <w:tcPr>
                  <w:tcW w:w="207"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32.2</w:t>
                  </w:r>
                </w:p>
              </w:tc>
              <w:tc>
                <w:tcPr>
                  <w:tcW w:w="250"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32.1</w:t>
                  </w:r>
                </w:p>
              </w:tc>
              <w:tc>
                <w:tcPr>
                  <w:tcW w:w="21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0" w:hRule="atLeast"/>
                <w:jc w:val="center"/>
              </w:trPr>
              <w:tc>
                <w:tcPr>
                  <w:tcW w:w="165"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27</w:t>
                  </w:r>
                </w:p>
              </w:tc>
              <w:tc>
                <w:tcPr>
                  <w:tcW w:w="222"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p>
              </w:tc>
              <w:tc>
                <w:tcPr>
                  <w:tcW w:w="32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热力收缩膜包机</w:t>
                  </w:r>
                </w:p>
              </w:tc>
              <w:tc>
                <w:tcPr>
                  <w:tcW w:w="276"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65</w:t>
                  </w:r>
                </w:p>
              </w:tc>
              <w:tc>
                <w:tcPr>
                  <w:tcW w:w="219"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p>
              </w:tc>
              <w:tc>
                <w:tcPr>
                  <w:tcW w:w="202"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4.9</w:t>
                  </w:r>
                </w:p>
              </w:tc>
              <w:tc>
                <w:tcPr>
                  <w:tcW w:w="224"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-1.1</w:t>
                  </w:r>
                </w:p>
              </w:tc>
              <w:tc>
                <w:tcPr>
                  <w:tcW w:w="216"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1.2</w:t>
                  </w:r>
                </w:p>
              </w:tc>
              <w:tc>
                <w:tcPr>
                  <w:tcW w:w="201"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20.6</w:t>
                  </w:r>
                </w:p>
              </w:tc>
              <w:tc>
                <w:tcPr>
                  <w:tcW w:w="204"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78.0</w:t>
                  </w:r>
                </w:p>
              </w:tc>
              <w:tc>
                <w:tcPr>
                  <w:tcW w:w="201"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16.9</w:t>
                  </w:r>
                </w:p>
              </w:tc>
              <w:tc>
                <w:tcPr>
                  <w:tcW w:w="20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45.5</w:t>
                  </w:r>
                </w:p>
              </w:tc>
              <w:tc>
                <w:tcPr>
                  <w:tcW w:w="19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47.1</w:t>
                  </w:r>
                </w:p>
              </w:tc>
              <w:tc>
                <w:tcPr>
                  <w:tcW w:w="19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47.1</w:t>
                  </w:r>
                </w:p>
              </w:tc>
              <w:tc>
                <w:tcPr>
                  <w:tcW w:w="19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47.2</w:t>
                  </w:r>
                </w:p>
              </w:tc>
              <w:tc>
                <w:tcPr>
                  <w:tcW w:w="200"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47.1</w:t>
                  </w:r>
                </w:p>
              </w:tc>
              <w:tc>
                <w:tcPr>
                  <w:tcW w:w="182"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p>
              </w:tc>
              <w:tc>
                <w:tcPr>
                  <w:tcW w:w="26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25.0</w:t>
                  </w:r>
                </w:p>
              </w:tc>
              <w:tc>
                <w:tcPr>
                  <w:tcW w:w="195"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37.1</w:t>
                  </w:r>
                </w:p>
              </w:tc>
              <w:tc>
                <w:tcPr>
                  <w:tcW w:w="207"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37.1</w:t>
                  </w:r>
                </w:p>
              </w:tc>
              <w:tc>
                <w:tcPr>
                  <w:tcW w:w="207"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37.2</w:t>
                  </w:r>
                </w:p>
              </w:tc>
              <w:tc>
                <w:tcPr>
                  <w:tcW w:w="250"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37.1</w:t>
                  </w:r>
                </w:p>
              </w:tc>
              <w:tc>
                <w:tcPr>
                  <w:tcW w:w="21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0" w:hRule="atLeast"/>
                <w:jc w:val="center"/>
              </w:trPr>
              <w:tc>
                <w:tcPr>
                  <w:tcW w:w="165"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28</w:t>
                  </w:r>
                </w:p>
              </w:tc>
              <w:tc>
                <w:tcPr>
                  <w:tcW w:w="222"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p>
              </w:tc>
              <w:tc>
                <w:tcPr>
                  <w:tcW w:w="32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自动装箱机</w:t>
                  </w:r>
                </w:p>
              </w:tc>
              <w:tc>
                <w:tcPr>
                  <w:tcW w:w="276"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60</w:t>
                  </w:r>
                </w:p>
              </w:tc>
              <w:tc>
                <w:tcPr>
                  <w:tcW w:w="219"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p>
              </w:tc>
              <w:tc>
                <w:tcPr>
                  <w:tcW w:w="202"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w:t>
                  </w:r>
                </w:p>
              </w:tc>
              <w:tc>
                <w:tcPr>
                  <w:tcW w:w="224"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-4.2</w:t>
                  </w:r>
                </w:p>
              </w:tc>
              <w:tc>
                <w:tcPr>
                  <w:tcW w:w="216"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1.2</w:t>
                  </w:r>
                </w:p>
              </w:tc>
              <w:tc>
                <w:tcPr>
                  <w:tcW w:w="201"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25.5</w:t>
                  </w:r>
                </w:p>
              </w:tc>
              <w:tc>
                <w:tcPr>
                  <w:tcW w:w="204"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74.9</w:t>
                  </w:r>
                </w:p>
              </w:tc>
              <w:tc>
                <w:tcPr>
                  <w:tcW w:w="201"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12.0</w:t>
                  </w:r>
                </w:p>
              </w:tc>
              <w:tc>
                <w:tcPr>
                  <w:tcW w:w="20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48.6</w:t>
                  </w:r>
                </w:p>
              </w:tc>
              <w:tc>
                <w:tcPr>
                  <w:tcW w:w="19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42.1</w:t>
                  </w:r>
                </w:p>
              </w:tc>
              <w:tc>
                <w:tcPr>
                  <w:tcW w:w="19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42.1</w:t>
                  </w:r>
                </w:p>
              </w:tc>
              <w:tc>
                <w:tcPr>
                  <w:tcW w:w="19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42.2</w:t>
                  </w:r>
                </w:p>
              </w:tc>
              <w:tc>
                <w:tcPr>
                  <w:tcW w:w="200"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42.1</w:t>
                  </w:r>
                </w:p>
              </w:tc>
              <w:tc>
                <w:tcPr>
                  <w:tcW w:w="182"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p>
              </w:tc>
              <w:tc>
                <w:tcPr>
                  <w:tcW w:w="26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25.0</w:t>
                  </w:r>
                </w:p>
              </w:tc>
              <w:tc>
                <w:tcPr>
                  <w:tcW w:w="195"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32.1</w:t>
                  </w:r>
                </w:p>
              </w:tc>
              <w:tc>
                <w:tcPr>
                  <w:tcW w:w="207"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32.1</w:t>
                  </w:r>
                </w:p>
              </w:tc>
              <w:tc>
                <w:tcPr>
                  <w:tcW w:w="207"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32.2</w:t>
                  </w:r>
                </w:p>
              </w:tc>
              <w:tc>
                <w:tcPr>
                  <w:tcW w:w="250"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32.1</w:t>
                  </w:r>
                </w:p>
              </w:tc>
              <w:tc>
                <w:tcPr>
                  <w:tcW w:w="21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0" w:hRule="atLeast"/>
                <w:jc w:val="center"/>
              </w:trPr>
              <w:tc>
                <w:tcPr>
                  <w:tcW w:w="165"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29</w:t>
                  </w:r>
                </w:p>
              </w:tc>
              <w:tc>
                <w:tcPr>
                  <w:tcW w:w="222"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p>
              </w:tc>
              <w:tc>
                <w:tcPr>
                  <w:tcW w:w="32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龙门码垛机</w:t>
                  </w:r>
                </w:p>
              </w:tc>
              <w:tc>
                <w:tcPr>
                  <w:tcW w:w="276"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65</w:t>
                  </w:r>
                </w:p>
              </w:tc>
              <w:tc>
                <w:tcPr>
                  <w:tcW w:w="219"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p>
              </w:tc>
              <w:tc>
                <w:tcPr>
                  <w:tcW w:w="202"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0.9</w:t>
                  </w:r>
                </w:p>
              </w:tc>
              <w:tc>
                <w:tcPr>
                  <w:tcW w:w="224"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-12.2</w:t>
                  </w:r>
                </w:p>
              </w:tc>
              <w:tc>
                <w:tcPr>
                  <w:tcW w:w="216"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1.2</w:t>
                  </w:r>
                </w:p>
              </w:tc>
              <w:tc>
                <w:tcPr>
                  <w:tcW w:w="201"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24.6</w:t>
                  </w:r>
                </w:p>
              </w:tc>
              <w:tc>
                <w:tcPr>
                  <w:tcW w:w="204"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66.9</w:t>
                  </w:r>
                </w:p>
              </w:tc>
              <w:tc>
                <w:tcPr>
                  <w:tcW w:w="201"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12.9</w:t>
                  </w:r>
                </w:p>
              </w:tc>
              <w:tc>
                <w:tcPr>
                  <w:tcW w:w="20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56.6</w:t>
                  </w:r>
                </w:p>
              </w:tc>
              <w:tc>
                <w:tcPr>
                  <w:tcW w:w="19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47.1</w:t>
                  </w:r>
                </w:p>
              </w:tc>
              <w:tc>
                <w:tcPr>
                  <w:tcW w:w="19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47.1</w:t>
                  </w:r>
                </w:p>
              </w:tc>
              <w:tc>
                <w:tcPr>
                  <w:tcW w:w="19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47.2</w:t>
                  </w:r>
                </w:p>
              </w:tc>
              <w:tc>
                <w:tcPr>
                  <w:tcW w:w="200"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47.1</w:t>
                  </w:r>
                </w:p>
              </w:tc>
              <w:tc>
                <w:tcPr>
                  <w:tcW w:w="182"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p>
              </w:tc>
              <w:tc>
                <w:tcPr>
                  <w:tcW w:w="26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25.0</w:t>
                  </w:r>
                </w:p>
              </w:tc>
              <w:tc>
                <w:tcPr>
                  <w:tcW w:w="195"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37.1</w:t>
                  </w:r>
                </w:p>
              </w:tc>
              <w:tc>
                <w:tcPr>
                  <w:tcW w:w="207"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37.1</w:t>
                  </w:r>
                </w:p>
              </w:tc>
              <w:tc>
                <w:tcPr>
                  <w:tcW w:w="207"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37.2</w:t>
                  </w:r>
                </w:p>
              </w:tc>
              <w:tc>
                <w:tcPr>
                  <w:tcW w:w="250"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37.1</w:t>
                  </w:r>
                </w:p>
              </w:tc>
              <w:tc>
                <w:tcPr>
                  <w:tcW w:w="21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0" w:hRule="atLeast"/>
                <w:jc w:val="center"/>
              </w:trPr>
              <w:tc>
                <w:tcPr>
                  <w:tcW w:w="165"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30</w:t>
                  </w:r>
                </w:p>
              </w:tc>
              <w:tc>
                <w:tcPr>
                  <w:tcW w:w="222"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p>
              </w:tc>
              <w:tc>
                <w:tcPr>
                  <w:tcW w:w="32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超高温灭菌机</w:t>
                  </w:r>
                </w:p>
              </w:tc>
              <w:tc>
                <w:tcPr>
                  <w:tcW w:w="276"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60</w:t>
                  </w:r>
                </w:p>
              </w:tc>
              <w:tc>
                <w:tcPr>
                  <w:tcW w:w="219"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p>
              </w:tc>
              <w:tc>
                <w:tcPr>
                  <w:tcW w:w="202"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1.4</w:t>
                  </w:r>
                </w:p>
              </w:tc>
              <w:tc>
                <w:tcPr>
                  <w:tcW w:w="224"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18.1</w:t>
                  </w:r>
                </w:p>
              </w:tc>
              <w:tc>
                <w:tcPr>
                  <w:tcW w:w="216"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1.2</w:t>
                  </w:r>
                </w:p>
              </w:tc>
              <w:tc>
                <w:tcPr>
                  <w:tcW w:w="201"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24.1</w:t>
                  </w:r>
                </w:p>
              </w:tc>
              <w:tc>
                <w:tcPr>
                  <w:tcW w:w="204"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97.2</w:t>
                  </w:r>
                </w:p>
              </w:tc>
              <w:tc>
                <w:tcPr>
                  <w:tcW w:w="201"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13.4</w:t>
                  </w:r>
                </w:p>
              </w:tc>
              <w:tc>
                <w:tcPr>
                  <w:tcW w:w="20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26.3</w:t>
                  </w:r>
                </w:p>
              </w:tc>
              <w:tc>
                <w:tcPr>
                  <w:tcW w:w="19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42.1</w:t>
                  </w:r>
                </w:p>
              </w:tc>
              <w:tc>
                <w:tcPr>
                  <w:tcW w:w="19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42.1</w:t>
                  </w:r>
                </w:p>
              </w:tc>
              <w:tc>
                <w:tcPr>
                  <w:tcW w:w="19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42.2</w:t>
                  </w:r>
                </w:p>
              </w:tc>
              <w:tc>
                <w:tcPr>
                  <w:tcW w:w="200"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42.1</w:t>
                  </w:r>
                </w:p>
              </w:tc>
              <w:tc>
                <w:tcPr>
                  <w:tcW w:w="182"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p>
              </w:tc>
              <w:tc>
                <w:tcPr>
                  <w:tcW w:w="26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25.0</w:t>
                  </w:r>
                </w:p>
              </w:tc>
              <w:tc>
                <w:tcPr>
                  <w:tcW w:w="195"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32.1</w:t>
                  </w:r>
                </w:p>
              </w:tc>
              <w:tc>
                <w:tcPr>
                  <w:tcW w:w="207"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32.1</w:t>
                  </w:r>
                </w:p>
              </w:tc>
              <w:tc>
                <w:tcPr>
                  <w:tcW w:w="207"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32.2</w:t>
                  </w:r>
                </w:p>
              </w:tc>
              <w:tc>
                <w:tcPr>
                  <w:tcW w:w="250"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32.1</w:t>
                  </w:r>
                </w:p>
              </w:tc>
              <w:tc>
                <w:tcPr>
                  <w:tcW w:w="21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90" w:hRule="atLeast"/>
                <w:jc w:val="center"/>
              </w:trPr>
              <w:tc>
                <w:tcPr>
                  <w:tcW w:w="165"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31</w:t>
                  </w:r>
                </w:p>
              </w:tc>
              <w:tc>
                <w:tcPr>
                  <w:tcW w:w="222"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p>
              </w:tc>
              <w:tc>
                <w:tcPr>
                  <w:tcW w:w="32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喷淋冷却机</w:t>
                  </w:r>
                </w:p>
              </w:tc>
              <w:tc>
                <w:tcPr>
                  <w:tcW w:w="276"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70</w:t>
                  </w:r>
                </w:p>
              </w:tc>
              <w:tc>
                <w:tcPr>
                  <w:tcW w:w="219"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p>
              </w:tc>
              <w:tc>
                <w:tcPr>
                  <w:tcW w:w="202"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6.3</w:t>
                  </w:r>
                </w:p>
              </w:tc>
              <w:tc>
                <w:tcPr>
                  <w:tcW w:w="224"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11.4</w:t>
                  </w:r>
                </w:p>
              </w:tc>
              <w:tc>
                <w:tcPr>
                  <w:tcW w:w="216"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1.2</w:t>
                  </w:r>
                </w:p>
              </w:tc>
              <w:tc>
                <w:tcPr>
                  <w:tcW w:w="201"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19.2</w:t>
                  </w:r>
                </w:p>
              </w:tc>
              <w:tc>
                <w:tcPr>
                  <w:tcW w:w="204"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90.5</w:t>
                  </w:r>
                </w:p>
              </w:tc>
              <w:tc>
                <w:tcPr>
                  <w:tcW w:w="201"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18.3</w:t>
                  </w:r>
                </w:p>
              </w:tc>
              <w:tc>
                <w:tcPr>
                  <w:tcW w:w="20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33.0</w:t>
                  </w:r>
                </w:p>
              </w:tc>
              <w:tc>
                <w:tcPr>
                  <w:tcW w:w="19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52.2</w:t>
                  </w:r>
                </w:p>
              </w:tc>
              <w:tc>
                <w:tcPr>
                  <w:tcW w:w="19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52.1</w:t>
                  </w:r>
                </w:p>
              </w:tc>
              <w:tc>
                <w:tcPr>
                  <w:tcW w:w="19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52.2</w:t>
                  </w:r>
                </w:p>
              </w:tc>
              <w:tc>
                <w:tcPr>
                  <w:tcW w:w="200"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52.1</w:t>
                  </w:r>
                </w:p>
              </w:tc>
              <w:tc>
                <w:tcPr>
                  <w:tcW w:w="182"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p>
              </w:tc>
              <w:tc>
                <w:tcPr>
                  <w:tcW w:w="26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25.0</w:t>
                  </w:r>
                </w:p>
              </w:tc>
              <w:tc>
                <w:tcPr>
                  <w:tcW w:w="195"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42.2</w:t>
                  </w:r>
                </w:p>
              </w:tc>
              <w:tc>
                <w:tcPr>
                  <w:tcW w:w="207"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42.1</w:t>
                  </w:r>
                </w:p>
              </w:tc>
              <w:tc>
                <w:tcPr>
                  <w:tcW w:w="207"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42.2</w:t>
                  </w:r>
                </w:p>
              </w:tc>
              <w:tc>
                <w:tcPr>
                  <w:tcW w:w="250"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42.1</w:t>
                  </w:r>
                </w:p>
              </w:tc>
              <w:tc>
                <w:tcPr>
                  <w:tcW w:w="21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0" w:hRule="atLeast"/>
                <w:jc w:val="center"/>
              </w:trPr>
              <w:tc>
                <w:tcPr>
                  <w:tcW w:w="165"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32</w:t>
                  </w:r>
                </w:p>
              </w:tc>
              <w:tc>
                <w:tcPr>
                  <w:tcW w:w="222"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p>
              </w:tc>
              <w:tc>
                <w:tcPr>
                  <w:tcW w:w="32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冷冻机组</w:t>
                  </w:r>
                </w:p>
              </w:tc>
              <w:tc>
                <w:tcPr>
                  <w:tcW w:w="276"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70</w:t>
                  </w:r>
                </w:p>
              </w:tc>
              <w:tc>
                <w:tcPr>
                  <w:tcW w:w="219"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p>
              </w:tc>
              <w:tc>
                <w:tcPr>
                  <w:tcW w:w="202"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13.9</w:t>
                  </w:r>
                </w:p>
              </w:tc>
              <w:tc>
                <w:tcPr>
                  <w:tcW w:w="224"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-3.7</w:t>
                  </w:r>
                </w:p>
              </w:tc>
              <w:tc>
                <w:tcPr>
                  <w:tcW w:w="216"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1.2</w:t>
                  </w:r>
                </w:p>
              </w:tc>
              <w:tc>
                <w:tcPr>
                  <w:tcW w:w="201"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11.6</w:t>
                  </w:r>
                </w:p>
              </w:tc>
              <w:tc>
                <w:tcPr>
                  <w:tcW w:w="204"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75.4</w:t>
                  </w:r>
                </w:p>
              </w:tc>
              <w:tc>
                <w:tcPr>
                  <w:tcW w:w="201"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25.9</w:t>
                  </w:r>
                </w:p>
              </w:tc>
              <w:tc>
                <w:tcPr>
                  <w:tcW w:w="20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48.1</w:t>
                  </w:r>
                </w:p>
              </w:tc>
              <w:tc>
                <w:tcPr>
                  <w:tcW w:w="19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52.3</w:t>
                  </w:r>
                </w:p>
              </w:tc>
              <w:tc>
                <w:tcPr>
                  <w:tcW w:w="19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52.1</w:t>
                  </w:r>
                </w:p>
              </w:tc>
              <w:tc>
                <w:tcPr>
                  <w:tcW w:w="19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52.1</w:t>
                  </w:r>
                </w:p>
              </w:tc>
              <w:tc>
                <w:tcPr>
                  <w:tcW w:w="200"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52.1</w:t>
                  </w:r>
                </w:p>
              </w:tc>
              <w:tc>
                <w:tcPr>
                  <w:tcW w:w="182"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p>
              </w:tc>
              <w:tc>
                <w:tcPr>
                  <w:tcW w:w="26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25.0</w:t>
                  </w:r>
                </w:p>
              </w:tc>
              <w:tc>
                <w:tcPr>
                  <w:tcW w:w="195"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42.3</w:t>
                  </w:r>
                </w:p>
              </w:tc>
              <w:tc>
                <w:tcPr>
                  <w:tcW w:w="207"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42.1</w:t>
                  </w:r>
                </w:p>
              </w:tc>
              <w:tc>
                <w:tcPr>
                  <w:tcW w:w="207"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42.1</w:t>
                  </w:r>
                </w:p>
              </w:tc>
              <w:tc>
                <w:tcPr>
                  <w:tcW w:w="250"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42.1</w:t>
                  </w:r>
                </w:p>
              </w:tc>
              <w:tc>
                <w:tcPr>
                  <w:tcW w:w="21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0" w:hRule="atLeast"/>
                <w:jc w:val="center"/>
              </w:trPr>
              <w:tc>
                <w:tcPr>
                  <w:tcW w:w="165"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33</w:t>
                  </w:r>
                </w:p>
              </w:tc>
              <w:tc>
                <w:tcPr>
                  <w:tcW w:w="222"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p>
              </w:tc>
              <w:tc>
                <w:tcPr>
                  <w:tcW w:w="32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等压灌装组</w:t>
                  </w:r>
                </w:p>
              </w:tc>
              <w:tc>
                <w:tcPr>
                  <w:tcW w:w="276"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65</w:t>
                  </w:r>
                </w:p>
              </w:tc>
              <w:tc>
                <w:tcPr>
                  <w:tcW w:w="219"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p>
              </w:tc>
              <w:tc>
                <w:tcPr>
                  <w:tcW w:w="202"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11.6</w:t>
                  </w:r>
                </w:p>
              </w:tc>
              <w:tc>
                <w:tcPr>
                  <w:tcW w:w="224"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-10.4</w:t>
                  </w:r>
                </w:p>
              </w:tc>
              <w:tc>
                <w:tcPr>
                  <w:tcW w:w="216"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1.2</w:t>
                  </w:r>
                </w:p>
              </w:tc>
              <w:tc>
                <w:tcPr>
                  <w:tcW w:w="201"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13.9</w:t>
                  </w:r>
                </w:p>
              </w:tc>
              <w:tc>
                <w:tcPr>
                  <w:tcW w:w="204"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68.7</w:t>
                  </w:r>
                </w:p>
              </w:tc>
              <w:tc>
                <w:tcPr>
                  <w:tcW w:w="201"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23.6</w:t>
                  </w:r>
                </w:p>
              </w:tc>
              <w:tc>
                <w:tcPr>
                  <w:tcW w:w="20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54.8</w:t>
                  </w:r>
                </w:p>
              </w:tc>
              <w:tc>
                <w:tcPr>
                  <w:tcW w:w="19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47.2</w:t>
                  </w:r>
                </w:p>
              </w:tc>
              <w:tc>
                <w:tcPr>
                  <w:tcW w:w="19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47.1</w:t>
                  </w:r>
                </w:p>
              </w:tc>
              <w:tc>
                <w:tcPr>
                  <w:tcW w:w="19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47.1</w:t>
                  </w:r>
                </w:p>
              </w:tc>
              <w:tc>
                <w:tcPr>
                  <w:tcW w:w="200"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47.1</w:t>
                  </w:r>
                </w:p>
              </w:tc>
              <w:tc>
                <w:tcPr>
                  <w:tcW w:w="182"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p>
              </w:tc>
              <w:tc>
                <w:tcPr>
                  <w:tcW w:w="26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25.0</w:t>
                  </w:r>
                </w:p>
              </w:tc>
              <w:tc>
                <w:tcPr>
                  <w:tcW w:w="195"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37.2</w:t>
                  </w:r>
                </w:p>
              </w:tc>
              <w:tc>
                <w:tcPr>
                  <w:tcW w:w="207"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37.1</w:t>
                  </w:r>
                </w:p>
              </w:tc>
              <w:tc>
                <w:tcPr>
                  <w:tcW w:w="207"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37.1</w:t>
                  </w:r>
                </w:p>
              </w:tc>
              <w:tc>
                <w:tcPr>
                  <w:tcW w:w="250"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37.1</w:t>
                  </w:r>
                </w:p>
              </w:tc>
              <w:tc>
                <w:tcPr>
                  <w:tcW w:w="21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0" w:hRule="atLeast"/>
                <w:jc w:val="center"/>
              </w:trPr>
              <w:tc>
                <w:tcPr>
                  <w:tcW w:w="165"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34</w:t>
                  </w:r>
                </w:p>
              </w:tc>
              <w:tc>
                <w:tcPr>
                  <w:tcW w:w="222"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p>
              </w:tc>
              <w:tc>
                <w:tcPr>
                  <w:tcW w:w="32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水处理设备</w:t>
                  </w:r>
                </w:p>
              </w:tc>
              <w:tc>
                <w:tcPr>
                  <w:tcW w:w="276"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70</w:t>
                  </w:r>
                </w:p>
              </w:tc>
              <w:tc>
                <w:tcPr>
                  <w:tcW w:w="219"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p>
              </w:tc>
              <w:tc>
                <w:tcPr>
                  <w:tcW w:w="202"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4.4</w:t>
                  </w:r>
                </w:p>
              </w:tc>
              <w:tc>
                <w:tcPr>
                  <w:tcW w:w="224"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-17.1</w:t>
                  </w:r>
                </w:p>
              </w:tc>
              <w:tc>
                <w:tcPr>
                  <w:tcW w:w="216"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1.2</w:t>
                  </w:r>
                </w:p>
              </w:tc>
              <w:tc>
                <w:tcPr>
                  <w:tcW w:w="201"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21.1</w:t>
                  </w:r>
                </w:p>
              </w:tc>
              <w:tc>
                <w:tcPr>
                  <w:tcW w:w="204"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62.0</w:t>
                  </w:r>
                </w:p>
              </w:tc>
              <w:tc>
                <w:tcPr>
                  <w:tcW w:w="201"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16.4</w:t>
                  </w:r>
                </w:p>
              </w:tc>
              <w:tc>
                <w:tcPr>
                  <w:tcW w:w="20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61.5</w:t>
                  </w:r>
                </w:p>
              </w:tc>
              <w:tc>
                <w:tcPr>
                  <w:tcW w:w="19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52.1</w:t>
                  </w:r>
                </w:p>
              </w:tc>
              <w:tc>
                <w:tcPr>
                  <w:tcW w:w="19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52.1</w:t>
                  </w:r>
                </w:p>
              </w:tc>
              <w:tc>
                <w:tcPr>
                  <w:tcW w:w="19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52.2</w:t>
                  </w:r>
                </w:p>
              </w:tc>
              <w:tc>
                <w:tcPr>
                  <w:tcW w:w="200"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52.1</w:t>
                  </w:r>
                </w:p>
              </w:tc>
              <w:tc>
                <w:tcPr>
                  <w:tcW w:w="182"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p>
              </w:tc>
              <w:tc>
                <w:tcPr>
                  <w:tcW w:w="26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25.0</w:t>
                  </w:r>
                </w:p>
              </w:tc>
              <w:tc>
                <w:tcPr>
                  <w:tcW w:w="195"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42.1</w:t>
                  </w:r>
                </w:p>
              </w:tc>
              <w:tc>
                <w:tcPr>
                  <w:tcW w:w="207"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42.1</w:t>
                  </w:r>
                </w:p>
              </w:tc>
              <w:tc>
                <w:tcPr>
                  <w:tcW w:w="207"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42.2</w:t>
                  </w:r>
                </w:p>
              </w:tc>
              <w:tc>
                <w:tcPr>
                  <w:tcW w:w="250"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42.1</w:t>
                  </w:r>
                </w:p>
              </w:tc>
              <w:tc>
                <w:tcPr>
                  <w:tcW w:w="21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0" w:hRule="atLeast"/>
                <w:jc w:val="center"/>
              </w:trPr>
              <w:tc>
                <w:tcPr>
                  <w:tcW w:w="165"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35</w:t>
                  </w:r>
                </w:p>
              </w:tc>
              <w:tc>
                <w:tcPr>
                  <w:tcW w:w="222"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p>
              </w:tc>
              <w:tc>
                <w:tcPr>
                  <w:tcW w:w="32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原水罐水泵</w:t>
                  </w:r>
                </w:p>
              </w:tc>
              <w:tc>
                <w:tcPr>
                  <w:tcW w:w="276"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75</w:t>
                  </w:r>
                </w:p>
              </w:tc>
              <w:tc>
                <w:tcPr>
                  <w:tcW w:w="219"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p>
              </w:tc>
              <w:tc>
                <w:tcPr>
                  <w:tcW w:w="202"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2.2</w:t>
                  </w:r>
                </w:p>
              </w:tc>
              <w:tc>
                <w:tcPr>
                  <w:tcW w:w="224"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-26</w:t>
                  </w:r>
                </w:p>
              </w:tc>
              <w:tc>
                <w:tcPr>
                  <w:tcW w:w="216"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1.2</w:t>
                  </w:r>
                </w:p>
              </w:tc>
              <w:tc>
                <w:tcPr>
                  <w:tcW w:w="201"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23.3</w:t>
                  </w:r>
                </w:p>
              </w:tc>
              <w:tc>
                <w:tcPr>
                  <w:tcW w:w="204"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53.1</w:t>
                  </w:r>
                </w:p>
              </w:tc>
              <w:tc>
                <w:tcPr>
                  <w:tcW w:w="201"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14.2</w:t>
                  </w:r>
                </w:p>
              </w:tc>
              <w:tc>
                <w:tcPr>
                  <w:tcW w:w="20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70.4</w:t>
                  </w:r>
                </w:p>
              </w:tc>
              <w:tc>
                <w:tcPr>
                  <w:tcW w:w="19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57.1</w:t>
                  </w:r>
                </w:p>
              </w:tc>
              <w:tc>
                <w:tcPr>
                  <w:tcW w:w="19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57.1</w:t>
                  </w:r>
                </w:p>
              </w:tc>
              <w:tc>
                <w:tcPr>
                  <w:tcW w:w="19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57.2</w:t>
                  </w:r>
                </w:p>
              </w:tc>
              <w:tc>
                <w:tcPr>
                  <w:tcW w:w="200"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57.1</w:t>
                  </w:r>
                </w:p>
              </w:tc>
              <w:tc>
                <w:tcPr>
                  <w:tcW w:w="182"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12.0</w:t>
                  </w:r>
                </w:p>
              </w:tc>
              <w:tc>
                <w:tcPr>
                  <w:tcW w:w="26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25.0</w:t>
                  </w:r>
                </w:p>
              </w:tc>
              <w:tc>
                <w:tcPr>
                  <w:tcW w:w="195"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47.1</w:t>
                  </w:r>
                </w:p>
              </w:tc>
              <w:tc>
                <w:tcPr>
                  <w:tcW w:w="207"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47.1</w:t>
                  </w:r>
                </w:p>
              </w:tc>
              <w:tc>
                <w:tcPr>
                  <w:tcW w:w="207"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47.2</w:t>
                  </w:r>
                </w:p>
              </w:tc>
              <w:tc>
                <w:tcPr>
                  <w:tcW w:w="250"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47.1</w:t>
                  </w:r>
                </w:p>
              </w:tc>
              <w:tc>
                <w:tcPr>
                  <w:tcW w:w="21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0" w:hRule="atLeast"/>
                <w:jc w:val="center"/>
              </w:trPr>
              <w:tc>
                <w:tcPr>
                  <w:tcW w:w="165"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36</w:t>
                  </w:r>
                </w:p>
              </w:tc>
              <w:tc>
                <w:tcPr>
                  <w:tcW w:w="222"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p>
              </w:tc>
              <w:tc>
                <w:tcPr>
                  <w:tcW w:w="32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清洗</w:t>
                  </w:r>
                  <w:r>
                    <w:rPr>
                      <w:rFonts w:hint="default" w:ascii="Times New Roman" w:hAnsi="Times New Roman" w:eastAsia="宋体" w:cs="Times New Roman"/>
                      <w:color w:val="auto"/>
                      <w:sz w:val="21"/>
                      <w:szCs w:val="21"/>
                      <w:highlight w:val="none"/>
                      <w:lang w:eastAsia="zh-CN"/>
                    </w:rPr>
                    <w:t>水泵</w:t>
                  </w:r>
                </w:p>
              </w:tc>
              <w:tc>
                <w:tcPr>
                  <w:tcW w:w="276"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75</w:t>
                  </w:r>
                </w:p>
              </w:tc>
              <w:tc>
                <w:tcPr>
                  <w:tcW w:w="219"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p>
              </w:tc>
              <w:tc>
                <w:tcPr>
                  <w:tcW w:w="202"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2.2</w:t>
                  </w:r>
                </w:p>
              </w:tc>
              <w:tc>
                <w:tcPr>
                  <w:tcW w:w="224"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-33.6</w:t>
                  </w:r>
                </w:p>
              </w:tc>
              <w:tc>
                <w:tcPr>
                  <w:tcW w:w="216"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1.2</w:t>
                  </w:r>
                </w:p>
              </w:tc>
              <w:tc>
                <w:tcPr>
                  <w:tcW w:w="201"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23.3</w:t>
                  </w:r>
                </w:p>
              </w:tc>
              <w:tc>
                <w:tcPr>
                  <w:tcW w:w="204"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45.5</w:t>
                  </w:r>
                </w:p>
              </w:tc>
              <w:tc>
                <w:tcPr>
                  <w:tcW w:w="201"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14.2</w:t>
                  </w:r>
                </w:p>
              </w:tc>
              <w:tc>
                <w:tcPr>
                  <w:tcW w:w="20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78.0</w:t>
                  </w:r>
                </w:p>
              </w:tc>
              <w:tc>
                <w:tcPr>
                  <w:tcW w:w="19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57.1</w:t>
                  </w:r>
                </w:p>
              </w:tc>
              <w:tc>
                <w:tcPr>
                  <w:tcW w:w="19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57.1</w:t>
                  </w:r>
                </w:p>
              </w:tc>
              <w:tc>
                <w:tcPr>
                  <w:tcW w:w="19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57.2</w:t>
                  </w:r>
                </w:p>
              </w:tc>
              <w:tc>
                <w:tcPr>
                  <w:tcW w:w="200"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57.1</w:t>
                  </w:r>
                </w:p>
              </w:tc>
              <w:tc>
                <w:tcPr>
                  <w:tcW w:w="182"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12.0</w:t>
                  </w:r>
                </w:p>
              </w:tc>
              <w:tc>
                <w:tcPr>
                  <w:tcW w:w="26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25.0</w:t>
                  </w:r>
                </w:p>
              </w:tc>
              <w:tc>
                <w:tcPr>
                  <w:tcW w:w="195"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47.1</w:t>
                  </w:r>
                </w:p>
              </w:tc>
              <w:tc>
                <w:tcPr>
                  <w:tcW w:w="207"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47.1</w:t>
                  </w:r>
                </w:p>
              </w:tc>
              <w:tc>
                <w:tcPr>
                  <w:tcW w:w="207"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47.2</w:t>
                  </w:r>
                </w:p>
              </w:tc>
              <w:tc>
                <w:tcPr>
                  <w:tcW w:w="250"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47.1</w:t>
                  </w:r>
                </w:p>
              </w:tc>
              <w:tc>
                <w:tcPr>
                  <w:tcW w:w="21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0" w:hRule="atLeast"/>
                <w:jc w:val="center"/>
              </w:trPr>
              <w:tc>
                <w:tcPr>
                  <w:tcW w:w="165"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37</w:t>
                  </w:r>
                </w:p>
              </w:tc>
              <w:tc>
                <w:tcPr>
                  <w:tcW w:w="222"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p>
              </w:tc>
              <w:tc>
                <w:tcPr>
                  <w:tcW w:w="32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离心水泵</w:t>
                  </w:r>
                </w:p>
              </w:tc>
              <w:tc>
                <w:tcPr>
                  <w:tcW w:w="276"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70</w:t>
                  </w:r>
                </w:p>
              </w:tc>
              <w:tc>
                <w:tcPr>
                  <w:tcW w:w="219"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p>
              </w:tc>
              <w:tc>
                <w:tcPr>
                  <w:tcW w:w="202"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2.2</w:t>
                  </w:r>
                </w:p>
              </w:tc>
              <w:tc>
                <w:tcPr>
                  <w:tcW w:w="224"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-39.4</w:t>
                  </w:r>
                </w:p>
              </w:tc>
              <w:tc>
                <w:tcPr>
                  <w:tcW w:w="216"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1.2</w:t>
                  </w:r>
                </w:p>
              </w:tc>
              <w:tc>
                <w:tcPr>
                  <w:tcW w:w="201"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23.3</w:t>
                  </w:r>
                </w:p>
              </w:tc>
              <w:tc>
                <w:tcPr>
                  <w:tcW w:w="204"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39.7</w:t>
                  </w:r>
                </w:p>
              </w:tc>
              <w:tc>
                <w:tcPr>
                  <w:tcW w:w="201"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14.2</w:t>
                  </w:r>
                </w:p>
              </w:tc>
              <w:tc>
                <w:tcPr>
                  <w:tcW w:w="20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83.8</w:t>
                  </w:r>
                </w:p>
              </w:tc>
              <w:tc>
                <w:tcPr>
                  <w:tcW w:w="19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52.1</w:t>
                  </w:r>
                </w:p>
              </w:tc>
              <w:tc>
                <w:tcPr>
                  <w:tcW w:w="19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52.1</w:t>
                  </w:r>
                </w:p>
              </w:tc>
              <w:tc>
                <w:tcPr>
                  <w:tcW w:w="19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52.2</w:t>
                  </w:r>
                </w:p>
              </w:tc>
              <w:tc>
                <w:tcPr>
                  <w:tcW w:w="200"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52.1</w:t>
                  </w:r>
                </w:p>
              </w:tc>
              <w:tc>
                <w:tcPr>
                  <w:tcW w:w="182"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12.0</w:t>
                  </w:r>
                </w:p>
              </w:tc>
              <w:tc>
                <w:tcPr>
                  <w:tcW w:w="26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25.0</w:t>
                  </w:r>
                </w:p>
              </w:tc>
              <w:tc>
                <w:tcPr>
                  <w:tcW w:w="195"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42.1</w:t>
                  </w:r>
                </w:p>
              </w:tc>
              <w:tc>
                <w:tcPr>
                  <w:tcW w:w="207"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42.1</w:t>
                  </w:r>
                </w:p>
              </w:tc>
              <w:tc>
                <w:tcPr>
                  <w:tcW w:w="207"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42.2</w:t>
                  </w:r>
                </w:p>
              </w:tc>
              <w:tc>
                <w:tcPr>
                  <w:tcW w:w="250"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42.1</w:t>
                  </w:r>
                </w:p>
              </w:tc>
              <w:tc>
                <w:tcPr>
                  <w:tcW w:w="21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0" w:hRule="atLeast"/>
                <w:jc w:val="center"/>
              </w:trPr>
              <w:tc>
                <w:tcPr>
                  <w:tcW w:w="165"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38</w:t>
                  </w:r>
                </w:p>
              </w:tc>
              <w:tc>
                <w:tcPr>
                  <w:tcW w:w="222"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p>
              </w:tc>
              <w:tc>
                <w:tcPr>
                  <w:tcW w:w="32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三合一灌装机组</w:t>
                  </w:r>
                </w:p>
              </w:tc>
              <w:tc>
                <w:tcPr>
                  <w:tcW w:w="276"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65</w:t>
                  </w:r>
                </w:p>
              </w:tc>
              <w:tc>
                <w:tcPr>
                  <w:tcW w:w="219"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p>
              </w:tc>
              <w:tc>
                <w:tcPr>
                  <w:tcW w:w="202"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5.7</w:t>
                  </w:r>
                </w:p>
              </w:tc>
              <w:tc>
                <w:tcPr>
                  <w:tcW w:w="224"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-38.5</w:t>
                  </w:r>
                </w:p>
              </w:tc>
              <w:tc>
                <w:tcPr>
                  <w:tcW w:w="216"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1.2</w:t>
                  </w:r>
                </w:p>
              </w:tc>
              <w:tc>
                <w:tcPr>
                  <w:tcW w:w="201"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19.8</w:t>
                  </w:r>
                </w:p>
              </w:tc>
              <w:tc>
                <w:tcPr>
                  <w:tcW w:w="204"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40.6</w:t>
                  </w:r>
                </w:p>
              </w:tc>
              <w:tc>
                <w:tcPr>
                  <w:tcW w:w="201"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17.7</w:t>
                  </w:r>
                </w:p>
              </w:tc>
              <w:tc>
                <w:tcPr>
                  <w:tcW w:w="20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82.9</w:t>
                  </w:r>
                </w:p>
              </w:tc>
              <w:tc>
                <w:tcPr>
                  <w:tcW w:w="19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47.2</w:t>
                  </w:r>
                </w:p>
              </w:tc>
              <w:tc>
                <w:tcPr>
                  <w:tcW w:w="19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47.1</w:t>
                  </w:r>
                </w:p>
              </w:tc>
              <w:tc>
                <w:tcPr>
                  <w:tcW w:w="19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47.2</w:t>
                  </w:r>
                </w:p>
              </w:tc>
              <w:tc>
                <w:tcPr>
                  <w:tcW w:w="200"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47.1</w:t>
                  </w:r>
                </w:p>
              </w:tc>
              <w:tc>
                <w:tcPr>
                  <w:tcW w:w="182"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12.0</w:t>
                  </w:r>
                </w:p>
              </w:tc>
              <w:tc>
                <w:tcPr>
                  <w:tcW w:w="26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25.0</w:t>
                  </w:r>
                </w:p>
              </w:tc>
              <w:tc>
                <w:tcPr>
                  <w:tcW w:w="195"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37.2</w:t>
                  </w:r>
                </w:p>
              </w:tc>
              <w:tc>
                <w:tcPr>
                  <w:tcW w:w="207"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37.1</w:t>
                  </w:r>
                </w:p>
              </w:tc>
              <w:tc>
                <w:tcPr>
                  <w:tcW w:w="207"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37.2</w:t>
                  </w:r>
                </w:p>
              </w:tc>
              <w:tc>
                <w:tcPr>
                  <w:tcW w:w="250"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37.1</w:t>
                  </w:r>
                </w:p>
              </w:tc>
              <w:tc>
                <w:tcPr>
                  <w:tcW w:w="21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0" w:hRule="atLeast"/>
                <w:jc w:val="center"/>
              </w:trPr>
              <w:tc>
                <w:tcPr>
                  <w:tcW w:w="165"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39</w:t>
                  </w:r>
                </w:p>
              </w:tc>
              <w:tc>
                <w:tcPr>
                  <w:tcW w:w="222"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p>
              </w:tc>
              <w:tc>
                <w:tcPr>
                  <w:tcW w:w="32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热风机</w:t>
                  </w:r>
                </w:p>
              </w:tc>
              <w:tc>
                <w:tcPr>
                  <w:tcW w:w="276"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75</w:t>
                  </w:r>
                </w:p>
              </w:tc>
              <w:tc>
                <w:tcPr>
                  <w:tcW w:w="219"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p>
              </w:tc>
              <w:tc>
                <w:tcPr>
                  <w:tcW w:w="202"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3.1</w:t>
                  </w:r>
                </w:p>
              </w:tc>
              <w:tc>
                <w:tcPr>
                  <w:tcW w:w="224"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-45.7</w:t>
                  </w:r>
                </w:p>
              </w:tc>
              <w:tc>
                <w:tcPr>
                  <w:tcW w:w="216"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1.2</w:t>
                  </w:r>
                </w:p>
              </w:tc>
              <w:tc>
                <w:tcPr>
                  <w:tcW w:w="201"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22.4</w:t>
                  </w:r>
                </w:p>
              </w:tc>
              <w:tc>
                <w:tcPr>
                  <w:tcW w:w="204"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33.4</w:t>
                  </w:r>
                </w:p>
              </w:tc>
              <w:tc>
                <w:tcPr>
                  <w:tcW w:w="201"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15.1</w:t>
                  </w:r>
                </w:p>
              </w:tc>
              <w:tc>
                <w:tcPr>
                  <w:tcW w:w="20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90.1</w:t>
                  </w:r>
                </w:p>
              </w:tc>
              <w:tc>
                <w:tcPr>
                  <w:tcW w:w="19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57.1</w:t>
                  </w:r>
                </w:p>
              </w:tc>
              <w:tc>
                <w:tcPr>
                  <w:tcW w:w="19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57.1</w:t>
                  </w:r>
                </w:p>
              </w:tc>
              <w:tc>
                <w:tcPr>
                  <w:tcW w:w="19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57.2</w:t>
                  </w:r>
                </w:p>
              </w:tc>
              <w:tc>
                <w:tcPr>
                  <w:tcW w:w="200"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57.1</w:t>
                  </w:r>
                </w:p>
              </w:tc>
              <w:tc>
                <w:tcPr>
                  <w:tcW w:w="182"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12.0</w:t>
                  </w:r>
                </w:p>
              </w:tc>
              <w:tc>
                <w:tcPr>
                  <w:tcW w:w="26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25.0</w:t>
                  </w:r>
                </w:p>
              </w:tc>
              <w:tc>
                <w:tcPr>
                  <w:tcW w:w="195"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47.1</w:t>
                  </w:r>
                </w:p>
              </w:tc>
              <w:tc>
                <w:tcPr>
                  <w:tcW w:w="207"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47.1</w:t>
                  </w:r>
                </w:p>
              </w:tc>
              <w:tc>
                <w:tcPr>
                  <w:tcW w:w="207"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47.2</w:t>
                  </w:r>
                </w:p>
              </w:tc>
              <w:tc>
                <w:tcPr>
                  <w:tcW w:w="250"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47.1</w:t>
                  </w:r>
                </w:p>
              </w:tc>
              <w:tc>
                <w:tcPr>
                  <w:tcW w:w="21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0" w:hRule="atLeast"/>
                <w:jc w:val="center"/>
              </w:trPr>
              <w:tc>
                <w:tcPr>
                  <w:tcW w:w="165"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40</w:t>
                  </w:r>
                </w:p>
              </w:tc>
              <w:tc>
                <w:tcPr>
                  <w:tcW w:w="222"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p>
              </w:tc>
              <w:tc>
                <w:tcPr>
                  <w:tcW w:w="32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激光打码机</w:t>
                  </w:r>
                </w:p>
              </w:tc>
              <w:tc>
                <w:tcPr>
                  <w:tcW w:w="276"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60</w:t>
                  </w:r>
                </w:p>
              </w:tc>
              <w:tc>
                <w:tcPr>
                  <w:tcW w:w="219"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p>
              </w:tc>
              <w:tc>
                <w:tcPr>
                  <w:tcW w:w="202"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1.3</w:t>
                  </w:r>
                </w:p>
              </w:tc>
              <w:tc>
                <w:tcPr>
                  <w:tcW w:w="224"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-52.8</w:t>
                  </w:r>
                </w:p>
              </w:tc>
              <w:tc>
                <w:tcPr>
                  <w:tcW w:w="216"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1.2</w:t>
                  </w:r>
                </w:p>
              </w:tc>
              <w:tc>
                <w:tcPr>
                  <w:tcW w:w="201"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24.2</w:t>
                  </w:r>
                </w:p>
              </w:tc>
              <w:tc>
                <w:tcPr>
                  <w:tcW w:w="204"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26.3</w:t>
                  </w:r>
                </w:p>
              </w:tc>
              <w:tc>
                <w:tcPr>
                  <w:tcW w:w="201"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13.3</w:t>
                  </w:r>
                </w:p>
              </w:tc>
              <w:tc>
                <w:tcPr>
                  <w:tcW w:w="20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97.2</w:t>
                  </w:r>
                </w:p>
              </w:tc>
              <w:tc>
                <w:tcPr>
                  <w:tcW w:w="19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42.1</w:t>
                  </w:r>
                </w:p>
              </w:tc>
              <w:tc>
                <w:tcPr>
                  <w:tcW w:w="19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42.1</w:t>
                  </w:r>
                </w:p>
              </w:tc>
              <w:tc>
                <w:tcPr>
                  <w:tcW w:w="19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42.2</w:t>
                  </w:r>
                </w:p>
              </w:tc>
              <w:tc>
                <w:tcPr>
                  <w:tcW w:w="200"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42.1</w:t>
                  </w:r>
                </w:p>
              </w:tc>
              <w:tc>
                <w:tcPr>
                  <w:tcW w:w="182"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12.0</w:t>
                  </w:r>
                </w:p>
              </w:tc>
              <w:tc>
                <w:tcPr>
                  <w:tcW w:w="26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25.0</w:t>
                  </w:r>
                </w:p>
              </w:tc>
              <w:tc>
                <w:tcPr>
                  <w:tcW w:w="195"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32.1</w:t>
                  </w:r>
                </w:p>
              </w:tc>
              <w:tc>
                <w:tcPr>
                  <w:tcW w:w="207"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32.1</w:t>
                  </w:r>
                </w:p>
              </w:tc>
              <w:tc>
                <w:tcPr>
                  <w:tcW w:w="207"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32.2</w:t>
                  </w:r>
                </w:p>
              </w:tc>
              <w:tc>
                <w:tcPr>
                  <w:tcW w:w="250"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32.1</w:t>
                  </w:r>
                </w:p>
              </w:tc>
              <w:tc>
                <w:tcPr>
                  <w:tcW w:w="21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0" w:hRule="atLeast"/>
                <w:jc w:val="center"/>
              </w:trPr>
              <w:tc>
                <w:tcPr>
                  <w:tcW w:w="165"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41</w:t>
                  </w:r>
                </w:p>
              </w:tc>
              <w:tc>
                <w:tcPr>
                  <w:tcW w:w="222"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p>
              </w:tc>
              <w:tc>
                <w:tcPr>
                  <w:tcW w:w="32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贴标机</w:t>
                  </w:r>
                </w:p>
              </w:tc>
              <w:tc>
                <w:tcPr>
                  <w:tcW w:w="276"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60</w:t>
                  </w:r>
                </w:p>
              </w:tc>
              <w:tc>
                <w:tcPr>
                  <w:tcW w:w="219"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p>
              </w:tc>
              <w:tc>
                <w:tcPr>
                  <w:tcW w:w="202"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4.4</w:t>
                  </w:r>
                </w:p>
              </w:tc>
              <w:tc>
                <w:tcPr>
                  <w:tcW w:w="224"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-53.2</w:t>
                  </w:r>
                </w:p>
              </w:tc>
              <w:tc>
                <w:tcPr>
                  <w:tcW w:w="216"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1.2</w:t>
                  </w:r>
                </w:p>
              </w:tc>
              <w:tc>
                <w:tcPr>
                  <w:tcW w:w="201"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21.1</w:t>
                  </w:r>
                </w:p>
              </w:tc>
              <w:tc>
                <w:tcPr>
                  <w:tcW w:w="204"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25.9</w:t>
                  </w:r>
                </w:p>
              </w:tc>
              <w:tc>
                <w:tcPr>
                  <w:tcW w:w="201"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16.4</w:t>
                  </w:r>
                </w:p>
              </w:tc>
              <w:tc>
                <w:tcPr>
                  <w:tcW w:w="20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97.6</w:t>
                  </w:r>
                </w:p>
              </w:tc>
              <w:tc>
                <w:tcPr>
                  <w:tcW w:w="19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42.1</w:t>
                  </w:r>
                </w:p>
              </w:tc>
              <w:tc>
                <w:tcPr>
                  <w:tcW w:w="19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42.1</w:t>
                  </w:r>
                </w:p>
              </w:tc>
              <w:tc>
                <w:tcPr>
                  <w:tcW w:w="19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42.2</w:t>
                  </w:r>
                </w:p>
              </w:tc>
              <w:tc>
                <w:tcPr>
                  <w:tcW w:w="200"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42.1</w:t>
                  </w:r>
                </w:p>
              </w:tc>
              <w:tc>
                <w:tcPr>
                  <w:tcW w:w="182"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12.0</w:t>
                  </w:r>
                </w:p>
              </w:tc>
              <w:tc>
                <w:tcPr>
                  <w:tcW w:w="26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25.0</w:t>
                  </w:r>
                </w:p>
              </w:tc>
              <w:tc>
                <w:tcPr>
                  <w:tcW w:w="195"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32.1</w:t>
                  </w:r>
                </w:p>
              </w:tc>
              <w:tc>
                <w:tcPr>
                  <w:tcW w:w="207"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32.1</w:t>
                  </w:r>
                </w:p>
              </w:tc>
              <w:tc>
                <w:tcPr>
                  <w:tcW w:w="207"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32.2</w:t>
                  </w:r>
                </w:p>
              </w:tc>
              <w:tc>
                <w:tcPr>
                  <w:tcW w:w="250"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32.1</w:t>
                  </w:r>
                </w:p>
              </w:tc>
              <w:tc>
                <w:tcPr>
                  <w:tcW w:w="21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0" w:hRule="atLeast"/>
                <w:jc w:val="center"/>
              </w:trPr>
              <w:tc>
                <w:tcPr>
                  <w:tcW w:w="165"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42</w:t>
                  </w:r>
                </w:p>
              </w:tc>
              <w:tc>
                <w:tcPr>
                  <w:tcW w:w="222"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p>
              </w:tc>
              <w:tc>
                <w:tcPr>
                  <w:tcW w:w="32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热力收缩包膜机</w:t>
                  </w:r>
                </w:p>
              </w:tc>
              <w:tc>
                <w:tcPr>
                  <w:tcW w:w="276"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65</w:t>
                  </w:r>
                </w:p>
              </w:tc>
              <w:tc>
                <w:tcPr>
                  <w:tcW w:w="219"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p>
              </w:tc>
              <w:tc>
                <w:tcPr>
                  <w:tcW w:w="202"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2.2</w:t>
                  </w:r>
                </w:p>
              </w:tc>
              <w:tc>
                <w:tcPr>
                  <w:tcW w:w="224"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-59.5</w:t>
                  </w:r>
                </w:p>
              </w:tc>
              <w:tc>
                <w:tcPr>
                  <w:tcW w:w="216"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1.2</w:t>
                  </w:r>
                </w:p>
              </w:tc>
              <w:tc>
                <w:tcPr>
                  <w:tcW w:w="201"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23.3</w:t>
                  </w:r>
                </w:p>
              </w:tc>
              <w:tc>
                <w:tcPr>
                  <w:tcW w:w="204"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19.6</w:t>
                  </w:r>
                </w:p>
              </w:tc>
              <w:tc>
                <w:tcPr>
                  <w:tcW w:w="201"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14.2</w:t>
                  </w:r>
                </w:p>
              </w:tc>
              <w:tc>
                <w:tcPr>
                  <w:tcW w:w="20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103.9</w:t>
                  </w:r>
                </w:p>
              </w:tc>
              <w:tc>
                <w:tcPr>
                  <w:tcW w:w="19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47.1</w:t>
                  </w:r>
                </w:p>
              </w:tc>
              <w:tc>
                <w:tcPr>
                  <w:tcW w:w="19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47.2</w:t>
                  </w:r>
                </w:p>
              </w:tc>
              <w:tc>
                <w:tcPr>
                  <w:tcW w:w="19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47.2</w:t>
                  </w:r>
                </w:p>
              </w:tc>
              <w:tc>
                <w:tcPr>
                  <w:tcW w:w="200"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47.1</w:t>
                  </w:r>
                </w:p>
              </w:tc>
              <w:tc>
                <w:tcPr>
                  <w:tcW w:w="182"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12.0</w:t>
                  </w:r>
                </w:p>
              </w:tc>
              <w:tc>
                <w:tcPr>
                  <w:tcW w:w="26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25.0</w:t>
                  </w:r>
                </w:p>
              </w:tc>
              <w:tc>
                <w:tcPr>
                  <w:tcW w:w="195"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37.1</w:t>
                  </w:r>
                </w:p>
              </w:tc>
              <w:tc>
                <w:tcPr>
                  <w:tcW w:w="207"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37.2</w:t>
                  </w:r>
                </w:p>
              </w:tc>
              <w:tc>
                <w:tcPr>
                  <w:tcW w:w="207"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37.2</w:t>
                  </w:r>
                </w:p>
              </w:tc>
              <w:tc>
                <w:tcPr>
                  <w:tcW w:w="250"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37.1</w:t>
                  </w:r>
                </w:p>
              </w:tc>
              <w:tc>
                <w:tcPr>
                  <w:tcW w:w="21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0" w:hRule="atLeast"/>
                <w:jc w:val="center"/>
              </w:trPr>
              <w:tc>
                <w:tcPr>
                  <w:tcW w:w="165"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43</w:t>
                  </w:r>
                </w:p>
              </w:tc>
              <w:tc>
                <w:tcPr>
                  <w:tcW w:w="222"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p>
              </w:tc>
              <w:tc>
                <w:tcPr>
                  <w:tcW w:w="32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龙门码垛机</w:t>
                  </w:r>
                </w:p>
              </w:tc>
              <w:tc>
                <w:tcPr>
                  <w:tcW w:w="276"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65</w:t>
                  </w:r>
                </w:p>
              </w:tc>
              <w:tc>
                <w:tcPr>
                  <w:tcW w:w="219"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p>
              </w:tc>
              <w:tc>
                <w:tcPr>
                  <w:tcW w:w="202"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7.5</w:t>
                  </w:r>
                </w:p>
              </w:tc>
              <w:tc>
                <w:tcPr>
                  <w:tcW w:w="224"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-59</w:t>
                  </w:r>
                </w:p>
              </w:tc>
              <w:tc>
                <w:tcPr>
                  <w:tcW w:w="216"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1.2</w:t>
                  </w:r>
                </w:p>
              </w:tc>
              <w:tc>
                <w:tcPr>
                  <w:tcW w:w="201"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18.0</w:t>
                  </w:r>
                </w:p>
              </w:tc>
              <w:tc>
                <w:tcPr>
                  <w:tcW w:w="204"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20.1</w:t>
                  </w:r>
                </w:p>
              </w:tc>
              <w:tc>
                <w:tcPr>
                  <w:tcW w:w="201"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19.5</w:t>
                  </w:r>
                </w:p>
              </w:tc>
              <w:tc>
                <w:tcPr>
                  <w:tcW w:w="20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103.4</w:t>
                  </w:r>
                </w:p>
              </w:tc>
              <w:tc>
                <w:tcPr>
                  <w:tcW w:w="19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47.2</w:t>
                  </w:r>
                </w:p>
              </w:tc>
              <w:tc>
                <w:tcPr>
                  <w:tcW w:w="19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47.2</w:t>
                  </w:r>
                </w:p>
              </w:tc>
              <w:tc>
                <w:tcPr>
                  <w:tcW w:w="19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47.2</w:t>
                  </w:r>
                </w:p>
              </w:tc>
              <w:tc>
                <w:tcPr>
                  <w:tcW w:w="200"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47.1</w:t>
                  </w:r>
                </w:p>
              </w:tc>
              <w:tc>
                <w:tcPr>
                  <w:tcW w:w="182"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12.0</w:t>
                  </w:r>
                </w:p>
              </w:tc>
              <w:tc>
                <w:tcPr>
                  <w:tcW w:w="26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25.0</w:t>
                  </w:r>
                </w:p>
              </w:tc>
              <w:tc>
                <w:tcPr>
                  <w:tcW w:w="195"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37.2</w:t>
                  </w:r>
                </w:p>
              </w:tc>
              <w:tc>
                <w:tcPr>
                  <w:tcW w:w="207"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37.2</w:t>
                  </w:r>
                </w:p>
              </w:tc>
              <w:tc>
                <w:tcPr>
                  <w:tcW w:w="207"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37.2</w:t>
                  </w:r>
                </w:p>
              </w:tc>
              <w:tc>
                <w:tcPr>
                  <w:tcW w:w="250"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37.1</w:t>
                  </w:r>
                </w:p>
              </w:tc>
              <w:tc>
                <w:tcPr>
                  <w:tcW w:w="21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0" w:hRule="atLeast"/>
                <w:jc w:val="center"/>
              </w:trPr>
              <w:tc>
                <w:tcPr>
                  <w:tcW w:w="165"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44</w:t>
                  </w:r>
                </w:p>
              </w:tc>
              <w:tc>
                <w:tcPr>
                  <w:tcW w:w="222"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p>
              </w:tc>
              <w:tc>
                <w:tcPr>
                  <w:tcW w:w="32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螺杆活塞串联压缩机组</w:t>
                  </w:r>
                </w:p>
              </w:tc>
              <w:tc>
                <w:tcPr>
                  <w:tcW w:w="276"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75</w:t>
                  </w:r>
                </w:p>
              </w:tc>
              <w:tc>
                <w:tcPr>
                  <w:tcW w:w="219"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p>
              </w:tc>
              <w:tc>
                <w:tcPr>
                  <w:tcW w:w="202"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11.5</w:t>
                  </w:r>
                </w:p>
              </w:tc>
              <w:tc>
                <w:tcPr>
                  <w:tcW w:w="224"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-26.9</w:t>
                  </w:r>
                </w:p>
              </w:tc>
              <w:tc>
                <w:tcPr>
                  <w:tcW w:w="216"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1.2</w:t>
                  </w:r>
                </w:p>
              </w:tc>
              <w:tc>
                <w:tcPr>
                  <w:tcW w:w="201"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14.0</w:t>
                  </w:r>
                </w:p>
              </w:tc>
              <w:tc>
                <w:tcPr>
                  <w:tcW w:w="204"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52.2</w:t>
                  </w:r>
                </w:p>
              </w:tc>
              <w:tc>
                <w:tcPr>
                  <w:tcW w:w="201"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23.5</w:t>
                  </w:r>
                </w:p>
              </w:tc>
              <w:tc>
                <w:tcPr>
                  <w:tcW w:w="20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71.3</w:t>
                  </w:r>
                </w:p>
              </w:tc>
              <w:tc>
                <w:tcPr>
                  <w:tcW w:w="19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57.2</w:t>
                  </w:r>
                </w:p>
              </w:tc>
              <w:tc>
                <w:tcPr>
                  <w:tcW w:w="19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57.1</w:t>
                  </w:r>
                </w:p>
              </w:tc>
              <w:tc>
                <w:tcPr>
                  <w:tcW w:w="19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57.1</w:t>
                  </w:r>
                </w:p>
              </w:tc>
              <w:tc>
                <w:tcPr>
                  <w:tcW w:w="200"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57.1</w:t>
                  </w:r>
                </w:p>
              </w:tc>
              <w:tc>
                <w:tcPr>
                  <w:tcW w:w="182"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12.0</w:t>
                  </w:r>
                </w:p>
              </w:tc>
              <w:tc>
                <w:tcPr>
                  <w:tcW w:w="26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25.0</w:t>
                  </w:r>
                </w:p>
              </w:tc>
              <w:tc>
                <w:tcPr>
                  <w:tcW w:w="195"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47.2</w:t>
                  </w:r>
                </w:p>
              </w:tc>
              <w:tc>
                <w:tcPr>
                  <w:tcW w:w="207"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47.1</w:t>
                  </w:r>
                </w:p>
              </w:tc>
              <w:tc>
                <w:tcPr>
                  <w:tcW w:w="207"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47.1</w:t>
                  </w:r>
                </w:p>
              </w:tc>
              <w:tc>
                <w:tcPr>
                  <w:tcW w:w="250"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47.1</w:t>
                  </w:r>
                </w:p>
              </w:tc>
              <w:tc>
                <w:tcPr>
                  <w:tcW w:w="21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0" w:hRule="atLeast"/>
                <w:jc w:val="center"/>
              </w:trPr>
              <w:tc>
                <w:tcPr>
                  <w:tcW w:w="165"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45</w:t>
                  </w:r>
                </w:p>
              </w:tc>
              <w:tc>
                <w:tcPr>
                  <w:tcW w:w="222"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p>
              </w:tc>
              <w:tc>
                <w:tcPr>
                  <w:tcW w:w="32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冷冻式压缩空气干燥机</w:t>
                  </w:r>
                </w:p>
              </w:tc>
              <w:tc>
                <w:tcPr>
                  <w:tcW w:w="276"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70</w:t>
                  </w:r>
                </w:p>
              </w:tc>
              <w:tc>
                <w:tcPr>
                  <w:tcW w:w="219"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p>
              </w:tc>
              <w:tc>
                <w:tcPr>
                  <w:tcW w:w="202"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11.1</w:t>
                  </w:r>
                </w:p>
              </w:tc>
              <w:tc>
                <w:tcPr>
                  <w:tcW w:w="224"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-40.7</w:t>
                  </w:r>
                </w:p>
              </w:tc>
              <w:tc>
                <w:tcPr>
                  <w:tcW w:w="216"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1.2</w:t>
                  </w:r>
                </w:p>
              </w:tc>
              <w:tc>
                <w:tcPr>
                  <w:tcW w:w="201"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14.4</w:t>
                  </w:r>
                </w:p>
              </w:tc>
              <w:tc>
                <w:tcPr>
                  <w:tcW w:w="204"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38.4</w:t>
                  </w:r>
                </w:p>
              </w:tc>
              <w:tc>
                <w:tcPr>
                  <w:tcW w:w="201"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23.1</w:t>
                  </w:r>
                </w:p>
              </w:tc>
              <w:tc>
                <w:tcPr>
                  <w:tcW w:w="20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85.1</w:t>
                  </w:r>
                </w:p>
              </w:tc>
              <w:tc>
                <w:tcPr>
                  <w:tcW w:w="19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52.2</w:t>
                  </w:r>
                </w:p>
              </w:tc>
              <w:tc>
                <w:tcPr>
                  <w:tcW w:w="19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52.1</w:t>
                  </w:r>
                </w:p>
              </w:tc>
              <w:tc>
                <w:tcPr>
                  <w:tcW w:w="19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52.1</w:t>
                  </w:r>
                </w:p>
              </w:tc>
              <w:tc>
                <w:tcPr>
                  <w:tcW w:w="200"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52.1</w:t>
                  </w:r>
                </w:p>
              </w:tc>
              <w:tc>
                <w:tcPr>
                  <w:tcW w:w="182"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12.0</w:t>
                  </w:r>
                </w:p>
              </w:tc>
              <w:tc>
                <w:tcPr>
                  <w:tcW w:w="26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25.0</w:t>
                  </w:r>
                </w:p>
              </w:tc>
              <w:tc>
                <w:tcPr>
                  <w:tcW w:w="195"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42.2</w:t>
                  </w:r>
                </w:p>
              </w:tc>
              <w:tc>
                <w:tcPr>
                  <w:tcW w:w="207"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42.1</w:t>
                  </w:r>
                </w:p>
              </w:tc>
              <w:tc>
                <w:tcPr>
                  <w:tcW w:w="207"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42.1</w:t>
                  </w:r>
                </w:p>
              </w:tc>
              <w:tc>
                <w:tcPr>
                  <w:tcW w:w="250"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42.1</w:t>
                  </w:r>
                </w:p>
              </w:tc>
              <w:tc>
                <w:tcPr>
                  <w:tcW w:w="21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0" w:hRule="atLeast"/>
                <w:jc w:val="center"/>
              </w:trPr>
              <w:tc>
                <w:tcPr>
                  <w:tcW w:w="165"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46</w:t>
                  </w:r>
                </w:p>
              </w:tc>
              <w:tc>
                <w:tcPr>
                  <w:tcW w:w="222"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p>
              </w:tc>
              <w:tc>
                <w:tcPr>
                  <w:tcW w:w="32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博莱特螺杆式空压机</w:t>
                  </w:r>
                </w:p>
              </w:tc>
              <w:tc>
                <w:tcPr>
                  <w:tcW w:w="276"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70</w:t>
                  </w:r>
                </w:p>
              </w:tc>
              <w:tc>
                <w:tcPr>
                  <w:tcW w:w="219"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p>
              </w:tc>
              <w:tc>
                <w:tcPr>
                  <w:tcW w:w="202"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12.9</w:t>
                  </w:r>
                </w:p>
              </w:tc>
              <w:tc>
                <w:tcPr>
                  <w:tcW w:w="224"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-52.6</w:t>
                  </w:r>
                </w:p>
              </w:tc>
              <w:tc>
                <w:tcPr>
                  <w:tcW w:w="216"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1.2</w:t>
                  </w:r>
                </w:p>
              </w:tc>
              <w:tc>
                <w:tcPr>
                  <w:tcW w:w="201"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12.6</w:t>
                  </w:r>
                </w:p>
              </w:tc>
              <w:tc>
                <w:tcPr>
                  <w:tcW w:w="204"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26.5</w:t>
                  </w:r>
                </w:p>
              </w:tc>
              <w:tc>
                <w:tcPr>
                  <w:tcW w:w="201"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24.9</w:t>
                  </w:r>
                </w:p>
              </w:tc>
              <w:tc>
                <w:tcPr>
                  <w:tcW w:w="20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97.0</w:t>
                  </w:r>
                </w:p>
              </w:tc>
              <w:tc>
                <w:tcPr>
                  <w:tcW w:w="19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52.2</w:t>
                  </w:r>
                </w:p>
              </w:tc>
              <w:tc>
                <w:tcPr>
                  <w:tcW w:w="19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52.1</w:t>
                  </w:r>
                </w:p>
              </w:tc>
              <w:tc>
                <w:tcPr>
                  <w:tcW w:w="19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52.1</w:t>
                  </w:r>
                </w:p>
              </w:tc>
              <w:tc>
                <w:tcPr>
                  <w:tcW w:w="200"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52.1</w:t>
                  </w:r>
                </w:p>
              </w:tc>
              <w:tc>
                <w:tcPr>
                  <w:tcW w:w="182"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12.0</w:t>
                  </w:r>
                </w:p>
              </w:tc>
              <w:tc>
                <w:tcPr>
                  <w:tcW w:w="26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25.0</w:t>
                  </w:r>
                </w:p>
              </w:tc>
              <w:tc>
                <w:tcPr>
                  <w:tcW w:w="195"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42.2</w:t>
                  </w:r>
                </w:p>
              </w:tc>
              <w:tc>
                <w:tcPr>
                  <w:tcW w:w="207"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42.1</w:t>
                  </w:r>
                </w:p>
              </w:tc>
              <w:tc>
                <w:tcPr>
                  <w:tcW w:w="207"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42.1</w:t>
                  </w:r>
                </w:p>
              </w:tc>
              <w:tc>
                <w:tcPr>
                  <w:tcW w:w="250"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42.1</w:t>
                  </w:r>
                </w:p>
              </w:tc>
              <w:tc>
                <w:tcPr>
                  <w:tcW w:w="21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0" w:hRule="atLeast"/>
                <w:jc w:val="center"/>
              </w:trPr>
              <w:tc>
                <w:tcPr>
                  <w:tcW w:w="165"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47</w:t>
                  </w:r>
                </w:p>
              </w:tc>
              <w:tc>
                <w:tcPr>
                  <w:tcW w:w="222"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p>
              </w:tc>
              <w:tc>
                <w:tcPr>
                  <w:tcW w:w="32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全自动吹瓶机一出六,4台（按点声源组预测）</w:t>
                  </w:r>
                </w:p>
              </w:tc>
              <w:tc>
                <w:tcPr>
                  <w:tcW w:w="276"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65（等效后：71.0)</w:t>
                  </w:r>
                </w:p>
              </w:tc>
              <w:tc>
                <w:tcPr>
                  <w:tcW w:w="219"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p>
              </w:tc>
              <w:tc>
                <w:tcPr>
                  <w:tcW w:w="202"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6.2</w:t>
                  </w:r>
                </w:p>
              </w:tc>
              <w:tc>
                <w:tcPr>
                  <w:tcW w:w="224"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-64.6</w:t>
                  </w:r>
                </w:p>
              </w:tc>
              <w:tc>
                <w:tcPr>
                  <w:tcW w:w="216"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1.2</w:t>
                  </w:r>
                </w:p>
              </w:tc>
              <w:tc>
                <w:tcPr>
                  <w:tcW w:w="201"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19.3</w:t>
                  </w:r>
                </w:p>
              </w:tc>
              <w:tc>
                <w:tcPr>
                  <w:tcW w:w="204"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14.5</w:t>
                  </w:r>
                </w:p>
              </w:tc>
              <w:tc>
                <w:tcPr>
                  <w:tcW w:w="201"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18.2</w:t>
                  </w:r>
                </w:p>
              </w:tc>
              <w:tc>
                <w:tcPr>
                  <w:tcW w:w="20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109.0</w:t>
                  </w:r>
                </w:p>
              </w:tc>
              <w:tc>
                <w:tcPr>
                  <w:tcW w:w="19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53.2</w:t>
                  </w:r>
                </w:p>
              </w:tc>
              <w:tc>
                <w:tcPr>
                  <w:tcW w:w="19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53.2</w:t>
                  </w:r>
                </w:p>
              </w:tc>
              <w:tc>
                <w:tcPr>
                  <w:tcW w:w="19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53.2</w:t>
                  </w:r>
                </w:p>
              </w:tc>
              <w:tc>
                <w:tcPr>
                  <w:tcW w:w="200"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53.1</w:t>
                  </w:r>
                </w:p>
              </w:tc>
              <w:tc>
                <w:tcPr>
                  <w:tcW w:w="182"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12.0</w:t>
                  </w:r>
                </w:p>
              </w:tc>
              <w:tc>
                <w:tcPr>
                  <w:tcW w:w="26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25.0</w:t>
                  </w:r>
                </w:p>
              </w:tc>
              <w:tc>
                <w:tcPr>
                  <w:tcW w:w="195"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43.2</w:t>
                  </w:r>
                </w:p>
              </w:tc>
              <w:tc>
                <w:tcPr>
                  <w:tcW w:w="207"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43.2</w:t>
                  </w:r>
                </w:p>
              </w:tc>
              <w:tc>
                <w:tcPr>
                  <w:tcW w:w="207"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43.2</w:t>
                  </w:r>
                </w:p>
              </w:tc>
              <w:tc>
                <w:tcPr>
                  <w:tcW w:w="250"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43.1</w:t>
                  </w:r>
                </w:p>
              </w:tc>
              <w:tc>
                <w:tcPr>
                  <w:tcW w:w="21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auto"/>
              </w:tblPrEx>
              <w:trPr>
                <w:trHeight w:val="0" w:hRule="atLeast"/>
                <w:jc w:val="center"/>
              </w:trPr>
              <w:tc>
                <w:tcPr>
                  <w:tcW w:w="165"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48</w:t>
                  </w:r>
                </w:p>
              </w:tc>
              <w:tc>
                <w:tcPr>
                  <w:tcW w:w="222"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p>
              </w:tc>
              <w:tc>
                <w:tcPr>
                  <w:tcW w:w="32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全自动吹瓶机一出二,2台（按点声源组预测）</w:t>
                  </w:r>
                </w:p>
              </w:tc>
              <w:tc>
                <w:tcPr>
                  <w:tcW w:w="276"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70（等效后：</w:t>
                  </w:r>
                  <w:r>
                    <w:rPr>
                      <w:rFonts w:hint="default" w:ascii="Times New Roman" w:hAnsi="Times New Roman" w:eastAsia="宋体" w:cs="Times New Roman"/>
                      <w:color w:val="auto"/>
                      <w:sz w:val="21"/>
                      <w:szCs w:val="21"/>
                      <w:highlight w:val="none"/>
                      <w:lang w:val="en-US" w:eastAsia="zh-CN"/>
                    </w:rPr>
                    <w:t>7</w:t>
                  </w:r>
                  <w:r>
                    <w:rPr>
                      <w:rFonts w:hint="default" w:ascii="Times New Roman" w:hAnsi="Times New Roman" w:eastAsia="宋体" w:cs="Times New Roman"/>
                      <w:color w:val="auto"/>
                      <w:sz w:val="21"/>
                      <w:szCs w:val="21"/>
                      <w:highlight w:val="none"/>
                    </w:rPr>
                    <w:t>3.4)</w:t>
                  </w:r>
                </w:p>
              </w:tc>
              <w:tc>
                <w:tcPr>
                  <w:tcW w:w="219"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p>
              </w:tc>
              <w:tc>
                <w:tcPr>
                  <w:tcW w:w="202"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11.9</w:t>
                  </w:r>
                </w:p>
              </w:tc>
              <w:tc>
                <w:tcPr>
                  <w:tcW w:w="224"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-65.1</w:t>
                  </w:r>
                </w:p>
              </w:tc>
              <w:tc>
                <w:tcPr>
                  <w:tcW w:w="216"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1.2</w:t>
                  </w:r>
                </w:p>
              </w:tc>
              <w:tc>
                <w:tcPr>
                  <w:tcW w:w="201"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13.6</w:t>
                  </w:r>
                </w:p>
              </w:tc>
              <w:tc>
                <w:tcPr>
                  <w:tcW w:w="204"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14.0</w:t>
                  </w:r>
                </w:p>
              </w:tc>
              <w:tc>
                <w:tcPr>
                  <w:tcW w:w="201"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23.9</w:t>
                  </w:r>
                </w:p>
              </w:tc>
              <w:tc>
                <w:tcPr>
                  <w:tcW w:w="20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109.5</w:t>
                  </w:r>
                </w:p>
              </w:tc>
              <w:tc>
                <w:tcPr>
                  <w:tcW w:w="19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55.2</w:t>
                  </w:r>
                </w:p>
              </w:tc>
              <w:tc>
                <w:tcPr>
                  <w:tcW w:w="19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55.2</w:t>
                  </w:r>
                </w:p>
              </w:tc>
              <w:tc>
                <w:tcPr>
                  <w:tcW w:w="19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55.1</w:t>
                  </w:r>
                </w:p>
              </w:tc>
              <w:tc>
                <w:tcPr>
                  <w:tcW w:w="200"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55.1</w:t>
                  </w:r>
                </w:p>
              </w:tc>
              <w:tc>
                <w:tcPr>
                  <w:tcW w:w="182"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12.0</w:t>
                  </w:r>
                </w:p>
              </w:tc>
              <w:tc>
                <w:tcPr>
                  <w:tcW w:w="26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25.0</w:t>
                  </w:r>
                </w:p>
              </w:tc>
              <w:tc>
                <w:tcPr>
                  <w:tcW w:w="195"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45.2</w:t>
                  </w:r>
                </w:p>
              </w:tc>
              <w:tc>
                <w:tcPr>
                  <w:tcW w:w="207"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45.2</w:t>
                  </w:r>
                </w:p>
              </w:tc>
              <w:tc>
                <w:tcPr>
                  <w:tcW w:w="207"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45.1</w:t>
                  </w:r>
                </w:p>
              </w:tc>
              <w:tc>
                <w:tcPr>
                  <w:tcW w:w="250"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45.1</w:t>
                  </w:r>
                </w:p>
              </w:tc>
              <w:tc>
                <w:tcPr>
                  <w:tcW w:w="21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0" w:hRule="atLeast"/>
                <w:jc w:val="center"/>
              </w:trPr>
              <w:tc>
                <w:tcPr>
                  <w:tcW w:w="165"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49</w:t>
                  </w:r>
                </w:p>
              </w:tc>
              <w:tc>
                <w:tcPr>
                  <w:tcW w:w="222"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p>
              </w:tc>
              <w:tc>
                <w:tcPr>
                  <w:tcW w:w="32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天然气</w:t>
                  </w:r>
                  <w:r>
                    <w:rPr>
                      <w:rFonts w:hint="eastAsia" w:cs="Times New Roman"/>
                      <w:color w:val="auto"/>
                      <w:sz w:val="21"/>
                      <w:szCs w:val="21"/>
                      <w:highlight w:val="none"/>
                      <w:lang w:eastAsia="zh-CN"/>
                    </w:rPr>
                    <w:t>锅炉</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rPr>
                    <w:t>2台（按点声源组预测）</w:t>
                  </w:r>
                </w:p>
              </w:tc>
              <w:tc>
                <w:tcPr>
                  <w:tcW w:w="276"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60</w:t>
                  </w:r>
                </w:p>
              </w:tc>
              <w:tc>
                <w:tcPr>
                  <w:tcW w:w="219" w:type="pct"/>
                  <w:vMerge w:val="continue"/>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p>
              </w:tc>
              <w:tc>
                <w:tcPr>
                  <w:tcW w:w="202"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23.1</w:t>
                  </w:r>
                </w:p>
              </w:tc>
              <w:tc>
                <w:tcPr>
                  <w:tcW w:w="224"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15.8</w:t>
                  </w:r>
                </w:p>
              </w:tc>
              <w:tc>
                <w:tcPr>
                  <w:tcW w:w="216"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1.2</w:t>
                  </w:r>
                </w:p>
              </w:tc>
              <w:tc>
                <w:tcPr>
                  <w:tcW w:w="201"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2.4</w:t>
                  </w:r>
                </w:p>
              </w:tc>
              <w:tc>
                <w:tcPr>
                  <w:tcW w:w="204"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94.9</w:t>
                  </w:r>
                </w:p>
              </w:tc>
              <w:tc>
                <w:tcPr>
                  <w:tcW w:w="201"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35.1</w:t>
                  </w:r>
                </w:p>
              </w:tc>
              <w:tc>
                <w:tcPr>
                  <w:tcW w:w="20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28.6</w:t>
                  </w:r>
                </w:p>
              </w:tc>
              <w:tc>
                <w:tcPr>
                  <w:tcW w:w="19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57.8</w:t>
                  </w:r>
                </w:p>
              </w:tc>
              <w:tc>
                <w:tcPr>
                  <w:tcW w:w="19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55.1</w:t>
                  </w:r>
                </w:p>
              </w:tc>
              <w:tc>
                <w:tcPr>
                  <w:tcW w:w="19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55.1</w:t>
                  </w:r>
                </w:p>
              </w:tc>
              <w:tc>
                <w:tcPr>
                  <w:tcW w:w="200"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55.1</w:t>
                  </w:r>
                </w:p>
              </w:tc>
              <w:tc>
                <w:tcPr>
                  <w:tcW w:w="182"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23.1</w:t>
                  </w:r>
                </w:p>
              </w:tc>
              <w:tc>
                <w:tcPr>
                  <w:tcW w:w="268"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eastAsia" w:ascii="Times New Roman" w:hAnsi="Times New Roman" w:eastAsia="宋体" w:cs="Times New Roman"/>
                      <w:color w:val="auto"/>
                      <w:sz w:val="21"/>
                      <w:szCs w:val="21"/>
                      <w:highlight w:val="none"/>
                      <w:lang w:val="en-US" w:eastAsia="zh-CN"/>
                    </w:rPr>
                    <w:t>25.0</w:t>
                  </w:r>
                </w:p>
              </w:tc>
              <w:tc>
                <w:tcPr>
                  <w:tcW w:w="195"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47.8</w:t>
                  </w:r>
                </w:p>
              </w:tc>
              <w:tc>
                <w:tcPr>
                  <w:tcW w:w="207"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45.1</w:t>
                  </w:r>
                </w:p>
              </w:tc>
              <w:tc>
                <w:tcPr>
                  <w:tcW w:w="207"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45.1</w:t>
                  </w:r>
                </w:p>
              </w:tc>
              <w:tc>
                <w:tcPr>
                  <w:tcW w:w="250"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45.1</w:t>
                  </w:r>
                </w:p>
              </w:tc>
              <w:tc>
                <w:tcPr>
                  <w:tcW w:w="219" w:type="pct"/>
                  <w:shd w:val="clear" w:color="auto" w:fill="auto"/>
                  <w:tcMar>
                    <w:top w:w="0" w:type="dxa"/>
                    <w:left w:w="0" w:type="dxa"/>
                    <w:bottom w:w="0" w:type="dxa"/>
                    <w:right w:w="0" w:type="dxa"/>
                  </w:tcMar>
                  <w:vAlign w:val="center"/>
                </w:tcPr>
                <w:p>
                  <w:pPr>
                    <w:jc w:val="center"/>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1</w:t>
                  </w:r>
                </w:p>
              </w:tc>
            </w:tr>
            <w:bookmarkEnd w:id="10"/>
          </w:tbl>
          <w:p>
            <w:pPr>
              <w:adjustRightInd w:val="0"/>
              <w:snapToGrid w:val="0"/>
              <w:spacing w:line="360" w:lineRule="auto"/>
              <w:rPr>
                <w:rFonts w:hint="eastAsia" w:ascii="宋体" w:cs="宋体"/>
                <w:b/>
                <w:color w:val="auto"/>
                <w:kern w:val="0"/>
                <w:sz w:val="28"/>
                <w:szCs w:val="28"/>
                <w:highlight w:val="none"/>
                <w:vertAlign w:val="baseline"/>
              </w:rPr>
            </w:pPr>
            <w:r>
              <w:rPr>
                <w:rFonts w:hint="eastAsia" w:ascii="Times New Roman" w:hAnsi="Times New Roman" w:eastAsia="宋体" w:cs="Times New Roman"/>
                <w:b w:val="0"/>
                <w:bCs/>
                <w:color w:val="auto"/>
                <w:sz w:val="21"/>
                <w:szCs w:val="21"/>
                <w:highlight w:val="none"/>
                <w:lang w:val="en-US" w:eastAsia="zh-CN"/>
              </w:rPr>
              <w:t>注：</w:t>
            </w:r>
            <w:r>
              <w:rPr>
                <w:rFonts w:hint="default" w:ascii="Times New Roman" w:hAnsi="Times New Roman" w:eastAsia="宋体" w:cs="Times New Roman"/>
                <w:b w:val="0"/>
                <w:bCs/>
                <w:color w:val="auto"/>
                <w:sz w:val="21"/>
                <w:szCs w:val="21"/>
                <w:highlight w:val="none"/>
                <w:lang w:val="en-US" w:eastAsia="zh-CN"/>
              </w:rPr>
              <w:t>表中坐标以厂界中心为坐标原点，正东向为X轴正方向，正北向为Y轴正方向</w:t>
            </w:r>
            <w:r>
              <w:rPr>
                <w:rFonts w:hint="eastAsia" w:ascii="Times New Roman" w:hAnsi="Times New Roman" w:eastAsia="宋体" w:cs="Times New Roman"/>
                <w:b w:val="0"/>
                <w:bCs/>
                <w:color w:val="auto"/>
                <w:sz w:val="21"/>
                <w:szCs w:val="21"/>
                <w:highlight w:val="none"/>
                <w:lang w:val="en-US" w:eastAsia="zh-CN"/>
              </w:rPr>
              <w:t>。</w:t>
            </w:r>
          </w:p>
        </w:tc>
      </w:tr>
    </w:tbl>
    <w:p>
      <w:pPr>
        <w:adjustRightInd w:val="0"/>
        <w:snapToGrid w:val="0"/>
        <w:spacing w:line="360" w:lineRule="auto"/>
        <w:rPr>
          <w:rFonts w:hint="eastAsia" w:ascii="宋体" w:cs="宋体"/>
          <w:b/>
          <w:color w:val="auto"/>
          <w:kern w:val="0"/>
          <w:sz w:val="28"/>
          <w:szCs w:val="28"/>
          <w:highlight w:val="none"/>
        </w:rPr>
        <w:sectPr>
          <w:pgSz w:w="16840" w:h="11907" w:orient="landscape"/>
          <w:pgMar w:top="1531" w:right="1701" w:bottom="1531" w:left="2127" w:header="851" w:footer="851" w:gutter="0"/>
          <w:cols w:space="720" w:num="1"/>
          <w:docGrid w:linePitch="312" w:charSpace="0"/>
        </w:sectPr>
      </w:pPr>
    </w:p>
    <w:tbl>
      <w:tblPr>
        <w:tblStyle w:val="22"/>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692"/>
        <w:gridCol w:w="8369"/>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12935" w:hRule="atLeast"/>
        </w:trPr>
        <w:tc>
          <w:tcPr>
            <w:tcW w:w="692" w:type="dxa"/>
          </w:tcPr>
          <w:p>
            <w:pPr>
              <w:adjustRightInd w:val="0"/>
              <w:snapToGrid w:val="0"/>
              <w:spacing w:line="360" w:lineRule="auto"/>
              <w:rPr>
                <w:rFonts w:hint="eastAsia" w:ascii="宋体" w:cs="宋体"/>
                <w:b/>
                <w:color w:val="auto"/>
                <w:kern w:val="0"/>
                <w:sz w:val="28"/>
                <w:szCs w:val="28"/>
                <w:highlight w:val="none"/>
                <w:vertAlign w:val="baseline"/>
              </w:rPr>
            </w:pPr>
          </w:p>
        </w:tc>
        <w:tc>
          <w:tcPr>
            <w:tcW w:w="8369" w:type="dxa"/>
          </w:tcPr>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left"/>
              <w:textAlignment w:val="auto"/>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3、预测结果分析</w:t>
            </w:r>
          </w:p>
          <w:p>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rFonts w:ascii="Times New Roman" w:hAnsi="Times New Roman" w:eastAsia="宋体" w:cs="Times New Roman"/>
                <w:color w:val="auto"/>
                <w:sz w:val="24"/>
                <w:szCs w:val="24"/>
                <w:highlight w:val="none"/>
                <w:lang w:eastAsia="zh-CN"/>
              </w:rPr>
            </w:pPr>
            <w:r>
              <w:rPr>
                <w:rFonts w:ascii="Times New Roman" w:hAnsi="Times New Roman" w:eastAsia="宋体" w:cs="Times New Roman"/>
                <w:color w:val="auto"/>
                <w:sz w:val="21"/>
                <w:szCs w:val="21"/>
                <w:highlight w:val="none"/>
                <w:lang w:eastAsia="zh-CN"/>
              </w:rPr>
              <w:t>通过预测模型计算，项目厂界噪声预测结果与达标分析见表</w:t>
            </w:r>
            <w:r>
              <w:rPr>
                <w:rFonts w:hint="eastAsia" w:ascii="Times New Roman" w:hAnsi="Times New Roman" w:eastAsia="宋体" w:cs="Times New Roman"/>
                <w:color w:val="auto"/>
                <w:sz w:val="21"/>
                <w:szCs w:val="21"/>
                <w:highlight w:val="none"/>
                <w:lang w:val="en-US" w:eastAsia="zh-CN"/>
              </w:rPr>
              <w:t>4-</w:t>
            </w:r>
            <w:r>
              <w:rPr>
                <w:rFonts w:hint="eastAsia" w:cs="Times New Roman"/>
                <w:color w:val="auto"/>
                <w:sz w:val="21"/>
                <w:szCs w:val="21"/>
                <w:highlight w:val="none"/>
                <w:lang w:val="en-US" w:eastAsia="zh-CN"/>
              </w:rPr>
              <w:t>12</w:t>
            </w:r>
            <w:r>
              <w:rPr>
                <w:rFonts w:ascii="Times New Roman" w:hAnsi="Times New Roman" w:eastAsia="宋体" w:cs="Times New Roman"/>
                <w:color w:val="auto"/>
                <w:sz w:val="21"/>
                <w:szCs w:val="21"/>
                <w:highlight w:val="none"/>
                <w:lang w:eastAsia="zh-CN"/>
              </w:rPr>
              <w:t>。</w:t>
            </w:r>
          </w:p>
          <w:p>
            <w:pPr>
              <w:keepNext w:val="0"/>
              <w:keepLines w:val="0"/>
              <w:pageBreakBefore w:val="0"/>
              <w:widowControl w:val="0"/>
              <w:kinsoku/>
              <w:wordWrap/>
              <w:overflowPunct/>
              <w:topLinePunct w:val="0"/>
              <w:autoSpaceDE/>
              <w:autoSpaceDN/>
              <w:bidi w:val="0"/>
              <w:adjustRightInd w:val="0"/>
              <w:snapToGrid w:val="0"/>
              <w:spacing w:line="240" w:lineRule="auto"/>
              <w:jc w:val="center"/>
              <w:textAlignment w:val="auto"/>
              <w:rPr>
                <w:rFonts w:ascii="Times New Roman" w:hAnsi="Times New Roman" w:cs="Times New Roman"/>
                <w:b/>
                <w:color w:val="auto"/>
                <w:sz w:val="21"/>
                <w:szCs w:val="21"/>
                <w:highlight w:val="none"/>
                <w:lang w:eastAsia="zh-CN"/>
              </w:rPr>
            </w:pPr>
            <w:r>
              <w:rPr>
                <w:rFonts w:ascii="宋体" w:hAnsi="宋体" w:eastAsia="宋体" w:cs="Times New Roman"/>
                <w:b/>
                <w:color w:val="auto"/>
                <w:sz w:val="21"/>
                <w:szCs w:val="21"/>
                <w:highlight w:val="none"/>
                <w:lang w:eastAsia="zh-CN"/>
              </w:rPr>
              <w:t>表</w:t>
            </w:r>
            <w:r>
              <w:rPr>
                <w:rFonts w:hint="eastAsia" w:ascii="Times New Roman" w:hAnsi="Times New Roman" w:eastAsia="宋体" w:cs="Times New Roman"/>
                <w:b/>
                <w:color w:val="auto"/>
                <w:sz w:val="21"/>
                <w:szCs w:val="21"/>
                <w:highlight w:val="none"/>
                <w:lang w:val="en-US" w:eastAsia="zh-CN"/>
              </w:rPr>
              <w:t>4-</w:t>
            </w:r>
            <w:r>
              <w:rPr>
                <w:rFonts w:hint="eastAsia" w:cs="Times New Roman"/>
                <w:b/>
                <w:color w:val="auto"/>
                <w:sz w:val="21"/>
                <w:szCs w:val="21"/>
                <w:highlight w:val="none"/>
                <w:lang w:val="en-US" w:eastAsia="zh-CN"/>
              </w:rPr>
              <w:t>12</w:t>
            </w:r>
            <w:r>
              <w:rPr>
                <w:rFonts w:ascii="Times New Roman" w:hAnsi="Times New Roman" w:eastAsia="宋体" w:cs="Times New Roman"/>
                <w:b/>
                <w:color w:val="auto"/>
                <w:sz w:val="21"/>
                <w:szCs w:val="21"/>
                <w:highlight w:val="none"/>
                <w:lang w:eastAsia="zh-CN"/>
              </w:rPr>
              <w:t xml:space="preserve"> </w:t>
            </w:r>
            <w:r>
              <w:rPr>
                <w:rFonts w:ascii="宋体" w:hAnsi="宋体" w:eastAsia="宋体" w:cs="Times New Roman"/>
                <w:b/>
                <w:color w:val="auto"/>
                <w:sz w:val="21"/>
                <w:szCs w:val="21"/>
                <w:highlight w:val="none"/>
                <w:lang w:eastAsia="zh-CN"/>
              </w:rPr>
              <w:t xml:space="preserve"> 厂界噪声预测结果与达标分析表</w:t>
            </w:r>
            <w:bookmarkStart w:id="11" w:name="PT_7"/>
          </w:p>
          <w:bookmarkEnd w:id="11"/>
          <w:tbl>
            <w:tblPr>
              <w:tblStyle w:val="21"/>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1"/>
              <w:gridCol w:w="798"/>
              <w:gridCol w:w="798"/>
              <w:gridCol w:w="770"/>
              <w:gridCol w:w="935"/>
              <w:gridCol w:w="1350"/>
              <w:gridCol w:w="1351"/>
              <w:gridCol w:w="111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69" w:hRule="atLeast"/>
                <w:jc w:val="center"/>
              </w:trPr>
              <w:tc>
                <w:tcPr>
                  <w:tcW w:w="1031" w:type="dxa"/>
                  <w:vMerge w:val="restart"/>
                  <w:shd w:val="clear" w:color="auto" w:fill="auto"/>
                  <w:vAlign w:val="center"/>
                </w:tcPr>
                <w:p>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b/>
                      <w:color w:val="auto"/>
                      <w:sz w:val="21"/>
                      <w:szCs w:val="21"/>
                      <w:highlight w:val="none"/>
                    </w:rPr>
                    <w:t>预测方位</w:t>
                  </w:r>
                </w:p>
              </w:tc>
              <w:tc>
                <w:tcPr>
                  <w:tcW w:w="2366" w:type="dxa"/>
                  <w:gridSpan w:val="3"/>
                  <w:shd w:val="clear" w:color="auto" w:fill="auto"/>
                  <w:vAlign w:val="center"/>
                </w:tcPr>
                <w:p>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b/>
                      <w:color w:val="auto"/>
                      <w:sz w:val="21"/>
                      <w:szCs w:val="21"/>
                      <w:highlight w:val="none"/>
                      <w:lang w:val="en-US" w:eastAsia="zh-CN"/>
                    </w:rPr>
                    <w:t>最大值点</w:t>
                  </w:r>
                  <w:r>
                    <w:rPr>
                      <w:rFonts w:hint="default" w:ascii="Times New Roman" w:hAnsi="Times New Roman" w:cs="Times New Roman" w:eastAsiaTheme="minorEastAsia"/>
                      <w:b/>
                      <w:color w:val="auto"/>
                      <w:sz w:val="21"/>
                      <w:szCs w:val="21"/>
                      <w:highlight w:val="none"/>
                    </w:rPr>
                    <w:t>空间相对位置/m</w:t>
                  </w:r>
                </w:p>
              </w:tc>
              <w:tc>
                <w:tcPr>
                  <w:tcW w:w="935" w:type="dxa"/>
                  <w:vMerge w:val="restart"/>
                  <w:shd w:val="clear" w:color="auto" w:fill="auto"/>
                  <w:vAlign w:val="center"/>
                </w:tcPr>
                <w:p>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b/>
                      <w:color w:val="auto"/>
                      <w:sz w:val="21"/>
                      <w:szCs w:val="21"/>
                      <w:highlight w:val="none"/>
                    </w:rPr>
                    <w:t>时段</w:t>
                  </w:r>
                </w:p>
              </w:tc>
              <w:tc>
                <w:tcPr>
                  <w:tcW w:w="1350" w:type="dxa"/>
                  <w:vMerge w:val="restart"/>
                  <w:shd w:val="clear" w:color="auto" w:fill="auto"/>
                  <w:vAlign w:val="center"/>
                </w:tcPr>
                <w:p>
                  <w:pPr>
                    <w:jc w:val="center"/>
                    <w:rPr>
                      <w:rFonts w:hint="default" w:ascii="Times New Roman" w:hAnsi="Times New Roman" w:cs="Times New Roman" w:eastAsiaTheme="minorEastAsia"/>
                      <w:color w:val="auto"/>
                      <w:sz w:val="21"/>
                      <w:szCs w:val="21"/>
                      <w:highlight w:val="none"/>
                      <w:lang w:eastAsia="zh-CN"/>
                    </w:rPr>
                  </w:pPr>
                  <w:r>
                    <w:rPr>
                      <w:rFonts w:hint="default" w:ascii="Times New Roman" w:hAnsi="Times New Roman" w:cs="Times New Roman" w:eastAsiaTheme="minorEastAsia"/>
                      <w:b/>
                      <w:color w:val="auto"/>
                      <w:sz w:val="21"/>
                      <w:szCs w:val="21"/>
                      <w:highlight w:val="none"/>
                    </w:rPr>
                    <w:t>贡献值dB</w:t>
                  </w:r>
                  <w:r>
                    <w:rPr>
                      <w:rFonts w:hint="default" w:ascii="Times New Roman" w:hAnsi="Times New Roman" w:cs="Times New Roman" w:eastAsiaTheme="minorEastAsia"/>
                      <w:b/>
                      <w:color w:val="auto"/>
                      <w:sz w:val="21"/>
                      <w:szCs w:val="21"/>
                      <w:highlight w:val="none"/>
                      <w:lang w:eastAsia="zh-CN"/>
                    </w:rPr>
                    <w:t>（</w:t>
                  </w:r>
                  <w:r>
                    <w:rPr>
                      <w:rFonts w:hint="default" w:ascii="Times New Roman" w:hAnsi="Times New Roman" w:cs="Times New Roman" w:eastAsiaTheme="minorEastAsia"/>
                      <w:b/>
                      <w:color w:val="auto"/>
                      <w:sz w:val="21"/>
                      <w:szCs w:val="21"/>
                      <w:highlight w:val="none"/>
                    </w:rPr>
                    <w:t>A</w:t>
                  </w:r>
                  <w:r>
                    <w:rPr>
                      <w:rFonts w:hint="default" w:ascii="Times New Roman" w:hAnsi="Times New Roman" w:cs="Times New Roman" w:eastAsiaTheme="minorEastAsia"/>
                      <w:b/>
                      <w:color w:val="auto"/>
                      <w:sz w:val="21"/>
                      <w:szCs w:val="21"/>
                      <w:highlight w:val="none"/>
                      <w:lang w:eastAsia="zh-CN"/>
                    </w:rPr>
                    <w:t>）</w:t>
                  </w:r>
                </w:p>
              </w:tc>
              <w:tc>
                <w:tcPr>
                  <w:tcW w:w="1351" w:type="dxa"/>
                  <w:vMerge w:val="restart"/>
                  <w:shd w:val="clear" w:color="auto" w:fill="auto"/>
                  <w:vAlign w:val="center"/>
                </w:tcPr>
                <w:p>
                  <w:pPr>
                    <w:jc w:val="center"/>
                    <w:rPr>
                      <w:rFonts w:hint="default" w:ascii="Times New Roman" w:hAnsi="Times New Roman" w:cs="Times New Roman" w:eastAsiaTheme="minorEastAsia"/>
                      <w:color w:val="auto"/>
                      <w:sz w:val="21"/>
                      <w:szCs w:val="21"/>
                      <w:highlight w:val="none"/>
                      <w:lang w:eastAsia="zh-CN"/>
                    </w:rPr>
                  </w:pPr>
                  <w:r>
                    <w:rPr>
                      <w:rFonts w:hint="default" w:ascii="Times New Roman" w:hAnsi="Times New Roman" w:cs="Times New Roman" w:eastAsiaTheme="minorEastAsia"/>
                      <w:b/>
                      <w:color w:val="auto"/>
                      <w:sz w:val="21"/>
                      <w:szCs w:val="21"/>
                      <w:highlight w:val="none"/>
                    </w:rPr>
                    <w:t>标准限值dB</w:t>
                  </w:r>
                  <w:r>
                    <w:rPr>
                      <w:rFonts w:hint="default" w:ascii="Times New Roman" w:hAnsi="Times New Roman" w:cs="Times New Roman" w:eastAsiaTheme="minorEastAsia"/>
                      <w:b/>
                      <w:color w:val="auto"/>
                      <w:sz w:val="21"/>
                      <w:szCs w:val="21"/>
                      <w:highlight w:val="none"/>
                      <w:lang w:eastAsia="zh-CN"/>
                    </w:rPr>
                    <w:t>（</w:t>
                  </w:r>
                  <w:r>
                    <w:rPr>
                      <w:rFonts w:hint="default" w:ascii="Times New Roman" w:hAnsi="Times New Roman" w:cs="Times New Roman" w:eastAsiaTheme="minorEastAsia"/>
                      <w:b/>
                      <w:color w:val="auto"/>
                      <w:sz w:val="21"/>
                      <w:szCs w:val="21"/>
                      <w:highlight w:val="none"/>
                    </w:rPr>
                    <w:t>A</w:t>
                  </w:r>
                  <w:r>
                    <w:rPr>
                      <w:rFonts w:hint="default" w:ascii="Times New Roman" w:hAnsi="Times New Roman" w:cs="Times New Roman" w:eastAsiaTheme="minorEastAsia"/>
                      <w:b/>
                      <w:color w:val="auto"/>
                      <w:sz w:val="21"/>
                      <w:szCs w:val="21"/>
                      <w:highlight w:val="none"/>
                      <w:lang w:eastAsia="zh-CN"/>
                    </w:rPr>
                    <w:t>）</w:t>
                  </w:r>
                </w:p>
              </w:tc>
              <w:tc>
                <w:tcPr>
                  <w:tcW w:w="1110" w:type="dxa"/>
                  <w:vMerge w:val="restart"/>
                  <w:shd w:val="clear" w:color="auto" w:fill="auto"/>
                  <w:vAlign w:val="center"/>
                </w:tcPr>
                <w:p>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b/>
                      <w:color w:val="auto"/>
                      <w:sz w:val="21"/>
                      <w:szCs w:val="21"/>
                      <w:highlight w:val="none"/>
                    </w:rPr>
                    <w:t>达标情况</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69" w:hRule="atLeast"/>
                <w:jc w:val="center"/>
              </w:trPr>
              <w:tc>
                <w:tcPr>
                  <w:tcW w:w="1031" w:type="dxa"/>
                  <w:vMerge w:val="continue"/>
                  <w:shd w:val="clear" w:color="auto" w:fill="auto"/>
                  <w:vAlign w:val="center"/>
                </w:tcPr>
                <w:p>
                  <w:pPr>
                    <w:jc w:val="center"/>
                    <w:rPr>
                      <w:rFonts w:hint="default" w:ascii="Times New Roman" w:hAnsi="Times New Roman" w:cs="Times New Roman" w:eastAsiaTheme="minorEastAsia"/>
                      <w:color w:val="auto"/>
                      <w:sz w:val="21"/>
                      <w:szCs w:val="21"/>
                      <w:highlight w:val="none"/>
                    </w:rPr>
                  </w:pPr>
                </w:p>
              </w:tc>
              <w:tc>
                <w:tcPr>
                  <w:tcW w:w="798" w:type="dxa"/>
                  <w:shd w:val="clear" w:color="auto" w:fill="auto"/>
                  <w:vAlign w:val="center"/>
                </w:tcPr>
                <w:p>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X</w:t>
                  </w:r>
                </w:p>
              </w:tc>
              <w:tc>
                <w:tcPr>
                  <w:tcW w:w="798" w:type="dxa"/>
                  <w:shd w:val="clear" w:color="auto" w:fill="auto"/>
                  <w:vAlign w:val="center"/>
                </w:tcPr>
                <w:p>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Y</w:t>
                  </w:r>
                </w:p>
              </w:tc>
              <w:tc>
                <w:tcPr>
                  <w:tcW w:w="770" w:type="dxa"/>
                  <w:shd w:val="clear" w:color="auto" w:fill="auto"/>
                  <w:vAlign w:val="center"/>
                </w:tcPr>
                <w:p>
                  <w:pPr>
                    <w:jc w:val="center"/>
                    <w:rPr>
                      <w:rFonts w:hint="default" w:ascii="Times New Roman" w:hAnsi="Times New Roman" w:cs="Times New Roman" w:eastAsiaTheme="minorEastAsia"/>
                      <w:color w:val="auto"/>
                      <w:sz w:val="21"/>
                      <w:szCs w:val="21"/>
                      <w:highlight w:val="none"/>
                    </w:rPr>
                  </w:pPr>
                  <w:r>
                    <w:rPr>
                      <w:rFonts w:hint="default" w:ascii="Times New Roman" w:hAnsi="Times New Roman" w:cs="Times New Roman" w:eastAsiaTheme="minorEastAsia"/>
                      <w:color w:val="auto"/>
                      <w:sz w:val="21"/>
                      <w:szCs w:val="21"/>
                      <w:highlight w:val="none"/>
                    </w:rPr>
                    <w:t>Z</w:t>
                  </w:r>
                </w:p>
              </w:tc>
              <w:tc>
                <w:tcPr>
                  <w:tcW w:w="935" w:type="dxa"/>
                  <w:vMerge w:val="continue"/>
                  <w:shd w:val="clear" w:color="auto" w:fill="auto"/>
                  <w:vAlign w:val="center"/>
                </w:tcPr>
                <w:p>
                  <w:pPr>
                    <w:jc w:val="center"/>
                    <w:rPr>
                      <w:rFonts w:hint="default" w:ascii="Times New Roman" w:hAnsi="Times New Roman" w:cs="Times New Roman" w:eastAsiaTheme="minorEastAsia"/>
                      <w:color w:val="auto"/>
                      <w:sz w:val="21"/>
                      <w:szCs w:val="21"/>
                      <w:highlight w:val="none"/>
                    </w:rPr>
                  </w:pPr>
                </w:p>
              </w:tc>
              <w:tc>
                <w:tcPr>
                  <w:tcW w:w="1350" w:type="dxa"/>
                  <w:vMerge w:val="continue"/>
                  <w:shd w:val="clear" w:color="auto" w:fill="auto"/>
                  <w:vAlign w:val="center"/>
                </w:tcPr>
                <w:p>
                  <w:pPr>
                    <w:jc w:val="center"/>
                    <w:rPr>
                      <w:rFonts w:hint="default" w:ascii="Times New Roman" w:hAnsi="Times New Roman" w:cs="Times New Roman" w:eastAsiaTheme="minorEastAsia"/>
                      <w:color w:val="auto"/>
                      <w:sz w:val="21"/>
                      <w:szCs w:val="21"/>
                      <w:highlight w:val="none"/>
                    </w:rPr>
                  </w:pPr>
                </w:p>
              </w:tc>
              <w:tc>
                <w:tcPr>
                  <w:tcW w:w="1351" w:type="dxa"/>
                  <w:vMerge w:val="continue"/>
                  <w:shd w:val="clear" w:color="auto" w:fill="auto"/>
                  <w:vAlign w:val="center"/>
                </w:tcPr>
                <w:p>
                  <w:pPr>
                    <w:jc w:val="center"/>
                    <w:rPr>
                      <w:rFonts w:hint="default" w:ascii="Times New Roman" w:hAnsi="Times New Roman" w:cs="Times New Roman" w:eastAsiaTheme="minorEastAsia"/>
                      <w:color w:val="auto"/>
                      <w:sz w:val="21"/>
                      <w:szCs w:val="21"/>
                      <w:highlight w:val="none"/>
                    </w:rPr>
                  </w:pPr>
                </w:p>
              </w:tc>
              <w:tc>
                <w:tcPr>
                  <w:tcW w:w="1110" w:type="dxa"/>
                  <w:vMerge w:val="continue"/>
                  <w:shd w:val="clear" w:color="auto" w:fill="auto"/>
                  <w:vAlign w:val="center"/>
                </w:tcPr>
                <w:p>
                  <w:pPr>
                    <w:jc w:val="center"/>
                    <w:rPr>
                      <w:rFonts w:hint="default" w:ascii="Times New Roman" w:hAnsi="Times New Roman" w:cs="Times New Roman" w:eastAsiaTheme="minorEastAsia"/>
                      <w:color w:val="auto"/>
                      <w:sz w:val="21"/>
                      <w:szCs w:val="21"/>
                      <w:highlight w:val="none"/>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PrEx>
              <w:trPr>
                <w:trHeight w:val="369" w:hRule="atLeast"/>
                <w:jc w:val="center"/>
              </w:trPr>
              <w:tc>
                <w:tcPr>
                  <w:tcW w:w="1031" w:type="dxa"/>
                  <w:vMerge w:val="restart"/>
                  <w:shd w:val="clear" w:color="auto" w:fill="auto"/>
                  <w:vAlign w:val="center"/>
                </w:tcPr>
                <w:p>
                  <w:pPr>
                    <w:jc w:val="center"/>
                    <w:rPr>
                      <w:rFonts w:hint="default" w:ascii="Times New Roman" w:hAnsi="Times New Roman" w:cs="Times New Roman"/>
                      <w:color w:val="auto"/>
                      <w:sz w:val="21"/>
                      <w:szCs w:val="21"/>
                      <w:highlight w:val="none"/>
                    </w:rPr>
                  </w:pPr>
                  <w:r>
                    <w:rPr>
                      <w:rFonts w:hint="default" w:ascii="Times New Roman" w:hAnsi="Times New Roman" w:eastAsia="Arial" w:cs="Times New Roman"/>
                      <w:color w:val="auto"/>
                      <w:sz w:val="21"/>
                      <w:szCs w:val="21"/>
                      <w:highlight w:val="none"/>
                    </w:rPr>
                    <w:t>东侧</w:t>
                  </w:r>
                </w:p>
              </w:tc>
              <w:tc>
                <w:tcPr>
                  <w:tcW w:w="798" w:type="dxa"/>
                  <w:shd w:val="clear" w:color="auto" w:fill="auto"/>
                  <w:vAlign w:val="center"/>
                </w:tcPr>
                <w:p>
                  <w:pPr>
                    <w:jc w:val="center"/>
                    <w:rPr>
                      <w:rFonts w:hint="default" w:ascii="Times New Roman" w:hAnsi="Times New Roman" w:cs="Times New Roman"/>
                      <w:color w:val="auto"/>
                      <w:sz w:val="21"/>
                      <w:szCs w:val="21"/>
                      <w:highlight w:val="none"/>
                    </w:rPr>
                  </w:pPr>
                  <w:r>
                    <w:rPr>
                      <w:rFonts w:hint="default" w:ascii="Times New Roman" w:hAnsi="Times New Roman" w:eastAsia="Arial" w:cs="Times New Roman"/>
                      <w:color w:val="auto"/>
                      <w:sz w:val="21"/>
                      <w:szCs w:val="21"/>
                      <w:highlight w:val="none"/>
                    </w:rPr>
                    <w:t>176</w:t>
                  </w:r>
                </w:p>
              </w:tc>
              <w:tc>
                <w:tcPr>
                  <w:tcW w:w="798" w:type="dxa"/>
                  <w:shd w:val="clear" w:color="auto" w:fill="auto"/>
                  <w:vAlign w:val="center"/>
                </w:tcPr>
                <w:p>
                  <w:pPr>
                    <w:jc w:val="center"/>
                    <w:rPr>
                      <w:rFonts w:hint="default" w:ascii="Times New Roman" w:hAnsi="Times New Roman" w:cs="Times New Roman"/>
                      <w:color w:val="auto"/>
                      <w:sz w:val="21"/>
                      <w:szCs w:val="21"/>
                      <w:highlight w:val="none"/>
                    </w:rPr>
                  </w:pPr>
                  <w:r>
                    <w:rPr>
                      <w:rFonts w:hint="default" w:ascii="Times New Roman" w:hAnsi="Times New Roman" w:eastAsia="Arial" w:cs="Times New Roman"/>
                      <w:color w:val="auto"/>
                      <w:sz w:val="21"/>
                      <w:szCs w:val="21"/>
                      <w:highlight w:val="none"/>
                    </w:rPr>
                    <w:t>-31.9</w:t>
                  </w:r>
                </w:p>
              </w:tc>
              <w:tc>
                <w:tcPr>
                  <w:tcW w:w="770" w:type="dxa"/>
                  <w:shd w:val="clear" w:color="auto" w:fill="auto"/>
                  <w:vAlign w:val="center"/>
                </w:tcPr>
                <w:p>
                  <w:pPr>
                    <w:jc w:val="center"/>
                    <w:rPr>
                      <w:rFonts w:hint="default" w:ascii="Times New Roman" w:hAnsi="Times New Roman" w:cs="Times New Roman"/>
                      <w:color w:val="auto"/>
                      <w:sz w:val="21"/>
                      <w:szCs w:val="21"/>
                      <w:highlight w:val="none"/>
                    </w:rPr>
                  </w:pPr>
                  <w:r>
                    <w:rPr>
                      <w:rFonts w:hint="default" w:ascii="Times New Roman" w:hAnsi="Times New Roman" w:eastAsia="Arial" w:cs="Times New Roman"/>
                      <w:color w:val="auto"/>
                      <w:sz w:val="21"/>
                      <w:szCs w:val="21"/>
                      <w:highlight w:val="none"/>
                    </w:rPr>
                    <w:t>1.2</w:t>
                  </w:r>
                </w:p>
              </w:tc>
              <w:tc>
                <w:tcPr>
                  <w:tcW w:w="935" w:type="dxa"/>
                  <w:shd w:val="clear" w:color="auto" w:fill="auto"/>
                  <w:vAlign w:val="center"/>
                </w:tcPr>
                <w:p>
                  <w:pPr>
                    <w:jc w:val="center"/>
                    <w:rPr>
                      <w:rFonts w:hint="default" w:ascii="Times New Roman" w:hAnsi="Times New Roman" w:cs="Times New Roman"/>
                      <w:color w:val="auto"/>
                      <w:sz w:val="21"/>
                      <w:szCs w:val="21"/>
                      <w:highlight w:val="none"/>
                    </w:rPr>
                  </w:pPr>
                  <w:r>
                    <w:rPr>
                      <w:rFonts w:hint="default" w:ascii="Times New Roman" w:hAnsi="Times New Roman" w:eastAsia="Arial" w:cs="Times New Roman"/>
                      <w:color w:val="auto"/>
                      <w:sz w:val="21"/>
                      <w:szCs w:val="21"/>
                      <w:highlight w:val="none"/>
                    </w:rPr>
                    <w:t>昼间</w:t>
                  </w:r>
                </w:p>
              </w:tc>
              <w:tc>
                <w:tcPr>
                  <w:tcW w:w="1350" w:type="dxa"/>
                  <w:shd w:val="clear" w:color="auto" w:fill="auto"/>
                  <w:vAlign w:val="center"/>
                </w:tcPr>
                <w:p>
                  <w:pPr>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52.6</w:t>
                  </w:r>
                </w:p>
              </w:tc>
              <w:tc>
                <w:tcPr>
                  <w:tcW w:w="1351" w:type="dxa"/>
                  <w:shd w:val="clear" w:color="auto" w:fill="auto"/>
                  <w:vAlign w:val="center"/>
                </w:tcPr>
                <w:p>
                  <w:pPr>
                    <w:jc w:val="center"/>
                    <w:rPr>
                      <w:rFonts w:hint="default" w:ascii="Times New Roman" w:hAnsi="Times New Roman" w:cs="Times New Roman"/>
                      <w:color w:val="auto"/>
                      <w:sz w:val="21"/>
                      <w:szCs w:val="21"/>
                      <w:highlight w:val="none"/>
                    </w:rPr>
                  </w:pPr>
                  <w:r>
                    <w:rPr>
                      <w:rFonts w:hint="default" w:ascii="Times New Roman" w:hAnsi="Times New Roman" w:eastAsia="Arial" w:cs="Times New Roman"/>
                      <w:color w:val="auto"/>
                      <w:sz w:val="21"/>
                      <w:szCs w:val="21"/>
                      <w:highlight w:val="none"/>
                    </w:rPr>
                    <w:t>65</w:t>
                  </w:r>
                </w:p>
              </w:tc>
              <w:tc>
                <w:tcPr>
                  <w:tcW w:w="1110" w:type="dxa"/>
                  <w:shd w:val="clear" w:color="auto" w:fill="auto"/>
                  <w:vAlign w:val="center"/>
                </w:tcPr>
                <w:p>
                  <w:pPr>
                    <w:jc w:val="center"/>
                    <w:rPr>
                      <w:rFonts w:hint="default" w:ascii="Times New Roman" w:hAnsi="Times New Roman" w:cs="Times New Roman"/>
                      <w:color w:val="auto"/>
                      <w:sz w:val="21"/>
                      <w:szCs w:val="21"/>
                      <w:highlight w:val="none"/>
                    </w:rPr>
                  </w:pPr>
                  <w:r>
                    <w:rPr>
                      <w:rFonts w:hint="default" w:ascii="Times New Roman" w:hAnsi="Times New Roman" w:eastAsia="Arial" w:cs="Times New Roman"/>
                      <w:color w:val="auto"/>
                      <w:sz w:val="21"/>
                      <w:szCs w:val="21"/>
                      <w:highlight w:val="none"/>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PrEx>
              <w:trPr>
                <w:trHeight w:val="369" w:hRule="atLeast"/>
                <w:jc w:val="center"/>
              </w:trPr>
              <w:tc>
                <w:tcPr>
                  <w:tcW w:w="1031" w:type="dxa"/>
                  <w:vMerge w:val="continue"/>
                  <w:shd w:val="clear" w:color="auto" w:fill="auto"/>
                  <w:vAlign w:val="center"/>
                </w:tcPr>
                <w:p>
                  <w:pPr>
                    <w:jc w:val="center"/>
                    <w:rPr>
                      <w:rFonts w:hint="default" w:ascii="Times New Roman" w:hAnsi="Times New Roman" w:cs="Times New Roman"/>
                      <w:color w:val="auto"/>
                      <w:sz w:val="21"/>
                      <w:szCs w:val="21"/>
                      <w:highlight w:val="none"/>
                    </w:rPr>
                  </w:pPr>
                </w:p>
              </w:tc>
              <w:tc>
                <w:tcPr>
                  <w:tcW w:w="798" w:type="dxa"/>
                  <w:shd w:val="clear" w:color="auto" w:fill="auto"/>
                  <w:vAlign w:val="center"/>
                </w:tcPr>
                <w:p>
                  <w:pPr>
                    <w:jc w:val="center"/>
                    <w:rPr>
                      <w:rFonts w:hint="default" w:ascii="Times New Roman" w:hAnsi="Times New Roman" w:cs="Times New Roman"/>
                      <w:color w:val="auto"/>
                      <w:sz w:val="21"/>
                      <w:szCs w:val="21"/>
                      <w:highlight w:val="none"/>
                    </w:rPr>
                  </w:pPr>
                  <w:r>
                    <w:rPr>
                      <w:rFonts w:hint="default" w:ascii="Times New Roman" w:hAnsi="Times New Roman" w:eastAsia="Arial" w:cs="Times New Roman"/>
                      <w:color w:val="auto"/>
                      <w:sz w:val="21"/>
                      <w:szCs w:val="21"/>
                      <w:highlight w:val="none"/>
                    </w:rPr>
                    <w:t>176</w:t>
                  </w:r>
                </w:p>
              </w:tc>
              <w:tc>
                <w:tcPr>
                  <w:tcW w:w="798" w:type="dxa"/>
                  <w:shd w:val="clear" w:color="auto" w:fill="auto"/>
                  <w:vAlign w:val="center"/>
                </w:tcPr>
                <w:p>
                  <w:pPr>
                    <w:jc w:val="center"/>
                    <w:rPr>
                      <w:rFonts w:hint="default" w:ascii="Times New Roman" w:hAnsi="Times New Roman" w:cs="Times New Roman"/>
                      <w:color w:val="auto"/>
                      <w:sz w:val="21"/>
                      <w:szCs w:val="21"/>
                      <w:highlight w:val="none"/>
                    </w:rPr>
                  </w:pPr>
                  <w:r>
                    <w:rPr>
                      <w:rFonts w:hint="default" w:ascii="Times New Roman" w:hAnsi="Times New Roman" w:eastAsia="Arial" w:cs="Times New Roman"/>
                      <w:color w:val="auto"/>
                      <w:sz w:val="21"/>
                      <w:szCs w:val="21"/>
                      <w:highlight w:val="none"/>
                    </w:rPr>
                    <w:t>-31.9</w:t>
                  </w:r>
                </w:p>
              </w:tc>
              <w:tc>
                <w:tcPr>
                  <w:tcW w:w="770" w:type="dxa"/>
                  <w:shd w:val="clear" w:color="auto" w:fill="auto"/>
                  <w:vAlign w:val="center"/>
                </w:tcPr>
                <w:p>
                  <w:pPr>
                    <w:jc w:val="center"/>
                    <w:rPr>
                      <w:rFonts w:hint="default" w:ascii="Times New Roman" w:hAnsi="Times New Roman" w:cs="Times New Roman"/>
                      <w:color w:val="auto"/>
                      <w:sz w:val="21"/>
                      <w:szCs w:val="21"/>
                      <w:highlight w:val="none"/>
                    </w:rPr>
                  </w:pPr>
                  <w:r>
                    <w:rPr>
                      <w:rFonts w:hint="default" w:ascii="Times New Roman" w:hAnsi="Times New Roman" w:eastAsia="Arial" w:cs="Times New Roman"/>
                      <w:color w:val="auto"/>
                      <w:sz w:val="21"/>
                      <w:szCs w:val="21"/>
                      <w:highlight w:val="none"/>
                    </w:rPr>
                    <w:t>1.2</w:t>
                  </w:r>
                </w:p>
              </w:tc>
              <w:tc>
                <w:tcPr>
                  <w:tcW w:w="935" w:type="dxa"/>
                  <w:shd w:val="clear" w:color="auto" w:fill="auto"/>
                  <w:vAlign w:val="center"/>
                </w:tcPr>
                <w:p>
                  <w:pPr>
                    <w:jc w:val="center"/>
                    <w:rPr>
                      <w:rFonts w:hint="default" w:ascii="Times New Roman" w:hAnsi="Times New Roman" w:cs="Times New Roman"/>
                      <w:color w:val="auto"/>
                      <w:sz w:val="21"/>
                      <w:szCs w:val="21"/>
                      <w:highlight w:val="none"/>
                    </w:rPr>
                  </w:pPr>
                  <w:r>
                    <w:rPr>
                      <w:rFonts w:hint="default" w:ascii="Times New Roman" w:hAnsi="Times New Roman" w:eastAsia="Arial" w:cs="Times New Roman"/>
                      <w:color w:val="auto"/>
                      <w:sz w:val="21"/>
                      <w:szCs w:val="21"/>
                      <w:highlight w:val="none"/>
                    </w:rPr>
                    <w:t>夜间</w:t>
                  </w:r>
                </w:p>
              </w:tc>
              <w:tc>
                <w:tcPr>
                  <w:tcW w:w="1350" w:type="dxa"/>
                  <w:shd w:val="clear" w:color="auto" w:fill="auto"/>
                  <w:vAlign w:val="center"/>
                </w:tcPr>
                <w:p>
                  <w:pPr>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52.6</w:t>
                  </w:r>
                </w:p>
              </w:tc>
              <w:tc>
                <w:tcPr>
                  <w:tcW w:w="1351" w:type="dxa"/>
                  <w:shd w:val="clear" w:color="auto" w:fill="auto"/>
                  <w:vAlign w:val="center"/>
                </w:tcPr>
                <w:p>
                  <w:pPr>
                    <w:jc w:val="center"/>
                    <w:rPr>
                      <w:rFonts w:hint="default" w:ascii="Times New Roman" w:hAnsi="Times New Roman" w:cs="Times New Roman"/>
                      <w:color w:val="auto"/>
                      <w:sz w:val="21"/>
                      <w:szCs w:val="21"/>
                      <w:highlight w:val="none"/>
                    </w:rPr>
                  </w:pPr>
                  <w:r>
                    <w:rPr>
                      <w:rFonts w:hint="default" w:ascii="Times New Roman" w:hAnsi="Times New Roman" w:eastAsia="Arial" w:cs="Times New Roman"/>
                      <w:color w:val="auto"/>
                      <w:sz w:val="21"/>
                      <w:szCs w:val="21"/>
                      <w:highlight w:val="none"/>
                    </w:rPr>
                    <w:t>55</w:t>
                  </w:r>
                </w:p>
              </w:tc>
              <w:tc>
                <w:tcPr>
                  <w:tcW w:w="1110" w:type="dxa"/>
                  <w:shd w:val="clear" w:color="auto" w:fill="auto"/>
                  <w:vAlign w:val="center"/>
                </w:tcPr>
                <w:p>
                  <w:pPr>
                    <w:jc w:val="center"/>
                    <w:rPr>
                      <w:rFonts w:hint="default" w:ascii="Times New Roman" w:hAnsi="Times New Roman" w:cs="Times New Roman"/>
                      <w:color w:val="auto"/>
                      <w:sz w:val="21"/>
                      <w:szCs w:val="21"/>
                      <w:highlight w:val="none"/>
                    </w:rPr>
                  </w:pPr>
                  <w:r>
                    <w:rPr>
                      <w:rFonts w:hint="default" w:ascii="Times New Roman" w:hAnsi="Times New Roman" w:eastAsia="Arial" w:cs="Times New Roman"/>
                      <w:color w:val="auto"/>
                      <w:sz w:val="21"/>
                      <w:szCs w:val="21"/>
                      <w:highlight w:val="none"/>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PrEx>
              <w:trPr>
                <w:trHeight w:val="369" w:hRule="atLeast"/>
                <w:jc w:val="center"/>
              </w:trPr>
              <w:tc>
                <w:tcPr>
                  <w:tcW w:w="1031" w:type="dxa"/>
                  <w:vMerge w:val="restart"/>
                  <w:shd w:val="clear" w:color="auto" w:fill="auto"/>
                  <w:vAlign w:val="center"/>
                </w:tcPr>
                <w:p>
                  <w:pPr>
                    <w:jc w:val="center"/>
                    <w:rPr>
                      <w:rFonts w:hint="default" w:ascii="Times New Roman" w:hAnsi="Times New Roman" w:cs="Times New Roman"/>
                      <w:color w:val="auto"/>
                      <w:sz w:val="21"/>
                      <w:szCs w:val="21"/>
                      <w:highlight w:val="none"/>
                    </w:rPr>
                  </w:pPr>
                  <w:r>
                    <w:rPr>
                      <w:rFonts w:hint="default" w:ascii="Times New Roman" w:hAnsi="Times New Roman" w:eastAsia="Arial" w:cs="Times New Roman"/>
                      <w:color w:val="auto"/>
                      <w:sz w:val="21"/>
                      <w:szCs w:val="21"/>
                      <w:highlight w:val="none"/>
                    </w:rPr>
                    <w:t>南侧</w:t>
                  </w:r>
                </w:p>
              </w:tc>
              <w:tc>
                <w:tcPr>
                  <w:tcW w:w="798" w:type="dxa"/>
                  <w:shd w:val="clear" w:color="auto" w:fill="auto"/>
                  <w:vAlign w:val="center"/>
                </w:tcPr>
                <w:p>
                  <w:pPr>
                    <w:jc w:val="center"/>
                    <w:rPr>
                      <w:rFonts w:hint="default" w:ascii="Times New Roman" w:hAnsi="Times New Roman" w:cs="Times New Roman"/>
                      <w:color w:val="auto"/>
                      <w:sz w:val="21"/>
                      <w:szCs w:val="21"/>
                      <w:highlight w:val="none"/>
                    </w:rPr>
                  </w:pPr>
                  <w:r>
                    <w:rPr>
                      <w:rFonts w:hint="default" w:ascii="Times New Roman" w:hAnsi="Times New Roman" w:eastAsia="Arial" w:cs="Times New Roman"/>
                      <w:color w:val="auto"/>
                      <w:sz w:val="21"/>
                      <w:szCs w:val="21"/>
                      <w:highlight w:val="none"/>
                    </w:rPr>
                    <w:t>31.3</w:t>
                  </w:r>
                </w:p>
              </w:tc>
              <w:tc>
                <w:tcPr>
                  <w:tcW w:w="798" w:type="dxa"/>
                  <w:shd w:val="clear" w:color="auto" w:fill="auto"/>
                  <w:vAlign w:val="center"/>
                </w:tcPr>
                <w:p>
                  <w:pPr>
                    <w:jc w:val="center"/>
                    <w:rPr>
                      <w:rFonts w:hint="default" w:ascii="Times New Roman" w:hAnsi="Times New Roman" w:cs="Times New Roman"/>
                      <w:color w:val="auto"/>
                      <w:sz w:val="21"/>
                      <w:szCs w:val="21"/>
                      <w:highlight w:val="none"/>
                    </w:rPr>
                  </w:pPr>
                  <w:r>
                    <w:rPr>
                      <w:rFonts w:hint="default" w:ascii="Times New Roman" w:hAnsi="Times New Roman" w:eastAsia="Arial" w:cs="Times New Roman"/>
                      <w:color w:val="auto"/>
                      <w:sz w:val="21"/>
                      <w:szCs w:val="21"/>
                      <w:highlight w:val="none"/>
                    </w:rPr>
                    <w:t>-162.8</w:t>
                  </w:r>
                </w:p>
              </w:tc>
              <w:tc>
                <w:tcPr>
                  <w:tcW w:w="770" w:type="dxa"/>
                  <w:shd w:val="clear" w:color="auto" w:fill="auto"/>
                  <w:vAlign w:val="center"/>
                </w:tcPr>
                <w:p>
                  <w:pPr>
                    <w:jc w:val="center"/>
                    <w:rPr>
                      <w:rFonts w:hint="default" w:ascii="Times New Roman" w:hAnsi="Times New Roman" w:cs="Times New Roman"/>
                      <w:color w:val="auto"/>
                      <w:sz w:val="21"/>
                      <w:szCs w:val="21"/>
                      <w:highlight w:val="none"/>
                    </w:rPr>
                  </w:pPr>
                  <w:r>
                    <w:rPr>
                      <w:rFonts w:hint="default" w:ascii="Times New Roman" w:hAnsi="Times New Roman" w:eastAsia="Arial" w:cs="Times New Roman"/>
                      <w:color w:val="auto"/>
                      <w:sz w:val="21"/>
                      <w:szCs w:val="21"/>
                      <w:highlight w:val="none"/>
                    </w:rPr>
                    <w:t>1.2</w:t>
                  </w:r>
                </w:p>
              </w:tc>
              <w:tc>
                <w:tcPr>
                  <w:tcW w:w="935" w:type="dxa"/>
                  <w:shd w:val="clear" w:color="auto" w:fill="auto"/>
                  <w:vAlign w:val="center"/>
                </w:tcPr>
                <w:p>
                  <w:pPr>
                    <w:jc w:val="center"/>
                    <w:rPr>
                      <w:rFonts w:hint="default" w:ascii="Times New Roman" w:hAnsi="Times New Roman" w:cs="Times New Roman"/>
                      <w:color w:val="auto"/>
                      <w:sz w:val="21"/>
                      <w:szCs w:val="21"/>
                      <w:highlight w:val="none"/>
                    </w:rPr>
                  </w:pPr>
                  <w:r>
                    <w:rPr>
                      <w:rFonts w:hint="default" w:ascii="Times New Roman" w:hAnsi="Times New Roman" w:eastAsia="Arial" w:cs="Times New Roman"/>
                      <w:color w:val="auto"/>
                      <w:sz w:val="21"/>
                      <w:szCs w:val="21"/>
                      <w:highlight w:val="none"/>
                    </w:rPr>
                    <w:t>昼间</w:t>
                  </w:r>
                </w:p>
              </w:tc>
              <w:tc>
                <w:tcPr>
                  <w:tcW w:w="1350" w:type="dxa"/>
                  <w:shd w:val="clear" w:color="auto" w:fill="auto"/>
                  <w:vAlign w:val="center"/>
                </w:tcPr>
                <w:p>
                  <w:pPr>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41.2</w:t>
                  </w:r>
                </w:p>
              </w:tc>
              <w:tc>
                <w:tcPr>
                  <w:tcW w:w="1351" w:type="dxa"/>
                  <w:shd w:val="clear" w:color="auto" w:fill="auto"/>
                  <w:vAlign w:val="center"/>
                </w:tcPr>
                <w:p>
                  <w:pPr>
                    <w:jc w:val="center"/>
                    <w:rPr>
                      <w:rFonts w:hint="default" w:ascii="Times New Roman" w:hAnsi="Times New Roman" w:cs="Times New Roman"/>
                      <w:color w:val="auto"/>
                      <w:sz w:val="21"/>
                      <w:szCs w:val="21"/>
                      <w:highlight w:val="none"/>
                    </w:rPr>
                  </w:pPr>
                  <w:r>
                    <w:rPr>
                      <w:rFonts w:hint="default" w:ascii="Times New Roman" w:hAnsi="Times New Roman" w:eastAsia="Arial" w:cs="Times New Roman"/>
                      <w:color w:val="auto"/>
                      <w:sz w:val="21"/>
                      <w:szCs w:val="21"/>
                      <w:highlight w:val="none"/>
                    </w:rPr>
                    <w:t>65</w:t>
                  </w:r>
                </w:p>
              </w:tc>
              <w:tc>
                <w:tcPr>
                  <w:tcW w:w="1110" w:type="dxa"/>
                  <w:shd w:val="clear" w:color="auto" w:fill="auto"/>
                  <w:vAlign w:val="center"/>
                </w:tcPr>
                <w:p>
                  <w:pPr>
                    <w:jc w:val="center"/>
                    <w:rPr>
                      <w:rFonts w:hint="default" w:ascii="Times New Roman" w:hAnsi="Times New Roman" w:cs="Times New Roman"/>
                      <w:color w:val="auto"/>
                      <w:sz w:val="21"/>
                      <w:szCs w:val="21"/>
                      <w:highlight w:val="none"/>
                    </w:rPr>
                  </w:pPr>
                  <w:r>
                    <w:rPr>
                      <w:rFonts w:hint="default" w:ascii="Times New Roman" w:hAnsi="Times New Roman" w:eastAsia="Arial" w:cs="Times New Roman"/>
                      <w:color w:val="auto"/>
                      <w:sz w:val="21"/>
                      <w:szCs w:val="21"/>
                      <w:highlight w:val="none"/>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PrEx>
              <w:trPr>
                <w:trHeight w:val="369" w:hRule="atLeast"/>
                <w:jc w:val="center"/>
              </w:trPr>
              <w:tc>
                <w:tcPr>
                  <w:tcW w:w="1031" w:type="dxa"/>
                  <w:vMerge w:val="continue"/>
                  <w:shd w:val="clear" w:color="auto" w:fill="auto"/>
                  <w:vAlign w:val="center"/>
                </w:tcPr>
                <w:p>
                  <w:pPr>
                    <w:jc w:val="center"/>
                    <w:rPr>
                      <w:rFonts w:hint="default" w:ascii="Times New Roman" w:hAnsi="Times New Roman" w:cs="Times New Roman"/>
                      <w:color w:val="auto"/>
                      <w:sz w:val="21"/>
                      <w:szCs w:val="21"/>
                      <w:highlight w:val="none"/>
                    </w:rPr>
                  </w:pPr>
                </w:p>
              </w:tc>
              <w:tc>
                <w:tcPr>
                  <w:tcW w:w="798" w:type="dxa"/>
                  <w:shd w:val="clear" w:color="auto" w:fill="auto"/>
                  <w:vAlign w:val="center"/>
                </w:tcPr>
                <w:p>
                  <w:pPr>
                    <w:jc w:val="center"/>
                    <w:rPr>
                      <w:rFonts w:hint="default" w:ascii="Times New Roman" w:hAnsi="Times New Roman" w:cs="Times New Roman"/>
                      <w:color w:val="auto"/>
                      <w:sz w:val="21"/>
                      <w:szCs w:val="21"/>
                      <w:highlight w:val="none"/>
                    </w:rPr>
                  </w:pPr>
                  <w:r>
                    <w:rPr>
                      <w:rFonts w:hint="default" w:ascii="Times New Roman" w:hAnsi="Times New Roman" w:eastAsia="Arial" w:cs="Times New Roman"/>
                      <w:color w:val="auto"/>
                      <w:sz w:val="21"/>
                      <w:szCs w:val="21"/>
                      <w:highlight w:val="none"/>
                    </w:rPr>
                    <w:t>31.3</w:t>
                  </w:r>
                </w:p>
              </w:tc>
              <w:tc>
                <w:tcPr>
                  <w:tcW w:w="798" w:type="dxa"/>
                  <w:shd w:val="clear" w:color="auto" w:fill="auto"/>
                  <w:vAlign w:val="center"/>
                </w:tcPr>
                <w:p>
                  <w:pPr>
                    <w:jc w:val="center"/>
                    <w:rPr>
                      <w:rFonts w:hint="default" w:ascii="Times New Roman" w:hAnsi="Times New Roman" w:cs="Times New Roman"/>
                      <w:color w:val="auto"/>
                      <w:sz w:val="21"/>
                      <w:szCs w:val="21"/>
                      <w:highlight w:val="none"/>
                    </w:rPr>
                  </w:pPr>
                  <w:r>
                    <w:rPr>
                      <w:rFonts w:hint="default" w:ascii="Times New Roman" w:hAnsi="Times New Roman" w:eastAsia="Arial" w:cs="Times New Roman"/>
                      <w:color w:val="auto"/>
                      <w:sz w:val="21"/>
                      <w:szCs w:val="21"/>
                      <w:highlight w:val="none"/>
                    </w:rPr>
                    <w:t>-162.8</w:t>
                  </w:r>
                </w:p>
              </w:tc>
              <w:tc>
                <w:tcPr>
                  <w:tcW w:w="770" w:type="dxa"/>
                  <w:shd w:val="clear" w:color="auto" w:fill="auto"/>
                  <w:vAlign w:val="center"/>
                </w:tcPr>
                <w:p>
                  <w:pPr>
                    <w:jc w:val="center"/>
                    <w:rPr>
                      <w:rFonts w:hint="default" w:ascii="Times New Roman" w:hAnsi="Times New Roman" w:cs="Times New Roman"/>
                      <w:color w:val="auto"/>
                      <w:sz w:val="21"/>
                      <w:szCs w:val="21"/>
                      <w:highlight w:val="none"/>
                    </w:rPr>
                  </w:pPr>
                  <w:r>
                    <w:rPr>
                      <w:rFonts w:hint="default" w:ascii="Times New Roman" w:hAnsi="Times New Roman" w:eastAsia="Arial" w:cs="Times New Roman"/>
                      <w:color w:val="auto"/>
                      <w:sz w:val="21"/>
                      <w:szCs w:val="21"/>
                      <w:highlight w:val="none"/>
                    </w:rPr>
                    <w:t>1.2</w:t>
                  </w:r>
                </w:p>
              </w:tc>
              <w:tc>
                <w:tcPr>
                  <w:tcW w:w="935" w:type="dxa"/>
                  <w:shd w:val="clear" w:color="auto" w:fill="auto"/>
                  <w:vAlign w:val="center"/>
                </w:tcPr>
                <w:p>
                  <w:pPr>
                    <w:jc w:val="center"/>
                    <w:rPr>
                      <w:rFonts w:hint="default" w:ascii="Times New Roman" w:hAnsi="Times New Roman" w:cs="Times New Roman"/>
                      <w:color w:val="auto"/>
                      <w:sz w:val="21"/>
                      <w:szCs w:val="21"/>
                      <w:highlight w:val="none"/>
                    </w:rPr>
                  </w:pPr>
                  <w:r>
                    <w:rPr>
                      <w:rFonts w:hint="default" w:ascii="Times New Roman" w:hAnsi="Times New Roman" w:eastAsia="Arial" w:cs="Times New Roman"/>
                      <w:color w:val="auto"/>
                      <w:sz w:val="21"/>
                      <w:szCs w:val="21"/>
                      <w:highlight w:val="none"/>
                    </w:rPr>
                    <w:t>夜间</w:t>
                  </w:r>
                </w:p>
              </w:tc>
              <w:tc>
                <w:tcPr>
                  <w:tcW w:w="1350" w:type="dxa"/>
                  <w:shd w:val="clear" w:color="auto" w:fill="auto"/>
                  <w:vAlign w:val="center"/>
                </w:tcPr>
                <w:p>
                  <w:pPr>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41.2</w:t>
                  </w:r>
                </w:p>
              </w:tc>
              <w:tc>
                <w:tcPr>
                  <w:tcW w:w="1351" w:type="dxa"/>
                  <w:shd w:val="clear" w:color="auto" w:fill="auto"/>
                  <w:vAlign w:val="center"/>
                </w:tcPr>
                <w:p>
                  <w:pPr>
                    <w:jc w:val="center"/>
                    <w:rPr>
                      <w:rFonts w:hint="default" w:ascii="Times New Roman" w:hAnsi="Times New Roman" w:cs="Times New Roman"/>
                      <w:color w:val="auto"/>
                      <w:sz w:val="21"/>
                      <w:szCs w:val="21"/>
                      <w:highlight w:val="none"/>
                    </w:rPr>
                  </w:pPr>
                  <w:r>
                    <w:rPr>
                      <w:rFonts w:hint="default" w:ascii="Times New Roman" w:hAnsi="Times New Roman" w:eastAsia="Arial" w:cs="Times New Roman"/>
                      <w:color w:val="auto"/>
                      <w:sz w:val="21"/>
                      <w:szCs w:val="21"/>
                      <w:highlight w:val="none"/>
                    </w:rPr>
                    <w:t>55</w:t>
                  </w:r>
                </w:p>
              </w:tc>
              <w:tc>
                <w:tcPr>
                  <w:tcW w:w="1110" w:type="dxa"/>
                  <w:shd w:val="clear" w:color="auto" w:fill="auto"/>
                  <w:vAlign w:val="center"/>
                </w:tcPr>
                <w:p>
                  <w:pPr>
                    <w:jc w:val="center"/>
                    <w:rPr>
                      <w:rFonts w:hint="default" w:ascii="Times New Roman" w:hAnsi="Times New Roman" w:cs="Times New Roman"/>
                      <w:color w:val="auto"/>
                      <w:sz w:val="21"/>
                      <w:szCs w:val="21"/>
                      <w:highlight w:val="none"/>
                    </w:rPr>
                  </w:pPr>
                  <w:r>
                    <w:rPr>
                      <w:rFonts w:hint="default" w:ascii="Times New Roman" w:hAnsi="Times New Roman" w:eastAsia="Arial" w:cs="Times New Roman"/>
                      <w:color w:val="auto"/>
                      <w:sz w:val="21"/>
                      <w:szCs w:val="21"/>
                      <w:highlight w:val="none"/>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PrEx>
              <w:trPr>
                <w:trHeight w:val="369" w:hRule="atLeast"/>
                <w:jc w:val="center"/>
              </w:trPr>
              <w:tc>
                <w:tcPr>
                  <w:tcW w:w="1031" w:type="dxa"/>
                  <w:vMerge w:val="restart"/>
                  <w:shd w:val="clear" w:color="auto" w:fill="auto"/>
                  <w:vAlign w:val="center"/>
                </w:tcPr>
                <w:p>
                  <w:pPr>
                    <w:jc w:val="center"/>
                    <w:rPr>
                      <w:rFonts w:hint="default" w:ascii="Times New Roman" w:hAnsi="Times New Roman" w:cs="Times New Roman"/>
                      <w:color w:val="auto"/>
                      <w:sz w:val="21"/>
                      <w:szCs w:val="21"/>
                      <w:highlight w:val="none"/>
                    </w:rPr>
                  </w:pPr>
                  <w:r>
                    <w:rPr>
                      <w:rFonts w:hint="default" w:ascii="Times New Roman" w:hAnsi="Times New Roman" w:eastAsia="Arial" w:cs="Times New Roman"/>
                      <w:color w:val="auto"/>
                      <w:sz w:val="21"/>
                      <w:szCs w:val="21"/>
                      <w:highlight w:val="none"/>
                    </w:rPr>
                    <w:t>西侧</w:t>
                  </w:r>
                </w:p>
              </w:tc>
              <w:tc>
                <w:tcPr>
                  <w:tcW w:w="798" w:type="dxa"/>
                  <w:shd w:val="clear" w:color="auto" w:fill="auto"/>
                  <w:vAlign w:val="center"/>
                </w:tcPr>
                <w:p>
                  <w:pPr>
                    <w:jc w:val="center"/>
                    <w:rPr>
                      <w:rFonts w:hint="default" w:ascii="Times New Roman" w:hAnsi="Times New Roman" w:cs="Times New Roman"/>
                      <w:color w:val="auto"/>
                      <w:sz w:val="21"/>
                      <w:szCs w:val="21"/>
                      <w:highlight w:val="none"/>
                    </w:rPr>
                  </w:pPr>
                  <w:r>
                    <w:rPr>
                      <w:rFonts w:hint="default" w:ascii="Times New Roman" w:hAnsi="Times New Roman" w:eastAsia="Arial" w:cs="Times New Roman"/>
                      <w:color w:val="auto"/>
                      <w:sz w:val="21"/>
                      <w:szCs w:val="21"/>
                      <w:highlight w:val="none"/>
                    </w:rPr>
                    <w:t>-189.7</w:t>
                  </w:r>
                </w:p>
              </w:tc>
              <w:tc>
                <w:tcPr>
                  <w:tcW w:w="798" w:type="dxa"/>
                  <w:shd w:val="clear" w:color="auto" w:fill="auto"/>
                  <w:vAlign w:val="center"/>
                </w:tcPr>
                <w:p>
                  <w:pPr>
                    <w:jc w:val="center"/>
                    <w:rPr>
                      <w:rFonts w:hint="default" w:ascii="Times New Roman" w:hAnsi="Times New Roman" w:cs="Times New Roman"/>
                      <w:color w:val="auto"/>
                      <w:sz w:val="21"/>
                      <w:szCs w:val="21"/>
                      <w:highlight w:val="none"/>
                    </w:rPr>
                  </w:pPr>
                  <w:r>
                    <w:rPr>
                      <w:rFonts w:hint="default" w:ascii="Times New Roman" w:hAnsi="Times New Roman" w:eastAsia="Arial" w:cs="Times New Roman"/>
                      <w:color w:val="auto"/>
                      <w:sz w:val="21"/>
                      <w:szCs w:val="21"/>
                      <w:highlight w:val="none"/>
                    </w:rPr>
                    <w:t>42.8</w:t>
                  </w:r>
                </w:p>
              </w:tc>
              <w:tc>
                <w:tcPr>
                  <w:tcW w:w="770" w:type="dxa"/>
                  <w:shd w:val="clear" w:color="auto" w:fill="auto"/>
                  <w:vAlign w:val="center"/>
                </w:tcPr>
                <w:p>
                  <w:pPr>
                    <w:jc w:val="center"/>
                    <w:rPr>
                      <w:rFonts w:hint="default" w:ascii="Times New Roman" w:hAnsi="Times New Roman" w:cs="Times New Roman"/>
                      <w:color w:val="auto"/>
                      <w:sz w:val="21"/>
                      <w:szCs w:val="21"/>
                      <w:highlight w:val="none"/>
                    </w:rPr>
                  </w:pPr>
                  <w:r>
                    <w:rPr>
                      <w:rFonts w:hint="default" w:ascii="Times New Roman" w:hAnsi="Times New Roman" w:eastAsia="Arial" w:cs="Times New Roman"/>
                      <w:color w:val="auto"/>
                      <w:sz w:val="21"/>
                      <w:szCs w:val="21"/>
                      <w:highlight w:val="none"/>
                    </w:rPr>
                    <w:t>1.2</w:t>
                  </w:r>
                </w:p>
              </w:tc>
              <w:tc>
                <w:tcPr>
                  <w:tcW w:w="935" w:type="dxa"/>
                  <w:shd w:val="clear" w:color="auto" w:fill="auto"/>
                  <w:vAlign w:val="center"/>
                </w:tcPr>
                <w:p>
                  <w:pPr>
                    <w:jc w:val="center"/>
                    <w:rPr>
                      <w:rFonts w:hint="default" w:ascii="Times New Roman" w:hAnsi="Times New Roman" w:cs="Times New Roman"/>
                      <w:color w:val="auto"/>
                      <w:sz w:val="21"/>
                      <w:szCs w:val="21"/>
                      <w:highlight w:val="none"/>
                    </w:rPr>
                  </w:pPr>
                  <w:r>
                    <w:rPr>
                      <w:rFonts w:hint="default" w:ascii="Times New Roman" w:hAnsi="Times New Roman" w:eastAsia="Arial" w:cs="Times New Roman"/>
                      <w:color w:val="auto"/>
                      <w:sz w:val="21"/>
                      <w:szCs w:val="21"/>
                      <w:highlight w:val="none"/>
                    </w:rPr>
                    <w:t>昼间</w:t>
                  </w:r>
                </w:p>
              </w:tc>
              <w:tc>
                <w:tcPr>
                  <w:tcW w:w="1350" w:type="dxa"/>
                  <w:shd w:val="clear" w:color="auto" w:fill="auto"/>
                  <w:vAlign w:val="center"/>
                </w:tcPr>
                <w:p>
                  <w:pPr>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49.8</w:t>
                  </w:r>
                </w:p>
              </w:tc>
              <w:tc>
                <w:tcPr>
                  <w:tcW w:w="1351" w:type="dxa"/>
                  <w:shd w:val="clear" w:color="auto" w:fill="auto"/>
                  <w:vAlign w:val="center"/>
                </w:tcPr>
                <w:p>
                  <w:pPr>
                    <w:jc w:val="center"/>
                    <w:rPr>
                      <w:rFonts w:hint="default" w:ascii="Times New Roman" w:hAnsi="Times New Roman" w:cs="Times New Roman"/>
                      <w:color w:val="auto"/>
                      <w:sz w:val="21"/>
                      <w:szCs w:val="21"/>
                      <w:highlight w:val="none"/>
                    </w:rPr>
                  </w:pPr>
                  <w:r>
                    <w:rPr>
                      <w:rFonts w:hint="default" w:ascii="Times New Roman" w:hAnsi="Times New Roman" w:eastAsia="Arial" w:cs="Times New Roman"/>
                      <w:color w:val="auto"/>
                      <w:sz w:val="21"/>
                      <w:szCs w:val="21"/>
                      <w:highlight w:val="none"/>
                    </w:rPr>
                    <w:t>65</w:t>
                  </w:r>
                </w:p>
              </w:tc>
              <w:tc>
                <w:tcPr>
                  <w:tcW w:w="1110" w:type="dxa"/>
                  <w:shd w:val="clear" w:color="auto" w:fill="auto"/>
                  <w:vAlign w:val="center"/>
                </w:tcPr>
                <w:p>
                  <w:pPr>
                    <w:jc w:val="center"/>
                    <w:rPr>
                      <w:rFonts w:hint="default" w:ascii="Times New Roman" w:hAnsi="Times New Roman" w:cs="Times New Roman"/>
                      <w:color w:val="auto"/>
                      <w:sz w:val="21"/>
                      <w:szCs w:val="21"/>
                      <w:highlight w:val="none"/>
                    </w:rPr>
                  </w:pPr>
                  <w:r>
                    <w:rPr>
                      <w:rFonts w:hint="default" w:ascii="Times New Roman" w:hAnsi="Times New Roman" w:eastAsia="Arial" w:cs="Times New Roman"/>
                      <w:color w:val="auto"/>
                      <w:sz w:val="21"/>
                      <w:szCs w:val="21"/>
                      <w:highlight w:val="none"/>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PrEx>
              <w:trPr>
                <w:trHeight w:val="369" w:hRule="atLeast"/>
                <w:jc w:val="center"/>
              </w:trPr>
              <w:tc>
                <w:tcPr>
                  <w:tcW w:w="1031" w:type="dxa"/>
                  <w:vMerge w:val="continue"/>
                  <w:shd w:val="clear" w:color="auto" w:fill="auto"/>
                  <w:vAlign w:val="center"/>
                </w:tcPr>
                <w:p>
                  <w:pPr>
                    <w:jc w:val="center"/>
                    <w:rPr>
                      <w:rFonts w:hint="default" w:ascii="Times New Roman" w:hAnsi="Times New Roman" w:cs="Times New Roman"/>
                      <w:color w:val="auto"/>
                      <w:sz w:val="21"/>
                      <w:szCs w:val="21"/>
                      <w:highlight w:val="none"/>
                    </w:rPr>
                  </w:pPr>
                </w:p>
              </w:tc>
              <w:tc>
                <w:tcPr>
                  <w:tcW w:w="798" w:type="dxa"/>
                  <w:shd w:val="clear" w:color="auto" w:fill="auto"/>
                  <w:vAlign w:val="center"/>
                </w:tcPr>
                <w:p>
                  <w:pPr>
                    <w:jc w:val="center"/>
                    <w:rPr>
                      <w:rFonts w:hint="default" w:ascii="Times New Roman" w:hAnsi="Times New Roman" w:cs="Times New Roman"/>
                      <w:color w:val="auto"/>
                      <w:sz w:val="21"/>
                      <w:szCs w:val="21"/>
                      <w:highlight w:val="none"/>
                    </w:rPr>
                  </w:pPr>
                  <w:r>
                    <w:rPr>
                      <w:rFonts w:hint="default" w:ascii="Times New Roman" w:hAnsi="Times New Roman" w:eastAsia="Arial" w:cs="Times New Roman"/>
                      <w:color w:val="auto"/>
                      <w:sz w:val="21"/>
                      <w:szCs w:val="21"/>
                      <w:highlight w:val="none"/>
                    </w:rPr>
                    <w:t>-189.7</w:t>
                  </w:r>
                </w:p>
              </w:tc>
              <w:tc>
                <w:tcPr>
                  <w:tcW w:w="798" w:type="dxa"/>
                  <w:shd w:val="clear" w:color="auto" w:fill="auto"/>
                  <w:vAlign w:val="center"/>
                </w:tcPr>
                <w:p>
                  <w:pPr>
                    <w:jc w:val="center"/>
                    <w:rPr>
                      <w:rFonts w:hint="default" w:ascii="Times New Roman" w:hAnsi="Times New Roman" w:cs="Times New Roman"/>
                      <w:color w:val="auto"/>
                      <w:sz w:val="21"/>
                      <w:szCs w:val="21"/>
                      <w:highlight w:val="none"/>
                    </w:rPr>
                  </w:pPr>
                  <w:r>
                    <w:rPr>
                      <w:rFonts w:hint="default" w:ascii="Times New Roman" w:hAnsi="Times New Roman" w:eastAsia="Arial" w:cs="Times New Roman"/>
                      <w:color w:val="auto"/>
                      <w:sz w:val="21"/>
                      <w:szCs w:val="21"/>
                      <w:highlight w:val="none"/>
                    </w:rPr>
                    <w:t>42.8</w:t>
                  </w:r>
                </w:p>
              </w:tc>
              <w:tc>
                <w:tcPr>
                  <w:tcW w:w="770" w:type="dxa"/>
                  <w:shd w:val="clear" w:color="auto" w:fill="auto"/>
                  <w:vAlign w:val="center"/>
                </w:tcPr>
                <w:p>
                  <w:pPr>
                    <w:jc w:val="center"/>
                    <w:rPr>
                      <w:rFonts w:hint="default" w:ascii="Times New Roman" w:hAnsi="Times New Roman" w:cs="Times New Roman"/>
                      <w:color w:val="auto"/>
                      <w:sz w:val="21"/>
                      <w:szCs w:val="21"/>
                      <w:highlight w:val="none"/>
                    </w:rPr>
                  </w:pPr>
                  <w:r>
                    <w:rPr>
                      <w:rFonts w:hint="default" w:ascii="Times New Roman" w:hAnsi="Times New Roman" w:eastAsia="Arial" w:cs="Times New Roman"/>
                      <w:color w:val="auto"/>
                      <w:sz w:val="21"/>
                      <w:szCs w:val="21"/>
                      <w:highlight w:val="none"/>
                    </w:rPr>
                    <w:t>1.2</w:t>
                  </w:r>
                </w:p>
              </w:tc>
              <w:tc>
                <w:tcPr>
                  <w:tcW w:w="935" w:type="dxa"/>
                  <w:shd w:val="clear" w:color="auto" w:fill="auto"/>
                  <w:vAlign w:val="center"/>
                </w:tcPr>
                <w:p>
                  <w:pPr>
                    <w:jc w:val="center"/>
                    <w:rPr>
                      <w:rFonts w:hint="default" w:ascii="Times New Roman" w:hAnsi="Times New Roman" w:cs="Times New Roman"/>
                      <w:color w:val="auto"/>
                      <w:sz w:val="21"/>
                      <w:szCs w:val="21"/>
                      <w:highlight w:val="none"/>
                    </w:rPr>
                  </w:pPr>
                  <w:r>
                    <w:rPr>
                      <w:rFonts w:hint="default" w:ascii="Times New Roman" w:hAnsi="Times New Roman" w:eastAsia="Arial" w:cs="Times New Roman"/>
                      <w:color w:val="auto"/>
                      <w:sz w:val="21"/>
                      <w:szCs w:val="21"/>
                      <w:highlight w:val="none"/>
                    </w:rPr>
                    <w:t>夜间</w:t>
                  </w:r>
                </w:p>
              </w:tc>
              <w:tc>
                <w:tcPr>
                  <w:tcW w:w="1350" w:type="dxa"/>
                  <w:shd w:val="clear" w:color="auto" w:fill="auto"/>
                  <w:vAlign w:val="center"/>
                </w:tcPr>
                <w:p>
                  <w:pPr>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49.8</w:t>
                  </w:r>
                </w:p>
              </w:tc>
              <w:tc>
                <w:tcPr>
                  <w:tcW w:w="1351" w:type="dxa"/>
                  <w:shd w:val="clear" w:color="auto" w:fill="auto"/>
                  <w:vAlign w:val="center"/>
                </w:tcPr>
                <w:p>
                  <w:pPr>
                    <w:jc w:val="center"/>
                    <w:rPr>
                      <w:rFonts w:hint="default" w:ascii="Times New Roman" w:hAnsi="Times New Roman" w:cs="Times New Roman"/>
                      <w:color w:val="auto"/>
                      <w:sz w:val="21"/>
                      <w:szCs w:val="21"/>
                      <w:highlight w:val="none"/>
                    </w:rPr>
                  </w:pPr>
                  <w:r>
                    <w:rPr>
                      <w:rFonts w:hint="default" w:ascii="Times New Roman" w:hAnsi="Times New Roman" w:eastAsia="Arial" w:cs="Times New Roman"/>
                      <w:color w:val="auto"/>
                      <w:sz w:val="21"/>
                      <w:szCs w:val="21"/>
                      <w:highlight w:val="none"/>
                    </w:rPr>
                    <w:t>55</w:t>
                  </w:r>
                </w:p>
              </w:tc>
              <w:tc>
                <w:tcPr>
                  <w:tcW w:w="1110" w:type="dxa"/>
                  <w:shd w:val="clear" w:color="auto" w:fill="auto"/>
                  <w:vAlign w:val="center"/>
                </w:tcPr>
                <w:p>
                  <w:pPr>
                    <w:jc w:val="center"/>
                    <w:rPr>
                      <w:rFonts w:hint="default" w:ascii="Times New Roman" w:hAnsi="Times New Roman" w:cs="Times New Roman"/>
                      <w:color w:val="auto"/>
                      <w:sz w:val="21"/>
                      <w:szCs w:val="21"/>
                      <w:highlight w:val="none"/>
                    </w:rPr>
                  </w:pPr>
                  <w:r>
                    <w:rPr>
                      <w:rFonts w:hint="default" w:ascii="Times New Roman" w:hAnsi="Times New Roman" w:eastAsia="Arial" w:cs="Times New Roman"/>
                      <w:color w:val="auto"/>
                      <w:sz w:val="21"/>
                      <w:szCs w:val="21"/>
                      <w:highlight w:val="none"/>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PrEx>
              <w:trPr>
                <w:trHeight w:val="369" w:hRule="atLeast"/>
                <w:jc w:val="center"/>
              </w:trPr>
              <w:tc>
                <w:tcPr>
                  <w:tcW w:w="1031" w:type="dxa"/>
                  <w:vMerge w:val="restart"/>
                  <w:shd w:val="clear" w:color="auto" w:fill="auto"/>
                  <w:vAlign w:val="center"/>
                </w:tcPr>
                <w:p>
                  <w:pPr>
                    <w:jc w:val="center"/>
                    <w:rPr>
                      <w:rFonts w:hint="default" w:ascii="Times New Roman" w:hAnsi="Times New Roman" w:cs="Times New Roman"/>
                      <w:color w:val="auto"/>
                      <w:sz w:val="21"/>
                      <w:szCs w:val="21"/>
                      <w:highlight w:val="none"/>
                    </w:rPr>
                  </w:pPr>
                  <w:r>
                    <w:rPr>
                      <w:rFonts w:hint="default" w:ascii="Times New Roman" w:hAnsi="Times New Roman" w:eastAsia="Arial" w:cs="Times New Roman"/>
                      <w:color w:val="auto"/>
                      <w:sz w:val="21"/>
                      <w:szCs w:val="21"/>
                      <w:highlight w:val="none"/>
                    </w:rPr>
                    <w:t>北侧</w:t>
                  </w:r>
                </w:p>
              </w:tc>
              <w:tc>
                <w:tcPr>
                  <w:tcW w:w="798" w:type="dxa"/>
                  <w:shd w:val="clear" w:color="auto" w:fill="auto"/>
                  <w:vAlign w:val="center"/>
                </w:tcPr>
                <w:p>
                  <w:pPr>
                    <w:jc w:val="center"/>
                    <w:rPr>
                      <w:rFonts w:hint="default" w:ascii="Times New Roman" w:hAnsi="Times New Roman" w:cs="Times New Roman"/>
                      <w:color w:val="auto"/>
                      <w:sz w:val="21"/>
                      <w:szCs w:val="21"/>
                      <w:highlight w:val="none"/>
                    </w:rPr>
                  </w:pPr>
                  <w:r>
                    <w:rPr>
                      <w:rFonts w:hint="default" w:ascii="Times New Roman" w:hAnsi="Times New Roman" w:eastAsia="Arial" w:cs="Times New Roman"/>
                      <w:color w:val="auto"/>
                      <w:sz w:val="21"/>
                      <w:szCs w:val="21"/>
                      <w:highlight w:val="none"/>
                    </w:rPr>
                    <w:t>-103.3</w:t>
                  </w:r>
                </w:p>
              </w:tc>
              <w:tc>
                <w:tcPr>
                  <w:tcW w:w="798" w:type="dxa"/>
                  <w:shd w:val="clear" w:color="auto" w:fill="auto"/>
                  <w:vAlign w:val="center"/>
                </w:tcPr>
                <w:p>
                  <w:pPr>
                    <w:jc w:val="center"/>
                    <w:rPr>
                      <w:rFonts w:hint="default" w:ascii="Times New Roman" w:hAnsi="Times New Roman" w:cs="Times New Roman"/>
                      <w:color w:val="auto"/>
                      <w:sz w:val="21"/>
                      <w:szCs w:val="21"/>
                      <w:highlight w:val="none"/>
                    </w:rPr>
                  </w:pPr>
                  <w:r>
                    <w:rPr>
                      <w:rFonts w:hint="default" w:ascii="Times New Roman" w:hAnsi="Times New Roman" w:eastAsia="Arial" w:cs="Times New Roman"/>
                      <w:color w:val="auto"/>
                      <w:sz w:val="21"/>
                      <w:szCs w:val="21"/>
                      <w:highlight w:val="none"/>
                    </w:rPr>
                    <w:t>137.4</w:t>
                  </w:r>
                </w:p>
              </w:tc>
              <w:tc>
                <w:tcPr>
                  <w:tcW w:w="770" w:type="dxa"/>
                  <w:shd w:val="clear" w:color="auto" w:fill="auto"/>
                  <w:vAlign w:val="center"/>
                </w:tcPr>
                <w:p>
                  <w:pPr>
                    <w:jc w:val="center"/>
                    <w:rPr>
                      <w:rFonts w:hint="default" w:ascii="Times New Roman" w:hAnsi="Times New Roman" w:cs="Times New Roman"/>
                      <w:color w:val="auto"/>
                      <w:sz w:val="21"/>
                      <w:szCs w:val="21"/>
                      <w:highlight w:val="none"/>
                    </w:rPr>
                  </w:pPr>
                  <w:r>
                    <w:rPr>
                      <w:rFonts w:hint="default" w:ascii="Times New Roman" w:hAnsi="Times New Roman" w:eastAsia="Arial" w:cs="Times New Roman"/>
                      <w:color w:val="auto"/>
                      <w:sz w:val="21"/>
                      <w:szCs w:val="21"/>
                      <w:highlight w:val="none"/>
                    </w:rPr>
                    <w:t>1.2</w:t>
                  </w:r>
                </w:p>
              </w:tc>
              <w:tc>
                <w:tcPr>
                  <w:tcW w:w="935" w:type="dxa"/>
                  <w:shd w:val="clear" w:color="auto" w:fill="auto"/>
                  <w:vAlign w:val="center"/>
                </w:tcPr>
                <w:p>
                  <w:pPr>
                    <w:jc w:val="center"/>
                    <w:rPr>
                      <w:rFonts w:hint="default" w:ascii="Times New Roman" w:hAnsi="Times New Roman" w:cs="Times New Roman"/>
                      <w:color w:val="auto"/>
                      <w:sz w:val="21"/>
                      <w:szCs w:val="21"/>
                      <w:highlight w:val="none"/>
                    </w:rPr>
                  </w:pPr>
                  <w:r>
                    <w:rPr>
                      <w:rFonts w:hint="default" w:ascii="Times New Roman" w:hAnsi="Times New Roman" w:eastAsia="Arial" w:cs="Times New Roman"/>
                      <w:color w:val="auto"/>
                      <w:sz w:val="21"/>
                      <w:szCs w:val="21"/>
                      <w:highlight w:val="none"/>
                    </w:rPr>
                    <w:t>昼间</w:t>
                  </w:r>
                </w:p>
              </w:tc>
              <w:tc>
                <w:tcPr>
                  <w:tcW w:w="1350" w:type="dxa"/>
                  <w:shd w:val="clear" w:color="auto" w:fill="auto"/>
                  <w:vAlign w:val="center"/>
                </w:tcPr>
                <w:p>
                  <w:pPr>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37.2</w:t>
                  </w:r>
                </w:p>
              </w:tc>
              <w:tc>
                <w:tcPr>
                  <w:tcW w:w="1351" w:type="dxa"/>
                  <w:shd w:val="clear" w:color="auto" w:fill="auto"/>
                  <w:vAlign w:val="center"/>
                </w:tcPr>
                <w:p>
                  <w:pPr>
                    <w:jc w:val="center"/>
                    <w:rPr>
                      <w:rFonts w:hint="default" w:ascii="Times New Roman" w:hAnsi="Times New Roman" w:cs="Times New Roman"/>
                      <w:color w:val="auto"/>
                      <w:sz w:val="21"/>
                      <w:szCs w:val="21"/>
                      <w:highlight w:val="none"/>
                    </w:rPr>
                  </w:pPr>
                  <w:r>
                    <w:rPr>
                      <w:rFonts w:hint="default" w:ascii="Times New Roman" w:hAnsi="Times New Roman" w:eastAsia="Arial" w:cs="Times New Roman"/>
                      <w:color w:val="auto"/>
                      <w:sz w:val="21"/>
                      <w:szCs w:val="21"/>
                      <w:highlight w:val="none"/>
                    </w:rPr>
                    <w:t>65</w:t>
                  </w:r>
                </w:p>
              </w:tc>
              <w:tc>
                <w:tcPr>
                  <w:tcW w:w="1110" w:type="dxa"/>
                  <w:shd w:val="clear" w:color="auto" w:fill="auto"/>
                  <w:vAlign w:val="center"/>
                </w:tcPr>
                <w:p>
                  <w:pPr>
                    <w:jc w:val="center"/>
                    <w:rPr>
                      <w:rFonts w:hint="default" w:ascii="Times New Roman" w:hAnsi="Times New Roman" w:cs="Times New Roman"/>
                      <w:color w:val="auto"/>
                      <w:sz w:val="21"/>
                      <w:szCs w:val="21"/>
                      <w:highlight w:val="none"/>
                    </w:rPr>
                  </w:pPr>
                  <w:r>
                    <w:rPr>
                      <w:rFonts w:hint="default" w:ascii="Times New Roman" w:hAnsi="Times New Roman" w:eastAsia="Arial" w:cs="Times New Roman"/>
                      <w:color w:val="auto"/>
                      <w:sz w:val="21"/>
                      <w:szCs w:val="21"/>
                      <w:highlight w:val="none"/>
                    </w:rPr>
                    <w:t>达标</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shd w:val="clear" w:color="auto" w:fill="FFFFFF"/>
              </w:tblPrEx>
              <w:trPr>
                <w:trHeight w:val="369" w:hRule="atLeast"/>
                <w:jc w:val="center"/>
              </w:trPr>
              <w:tc>
                <w:tcPr>
                  <w:tcW w:w="1031" w:type="dxa"/>
                  <w:vMerge w:val="continue"/>
                  <w:shd w:val="clear" w:color="auto" w:fill="auto"/>
                  <w:vAlign w:val="center"/>
                </w:tcPr>
                <w:p>
                  <w:pPr>
                    <w:jc w:val="center"/>
                    <w:rPr>
                      <w:rFonts w:hint="default" w:ascii="Times New Roman" w:hAnsi="Times New Roman" w:cs="Times New Roman"/>
                      <w:color w:val="auto"/>
                      <w:sz w:val="21"/>
                      <w:szCs w:val="21"/>
                      <w:highlight w:val="none"/>
                    </w:rPr>
                  </w:pPr>
                </w:p>
              </w:tc>
              <w:tc>
                <w:tcPr>
                  <w:tcW w:w="798" w:type="dxa"/>
                  <w:shd w:val="clear" w:color="auto" w:fill="auto"/>
                  <w:vAlign w:val="center"/>
                </w:tcPr>
                <w:p>
                  <w:pPr>
                    <w:jc w:val="center"/>
                    <w:rPr>
                      <w:rFonts w:hint="default" w:ascii="Times New Roman" w:hAnsi="Times New Roman" w:cs="Times New Roman"/>
                      <w:color w:val="auto"/>
                      <w:sz w:val="21"/>
                      <w:szCs w:val="21"/>
                      <w:highlight w:val="none"/>
                    </w:rPr>
                  </w:pPr>
                  <w:r>
                    <w:rPr>
                      <w:rFonts w:hint="default" w:ascii="Times New Roman" w:hAnsi="Times New Roman" w:eastAsia="Arial" w:cs="Times New Roman"/>
                      <w:color w:val="auto"/>
                      <w:sz w:val="21"/>
                      <w:szCs w:val="21"/>
                      <w:highlight w:val="none"/>
                    </w:rPr>
                    <w:t>-103.3</w:t>
                  </w:r>
                </w:p>
              </w:tc>
              <w:tc>
                <w:tcPr>
                  <w:tcW w:w="798" w:type="dxa"/>
                  <w:shd w:val="clear" w:color="auto" w:fill="auto"/>
                  <w:vAlign w:val="center"/>
                </w:tcPr>
                <w:p>
                  <w:pPr>
                    <w:jc w:val="center"/>
                    <w:rPr>
                      <w:rFonts w:hint="default" w:ascii="Times New Roman" w:hAnsi="Times New Roman" w:cs="Times New Roman"/>
                      <w:color w:val="auto"/>
                      <w:sz w:val="21"/>
                      <w:szCs w:val="21"/>
                      <w:highlight w:val="none"/>
                    </w:rPr>
                  </w:pPr>
                  <w:r>
                    <w:rPr>
                      <w:rFonts w:hint="default" w:ascii="Times New Roman" w:hAnsi="Times New Roman" w:eastAsia="Arial" w:cs="Times New Roman"/>
                      <w:color w:val="auto"/>
                      <w:sz w:val="21"/>
                      <w:szCs w:val="21"/>
                      <w:highlight w:val="none"/>
                    </w:rPr>
                    <w:t>137.4</w:t>
                  </w:r>
                </w:p>
              </w:tc>
              <w:tc>
                <w:tcPr>
                  <w:tcW w:w="770" w:type="dxa"/>
                  <w:shd w:val="clear" w:color="auto" w:fill="auto"/>
                  <w:vAlign w:val="center"/>
                </w:tcPr>
                <w:p>
                  <w:pPr>
                    <w:jc w:val="center"/>
                    <w:rPr>
                      <w:rFonts w:hint="default" w:ascii="Times New Roman" w:hAnsi="Times New Roman" w:cs="Times New Roman"/>
                      <w:color w:val="auto"/>
                      <w:sz w:val="21"/>
                      <w:szCs w:val="21"/>
                      <w:highlight w:val="none"/>
                    </w:rPr>
                  </w:pPr>
                  <w:r>
                    <w:rPr>
                      <w:rFonts w:hint="default" w:ascii="Times New Roman" w:hAnsi="Times New Roman" w:eastAsia="Arial" w:cs="Times New Roman"/>
                      <w:color w:val="auto"/>
                      <w:sz w:val="21"/>
                      <w:szCs w:val="21"/>
                      <w:highlight w:val="none"/>
                    </w:rPr>
                    <w:t>1.2</w:t>
                  </w:r>
                </w:p>
              </w:tc>
              <w:tc>
                <w:tcPr>
                  <w:tcW w:w="935" w:type="dxa"/>
                  <w:shd w:val="clear" w:color="auto" w:fill="auto"/>
                  <w:vAlign w:val="center"/>
                </w:tcPr>
                <w:p>
                  <w:pPr>
                    <w:jc w:val="center"/>
                    <w:rPr>
                      <w:rFonts w:hint="default" w:ascii="Times New Roman" w:hAnsi="Times New Roman" w:cs="Times New Roman"/>
                      <w:color w:val="auto"/>
                      <w:sz w:val="21"/>
                      <w:szCs w:val="21"/>
                      <w:highlight w:val="none"/>
                    </w:rPr>
                  </w:pPr>
                  <w:r>
                    <w:rPr>
                      <w:rFonts w:hint="default" w:ascii="Times New Roman" w:hAnsi="Times New Roman" w:eastAsia="Arial" w:cs="Times New Roman"/>
                      <w:color w:val="auto"/>
                      <w:sz w:val="21"/>
                      <w:szCs w:val="21"/>
                      <w:highlight w:val="none"/>
                    </w:rPr>
                    <w:t>夜间</w:t>
                  </w:r>
                </w:p>
              </w:tc>
              <w:tc>
                <w:tcPr>
                  <w:tcW w:w="1350" w:type="dxa"/>
                  <w:shd w:val="clear" w:color="auto" w:fill="auto"/>
                  <w:vAlign w:val="center"/>
                </w:tcPr>
                <w:p>
                  <w:pPr>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37.2</w:t>
                  </w:r>
                </w:p>
              </w:tc>
              <w:tc>
                <w:tcPr>
                  <w:tcW w:w="1351" w:type="dxa"/>
                  <w:shd w:val="clear" w:color="auto" w:fill="auto"/>
                  <w:vAlign w:val="center"/>
                </w:tcPr>
                <w:p>
                  <w:pPr>
                    <w:jc w:val="center"/>
                    <w:rPr>
                      <w:rFonts w:hint="default" w:ascii="Times New Roman" w:hAnsi="Times New Roman" w:cs="Times New Roman"/>
                      <w:color w:val="auto"/>
                      <w:sz w:val="21"/>
                      <w:szCs w:val="21"/>
                      <w:highlight w:val="none"/>
                    </w:rPr>
                  </w:pPr>
                  <w:r>
                    <w:rPr>
                      <w:rFonts w:hint="default" w:ascii="Times New Roman" w:hAnsi="Times New Roman" w:eastAsia="Arial" w:cs="Times New Roman"/>
                      <w:color w:val="auto"/>
                      <w:sz w:val="21"/>
                      <w:szCs w:val="21"/>
                      <w:highlight w:val="none"/>
                    </w:rPr>
                    <w:t>55</w:t>
                  </w:r>
                </w:p>
              </w:tc>
              <w:tc>
                <w:tcPr>
                  <w:tcW w:w="1110" w:type="dxa"/>
                  <w:shd w:val="clear" w:color="auto" w:fill="auto"/>
                  <w:vAlign w:val="center"/>
                </w:tcPr>
                <w:p>
                  <w:pPr>
                    <w:jc w:val="center"/>
                    <w:rPr>
                      <w:rFonts w:hint="default" w:ascii="Times New Roman" w:hAnsi="Times New Roman" w:cs="Times New Roman"/>
                      <w:color w:val="auto"/>
                      <w:sz w:val="21"/>
                      <w:szCs w:val="21"/>
                      <w:highlight w:val="none"/>
                    </w:rPr>
                  </w:pPr>
                  <w:r>
                    <w:rPr>
                      <w:rFonts w:hint="default" w:ascii="Times New Roman" w:hAnsi="Times New Roman" w:eastAsia="Arial" w:cs="Times New Roman"/>
                      <w:color w:val="auto"/>
                      <w:sz w:val="21"/>
                      <w:szCs w:val="21"/>
                      <w:highlight w:val="none"/>
                    </w:rPr>
                    <w:t>达标</w:t>
                  </w:r>
                </w:p>
              </w:tc>
            </w:tr>
          </w:tbl>
          <w:p>
            <w:pPr>
              <w:keepNext w:val="0"/>
              <w:keepLines w:val="0"/>
              <w:pageBreakBefore w:val="0"/>
              <w:widowControl w:val="0"/>
              <w:kinsoku/>
              <w:wordWrap/>
              <w:overflowPunct/>
              <w:topLinePunct w:val="0"/>
              <w:autoSpaceDE/>
              <w:autoSpaceDN/>
              <w:bidi w:val="0"/>
              <w:adjustRightInd/>
              <w:snapToGrid/>
              <w:ind w:firstLine="420" w:firstLineChars="200"/>
              <w:textAlignment w:val="auto"/>
              <w:rPr>
                <w:rFonts w:ascii="Times New Roman" w:hAnsi="Times New Roman" w:cs="Times New Roman"/>
                <w:color w:val="auto"/>
                <w:highlight w:val="none"/>
              </w:rPr>
            </w:pPr>
            <w:r>
              <w:rPr>
                <w:rFonts w:hint="eastAsia" w:ascii="Times New Roman" w:hAnsi="Times New Roman" w:eastAsia="宋体" w:cs="Times New Roman"/>
                <w:b w:val="0"/>
                <w:bCs/>
                <w:color w:val="auto"/>
                <w:sz w:val="21"/>
                <w:szCs w:val="21"/>
                <w:highlight w:val="none"/>
                <w:lang w:val="en-US" w:eastAsia="zh-CN"/>
              </w:rPr>
              <w:t>注：</w:t>
            </w:r>
            <w:r>
              <w:rPr>
                <w:rFonts w:hint="default" w:ascii="Times New Roman" w:hAnsi="Times New Roman" w:eastAsia="宋体" w:cs="Times New Roman"/>
                <w:b w:val="0"/>
                <w:bCs/>
                <w:color w:val="auto"/>
                <w:sz w:val="21"/>
                <w:szCs w:val="21"/>
                <w:highlight w:val="none"/>
                <w:lang w:val="en-US" w:eastAsia="zh-CN"/>
              </w:rPr>
              <w:t>表中坐标以厂界中心为坐标原点，正东向为X轴正方向，正北向为Y轴正方向</w:t>
            </w:r>
            <w:r>
              <w:rPr>
                <w:rFonts w:hint="eastAsia" w:ascii="Times New Roman" w:hAnsi="Times New Roman" w:eastAsia="宋体" w:cs="Times New Roman"/>
                <w:b w:val="0"/>
                <w:bCs/>
                <w:color w:val="auto"/>
                <w:sz w:val="21"/>
                <w:szCs w:val="21"/>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before="157" w:beforeLines="50" w:line="360" w:lineRule="auto"/>
              <w:ind w:firstLine="420" w:firstLineChars="200"/>
              <w:jc w:val="both"/>
              <w:textAlignment w:val="auto"/>
              <w:rPr>
                <w:rFonts w:ascii="Times New Roman" w:hAnsi="Times New Roman" w:eastAsia="宋体" w:cs="Times New Roman"/>
                <w:bCs/>
                <w:color w:val="auto"/>
                <w:sz w:val="21"/>
                <w:szCs w:val="21"/>
                <w:highlight w:val="none"/>
                <w:lang w:eastAsia="zh-CN"/>
              </w:rPr>
            </w:pPr>
            <w:r>
              <w:rPr>
                <w:rFonts w:ascii="Times New Roman" w:hAnsi="Times New Roman" w:eastAsia="宋体" w:cs="Times New Roman"/>
                <w:bCs/>
                <w:color w:val="auto"/>
                <w:sz w:val="21"/>
                <w:szCs w:val="21"/>
                <w:highlight w:val="none"/>
                <w:lang w:eastAsia="zh-CN"/>
              </w:rPr>
              <w:t>由上表可知，正常工况下，项目厂界噪声满足《工业企业厂界环境噪声排放标准》</w:t>
            </w:r>
            <w:r>
              <w:rPr>
                <w:rFonts w:hint="eastAsia" w:ascii="Times New Roman" w:hAnsi="Times New Roman" w:eastAsia="宋体" w:cs="Times New Roman"/>
                <w:bCs/>
                <w:color w:val="auto"/>
                <w:sz w:val="21"/>
                <w:szCs w:val="21"/>
                <w:highlight w:val="none"/>
                <w:lang w:eastAsia="zh-CN"/>
              </w:rPr>
              <w:t>（</w:t>
            </w:r>
            <w:r>
              <w:rPr>
                <w:rFonts w:ascii="Times New Roman" w:hAnsi="Times New Roman" w:eastAsia="宋体" w:cs="Times New Roman"/>
                <w:bCs/>
                <w:color w:val="auto"/>
                <w:sz w:val="21"/>
                <w:szCs w:val="21"/>
                <w:highlight w:val="none"/>
                <w:lang w:eastAsia="zh-CN"/>
              </w:rPr>
              <w:t>GB12348</w:t>
            </w:r>
            <w:r>
              <w:rPr>
                <w:rFonts w:hint="eastAsia" w:ascii="Times New Roman" w:hAnsi="Times New Roman" w:eastAsia="宋体" w:cs="Times New Roman"/>
                <w:bCs/>
                <w:color w:val="auto"/>
                <w:sz w:val="21"/>
                <w:szCs w:val="21"/>
                <w:highlight w:val="none"/>
                <w:lang w:eastAsia="zh-CN"/>
              </w:rPr>
              <w:t>—</w:t>
            </w:r>
            <w:r>
              <w:rPr>
                <w:rFonts w:ascii="Times New Roman" w:hAnsi="Times New Roman" w:eastAsia="宋体" w:cs="Times New Roman"/>
                <w:bCs/>
                <w:color w:val="auto"/>
                <w:sz w:val="21"/>
                <w:szCs w:val="21"/>
                <w:highlight w:val="none"/>
                <w:lang w:eastAsia="zh-CN"/>
              </w:rPr>
              <w:t>2008</w:t>
            </w:r>
            <w:r>
              <w:rPr>
                <w:rFonts w:hint="eastAsia" w:ascii="Times New Roman" w:hAnsi="Times New Roman" w:eastAsia="宋体" w:cs="Times New Roman"/>
                <w:bCs/>
                <w:color w:val="auto"/>
                <w:sz w:val="21"/>
                <w:szCs w:val="21"/>
                <w:highlight w:val="none"/>
                <w:lang w:eastAsia="zh-CN"/>
              </w:rPr>
              <w:t>）</w:t>
            </w:r>
            <w:bookmarkStart w:id="12" w:name="PO_3"/>
            <w:r>
              <w:rPr>
                <w:rFonts w:ascii="Times New Roman" w:hAnsi="Times New Roman" w:eastAsia="宋体" w:cs="Times New Roman"/>
                <w:bCs/>
                <w:color w:val="auto"/>
                <w:sz w:val="21"/>
                <w:szCs w:val="21"/>
                <w:highlight w:val="none"/>
                <w:lang w:eastAsia="zh-CN"/>
              </w:rPr>
              <w:t>3</w:t>
            </w:r>
            <w:bookmarkEnd w:id="12"/>
            <w:r>
              <w:rPr>
                <w:rFonts w:ascii="Times New Roman" w:hAnsi="Times New Roman" w:eastAsia="宋体" w:cs="Times New Roman"/>
                <w:bCs/>
                <w:color w:val="auto"/>
                <w:sz w:val="21"/>
                <w:szCs w:val="21"/>
                <w:highlight w:val="none"/>
                <w:lang w:eastAsia="zh-CN"/>
              </w:rPr>
              <w:t>类标准。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Times New Roman" w:hAnsi="Times New Roman" w:eastAsia="宋体" w:cs="Times New Roman"/>
                <w:bCs/>
                <w:color w:val="auto"/>
                <w:sz w:val="21"/>
                <w:szCs w:val="21"/>
                <w:highlight w:val="none"/>
                <w:lang w:val="en-US" w:eastAsia="zh-CN"/>
              </w:rPr>
            </w:pPr>
            <w:r>
              <w:rPr>
                <w:rFonts w:hint="eastAsia" w:ascii="Times New Roman" w:hAnsi="Times New Roman" w:eastAsia="宋体" w:cs="Times New Roman"/>
                <w:bCs/>
                <w:color w:val="auto"/>
                <w:sz w:val="21"/>
                <w:szCs w:val="21"/>
                <w:highlight w:val="none"/>
                <w:lang w:val="en-US" w:eastAsia="zh-CN"/>
              </w:rPr>
              <w:t>本环评要求采取以下措施：</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Times New Roman" w:hAnsi="Times New Roman" w:eastAsia="宋体" w:cs="Times New Roman"/>
                <w:bCs/>
                <w:color w:val="auto"/>
                <w:sz w:val="21"/>
                <w:szCs w:val="21"/>
                <w:highlight w:val="none"/>
                <w:lang w:val="en-US" w:eastAsia="zh-CN"/>
              </w:rPr>
            </w:pPr>
            <w:r>
              <w:rPr>
                <w:rFonts w:hint="eastAsia" w:ascii="Times New Roman" w:hAnsi="Times New Roman" w:eastAsia="宋体" w:cs="Times New Roman"/>
                <w:bCs/>
                <w:color w:val="auto"/>
                <w:sz w:val="21"/>
                <w:szCs w:val="21"/>
                <w:highlight w:val="none"/>
                <w:lang w:val="en-US" w:eastAsia="zh-CN"/>
              </w:rPr>
              <w:t>（1）在设备的选型中要注意选用低噪声的设备，以降低声源噪声。</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Times New Roman" w:hAnsi="Times New Roman" w:eastAsia="宋体" w:cs="Times New Roman"/>
                <w:bCs/>
                <w:color w:val="auto"/>
                <w:sz w:val="21"/>
                <w:szCs w:val="21"/>
                <w:highlight w:val="none"/>
                <w:lang w:val="en-US" w:eastAsia="zh-CN"/>
              </w:rPr>
            </w:pPr>
            <w:r>
              <w:rPr>
                <w:rFonts w:hint="eastAsia" w:ascii="Times New Roman" w:hAnsi="Times New Roman" w:eastAsia="宋体" w:cs="Times New Roman"/>
                <w:bCs/>
                <w:color w:val="auto"/>
                <w:sz w:val="21"/>
                <w:szCs w:val="21"/>
                <w:highlight w:val="none"/>
                <w:lang w:val="en-US" w:eastAsia="zh-CN"/>
              </w:rPr>
              <w:t>（2）在总图布局上根据工艺流程要求，尽可能将高噪设备集中，还应根据高噪声设备所在位置，充分利用噪声的指向性，利用建筑物的阻隔效应，科学布置以保证厂界噪声达标。</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Times New Roman" w:hAnsi="Times New Roman" w:eastAsia="宋体" w:cs="Times New Roman"/>
                <w:bCs/>
                <w:color w:val="auto"/>
                <w:sz w:val="21"/>
                <w:szCs w:val="21"/>
                <w:highlight w:val="none"/>
                <w:lang w:val="en-US" w:eastAsia="zh-CN"/>
              </w:rPr>
            </w:pPr>
            <w:r>
              <w:rPr>
                <w:rFonts w:hint="eastAsia" w:ascii="Times New Roman" w:hAnsi="Times New Roman" w:eastAsia="宋体" w:cs="Times New Roman"/>
                <w:bCs/>
                <w:color w:val="auto"/>
                <w:sz w:val="21"/>
                <w:szCs w:val="21"/>
                <w:highlight w:val="none"/>
                <w:lang w:val="en-US" w:eastAsia="zh-CN"/>
              </w:rPr>
              <w:t>（3）对高噪声设备采用基础减振、消声器、隔声罩等措施，以降低噪声。</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Times New Roman" w:hAnsi="Times New Roman" w:eastAsia="宋体" w:cs="Times New Roman"/>
                <w:bCs/>
                <w:color w:val="auto"/>
                <w:sz w:val="21"/>
                <w:szCs w:val="21"/>
                <w:highlight w:val="none"/>
                <w:lang w:val="en-US" w:eastAsia="zh-CN"/>
              </w:rPr>
            </w:pPr>
            <w:r>
              <w:rPr>
                <w:rFonts w:hint="eastAsia" w:ascii="Times New Roman" w:hAnsi="Times New Roman" w:eastAsia="宋体" w:cs="Times New Roman"/>
                <w:bCs/>
                <w:color w:val="auto"/>
                <w:sz w:val="21"/>
                <w:szCs w:val="21"/>
                <w:highlight w:val="none"/>
                <w:lang w:val="en-US" w:eastAsia="zh-CN"/>
              </w:rPr>
              <w:t>（4）在厂区内，特别是车间四周种植一些防噪效果较好的树种，并配灌木，高低搭配，可以有效地防止噪声的传播。</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Times New Roman" w:hAnsi="Times New Roman" w:eastAsia="宋体" w:cs="Times New Roman"/>
                <w:bCs/>
                <w:color w:val="auto"/>
                <w:sz w:val="21"/>
                <w:szCs w:val="21"/>
                <w:highlight w:val="none"/>
                <w:lang w:val="en-US" w:eastAsia="zh-CN"/>
              </w:rPr>
            </w:pPr>
            <w:r>
              <w:rPr>
                <w:rFonts w:hint="eastAsia" w:ascii="Times New Roman" w:hAnsi="Times New Roman" w:eastAsia="宋体" w:cs="Times New Roman"/>
                <w:bCs/>
                <w:color w:val="auto"/>
                <w:sz w:val="21"/>
                <w:szCs w:val="21"/>
                <w:highlight w:val="none"/>
                <w:lang w:val="en-US" w:eastAsia="zh-CN"/>
              </w:rPr>
              <w:t>（5）加强管理，经常对产噪设备的性能进行检查，保持设备平衡，以减少振动的产生，平时要对防噪设施经常维护，确保其发挥正常功能。</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lang w:val="en-US" w:eastAsia="zh-CN"/>
              </w:rPr>
              <w:t>3.2</w:t>
            </w:r>
            <w:r>
              <w:rPr>
                <w:rFonts w:hint="default" w:ascii="Times New Roman" w:hAnsi="Times New Roman" w:eastAsia="宋体" w:cs="Times New Roman"/>
                <w:b/>
                <w:bCs w:val="0"/>
                <w:color w:val="auto"/>
                <w:sz w:val="21"/>
                <w:szCs w:val="21"/>
                <w:highlight w:val="none"/>
              </w:rPr>
              <w:t>监测要求</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eastAsia="宋体" w:cs="Times New Roman"/>
                <w:bCs/>
                <w:color w:val="auto"/>
                <w:sz w:val="21"/>
                <w:szCs w:val="21"/>
                <w:highlight w:val="none"/>
              </w:rPr>
            </w:pPr>
            <w:r>
              <w:rPr>
                <w:rFonts w:hint="default" w:ascii="Times New Roman" w:hAnsi="Times New Roman" w:eastAsia="宋体" w:cs="Times New Roman"/>
                <w:bCs/>
                <w:color w:val="auto"/>
                <w:sz w:val="21"/>
                <w:szCs w:val="21"/>
                <w:highlight w:val="none"/>
              </w:rPr>
              <w:t>根据《排污单位自行监测技术指南 总则》</w:t>
            </w:r>
            <w:r>
              <w:rPr>
                <w:rFonts w:hint="default" w:ascii="Times New Roman" w:hAnsi="Times New Roman" w:eastAsia="宋体" w:cs="Times New Roman"/>
                <w:bCs/>
                <w:color w:val="auto"/>
                <w:sz w:val="21"/>
                <w:szCs w:val="21"/>
                <w:highlight w:val="none"/>
                <w:lang w:eastAsia="zh-CN"/>
              </w:rPr>
              <w:t>（</w:t>
            </w:r>
            <w:r>
              <w:rPr>
                <w:rFonts w:hint="default" w:ascii="Times New Roman" w:hAnsi="Times New Roman" w:eastAsia="宋体" w:cs="Times New Roman"/>
                <w:bCs/>
                <w:color w:val="auto"/>
                <w:sz w:val="21"/>
                <w:szCs w:val="21"/>
                <w:highlight w:val="none"/>
              </w:rPr>
              <w:t>HJ 819-2017</w:t>
            </w:r>
            <w:r>
              <w:rPr>
                <w:rFonts w:hint="default" w:ascii="Times New Roman" w:hAnsi="Times New Roman" w:eastAsia="宋体" w:cs="Times New Roman"/>
                <w:bCs/>
                <w:color w:val="auto"/>
                <w:sz w:val="21"/>
                <w:szCs w:val="21"/>
                <w:highlight w:val="none"/>
                <w:lang w:eastAsia="zh-CN"/>
              </w:rPr>
              <w:t>）</w:t>
            </w:r>
            <w:r>
              <w:rPr>
                <w:rFonts w:hint="default" w:ascii="Times New Roman" w:hAnsi="Times New Roman" w:eastAsia="宋体" w:cs="Times New Roman"/>
                <w:bCs/>
                <w:color w:val="auto"/>
                <w:sz w:val="21"/>
                <w:szCs w:val="21"/>
                <w:highlight w:val="none"/>
              </w:rPr>
              <w:t>、《</w:t>
            </w:r>
            <w:r>
              <w:rPr>
                <w:rFonts w:hint="default" w:ascii="Times New Roman" w:hAnsi="Times New Roman" w:cs="Times New Roman"/>
                <w:bCs/>
                <w:color w:val="auto"/>
                <w:sz w:val="21"/>
                <w:szCs w:val="21"/>
                <w:highlight w:val="none"/>
                <w:lang w:eastAsia="zh-CN"/>
              </w:rPr>
              <w:t>排污许可证申请与核发技术规范 工业噪声</w:t>
            </w:r>
            <w:r>
              <w:rPr>
                <w:rFonts w:hint="default" w:ascii="Times New Roman" w:hAnsi="Times New Roman" w:eastAsia="宋体" w:cs="Times New Roman"/>
                <w:bCs/>
                <w:color w:val="auto"/>
                <w:sz w:val="21"/>
                <w:szCs w:val="21"/>
                <w:highlight w:val="none"/>
              </w:rPr>
              <w:t>》</w:t>
            </w:r>
            <w:r>
              <w:rPr>
                <w:rFonts w:hint="default" w:ascii="Times New Roman" w:hAnsi="Times New Roman" w:eastAsia="宋体" w:cs="Times New Roman"/>
                <w:bCs/>
                <w:color w:val="auto"/>
                <w:sz w:val="21"/>
                <w:szCs w:val="21"/>
                <w:highlight w:val="none"/>
                <w:lang w:eastAsia="zh-CN"/>
              </w:rPr>
              <w:t>（</w:t>
            </w:r>
            <w:r>
              <w:rPr>
                <w:rFonts w:hint="default" w:ascii="Times New Roman" w:hAnsi="Times New Roman" w:eastAsia="宋体" w:cs="Times New Roman"/>
                <w:bCs/>
                <w:color w:val="auto"/>
                <w:sz w:val="21"/>
                <w:szCs w:val="21"/>
                <w:highlight w:val="none"/>
              </w:rPr>
              <w:t xml:space="preserve">HJ </w:t>
            </w:r>
            <w:r>
              <w:rPr>
                <w:rFonts w:hint="default" w:ascii="Times New Roman" w:hAnsi="Times New Roman" w:eastAsia="宋体" w:cs="Times New Roman"/>
                <w:bCs/>
                <w:color w:val="auto"/>
                <w:sz w:val="21"/>
                <w:szCs w:val="21"/>
                <w:highlight w:val="none"/>
                <w:lang w:val="en-US" w:eastAsia="zh-CN"/>
              </w:rPr>
              <w:t>1301</w:t>
            </w:r>
            <w:r>
              <w:rPr>
                <w:rFonts w:hint="default" w:ascii="Times New Roman" w:hAnsi="Times New Roman" w:eastAsia="宋体" w:cs="Times New Roman"/>
                <w:bCs/>
                <w:color w:val="auto"/>
                <w:sz w:val="21"/>
                <w:szCs w:val="21"/>
                <w:highlight w:val="none"/>
              </w:rPr>
              <w:t>-</w:t>
            </w:r>
            <w:r>
              <w:rPr>
                <w:rFonts w:hint="default" w:ascii="Times New Roman" w:hAnsi="Times New Roman" w:eastAsia="宋体" w:cs="Times New Roman"/>
                <w:bCs/>
                <w:color w:val="auto"/>
                <w:sz w:val="21"/>
                <w:szCs w:val="21"/>
                <w:highlight w:val="none"/>
                <w:lang w:val="en-US" w:eastAsia="zh-CN"/>
              </w:rPr>
              <w:t>2023</w:t>
            </w:r>
            <w:r>
              <w:rPr>
                <w:rFonts w:hint="default" w:ascii="Times New Roman" w:hAnsi="Times New Roman" w:eastAsia="宋体" w:cs="Times New Roman"/>
                <w:bCs/>
                <w:color w:val="auto"/>
                <w:sz w:val="21"/>
                <w:szCs w:val="21"/>
                <w:highlight w:val="none"/>
                <w:lang w:eastAsia="zh-CN"/>
              </w:rPr>
              <w:t>）</w:t>
            </w:r>
            <w:r>
              <w:rPr>
                <w:rFonts w:hint="default" w:ascii="Times New Roman" w:hAnsi="Times New Roman" w:eastAsia="宋体" w:cs="Times New Roman"/>
                <w:bCs/>
                <w:color w:val="auto"/>
                <w:sz w:val="21"/>
                <w:szCs w:val="21"/>
                <w:highlight w:val="none"/>
              </w:rPr>
              <w:t>中的有关规定要求，针对</w:t>
            </w:r>
            <w:r>
              <w:rPr>
                <w:rFonts w:hint="default" w:ascii="Times New Roman" w:hAnsi="Times New Roman" w:cs="Times New Roman"/>
                <w:bCs/>
                <w:color w:val="auto"/>
                <w:sz w:val="21"/>
                <w:szCs w:val="21"/>
                <w:highlight w:val="none"/>
                <w:lang w:eastAsia="zh-CN"/>
              </w:rPr>
              <w:t>本次</w:t>
            </w:r>
            <w:r>
              <w:rPr>
                <w:rFonts w:hint="default" w:ascii="Times New Roman" w:hAnsi="Times New Roman" w:eastAsia="宋体" w:cs="Times New Roman"/>
                <w:bCs/>
                <w:color w:val="auto"/>
                <w:sz w:val="21"/>
                <w:szCs w:val="21"/>
                <w:highlight w:val="none"/>
              </w:rPr>
              <w:t>项目产排污特点，制定本项目的监测计划，具体内容见下表。</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表</w:t>
            </w:r>
            <w:r>
              <w:rPr>
                <w:rFonts w:hint="eastAsia" w:ascii="Times New Roman" w:hAnsi="Times New Roman" w:cs="Times New Roman"/>
                <w:b/>
                <w:bCs w:val="0"/>
                <w:color w:val="auto"/>
                <w:sz w:val="21"/>
                <w:szCs w:val="21"/>
                <w:highlight w:val="none"/>
                <w:lang w:val="en-US" w:eastAsia="zh-CN"/>
              </w:rPr>
              <w:t>4-</w:t>
            </w:r>
            <w:r>
              <w:rPr>
                <w:rFonts w:hint="eastAsia" w:cs="Times New Roman"/>
                <w:b/>
                <w:bCs w:val="0"/>
                <w:color w:val="auto"/>
                <w:sz w:val="21"/>
                <w:szCs w:val="21"/>
                <w:highlight w:val="none"/>
                <w:lang w:val="en-US" w:eastAsia="zh-CN"/>
              </w:rPr>
              <w:t>13</w:t>
            </w:r>
            <w:r>
              <w:rPr>
                <w:rFonts w:hint="default" w:ascii="Times New Roman" w:hAnsi="Times New Roman" w:eastAsia="宋体" w:cs="Times New Roman"/>
                <w:b/>
                <w:bCs w:val="0"/>
                <w:color w:val="auto"/>
                <w:sz w:val="21"/>
                <w:szCs w:val="21"/>
                <w:highlight w:val="none"/>
              </w:rPr>
              <w:t xml:space="preserve"> 监测计划一览表</w:t>
            </w:r>
          </w:p>
          <w:tbl>
            <w:tblPr>
              <w:tblStyle w:val="21"/>
              <w:tblW w:w="4998" w:type="pct"/>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840"/>
              <w:gridCol w:w="1687"/>
              <w:gridCol w:w="1353"/>
              <w:gridCol w:w="326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04" w:hRule="atLeast"/>
              </w:trPr>
              <w:tc>
                <w:tcPr>
                  <w:tcW w:w="1130" w:type="pct"/>
                  <w:noWrap w:val="0"/>
                  <w:vAlign w:val="center"/>
                </w:tcPr>
                <w:p>
                  <w:pPr>
                    <w:pStyle w:val="48"/>
                    <w:bidi w:val="0"/>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rPr>
                    <w:t>监测点位</w:t>
                  </w:r>
                </w:p>
              </w:tc>
              <w:tc>
                <w:tcPr>
                  <w:tcW w:w="1036" w:type="pct"/>
                  <w:noWrap w:val="0"/>
                  <w:vAlign w:val="center"/>
                </w:tcPr>
                <w:p>
                  <w:pPr>
                    <w:pStyle w:val="48"/>
                    <w:bidi w:val="0"/>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rPr>
                    <w:t>监测项目</w:t>
                  </w:r>
                </w:p>
              </w:tc>
              <w:tc>
                <w:tcPr>
                  <w:tcW w:w="831" w:type="pct"/>
                  <w:noWrap w:val="0"/>
                  <w:vAlign w:val="center"/>
                </w:tcPr>
                <w:p>
                  <w:pPr>
                    <w:pStyle w:val="48"/>
                    <w:bidi w:val="0"/>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rPr>
                    <w:t>监测频次</w:t>
                  </w:r>
                </w:p>
              </w:tc>
              <w:tc>
                <w:tcPr>
                  <w:tcW w:w="2001" w:type="pct"/>
                  <w:noWrap w:val="0"/>
                  <w:vAlign w:val="center"/>
                </w:tcPr>
                <w:p>
                  <w:pPr>
                    <w:pStyle w:val="48"/>
                    <w:bidi w:val="0"/>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rPr>
                    <w:t>执行标准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c>
                <w:tcPr>
                  <w:tcW w:w="1130" w:type="pct"/>
                  <w:noWrap w:val="0"/>
                  <w:vAlign w:val="center"/>
                </w:tcPr>
                <w:p>
                  <w:pPr>
                    <w:pStyle w:val="48"/>
                    <w:bidi w:val="0"/>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rPr>
                    <w:t>厂界外1米</w:t>
                  </w:r>
                </w:p>
              </w:tc>
              <w:tc>
                <w:tcPr>
                  <w:tcW w:w="1036" w:type="pct"/>
                  <w:noWrap w:val="0"/>
                  <w:vAlign w:val="center"/>
                </w:tcPr>
                <w:p>
                  <w:pPr>
                    <w:pStyle w:val="48"/>
                    <w:bidi w:val="0"/>
                    <w:rPr>
                      <w:rFonts w:hint="default" w:ascii="Times New Roman" w:hAnsi="Times New Roman" w:cs="Times New Roman"/>
                      <w:b w:val="0"/>
                      <w:bCs w:val="0"/>
                      <w:color w:val="auto"/>
                      <w:sz w:val="21"/>
                      <w:szCs w:val="21"/>
                      <w:highlight w:val="none"/>
                    </w:rPr>
                  </w:pPr>
                  <w:r>
                    <w:rPr>
                      <w:rFonts w:hint="eastAsia" w:ascii="Times New Roman" w:cs="Times New Roman"/>
                      <w:b w:val="0"/>
                      <w:bCs w:val="0"/>
                      <w:color w:val="auto"/>
                      <w:sz w:val="21"/>
                      <w:szCs w:val="21"/>
                      <w:highlight w:val="none"/>
                      <w:lang w:val="en-US" w:eastAsia="zh-CN"/>
                    </w:rPr>
                    <w:t>昼间、夜间</w:t>
                  </w:r>
                  <w:r>
                    <w:rPr>
                      <w:rFonts w:hint="default" w:ascii="Times New Roman" w:hAnsi="Times New Roman" w:cs="Times New Roman"/>
                      <w:b w:val="0"/>
                      <w:bCs w:val="0"/>
                      <w:color w:val="auto"/>
                      <w:sz w:val="21"/>
                      <w:szCs w:val="21"/>
                      <w:highlight w:val="none"/>
                    </w:rPr>
                    <w:t>连续等效A声级</w:t>
                  </w:r>
                </w:p>
              </w:tc>
              <w:tc>
                <w:tcPr>
                  <w:tcW w:w="831" w:type="pct"/>
                  <w:noWrap w:val="0"/>
                  <w:vAlign w:val="center"/>
                </w:tcPr>
                <w:p>
                  <w:pPr>
                    <w:pStyle w:val="48"/>
                    <w:bidi w:val="0"/>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rPr>
                    <w:t>1次/季度</w:t>
                  </w:r>
                </w:p>
              </w:tc>
              <w:tc>
                <w:tcPr>
                  <w:tcW w:w="2001" w:type="pct"/>
                  <w:noWrap w:val="0"/>
                  <w:vAlign w:val="center"/>
                </w:tcPr>
                <w:p>
                  <w:pPr>
                    <w:pStyle w:val="48"/>
                    <w:bidi w:val="0"/>
                    <w:rPr>
                      <w:rFonts w:hint="default" w:ascii="Times New Roman" w:hAnsi="Times New Roman" w:cs="Times New Roman"/>
                      <w:b w:val="0"/>
                      <w:bCs w:val="0"/>
                      <w:color w:val="auto"/>
                      <w:sz w:val="21"/>
                      <w:szCs w:val="21"/>
                      <w:highlight w:val="none"/>
                    </w:rPr>
                  </w:pPr>
                  <w:r>
                    <w:rPr>
                      <w:rFonts w:hint="default" w:ascii="Times New Roman" w:hAnsi="Times New Roman" w:cs="Times New Roman"/>
                      <w:b w:val="0"/>
                      <w:bCs w:val="0"/>
                      <w:color w:val="auto"/>
                      <w:sz w:val="21"/>
                      <w:szCs w:val="21"/>
                      <w:highlight w:val="none"/>
                    </w:rPr>
                    <w:t>《工业企业厂界环境噪声排放标准》（GB12348-2008）中3类标准</w:t>
                  </w:r>
                </w:p>
              </w:tc>
            </w:tr>
          </w:tbl>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lang w:val="en-US" w:eastAsia="zh-CN"/>
              </w:rPr>
              <w:t>4</w:t>
            </w:r>
            <w:r>
              <w:rPr>
                <w:rFonts w:hint="default" w:ascii="Times New Roman" w:hAnsi="Times New Roman" w:eastAsia="宋体" w:cs="Times New Roman"/>
                <w:b/>
                <w:bCs w:val="0"/>
                <w:color w:val="auto"/>
                <w:sz w:val="21"/>
                <w:szCs w:val="21"/>
                <w:highlight w:val="none"/>
              </w:rPr>
              <w:t>固体废物</w:t>
            </w:r>
            <w:r>
              <w:rPr>
                <w:rFonts w:hint="default" w:ascii="Times New Roman" w:hAnsi="Times New Roman" w:cs="Times New Roman"/>
                <w:b/>
                <w:bCs/>
                <w:color w:val="auto"/>
                <w:sz w:val="21"/>
                <w:szCs w:val="21"/>
                <w:highlight w:val="none"/>
                <w:lang w:eastAsia="zh-CN"/>
              </w:rPr>
              <w:t>环境影响和保护措施</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2" w:firstLineChars="200"/>
              <w:jc w:val="both"/>
              <w:textAlignment w:val="auto"/>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lang w:val="en-US" w:eastAsia="zh-CN"/>
              </w:rPr>
              <w:t>4.1</w:t>
            </w:r>
            <w:r>
              <w:rPr>
                <w:rFonts w:hint="default" w:ascii="Times New Roman" w:hAnsi="Times New Roman" w:cs="Times New Roman"/>
                <w:b/>
                <w:bCs/>
                <w:color w:val="auto"/>
                <w:sz w:val="21"/>
                <w:szCs w:val="21"/>
                <w:highlight w:val="none"/>
              </w:rPr>
              <w:t>固体废物产生情况和处置情况</w:t>
            </w:r>
          </w:p>
          <w:p>
            <w:pPr>
              <w:keepNext w:val="0"/>
              <w:keepLines w:val="0"/>
              <w:pageBreakBefore w:val="0"/>
              <w:widowControl w:val="0"/>
              <w:kinsoku/>
              <w:overflowPunct/>
              <w:topLinePunct w:val="0"/>
              <w:bidi w:val="0"/>
              <w:spacing w:line="360" w:lineRule="auto"/>
              <w:ind w:firstLine="420" w:firstLineChars="200"/>
              <w:jc w:val="both"/>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（1）生活垃圾</w:t>
            </w:r>
          </w:p>
          <w:p>
            <w:pPr>
              <w:keepNext w:val="0"/>
              <w:keepLines w:val="0"/>
              <w:pageBreakBefore w:val="0"/>
              <w:widowControl w:val="0"/>
              <w:kinsoku/>
              <w:overflowPunct/>
              <w:topLinePunct w:val="0"/>
              <w:bidi w:val="0"/>
              <w:spacing w:line="360" w:lineRule="auto"/>
              <w:ind w:firstLine="420" w:firstLineChars="200"/>
              <w:jc w:val="both"/>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本项目运营期员工为</w:t>
            </w:r>
            <w:r>
              <w:rPr>
                <w:rFonts w:hint="default" w:ascii="Times New Roman" w:hAnsi="Times New Roman" w:cs="Times New Roman"/>
                <w:color w:val="auto"/>
                <w:sz w:val="21"/>
                <w:szCs w:val="21"/>
                <w:highlight w:val="none"/>
                <w:lang w:val="en-US" w:eastAsia="zh-CN"/>
              </w:rPr>
              <w:t>60</w:t>
            </w:r>
            <w:r>
              <w:rPr>
                <w:rFonts w:hint="default" w:ascii="Times New Roman" w:hAnsi="Times New Roman" w:cs="Times New Roman"/>
                <w:color w:val="auto"/>
                <w:sz w:val="21"/>
                <w:szCs w:val="21"/>
                <w:highlight w:val="none"/>
              </w:rPr>
              <w:t>人，年工作</w:t>
            </w:r>
            <w:r>
              <w:rPr>
                <w:rFonts w:hint="eastAsia" w:ascii="Times New Roman" w:hAnsi="Times New Roman" w:cs="Times New Roman"/>
                <w:color w:val="auto"/>
                <w:sz w:val="21"/>
                <w:szCs w:val="21"/>
                <w:highlight w:val="none"/>
                <w:lang w:val="en-US" w:eastAsia="zh-CN"/>
              </w:rPr>
              <w:t>273</w:t>
            </w:r>
            <w:r>
              <w:rPr>
                <w:rFonts w:hint="default" w:ascii="Times New Roman" w:hAnsi="Times New Roman" w:cs="Times New Roman"/>
                <w:color w:val="auto"/>
                <w:sz w:val="21"/>
                <w:szCs w:val="21"/>
                <w:highlight w:val="none"/>
              </w:rPr>
              <w:t>天，产生的生活垃圾为一般固废。生活垃圾按0.5kg/人·d计，</w:t>
            </w:r>
            <w:r>
              <w:rPr>
                <w:rFonts w:hint="default" w:ascii="Times New Roman" w:hAnsi="Times New Roman" w:cs="Times New Roman"/>
                <w:color w:val="auto"/>
                <w:sz w:val="21"/>
                <w:szCs w:val="21"/>
                <w:highlight w:val="none"/>
                <w:lang w:val="en-US" w:eastAsia="zh-CN"/>
              </w:rPr>
              <w:t>产生</w:t>
            </w:r>
            <w:r>
              <w:rPr>
                <w:rFonts w:hint="default" w:ascii="Times New Roman" w:hAnsi="Times New Roman" w:cs="Times New Roman"/>
                <w:color w:val="auto"/>
                <w:sz w:val="21"/>
                <w:szCs w:val="21"/>
                <w:highlight w:val="none"/>
              </w:rPr>
              <w:t>生活垃圾量为</w:t>
            </w:r>
            <w:r>
              <w:rPr>
                <w:rFonts w:hint="eastAsia" w:ascii="Times New Roman" w:hAnsi="Times New Roman" w:cs="Times New Roman"/>
                <w:color w:val="auto"/>
                <w:sz w:val="21"/>
                <w:szCs w:val="21"/>
                <w:highlight w:val="none"/>
                <w:lang w:val="en-US" w:eastAsia="zh-CN"/>
              </w:rPr>
              <w:t>8.19</w:t>
            </w:r>
            <w:r>
              <w:rPr>
                <w:rFonts w:hint="default" w:ascii="Times New Roman" w:hAnsi="Times New Roman" w:cs="Times New Roman"/>
                <w:color w:val="auto"/>
                <w:sz w:val="21"/>
                <w:szCs w:val="21"/>
                <w:highlight w:val="none"/>
              </w:rPr>
              <w:t>t/a，生活垃圾集中收集，定点存放，由环卫部门统一清运处理。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jc w:val="both"/>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lang w:val="en-US" w:eastAsia="zh-CN"/>
              </w:rPr>
              <w:t>2</w:t>
            </w:r>
            <w:r>
              <w:rPr>
                <w:rFonts w:hint="default" w:ascii="Times New Roman" w:hAnsi="Times New Roman"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val="en-US" w:eastAsia="zh-CN"/>
              </w:rPr>
              <w:t>废</w:t>
            </w:r>
            <w:r>
              <w:rPr>
                <w:rFonts w:hint="default" w:ascii="Times New Roman" w:hAnsi="Times New Roman" w:cs="Times New Roman"/>
                <w:color w:val="auto"/>
                <w:sz w:val="21"/>
                <w:szCs w:val="21"/>
                <w:highlight w:val="none"/>
                <w:lang w:val="en-US" w:eastAsia="zh-CN"/>
              </w:rPr>
              <w:t>包装材料</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jc w:val="both"/>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项目原辅料拆包、产品包装过程中</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lang w:val="en-US" w:eastAsia="zh-CN"/>
              </w:rPr>
              <w:t>会产生废弃包装材料，产生量约3t/a，</w:t>
            </w:r>
            <w:r>
              <w:rPr>
                <w:rFonts w:hint="default" w:ascii="Times New Roman" w:hAnsi="Times New Roman" w:cs="Times New Roman"/>
                <w:color w:val="auto"/>
                <w:sz w:val="21"/>
                <w:szCs w:val="21"/>
                <w:highlight w:val="none"/>
                <w:lang w:eastAsia="zh-CN"/>
              </w:rPr>
              <w:t>外售废品回收</w:t>
            </w:r>
            <w:r>
              <w:rPr>
                <w:rFonts w:hint="default" w:ascii="Times New Roman" w:hAnsi="Times New Roman" w:cs="Times New Roman"/>
                <w:color w:val="auto"/>
                <w:sz w:val="21"/>
                <w:szCs w:val="21"/>
                <w:highlight w:val="none"/>
                <w:lang w:val="en-US" w:eastAsia="zh-CN"/>
              </w:rPr>
              <w:t>站回收利用。</w:t>
            </w:r>
          </w:p>
          <w:p>
            <w:pPr>
              <w:keepNext w:val="0"/>
              <w:keepLines w:val="0"/>
              <w:pageBreakBefore w:val="0"/>
              <w:widowControl w:val="0"/>
              <w:numPr>
                <w:ilvl w:val="0"/>
                <w:numId w:val="4"/>
              </w:numPr>
              <w:kinsoku/>
              <w:wordWrap/>
              <w:overflowPunct/>
              <w:topLinePunct w:val="0"/>
              <w:autoSpaceDE/>
              <w:autoSpaceDN/>
              <w:bidi w:val="0"/>
              <w:adjustRightInd/>
              <w:snapToGrid/>
              <w:spacing w:line="360" w:lineRule="auto"/>
              <w:ind w:left="0" w:leftChars="0" w:firstLine="420" w:firstLineChars="200"/>
              <w:jc w:val="both"/>
              <w:textAlignment w:val="auto"/>
              <w:rPr>
                <w:rFonts w:hint="eastAsia" w:ascii="Times New Roman" w:hAnsi="Times New Roman"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废过滤材料</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jc w:val="both"/>
              <w:textAlignment w:val="auto"/>
              <w:rPr>
                <w:rFonts w:hint="default" w:ascii="Times New Roman" w:hAnsi="Times New Roman"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本项目废过滤材料包括纯水制备过程中过滤材料更换产生的废反渗透膜、废石英砂、废活性炭、废滤袋及废硅藻土。</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200"/>
              <w:jc w:val="both"/>
              <w:textAlignment w:val="auto"/>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cs="Times New Roman"/>
                <w:color w:val="auto"/>
                <w:kern w:val="2"/>
                <w:sz w:val="21"/>
                <w:szCs w:val="21"/>
                <w:highlight w:val="none"/>
                <w:lang w:val="en-US" w:eastAsia="zh-CN" w:bidi="ar-SA"/>
              </w:rPr>
              <w:t>①</w:t>
            </w:r>
            <w:r>
              <w:rPr>
                <w:rFonts w:hint="default" w:ascii="Times New Roman" w:hAnsi="Times New Roman" w:cs="Times New Roman"/>
                <w:color w:val="auto"/>
                <w:kern w:val="2"/>
                <w:sz w:val="21"/>
                <w:szCs w:val="21"/>
                <w:highlight w:val="none"/>
                <w:lang w:val="en-US" w:eastAsia="zh-CN" w:bidi="ar-SA"/>
              </w:rPr>
              <w:t>废渗透膜</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jc w:val="both"/>
              <w:textAlignment w:val="auto"/>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rPr>
              <w:t>根据业主提供的资料，</w:t>
            </w:r>
            <w:r>
              <w:rPr>
                <w:rFonts w:hint="default" w:ascii="Times New Roman" w:hAnsi="Times New Roman" w:cs="Times New Roman"/>
                <w:color w:val="auto"/>
                <w:sz w:val="21"/>
                <w:szCs w:val="21"/>
                <w:highlight w:val="none"/>
                <w:lang w:val="en-US" w:eastAsia="zh-CN"/>
              </w:rPr>
              <w:t>制备纯水会产生废反渗透膜，</w:t>
            </w:r>
            <w:r>
              <w:rPr>
                <w:rFonts w:hint="default" w:ascii="Times New Roman" w:hAnsi="Times New Roman" w:cs="Times New Roman"/>
                <w:color w:val="auto"/>
                <w:sz w:val="21"/>
                <w:szCs w:val="21"/>
                <w:highlight w:val="none"/>
                <w:lang w:eastAsia="zh-CN"/>
              </w:rPr>
              <w:t>产生量</w:t>
            </w:r>
            <w:r>
              <w:rPr>
                <w:rFonts w:hint="default" w:ascii="Times New Roman" w:hAnsi="Times New Roman" w:cs="Times New Roman"/>
                <w:color w:val="auto"/>
                <w:sz w:val="21"/>
                <w:szCs w:val="21"/>
                <w:highlight w:val="none"/>
                <w:lang w:val="en-US" w:eastAsia="zh-CN"/>
              </w:rPr>
              <w:t>约</w:t>
            </w:r>
            <w:r>
              <w:rPr>
                <w:rFonts w:hint="default" w:ascii="Times New Roman" w:hAnsi="Times New Roman" w:cs="Times New Roman"/>
                <w:color w:val="auto"/>
                <w:sz w:val="21"/>
                <w:szCs w:val="21"/>
                <w:highlight w:val="none"/>
                <w:lang w:eastAsia="zh-CN"/>
              </w:rPr>
              <w:t>为</w:t>
            </w:r>
            <w:r>
              <w:rPr>
                <w:rFonts w:hint="default" w:ascii="Times New Roman" w:hAnsi="Times New Roman" w:cs="Times New Roman"/>
                <w:color w:val="auto"/>
                <w:sz w:val="21"/>
                <w:szCs w:val="21"/>
                <w:highlight w:val="none"/>
                <w:lang w:val="en-US" w:eastAsia="zh-CN"/>
              </w:rPr>
              <w:t>0.2</w:t>
            </w:r>
            <w:r>
              <w:rPr>
                <w:rFonts w:hint="default" w:ascii="Times New Roman" w:hAnsi="Times New Roman" w:cs="Times New Roman"/>
                <w:color w:val="auto"/>
                <w:sz w:val="21"/>
                <w:szCs w:val="21"/>
                <w:highlight w:val="none"/>
              </w:rPr>
              <w:t>t</w:t>
            </w:r>
            <w:r>
              <w:rPr>
                <w:rFonts w:hint="default" w:ascii="Times New Roman" w:hAnsi="Times New Roman" w:cs="Times New Roman"/>
                <w:color w:val="auto"/>
                <w:sz w:val="21"/>
                <w:szCs w:val="21"/>
                <w:highlight w:val="none"/>
                <w:lang w:val="en-US" w:eastAsia="zh-CN"/>
              </w:rPr>
              <w:t>/a，暂存在厂内一般固废暂存间内，定期交由</w:t>
            </w:r>
            <w:r>
              <w:rPr>
                <w:rFonts w:hint="eastAsia" w:cs="Times New Roman"/>
                <w:color w:val="auto"/>
                <w:sz w:val="21"/>
                <w:szCs w:val="21"/>
                <w:highlight w:val="none"/>
                <w:lang w:val="en-US" w:eastAsia="zh-CN"/>
              </w:rPr>
              <w:t>设备厂家回收</w:t>
            </w:r>
            <w:r>
              <w:rPr>
                <w:rFonts w:hint="default" w:ascii="Times New Roman" w:hAnsi="Times New Roman" w:cs="Times New Roman"/>
                <w:color w:val="auto"/>
                <w:sz w:val="21"/>
                <w:szCs w:val="21"/>
                <w:highlight w:val="none"/>
                <w:lang w:val="en-US" w:eastAsia="zh-CN"/>
              </w:rPr>
              <w:t>处置</w:t>
            </w:r>
            <w:r>
              <w:rPr>
                <w:rFonts w:hint="default" w:ascii="Times New Roman" w:hAnsi="Times New Roman" w:eastAsia="宋体" w:cs="Times New Roman"/>
                <w:color w:val="auto"/>
                <w:sz w:val="21"/>
                <w:szCs w:val="21"/>
                <w:highlight w:val="none"/>
                <w:lang w:eastAsia="zh-CN"/>
              </w:rPr>
              <w:t>。</w:t>
            </w:r>
          </w:p>
          <w:p>
            <w:pPr>
              <w:keepNext w:val="0"/>
              <w:keepLines w:val="0"/>
              <w:pageBreakBefore w:val="0"/>
              <w:widowControl w:val="0"/>
              <w:numPr>
                <w:ilvl w:val="0"/>
                <w:numId w:val="0"/>
              </w:numPr>
              <w:suppressLineNumbers w:val="0"/>
              <w:kinsoku/>
              <w:wordWrap/>
              <w:overflowPunct/>
              <w:topLinePunct w:val="0"/>
              <w:autoSpaceDE/>
              <w:autoSpaceDN/>
              <w:bidi w:val="0"/>
              <w:adjustRightInd/>
              <w:snapToGrid/>
              <w:spacing w:before="0" w:beforeAutospacing="0" w:after="0" w:afterAutospacing="0" w:line="360" w:lineRule="auto"/>
              <w:ind w:left="0" w:leftChars="0" w:right="0" w:firstLine="420" w:firstLineChars="200"/>
              <w:jc w:val="both"/>
              <w:textAlignment w:val="auto"/>
              <w:rPr>
                <w:rFonts w:hint="default" w:ascii="Times New Roman" w:hAnsi="Times New Roman" w:cs="Times New Roman"/>
                <w:b w:val="0"/>
                <w:bCs/>
                <w:color w:val="auto"/>
                <w:sz w:val="21"/>
                <w:szCs w:val="21"/>
                <w:highlight w:val="none"/>
                <w:lang w:val="en-US" w:eastAsia="zh-CN"/>
              </w:rPr>
            </w:pPr>
            <w:r>
              <w:rPr>
                <w:rFonts w:hint="eastAsia" w:ascii="Times New Roman" w:hAnsi="Times New Roman" w:cs="Times New Roman"/>
                <w:b w:val="0"/>
                <w:bCs/>
                <w:color w:val="auto"/>
                <w:sz w:val="21"/>
                <w:szCs w:val="21"/>
                <w:highlight w:val="none"/>
                <w:lang w:val="en-US" w:eastAsia="zh-CN"/>
              </w:rPr>
              <w:t>②</w:t>
            </w:r>
            <w:r>
              <w:rPr>
                <w:rFonts w:hint="default" w:ascii="Times New Roman" w:hAnsi="Times New Roman" w:cs="Times New Roman"/>
                <w:b w:val="0"/>
                <w:bCs/>
                <w:color w:val="auto"/>
                <w:sz w:val="21"/>
                <w:szCs w:val="21"/>
                <w:highlight w:val="none"/>
                <w:lang w:val="en-US" w:eastAsia="zh-CN"/>
              </w:rPr>
              <w:t>废石英砂</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jc w:val="both"/>
              <w:textAlignment w:val="auto"/>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eastAsia="宋体" w:cs="Times New Roman"/>
                <w:b w:val="0"/>
                <w:bCs/>
                <w:color w:val="auto"/>
                <w:kern w:val="2"/>
                <w:sz w:val="21"/>
                <w:szCs w:val="21"/>
                <w:highlight w:val="none"/>
                <w:lang w:val="en-US" w:eastAsia="zh-CN" w:bidi="ar-SA"/>
              </w:rPr>
              <w:t>本项目制备纯水采用石英砂过滤，平均每三年更换一次，废石英砂产生量约为</w:t>
            </w:r>
            <w:r>
              <w:rPr>
                <w:rFonts w:hint="default" w:ascii="Times New Roman" w:hAnsi="Times New Roman" w:cs="Times New Roman"/>
                <w:b w:val="0"/>
                <w:bCs/>
                <w:color w:val="auto"/>
                <w:kern w:val="2"/>
                <w:sz w:val="21"/>
                <w:szCs w:val="21"/>
                <w:highlight w:val="none"/>
                <w:lang w:val="en-US" w:eastAsia="zh-CN" w:bidi="ar-SA"/>
              </w:rPr>
              <w:t>1</w:t>
            </w:r>
            <w:r>
              <w:rPr>
                <w:rFonts w:hint="default" w:ascii="Times New Roman" w:hAnsi="Times New Roman" w:eastAsia="宋体" w:cs="Times New Roman"/>
                <w:b w:val="0"/>
                <w:bCs/>
                <w:color w:val="auto"/>
                <w:kern w:val="2"/>
                <w:sz w:val="21"/>
                <w:szCs w:val="21"/>
                <w:highlight w:val="none"/>
                <w:lang w:val="en-US" w:eastAsia="zh-CN" w:bidi="ar-SA"/>
              </w:rPr>
              <w:t>t/a，</w:t>
            </w:r>
            <w:r>
              <w:rPr>
                <w:rFonts w:hint="default" w:ascii="Times New Roman" w:hAnsi="Times New Roman" w:cs="Times New Roman"/>
                <w:color w:val="auto"/>
                <w:sz w:val="21"/>
                <w:szCs w:val="21"/>
                <w:highlight w:val="none"/>
                <w:lang w:val="en-US" w:eastAsia="zh-CN"/>
              </w:rPr>
              <w:t>暂存在厂内一般固废暂存间内，定期交由</w:t>
            </w:r>
            <w:r>
              <w:rPr>
                <w:rFonts w:hint="eastAsia" w:cs="Times New Roman"/>
                <w:color w:val="auto"/>
                <w:sz w:val="21"/>
                <w:szCs w:val="21"/>
                <w:highlight w:val="none"/>
                <w:lang w:val="en-US" w:eastAsia="zh-CN"/>
              </w:rPr>
              <w:t>设备厂家回收</w:t>
            </w:r>
            <w:r>
              <w:rPr>
                <w:rFonts w:hint="default" w:ascii="Times New Roman" w:hAnsi="Times New Roman" w:cs="Times New Roman"/>
                <w:color w:val="auto"/>
                <w:sz w:val="21"/>
                <w:szCs w:val="21"/>
                <w:highlight w:val="none"/>
                <w:lang w:val="en-US" w:eastAsia="zh-CN"/>
              </w:rPr>
              <w:t>处置</w:t>
            </w:r>
            <w:r>
              <w:rPr>
                <w:rFonts w:hint="default" w:ascii="Times New Roman" w:hAnsi="Times New Roman" w:eastAsia="宋体" w:cs="Times New Roman"/>
                <w:color w:val="auto"/>
                <w:sz w:val="21"/>
                <w:szCs w:val="21"/>
                <w:highlight w:val="none"/>
                <w:lang w:eastAsia="zh-CN"/>
              </w:rPr>
              <w:t>。</w:t>
            </w:r>
          </w:p>
          <w:p>
            <w:pPr>
              <w:keepNext w:val="0"/>
              <w:keepLines w:val="0"/>
              <w:pageBreakBefore w:val="0"/>
              <w:widowControl w:val="0"/>
              <w:suppressLineNumbers w:val="0"/>
              <w:kinsoku/>
              <w:wordWrap/>
              <w:overflowPunct/>
              <w:topLinePunct w:val="0"/>
              <w:bidi w:val="0"/>
              <w:snapToGrid/>
              <w:spacing w:before="0" w:beforeAutospacing="0" w:after="0" w:afterAutospacing="0" w:line="360" w:lineRule="auto"/>
              <w:ind w:left="0" w:right="0" w:firstLine="420" w:firstLineChars="200"/>
              <w:jc w:val="both"/>
              <w:textAlignment w:val="auto"/>
              <w:rPr>
                <w:rFonts w:hint="default" w:ascii="Times New Roman" w:hAnsi="Times New Roman" w:cs="Times New Roman"/>
                <w:b w:val="0"/>
                <w:bCs/>
                <w:color w:val="auto"/>
                <w:sz w:val="21"/>
                <w:szCs w:val="21"/>
                <w:highlight w:val="none"/>
                <w:lang w:val="en-US" w:eastAsia="zh-CN"/>
              </w:rPr>
            </w:pPr>
            <w:r>
              <w:rPr>
                <w:rFonts w:hint="eastAsia" w:ascii="Times New Roman" w:hAnsi="Times New Roman" w:cs="Times New Roman"/>
                <w:b w:val="0"/>
                <w:bCs/>
                <w:color w:val="auto"/>
                <w:sz w:val="21"/>
                <w:szCs w:val="21"/>
                <w:highlight w:val="none"/>
                <w:lang w:val="en-US" w:eastAsia="zh-CN"/>
              </w:rPr>
              <w:t>③</w:t>
            </w:r>
            <w:r>
              <w:rPr>
                <w:rFonts w:hint="default" w:ascii="Times New Roman" w:hAnsi="Times New Roman" w:cs="Times New Roman"/>
                <w:b w:val="0"/>
                <w:bCs/>
                <w:color w:val="auto"/>
                <w:sz w:val="21"/>
                <w:szCs w:val="21"/>
                <w:highlight w:val="none"/>
                <w:lang w:val="en-US" w:eastAsia="zh-CN"/>
              </w:rPr>
              <w:t>纯水制备产生的废活性炭</w:t>
            </w:r>
          </w:p>
          <w:p>
            <w:pPr>
              <w:pStyle w:val="66"/>
              <w:keepNext w:val="0"/>
              <w:keepLines w:val="0"/>
              <w:pageBreakBefore w:val="0"/>
              <w:widowControl w:val="0"/>
              <w:suppressLineNumbers w:val="0"/>
              <w:kinsoku/>
              <w:wordWrap/>
              <w:overflowPunct/>
              <w:topLinePunct w:val="0"/>
              <w:bidi w:val="0"/>
              <w:snapToGrid/>
              <w:spacing w:beforeAutospacing="0" w:after="0" w:afterAutospacing="0" w:line="360" w:lineRule="auto"/>
              <w:ind w:left="0" w:right="0" w:firstLine="420" w:firstLineChars="200"/>
              <w:jc w:val="both"/>
              <w:textAlignment w:val="auto"/>
              <w:rPr>
                <w:rFonts w:hint="default" w:ascii="Times New Roman" w:hAnsi="Times New Roman" w:cs="Times New Roman"/>
                <w:b w:val="0"/>
                <w:bCs/>
                <w:color w:val="auto"/>
                <w:sz w:val="21"/>
                <w:szCs w:val="21"/>
                <w:highlight w:val="none"/>
                <w:lang w:val="en-US" w:eastAsia="zh-CN"/>
              </w:rPr>
            </w:pPr>
            <w:r>
              <w:rPr>
                <w:rFonts w:hint="default" w:ascii="Times New Roman" w:hAnsi="Times New Roman" w:cs="Times New Roman"/>
                <w:b w:val="0"/>
                <w:bCs/>
                <w:color w:val="auto"/>
                <w:sz w:val="21"/>
                <w:szCs w:val="21"/>
                <w:highlight w:val="none"/>
                <w:lang w:val="en-US" w:eastAsia="zh-CN"/>
              </w:rPr>
              <w:t>本项目制备超纯水采用活性炭过滤，平均每两年更换一次，废活性炭产生量为0.5t/a，暂存在厂内一般固废暂存间内，定期交由</w:t>
            </w:r>
            <w:r>
              <w:rPr>
                <w:rFonts w:hint="eastAsia" w:cs="Times New Roman"/>
                <w:b w:val="0"/>
                <w:bCs/>
                <w:color w:val="auto"/>
                <w:sz w:val="21"/>
                <w:szCs w:val="21"/>
                <w:highlight w:val="none"/>
                <w:lang w:val="en-US" w:eastAsia="zh-CN"/>
              </w:rPr>
              <w:t>设备厂家回收</w:t>
            </w:r>
            <w:r>
              <w:rPr>
                <w:rFonts w:hint="default" w:ascii="Times New Roman" w:hAnsi="Times New Roman" w:cs="Times New Roman"/>
                <w:b w:val="0"/>
                <w:bCs/>
                <w:color w:val="auto"/>
                <w:sz w:val="21"/>
                <w:szCs w:val="21"/>
                <w:highlight w:val="none"/>
                <w:lang w:val="en-US" w:eastAsia="zh-CN"/>
              </w:rPr>
              <w:t>处置。</w:t>
            </w:r>
          </w:p>
          <w:p>
            <w:pPr>
              <w:pStyle w:val="66"/>
              <w:keepNext w:val="0"/>
              <w:keepLines w:val="0"/>
              <w:pageBreakBefore w:val="0"/>
              <w:widowControl w:val="0"/>
              <w:suppressLineNumbers w:val="0"/>
              <w:kinsoku/>
              <w:wordWrap/>
              <w:overflowPunct/>
              <w:topLinePunct w:val="0"/>
              <w:bidi w:val="0"/>
              <w:snapToGrid/>
              <w:spacing w:beforeAutospacing="0" w:after="0" w:afterAutospacing="0" w:line="360" w:lineRule="auto"/>
              <w:ind w:left="0" w:right="0" w:firstLine="420" w:firstLineChars="200"/>
              <w:jc w:val="both"/>
              <w:textAlignment w:val="auto"/>
              <w:rPr>
                <w:rFonts w:hint="default" w:ascii="Times New Roman" w:hAnsi="Times New Roman" w:eastAsia="宋体" w:cs="Times New Roman"/>
                <w:b w:val="0"/>
                <w:bCs/>
                <w:color w:val="auto"/>
                <w:sz w:val="21"/>
                <w:szCs w:val="21"/>
                <w:highlight w:val="none"/>
                <w:lang w:val="en-US" w:eastAsia="zh-CN"/>
              </w:rPr>
            </w:pPr>
            <w:r>
              <w:rPr>
                <w:rFonts w:hint="eastAsia" w:ascii="Times New Roman" w:hAnsi="Times New Roman" w:cs="Times New Roman"/>
                <w:b w:val="0"/>
                <w:bCs/>
                <w:color w:val="auto"/>
                <w:sz w:val="21"/>
                <w:szCs w:val="21"/>
                <w:highlight w:val="none"/>
                <w:lang w:val="en-US" w:eastAsia="zh-CN"/>
              </w:rPr>
              <w:t>④</w:t>
            </w:r>
            <w:r>
              <w:rPr>
                <w:rFonts w:hint="default" w:ascii="Times New Roman" w:hAnsi="Times New Roman" w:eastAsia="宋体" w:cs="Times New Roman"/>
                <w:b w:val="0"/>
                <w:bCs/>
                <w:color w:val="auto"/>
                <w:sz w:val="21"/>
                <w:szCs w:val="21"/>
                <w:highlight w:val="none"/>
                <w:lang w:val="en-US" w:eastAsia="zh-CN"/>
              </w:rPr>
              <w:t>废</w:t>
            </w:r>
            <w:r>
              <w:rPr>
                <w:rFonts w:hint="eastAsia" w:ascii="Times New Roman" w:hAnsi="Times New Roman" w:cs="Times New Roman"/>
                <w:b w:val="0"/>
                <w:bCs/>
                <w:color w:val="auto"/>
                <w:sz w:val="21"/>
                <w:szCs w:val="21"/>
                <w:highlight w:val="none"/>
                <w:lang w:val="en-US" w:eastAsia="zh-CN"/>
              </w:rPr>
              <w:t>滤袋</w:t>
            </w:r>
          </w:p>
          <w:p>
            <w:pPr>
              <w:pStyle w:val="66"/>
              <w:keepNext w:val="0"/>
              <w:keepLines w:val="0"/>
              <w:pageBreakBefore w:val="0"/>
              <w:widowControl w:val="0"/>
              <w:suppressLineNumbers w:val="0"/>
              <w:kinsoku/>
              <w:wordWrap/>
              <w:overflowPunct/>
              <w:topLinePunct w:val="0"/>
              <w:bidi w:val="0"/>
              <w:snapToGrid/>
              <w:spacing w:beforeAutospacing="0" w:after="0" w:afterAutospacing="0" w:line="360" w:lineRule="auto"/>
              <w:ind w:left="0" w:right="0" w:firstLine="420" w:firstLineChars="200"/>
              <w:jc w:val="both"/>
              <w:textAlignment w:val="auto"/>
              <w:rPr>
                <w:rFonts w:hint="default" w:ascii="Times New Roman" w:hAnsi="Times New Roman" w:eastAsia="宋体" w:cs="Times New Roman"/>
                <w:b w:val="0"/>
                <w:bCs/>
                <w:color w:val="auto"/>
                <w:sz w:val="21"/>
                <w:szCs w:val="21"/>
                <w:highlight w:val="none"/>
                <w:lang w:val="en-US" w:eastAsia="zh-CN"/>
              </w:rPr>
            </w:pPr>
            <w:r>
              <w:rPr>
                <w:rFonts w:hint="default" w:ascii="Times New Roman" w:hAnsi="Times New Roman" w:eastAsia="宋体" w:cs="Times New Roman"/>
                <w:b w:val="0"/>
                <w:bCs/>
                <w:color w:val="auto"/>
                <w:sz w:val="21"/>
                <w:szCs w:val="21"/>
                <w:highlight w:val="none"/>
                <w:lang w:val="en-US" w:eastAsia="zh-CN"/>
              </w:rPr>
              <w:t>本项目制备纯水会使用到滤</w:t>
            </w:r>
            <w:r>
              <w:rPr>
                <w:rFonts w:hint="eastAsia" w:ascii="Times New Roman" w:hAnsi="Times New Roman" w:cs="Times New Roman"/>
                <w:b w:val="0"/>
                <w:bCs/>
                <w:color w:val="auto"/>
                <w:sz w:val="21"/>
                <w:szCs w:val="21"/>
                <w:highlight w:val="none"/>
                <w:lang w:val="en-US" w:eastAsia="zh-CN"/>
              </w:rPr>
              <w:t>袋</w:t>
            </w:r>
            <w:r>
              <w:rPr>
                <w:rFonts w:hint="default" w:ascii="Times New Roman" w:hAnsi="Times New Roman" w:eastAsia="宋体" w:cs="Times New Roman"/>
                <w:b w:val="0"/>
                <w:bCs/>
                <w:color w:val="auto"/>
                <w:sz w:val="21"/>
                <w:szCs w:val="21"/>
                <w:highlight w:val="none"/>
                <w:lang w:val="en-US" w:eastAsia="zh-CN"/>
              </w:rPr>
              <w:t>，</w:t>
            </w:r>
            <w:r>
              <w:rPr>
                <w:rFonts w:hint="eastAsia" w:ascii="Times New Roman" w:hAnsi="Times New Roman" w:cs="Times New Roman"/>
                <w:b w:val="0"/>
                <w:bCs/>
                <w:color w:val="auto"/>
                <w:sz w:val="21"/>
                <w:szCs w:val="21"/>
                <w:highlight w:val="none"/>
                <w:lang w:val="en-US" w:eastAsia="zh-CN"/>
              </w:rPr>
              <w:t>滤袋外购</w:t>
            </w:r>
            <w:r>
              <w:rPr>
                <w:rFonts w:hint="default" w:ascii="Times New Roman" w:hAnsi="Times New Roman" w:eastAsia="宋体" w:cs="Times New Roman"/>
                <w:b w:val="0"/>
                <w:bCs/>
                <w:color w:val="auto"/>
                <w:sz w:val="21"/>
                <w:szCs w:val="21"/>
                <w:highlight w:val="none"/>
                <w:lang w:val="en-US" w:eastAsia="zh-CN"/>
              </w:rPr>
              <w:t>，平均四年更换一次，产生量约为</w:t>
            </w:r>
            <w:r>
              <w:rPr>
                <w:rFonts w:hint="eastAsia" w:ascii="Times New Roman" w:hAnsi="Times New Roman" w:cs="Times New Roman"/>
                <w:b w:val="0"/>
                <w:bCs/>
                <w:color w:val="auto"/>
                <w:sz w:val="21"/>
                <w:szCs w:val="21"/>
                <w:highlight w:val="none"/>
                <w:lang w:val="en-US" w:eastAsia="zh-CN"/>
              </w:rPr>
              <w:t>0.04t</w:t>
            </w:r>
            <w:r>
              <w:rPr>
                <w:rFonts w:hint="default" w:ascii="Times New Roman" w:hAnsi="Times New Roman" w:eastAsia="宋体" w:cs="Times New Roman"/>
                <w:b w:val="0"/>
                <w:bCs/>
                <w:color w:val="auto"/>
                <w:sz w:val="21"/>
                <w:szCs w:val="21"/>
                <w:highlight w:val="none"/>
                <w:lang w:val="en-US" w:eastAsia="zh-CN"/>
              </w:rPr>
              <w:t>/a，暂存在厂内一般固废暂存间内，定期交由设备厂家回收处置。</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jc w:val="both"/>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⑤</w:t>
            </w:r>
            <w:r>
              <w:rPr>
                <w:rFonts w:hint="default" w:ascii="Times New Roman" w:hAnsi="Times New Roman" w:cs="Times New Roman"/>
                <w:color w:val="auto"/>
                <w:sz w:val="21"/>
                <w:szCs w:val="21"/>
                <w:highlight w:val="none"/>
                <w:lang w:val="en-US" w:eastAsia="zh-CN"/>
              </w:rPr>
              <w:t>废硅藻土</w:t>
            </w:r>
          </w:p>
          <w:p>
            <w:pPr>
              <w:pStyle w:val="56"/>
              <w:keepNext w:val="0"/>
              <w:keepLines w:val="0"/>
              <w:pageBreakBefore w:val="0"/>
              <w:widowControl w:val="0"/>
              <w:kinsoku/>
              <w:overflowPunct/>
              <w:topLinePunct w:val="0"/>
              <w:autoSpaceDE/>
              <w:autoSpaceDN/>
              <w:bidi w:val="0"/>
              <w:spacing w:line="360" w:lineRule="auto"/>
              <w:ind w:firstLine="420" w:firstLineChars="200"/>
              <w:jc w:val="both"/>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过滤工序会产生废硅藻土，产生量约3t/a，产生的废硅藻土暂存在厂内一般固废暂存间内，定期交由</w:t>
            </w:r>
            <w:r>
              <w:rPr>
                <w:rFonts w:hint="eastAsia" w:cs="Times New Roman"/>
                <w:color w:val="auto"/>
                <w:sz w:val="21"/>
                <w:szCs w:val="21"/>
                <w:highlight w:val="none"/>
                <w:lang w:val="en-US" w:eastAsia="zh-CN"/>
              </w:rPr>
              <w:t>设备厂家回收</w:t>
            </w:r>
            <w:r>
              <w:rPr>
                <w:rFonts w:hint="default" w:ascii="Times New Roman" w:hAnsi="Times New Roman" w:cs="Times New Roman"/>
                <w:color w:val="auto"/>
                <w:sz w:val="21"/>
                <w:szCs w:val="21"/>
                <w:highlight w:val="none"/>
                <w:lang w:val="en-US" w:eastAsia="zh-CN"/>
              </w:rPr>
              <w:t>处置。</w:t>
            </w:r>
          </w:p>
          <w:p>
            <w:pPr>
              <w:pStyle w:val="56"/>
              <w:keepNext w:val="0"/>
              <w:keepLines w:val="0"/>
              <w:pageBreakBefore w:val="0"/>
              <w:widowControl w:val="0"/>
              <w:kinsoku/>
              <w:overflowPunct/>
              <w:topLinePunct w:val="0"/>
              <w:autoSpaceDE/>
              <w:autoSpaceDN/>
              <w:bidi w:val="0"/>
              <w:spacing w:line="360" w:lineRule="auto"/>
              <w:ind w:firstLine="420" w:firstLineChars="200"/>
              <w:jc w:val="both"/>
              <w:textAlignment w:val="auto"/>
              <w:rPr>
                <w:rFonts w:hint="default"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综上，本项目废过滤材料产生量合计4.74t/a，企业分类收集后贮存于</w:t>
            </w:r>
            <w:r>
              <w:rPr>
                <w:rFonts w:hint="default" w:ascii="Times New Roman" w:hAnsi="Times New Roman" w:cs="Times New Roman"/>
                <w:color w:val="auto"/>
                <w:sz w:val="21"/>
                <w:szCs w:val="21"/>
                <w:highlight w:val="none"/>
                <w:lang w:val="en-US" w:eastAsia="zh-CN"/>
              </w:rPr>
              <w:t>厂内一般固废暂存间内</w:t>
            </w:r>
            <w:r>
              <w:rPr>
                <w:rFonts w:hint="eastAsia"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定期交由</w:t>
            </w:r>
            <w:r>
              <w:rPr>
                <w:rFonts w:hint="eastAsia" w:cs="Times New Roman"/>
                <w:color w:val="auto"/>
                <w:sz w:val="21"/>
                <w:szCs w:val="21"/>
                <w:highlight w:val="none"/>
                <w:lang w:val="en-US" w:eastAsia="zh-CN"/>
              </w:rPr>
              <w:t>设备厂家回收</w:t>
            </w:r>
            <w:r>
              <w:rPr>
                <w:rFonts w:hint="default" w:ascii="Times New Roman" w:hAnsi="Times New Roman" w:cs="Times New Roman"/>
                <w:color w:val="auto"/>
                <w:sz w:val="21"/>
                <w:szCs w:val="21"/>
                <w:highlight w:val="none"/>
                <w:lang w:val="en-US" w:eastAsia="zh-CN"/>
              </w:rPr>
              <w:t>处置</w:t>
            </w:r>
            <w:r>
              <w:rPr>
                <w:rFonts w:hint="eastAsia" w:cs="Times New Roman"/>
                <w:color w:val="auto"/>
                <w:sz w:val="21"/>
                <w:szCs w:val="21"/>
                <w:highlight w:val="none"/>
                <w:lang w:val="en-US" w:eastAsia="zh-CN"/>
              </w:rPr>
              <w:t>。</w:t>
            </w:r>
          </w:p>
          <w:p>
            <w:pPr>
              <w:pStyle w:val="56"/>
              <w:keepNext w:val="0"/>
              <w:keepLines w:val="0"/>
              <w:pageBreakBefore w:val="0"/>
              <w:widowControl w:val="0"/>
              <w:kinsoku/>
              <w:overflowPunct/>
              <w:topLinePunct w:val="0"/>
              <w:autoSpaceDE/>
              <w:autoSpaceDN/>
              <w:bidi w:val="0"/>
              <w:spacing w:line="360" w:lineRule="auto"/>
              <w:ind w:firstLine="420" w:firstLineChars="200"/>
              <w:jc w:val="both"/>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r>
              <w:rPr>
                <w:rFonts w:hint="eastAsia" w:ascii="Times New Roman" w:hAnsi="Times New Roman" w:cs="Times New Roman"/>
                <w:color w:val="auto"/>
                <w:sz w:val="21"/>
                <w:szCs w:val="21"/>
                <w:highlight w:val="none"/>
                <w:lang w:val="en-US" w:eastAsia="zh-CN"/>
              </w:rPr>
              <w:t>4</w:t>
            </w:r>
            <w:r>
              <w:rPr>
                <w:rFonts w:hint="default" w:ascii="Times New Roman" w:hAnsi="Times New Roman" w:cs="Times New Roman"/>
                <w:color w:val="auto"/>
                <w:sz w:val="21"/>
                <w:szCs w:val="21"/>
                <w:highlight w:val="none"/>
                <w:lang w:val="en-US" w:eastAsia="zh-CN"/>
              </w:rPr>
              <w:t>）不合格品</w:t>
            </w:r>
          </w:p>
          <w:p>
            <w:pPr>
              <w:keepNext w:val="0"/>
              <w:keepLines w:val="0"/>
              <w:pageBreakBefore w:val="0"/>
              <w:widowControl w:val="0"/>
              <w:kinsoku/>
              <w:overflowPunct/>
              <w:topLinePunct w:val="0"/>
              <w:bidi w:val="0"/>
              <w:spacing w:line="360" w:lineRule="auto"/>
              <w:ind w:firstLine="420" w:firstLineChars="200"/>
              <w:jc w:val="both"/>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项目</w:t>
            </w:r>
            <w:r>
              <w:rPr>
                <w:rFonts w:hint="default" w:ascii="Times New Roman" w:hAnsi="Times New Roman" w:cs="Times New Roman"/>
                <w:color w:val="auto"/>
                <w:sz w:val="21"/>
                <w:szCs w:val="21"/>
                <w:highlight w:val="none"/>
                <w:lang w:val="en-US" w:eastAsia="zh-CN"/>
              </w:rPr>
              <w:t>品检</w:t>
            </w:r>
            <w:r>
              <w:rPr>
                <w:rFonts w:hint="eastAsia" w:ascii="Times New Roman" w:hAnsi="Times New Roman" w:cs="Times New Roman"/>
                <w:color w:val="auto"/>
                <w:sz w:val="21"/>
                <w:szCs w:val="21"/>
                <w:highlight w:val="none"/>
                <w:lang w:val="en-US" w:eastAsia="zh-CN"/>
              </w:rPr>
              <w:t>及灯检</w:t>
            </w:r>
            <w:r>
              <w:rPr>
                <w:rFonts w:hint="default" w:ascii="Times New Roman" w:hAnsi="Times New Roman" w:cs="Times New Roman"/>
                <w:color w:val="auto"/>
                <w:sz w:val="21"/>
                <w:szCs w:val="21"/>
                <w:highlight w:val="none"/>
                <w:lang w:val="en-US" w:eastAsia="zh-CN"/>
              </w:rPr>
              <w:t>过程中</w:t>
            </w:r>
            <w:r>
              <w:rPr>
                <w:rFonts w:hint="default" w:ascii="Times New Roman" w:hAnsi="Times New Roman" w:eastAsia="宋体" w:cs="Times New Roman"/>
                <w:color w:val="auto"/>
                <w:sz w:val="21"/>
                <w:szCs w:val="21"/>
                <w:highlight w:val="none"/>
                <w:lang w:val="en-US" w:eastAsia="zh-CN"/>
              </w:rPr>
              <w:t>会</w:t>
            </w:r>
            <w:r>
              <w:rPr>
                <w:rFonts w:hint="default" w:ascii="Times New Roman" w:hAnsi="Times New Roman" w:cs="Times New Roman"/>
                <w:color w:val="auto"/>
                <w:sz w:val="21"/>
                <w:szCs w:val="21"/>
                <w:highlight w:val="none"/>
                <w:lang w:val="en-US" w:eastAsia="zh-CN"/>
              </w:rPr>
              <w:t>检查</w:t>
            </w:r>
            <w:r>
              <w:rPr>
                <w:rFonts w:hint="default" w:ascii="Times New Roman" w:hAnsi="Times New Roman" w:eastAsia="宋体" w:cs="Times New Roman"/>
                <w:color w:val="auto"/>
                <w:sz w:val="21"/>
                <w:szCs w:val="21"/>
                <w:highlight w:val="none"/>
                <w:lang w:val="en-US" w:eastAsia="zh-CN"/>
              </w:rPr>
              <w:t>成品的液位是否准确、喷码是否完整清晰、标签是否规整</w:t>
            </w:r>
            <w:r>
              <w:rPr>
                <w:rFonts w:hint="default" w:ascii="Times New Roman" w:hAnsi="Times New Roman" w:cs="Times New Roman"/>
                <w:color w:val="auto"/>
                <w:sz w:val="21"/>
                <w:szCs w:val="21"/>
                <w:highlight w:val="none"/>
                <w:lang w:val="en-US" w:eastAsia="zh-CN"/>
              </w:rPr>
              <w:t>，这个过程会</w:t>
            </w:r>
            <w:r>
              <w:rPr>
                <w:rFonts w:hint="default" w:ascii="Times New Roman" w:hAnsi="Times New Roman" w:eastAsia="宋体" w:cs="Times New Roman"/>
                <w:color w:val="auto"/>
                <w:sz w:val="21"/>
                <w:szCs w:val="21"/>
                <w:highlight w:val="none"/>
                <w:lang w:val="en-US" w:eastAsia="zh-CN"/>
              </w:rPr>
              <w:t>产生</w:t>
            </w:r>
            <w:r>
              <w:rPr>
                <w:rFonts w:hint="default" w:ascii="Times New Roman" w:hAnsi="Times New Roman" w:cs="Times New Roman"/>
                <w:color w:val="auto"/>
                <w:sz w:val="21"/>
                <w:szCs w:val="21"/>
                <w:highlight w:val="none"/>
                <w:lang w:val="en-US" w:eastAsia="zh-CN"/>
              </w:rPr>
              <w:t>少量</w:t>
            </w:r>
            <w:r>
              <w:rPr>
                <w:rFonts w:hint="default" w:ascii="Times New Roman" w:hAnsi="Times New Roman" w:eastAsia="宋体" w:cs="Times New Roman"/>
                <w:color w:val="auto"/>
                <w:sz w:val="21"/>
                <w:szCs w:val="21"/>
                <w:highlight w:val="none"/>
                <w:lang w:val="en-US" w:eastAsia="zh-CN"/>
              </w:rPr>
              <w:t>不合格产品，产生量约0.5m</w:t>
            </w:r>
            <w:r>
              <w:rPr>
                <w:rFonts w:hint="default" w:ascii="Times New Roman" w:hAnsi="Times New Roman" w:eastAsia="宋体" w:cs="Times New Roman"/>
                <w:color w:val="auto"/>
                <w:sz w:val="21"/>
                <w:szCs w:val="21"/>
                <w:highlight w:val="none"/>
                <w:vertAlign w:val="superscript"/>
                <w:lang w:val="en-US" w:eastAsia="zh-CN"/>
              </w:rPr>
              <w:t>3</w:t>
            </w:r>
            <w:r>
              <w:rPr>
                <w:rFonts w:hint="default" w:ascii="Times New Roman" w:hAnsi="Times New Roman" w:eastAsia="宋体" w:cs="Times New Roman"/>
                <w:color w:val="auto"/>
                <w:sz w:val="21"/>
                <w:szCs w:val="21"/>
                <w:highlight w:val="none"/>
                <w:lang w:val="en-US" w:eastAsia="zh-CN"/>
              </w:rPr>
              <w:t>/a，全部回收利用，</w:t>
            </w:r>
            <w:r>
              <w:rPr>
                <w:rFonts w:hint="default" w:ascii="Times New Roman" w:hAnsi="Times New Roman" w:cs="Times New Roman"/>
                <w:color w:val="auto"/>
                <w:sz w:val="21"/>
                <w:szCs w:val="21"/>
                <w:highlight w:val="none"/>
                <w:lang w:val="en-US" w:eastAsia="zh-CN"/>
              </w:rPr>
              <w:t>本项目饮料生产线全部为无菌生产线，设有过滤、消毒设备，经过</w:t>
            </w:r>
            <w:r>
              <w:rPr>
                <w:rFonts w:hint="default" w:ascii="Times New Roman" w:hAnsi="Times New Roman" w:eastAsia="宋体" w:cs="Times New Roman"/>
                <w:color w:val="auto"/>
                <w:sz w:val="21"/>
                <w:szCs w:val="21"/>
                <w:highlight w:val="none"/>
                <w:lang w:val="en-US" w:eastAsia="zh-CN"/>
              </w:rPr>
              <w:t>过滤后消毒杀菌重新</w:t>
            </w:r>
            <w:r>
              <w:rPr>
                <w:rFonts w:hint="default" w:ascii="Times New Roman" w:hAnsi="Times New Roman" w:cs="Times New Roman"/>
                <w:color w:val="auto"/>
                <w:sz w:val="21"/>
                <w:szCs w:val="21"/>
                <w:highlight w:val="none"/>
                <w:lang w:val="en-US" w:eastAsia="zh-CN"/>
              </w:rPr>
              <w:t>灌装</w:t>
            </w:r>
            <w:r>
              <w:rPr>
                <w:rFonts w:hint="default" w:ascii="Times New Roman" w:hAnsi="Times New Roman" w:eastAsia="宋体" w:cs="Times New Roman"/>
                <w:color w:val="auto"/>
                <w:sz w:val="21"/>
                <w:szCs w:val="21"/>
                <w:highlight w:val="none"/>
                <w:lang w:val="en-US" w:eastAsia="zh-CN"/>
              </w:rPr>
              <w:t>，不外排。</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jc w:val="both"/>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r>
              <w:rPr>
                <w:rFonts w:hint="eastAsia" w:ascii="Times New Roman" w:hAnsi="Times New Roman" w:cs="Times New Roman"/>
                <w:color w:val="auto"/>
                <w:sz w:val="21"/>
                <w:szCs w:val="21"/>
                <w:highlight w:val="none"/>
                <w:lang w:val="en-US" w:eastAsia="zh-CN"/>
              </w:rPr>
              <w:t>5</w:t>
            </w:r>
            <w:r>
              <w:rPr>
                <w:rFonts w:hint="default" w:ascii="Times New Roman" w:hAnsi="Times New Roman" w:cs="Times New Roman"/>
                <w:color w:val="auto"/>
                <w:sz w:val="21"/>
                <w:szCs w:val="21"/>
                <w:highlight w:val="none"/>
                <w:lang w:val="en-US" w:eastAsia="zh-CN"/>
              </w:rPr>
              <w:t>）废气处理产生的废活性炭</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jc w:val="both"/>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有机挥发性气体经“二级活性炭”处理后，产生废活性炭。本项目活性炭吸附装置中的活性炭在吸附挥发性有机物饱和之后需要进行更换，活性炭吸附有机废气的能力大概为自身单位重量的1/</w:t>
            </w:r>
            <w:r>
              <w:rPr>
                <w:rFonts w:hint="eastAsia" w:ascii="Times New Roman" w:hAnsi="Times New Roman" w:cs="Times New Roman"/>
                <w:color w:val="auto"/>
                <w:sz w:val="21"/>
                <w:szCs w:val="21"/>
                <w:highlight w:val="none"/>
                <w:lang w:val="en-US" w:eastAsia="zh-CN"/>
              </w:rPr>
              <w:t>4</w:t>
            </w:r>
            <w:r>
              <w:rPr>
                <w:rFonts w:hint="default" w:ascii="Times New Roman" w:hAnsi="Times New Roman" w:cs="Times New Roman"/>
                <w:color w:val="auto"/>
                <w:sz w:val="21"/>
                <w:szCs w:val="21"/>
                <w:highlight w:val="none"/>
                <w:lang w:val="en-US" w:eastAsia="zh-CN"/>
              </w:rPr>
              <w:t>，废弃活性炭是被吸附的有机气体的量和活性炭本身的用量之和。</w:t>
            </w:r>
            <w:r>
              <w:rPr>
                <w:rFonts w:hint="eastAsia" w:ascii="Times New Roman" w:hAnsi="Times New Roman" w:cs="Times New Roman"/>
                <w:color w:val="auto"/>
                <w:sz w:val="21"/>
                <w:szCs w:val="21"/>
                <w:highlight w:val="none"/>
                <w:lang w:val="en-US" w:eastAsia="zh-CN"/>
              </w:rPr>
              <w:t>根据前文源强核算可知，</w:t>
            </w:r>
            <w:r>
              <w:rPr>
                <w:rFonts w:hint="default" w:ascii="Times New Roman" w:hAnsi="Times New Roman" w:cs="Times New Roman"/>
                <w:color w:val="auto"/>
                <w:sz w:val="21"/>
                <w:szCs w:val="21"/>
                <w:highlight w:val="none"/>
                <w:lang w:val="en-US" w:eastAsia="zh-CN"/>
              </w:rPr>
              <w:t>本项目有机废气吸附量</w:t>
            </w:r>
            <w:r>
              <w:rPr>
                <w:rFonts w:hint="eastAsia" w:ascii="Times New Roman" w:hAnsi="Times New Roman" w:cs="Times New Roman"/>
                <w:color w:val="auto"/>
                <w:sz w:val="21"/>
                <w:szCs w:val="21"/>
                <w:highlight w:val="none"/>
                <w:lang w:val="en-US" w:eastAsia="zh-CN"/>
              </w:rPr>
              <w:t>合计</w:t>
            </w:r>
            <w:r>
              <w:rPr>
                <w:rFonts w:hint="default" w:ascii="Times New Roman" w:hAnsi="Times New Roman" w:cs="Times New Roman"/>
                <w:color w:val="auto"/>
                <w:sz w:val="21"/>
                <w:szCs w:val="21"/>
                <w:highlight w:val="none"/>
                <w:lang w:val="en-US" w:eastAsia="zh-CN"/>
              </w:rPr>
              <w:t>为</w:t>
            </w:r>
            <w:r>
              <w:rPr>
                <w:rFonts w:hint="eastAsia" w:cs="Times New Roman"/>
                <w:color w:val="auto"/>
                <w:sz w:val="21"/>
                <w:szCs w:val="21"/>
                <w:highlight w:val="none"/>
                <w:lang w:val="en-US" w:eastAsia="zh-CN"/>
              </w:rPr>
              <w:t>2.568</w:t>
            </w:r>
            <w:r>
              <w:rPr>
                <w:rFonts w:hint="default" w:ascii="Times New Roman" w:hAnsi="Times New Roman" w:cs="Times New Roman"/>
                <w:color w:val="auto"/>
                <w:sz w:val="21"/>
                <w:szCs w:val="21"/>
                <w:highlight w:val="none"/>
                <w:lang w:val="en-US" w:eastAsia="zh-CN"/>
              </w:rPr>
              <w:t>t/a，则活性炭用量约为</w:t>
            </w:r>
            <w:r>
              <w:rPr>
                <w:rFonts w:hint="eastAsia" w:cs="Times New Roman"/>
                <w:color w:val="auto"/>
                <w:sz w:val="21"/>
                <w:szCs w:val="21"/>
                <w:highlight w:val="none"/>
                <w:lang w:val="en-US" w:eastAsia="zh-CN"/>
              </w:rPr>
              <w:t>10.272</w:t>
            </w:r>
            <w:r>
              <w:rPr>
                <w:rFonts w:hint="default" w:ascii="Times New Roman" w:hAnsi="Times New Roman" w:cs="Times New Roman"/>
                <w:color w:val="auto"/>
                <w:sz w:val="21"/>
                <w:szCs w:val="21"/>
                <w:highlight w:val="none"/>
                <w:lang w:val="en-US" w:eastAsia="zh-CN"/>
              </w:rPr>
              <w:t>t/a，产生废活性炭约</w:t>
            </w:r>
            <w:r>
              <w:rPr>
                <w:rFonts w:hint="eastAsia" w:cs="Times New Roman"/>
                <w:color w:val="auto"/>
                <w:sz w:val="21"/>
                <w:szCs w:val="21"/>
                <w:highlight w:val="none"/>
                <w:lang w:val="en-US" w:eastAsia="zh-CN"/>
              </w:rPr>
              <w:t>12.84</w:t>
            </w:r>
            <w:r>
              <w:rPr>
                <w:rFonts w:hint="default" w:ascii="Times New Roman" w:hAnsi="Times New Roman" w:cs="Times New Roman"/>
                <w:color w:val="auto"/>
                <w:sz w:val="21"/>
                <w:szCs w:val="21"/>
                <w:highlight w:val="none"/>
                <w:lang w:val="en-US" w:eastAsia="zh-CN"/>
              </w:rPr>
              <w:t>t/a，为保障项目工艺废气的有效吸附处理，项目吸附活性炭选用颗粒状活性炭（碘值不低于800毫克/克）；定期检查项目废气排放情况</w:t>
            </w:r>
            <w:r>
              <w:rPr>
                <w:rFonts w:hint="eastAsia" w:ascii="Times New Roman" w:hAnsi="Times New Roman"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对照《国家危险废物名录》（2025年），</w:t>
            </w:r>
            <w:r>
              <w:rPr>
                <w:rFonts w:hint="eastAsia" w:ascii="Times New Roman" w:hAnsi="Times New Roman" w:cs="Times New Roman"/>
                <w:color w:val="auto"/>
                <w:sz w:val="21"/>
                <w:szCs w:val="21"/>
                <w:highlight w:val="none"/>
                <w:lang w:val="en-US" w:eastAsia="zh-CN"/>
              </w:rPr>
              <w:t>废活性炭</w:t>
            </w:r>
            <w:r>
              <w:rPr>
                <w:rFonts w:hint="default" w:ascii="Times New Roman" w:hAnsi="Times New Roman" w:cs="Times New Roman"/>
                <w:color w:val="auto"/>
                <w:sz w:val="21"/>
                <w:szCs w:val="21"/>
                <w:highlight w:val="none"/>
                <w:lang w:val="en-US" w:eastAsia="zh-CN"/>
              </w:rPr>
              <w:t>属于危险废物，废物类别：HW49其他废物，废物代码900-039-49。收集后存放在危险废物贮存点，由有资质单位统一收集处理。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r>
              <w:rPr>
                <w:rFonts w:hint="eastAsia" w:ascii="Times New Roman" w:hAnsi="Times New Roman" w:cs="Times New Roman"/>
                <w:color w:val="auto"/>
                <w:sz w:val="21"/>
                <w:szCs w:val="21"/>
                <w:highlight w:val="none"/>
                <w:lang w:val="en-US" w:eastAsia="zh-CN"/>
              </w:rPr>
              <w:t>6</w:t>
            </w:r>
            <w:r>
              <w:rPr>
                <w:rFonts w:hint="default" w:ascii="Times New Roman" w:hAnsi="Times New Roman" w:cs="Times New Roman"/>
                <w:color w:val="auto"/>
                <w:sz w:val="21"/>
                <w:szCs w:val="21"/>
                <w:highlight w:val="none"/>
                <w:lang w:val="en-US" w:eastAsia="zh-CN"/>
              </w:rPr>
              <w:t>）废</w:t>
            </w:r>
            <w:r>
              <w:rPr>
                <w:rFonts w:hint="eastAsia" w:ascii="Times New Roman" w:hAnsi="Times New Roman" w:cs="Times New Roman"/>
                <w:color w:val="auto"/>
                <w:sz w:val="21"/>
                <w:szCs w:val="21"/>
                <w:highlight w:val="none"/>
                <w:lang w:val="en-US" w:eastAsia="zh-CN"/>
              </w:rPr>
              <w:t>机</w:t>
            </w:r>
            <w:r>
              <w:rPr>
                <w:rFonts w:hint="default" w:ascii="Times New Roman" w:hAnsi="Times New Roman" w:cs="Times New Roman"/>
                <w:color w:val="auto"/>
                <w:sz w:val="21"/>
                <w:szCs w:val="21"/>
                <w:highlight w:val="none"/>
                <w:lang w:val="en-US" w:eastAsia="zh-CN"/>
              </w:rPr>
              <w:t>油及废油桶</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bCs/>
                <w:color w:val="auto"/>
                <w:kern w:val="2"/>
                <w:sz w:val="21"/>
                <w:szCs w:val="21"/>
                <w:highlight w:val="none"/>
                <w:lang w:val="en-US" w:eastAsia="zh-CN" w:bidi="ar-SA"/>
              </w:rPr>
              <w:t>项目设备在日常保养维修过程中会产生部分废</w:t>
            </w:r>
            <w:r>
              <w:rPr>
                <w:rFonts w:hint="eastAsia" w:ascii="Times New Roman" w:hAnsi="Times New Roman" w:cs="Times New Roman" w:eastAsiaTheme="minorEastAsia"/>
                <w:bCs/>
                <w:color w:val="auto"/>
                <w:kern w:val="2"/>
                <w:sz w:val="21"/>
                <w:szCs w:val="21"/>
                <w:highlight w:val="none"/>
                <w:lang w:val="en-US" w:eastAsia="zh-CN" w:bidi="ar-SA"/>
              </w:rPr>
              <w:t>机</w:t>
            </w:r>
            <w:r>
              <w:rPr>
                <w:rFonts w:hint="default" w:ascii="Times New Roman" w:hAnsi="Times New Roman" w:cs="Times New Roman" w:eastAsiaTheme="minorEastAsia"/>
                <w:bCs/>
                <w:color w:val="auto"/>
                <w:kern w:val="2"/>
                <w:sz w:val="21"/>
                <w:szCs w:val="21"/>
                <w:highlight w:val="none"/>
                <w:lang w:val="en-US" w:eastAsia="zh-CN" w:bidi="ar-SA"/>
              </w:rPr>
              <w:t>油及废</w:t>
            </w:r>
            <w:r>
              <w:rPr>
                <w:rFonts w:hint="eastAsia" w:ascii="Times New Roman" w:hAnsi="Times New Roman" w:cs="Times New Roman" w:eastAsiaTheme="minorEastAsia"/>
                <w:bCs/>
                <w:color w:val="auto"/>
                <w:kern w:val="2"/>
                <w:sz w:val="21"/>
                <w:szCs w:val="21"/>
                <w:highlight w:val="none"/>
                <w:lang w:val="en-US" w:eastAsia="zh-CN" w:bidi="ar-SA"/>
              </w:rPr>
              <w:t>油</w:t>
            </w:r>
            <w:r>
              <w:rPr>
                <w:rFonts w:hint="default" w:ascii="Times New Roman" w:hAnsi="Times New Roman" w:cs="Times New Roman" w:eastAsiaTheme="minorEastAsia"/>
                <w:bCs/>
                <w:color w:val="auto"/>
                <w:kern w:val="2"/>
                <w:sz w:val="21"/>
                <w:szCs w:val="21"/>
                <w:highlight w:val="none"/>
                <w:lang w:val="en-US" w:eastAsia="zh-CN" w:bidi="ar-SA"/>
              </w:rPr>
              <w:t>桶，废</w:t>
            </w:r>
            <w:r>
              <w:rPr>
                <w:rFonts w:hint="eastAsia" w:ascii="Times New Roman" w:hAnsi="Times New Roman" w:cs="Times New Roman" w:eastAsiaTheme="minorEastAsia"/>
                <w:bCs/>
                <w:color w:val="auto"/>
                <w:kern w:val="2"/>
                <w:sz w:val="21"/>
                <w:szCs w:val="21"/>
                <w:highlight w:val="none"/>
                <w:lang w:val="en-US" w:eastAsia="zh-CN" w:bidi="ar-SA"/>
              </w:rPr>
              <w:t>机</w:t>
            </w:r>
            <w:r>
              <w:rPr>
                <w:rFonts w:hint="default" w:ascii="Times New Roman" w:hAnsi="Times New Roman" w:cs="Times New Roman" w:eastAsiaTheme="minorEastAsia"/>
                <w:bCs/>
                <w:color w:val="auto"/>
                <w:kern w:val="2"/>
                <w:sz w:val="21"/>
                <w:szCs w:val="21"/>
                <w:highlight w:val="none"/>
                <w:lang w:val="en-US" w:eastAsia="zh-CN" w:bidi="ar-SA"/>
              </w:rPr>
              <w:t>油产生量为0.05t/a，废油桶产生量为0.01t/a，</w:t>
            </w:r>
            <w:r>
              <w:rPr>
                <w:rFonts w:hint="default" w:ascii="Times New Roman" w:hAnsi="Times New Roman" w:cs="Times New Roman" w:eastAsiaTheme="minorEastAsia"/>
                <w:color w:val="auto"/>
                <w:sz w:val="21"/>
                <w:szCs w:val="21"/>
                <w:highlight w:val="none"/>
                <w:lang w:val="en-US" w:eastAsia="zh-CN"/>
              </w:rPr>
              <w:t>对照《国家危险废物名录》（2025年），</w:t>
            </w:r>
            <w:r>
              <w:rPr>
                <w:rFonts w:hint="default" w:ascii="Times New Roman" w:hAnsi="Times New Roman" w:cs="Times New Roman"/>
                <w:color w:val="auto"/>
                <w:sz w:val="21"/>
                <w:szCs w:val="21"/>
                <w:highlight w:val="none"/>
                <w:lang w:val="en-US" w:eastAsia="zh-CN"/>
              </w:rPr>
              <w:t>废</w:t>
            </w:r>
            <w:r>
              <w:rPr>
                <w:rFonts w:hint="eastAsia" w:ascii="Times New Roman" w:hAnsi="Times New Roman" w:cs="Times New Roman"/>
                <w:color w:val="auto"/>
                <w:sz w:val="21"/>
                <w:szCs w:val="21"/>
                <w:highlight w:val="none"/>
                <w:lang w:val="en-US" w:eastAsia="zh-CN"/>
              </w:rPr>
              <w:t>机</w:t>
            </w:r>
            <w:r>
              <w:rPr>
                <w:rFonts w:hint="default" w:ascii="Times New Roman" w:hAnsi="Times New Roman" w:cs="Times New Roman"/>
                <w:color w:val="auto"/>
                <w:sz w:val="21"/>
                <w:szCs w:val="21"/>
                <w:highlight w:val="none"/>
                <w:lang w:val="en-US" w:eastAsia="zh-CN"/>
              </w:rPr>
              <w:t>油</w:t>
            </w:r>
            <w:r>
              <w:rPr>
                <w:rFonts w:hint="eastAsia" w:cs="Times New Roman"/>
                <w:color w:val="auto"/>
                <w:sz w:val="21"/>
                <w:szCs w:val="21"/>
                <w:highlight w:val="none"/>
                <w:lang w:val="en-US" w:eastAsia="zh-CN"/>
              </w:rPr>
              <w:t>及废油桶均</w:t>
            </w:r>
            <w:r>
              <w:rPr>
                <w:rFonts w:hint="default" w:ascii="Times New Roman" w:hAnsi="Times New Roman" w:cs="Times New Roman" w:eastAsiaTheme="minorEastAsia"/>
                <w:color w:val="auto"/>
                <w:sz w:val="21"/>
                <w:szCs w:val="21"/>
                <w:highlight w:val="none"/>
                <w:lang w:val="en-US" w:eastAsia="zh-CN"/>
              </w:rPr>
              <w:t>属于危险废物，废物类别为HW08废矿物油与含矿物油废物，危废代码：900-</w:t>
            </w:r>
            <w:r>
              <w:rPr>
                <w:rFonts w:hint="eastAsia" w:ascii="Times New Roman" w:hAnsi="Times New Roman" w:cs="Times New Roman" w:eastAsiaTheme="minorEastAsia"/>
                <w:color w:val="auto"/>
                <w:sz w:val="21"/>
                <w:szCs w:val="21"/>
                <w:highlight w:val="none"/>
                <w:lang w:val="en-US" w:eastAsia="zh-CN"/>
              </w:rPr>
              <w:t>249</w:t>
            </w:r>
            <w:r>
              <w:rPr>
                <w:rFonts w:hint="default" w:ascii="Times New Roman" w:hAnsi="Times New Roman" w:cs="Times New Roman" w:eastAsiaTheme="minorEastAsia"/>
                <w:color w:val="auto"/>
                <w:sz w:val="21"/>
                <w:szCs w:val="21"/>
                <w:highlight w:val="none"/>
                <w:lang w:val="en-US" w:eastAsia="zh-CN"/>
              </w:rPr>
              <w:t>-08（其他生产、销售、使用过程中产生的废矿物油及沾染矿物油的废弃包装物）</w:t>
            </w:r>
            <w:r>
              <w:rPr>
                <w:rFonts w:hint="eastAsia" w:ascii="Times New Roman" w:hAnsi="Times New Roman" w:cs="Times New Roman" w:eastAsiaTheme="minorEastAsia"/>
                <w:color w:val="auto"/>
                <w:sz w:val="21"/>
                <w:szCs w:val="21"/>
                <w:highlight w:val="none"/>
                <w:lang w:val="en-US" w:eastAsia="zh-CN"/>
              </w:rPr>
              <w:t>，设备维护保养过程中产生的</w:t>
            </w:r>
            <w:r>
              <w:rPr>
                <w:rFonts w:hint="default" w:ascii="Times New Roman" w:hAnsi="Times New Roman" w:cs="Times New Roman"/>
                <w:color w:val="auto"/>
                <w:sz w:val="21"/>
                <w:szCs w:val="21"/>
                <w:highlight w:val="none"/>
                <w:lang w:val="en-US" w:eastAsia="zh-CN"/>
              </w:rPr>
              <w:t>废</w:t>
            </w:r>
            <w:r>
              <w:rPr>
                <w:rFonts w:hint="eastAsia" w:ascii="Times New Roman" w:hAnsi="Times New Roman" w:cs="Times New Roman"/>
                <w:color w:val="auto"/>
                <w:sz w:val="21"/>
                <w:szCs w:val="21"/>
                <w:highlight w:val="none"/>
                <w:lang w:val="en-US" w:eastAsia="zh-CN"/>
              </w:rPr>
              <w:t>机</w:t>
            </w:r>
            <w:r>
              <w:rPr>
                <w:rFonts w:hint="default" w:ascii="Times New Roman" w:hAnsi="Times New Roman" w:cs="Times New Roman"/>
                <w:color w:val="auto"/>
                <w:sz w:val="21"/>
                <w:szCs w:val="21"/>
                <w:highlight w:val="none"/>
                <w:lang w:val="en-US" w:eastAsia="zh-CN"/>
              </w:rPr>
              <w:t>油及废油桶</w:t>
            </w:r>
            <w:r>
              <w:rPr>
                <w:rFonts w:hint="default" w:ascii="Times New Roman" w:hAnsi="Times New Roman" w:cs="Times New Roman" w:eastAsiaTheme="minorEastAsia"/>
                <w:color w:val="auto"/>
                <w:sz w:val="21"/>
                <w:szCs w:val="21"/>
                <w:highlight w:val="none"/>
                <w:lang w:val="en-US" w:eastAsia="zh-CN"/>
              </w:rPr>
              <w:t>统一收集，存放在危险废物贮存点，由有资质单位统一收集处理。</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kern w:val="2"/>
                <w:sz w:val="21"/>
                <w:szCs w:val="21"/>
                <w:lang w:val="en-US" w:eastAsia="zh-CN" w:bidi="ar-SA"/>
              </w:rPr>
              <w:t>（7）</w:t>
            </w:r>
            <w:r>
              <w:rPr>
                <w:rFonts w:hint="eastAsia" w:ascii="Times New Roman" w:hAnsi="Times New Roman" w:cs="Times New Roman" w:eastAsiaTheme="minorEastAsia"/>
                <w:color w:val="auto"/>
                <w:sz w:val="21"/>
                <w:szCs w:val="21"/>
                <w:highlight w:val="none"/>
                <w:lang w:val="en-US" w:eastAsia="zh-CN"/>
              </w:rPr>
              <w:t>污水站污泥</w:t>
            </w:r>
          </w:p>
          <w:p>
            <w:pPr>
              <w:pStyle w:val="56"/>
              <w:keepNext w:val="0"/>
              <w:keepLines w:val="0"/>
              <w:pageBreakBefore w:val="0"/>
              <w:widowControl w:val="0"/>
              <w:kinsoku/>
              <w:overflowPunct/>
              <w:topLinePunct w:val="0"/>
              <w:autoSpaceDE/>
              <w:autoSpaceDN/>
              <w:bidi w:val="0"/>
              <w:spacing w:line="360" w:lineRule="auto"/>
              <w:ind w:firstLine="420" w:firstLineChars="200"/>
              <w:jc w:val="both"/>
              <w:textAlignment w:val="auto"/>
              <w:rPr>
                <w:rFonts w:hint="eastAsia" w:ascii="Times New Roman" w:hAnsi="Times New Roman" w:cs="Times New Roman" w:eastAsiaTheme="minorEastAsia"/>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项目污水处理设施会产生一定量的污泥，污泥产生量按1kg/t污水处理量计，本项目</w:t>
            </w:r>
            <w:r>
              <w:rPr>
                <w:rFonts w:hint="eastAsia" w:cs="Times New Roman"/>
                <w:color w:val="auto"/>
                <w:sz w:val="21"/>
                <w:szCs w:val="21"/>
                <w:highlight w:val="none"/>
                <w:lang w:val="en-US" w:eastAsia="zh-CN"/>
              </w:rPr>
              <w:t>污水处理站处理废水量为3712.8</w:t>
            </w:r>
            <w:r>
              <w:rPr>
                <w:rFonts w:hint="eastAsia" w:ascii="Times New Roman" w:hAnsi="Times New Roman" w:cs="Times New Roman"/>
                <w:color w:val="auto"/>
                <w:sz w:val="21"/>
                <w:szCs w:val="21"/>
                <w:highlight w:val="none"/>
                <w:lang w:val="en-US" w:eastAsia="zh-CN"/>
              </w:rPr>
              <w:t>t/a。则污泥产生量为</w:t>
            </w:r>
            <w:r>
              <w:rPr>
                <w:rFonts w:hint="eastAsia" w:cs="Times New Roman"/>
                <w:color w:val="auto"/>
                <w:sz w:val="21"/>
                <w:szCs w:val="21"/>
                <w:highlight w:val="none"/>
                <w:lang w:val="en-US" w:eastAsia="zh-CN"/>
              </w:rPr>
              <w:t>3.71</w:t>
            </w:r>
            <w:r>
              <w:rPr>
                <w:rFonts w:hint="eastAsia" w:ascii="Times New Roman" w:hAnsi="Times New Roman" w:cs="Times New Roman"/>
                <w:color w:val="auto"/>
                <w:sz w:val="21"/>
                <w:szCs w:val="21"/>
                <w:highlight w:val="none"/>
                <w:lang w:val="en-US" w:eastAsia="zh-CN"/>
              </w:rPr>
              <w:t>t/a，</w:t>
            </w:r>
            <w:r>
              <w:rPr>
                <w:rFonts w:hint="eastAsia" w:cs="Times New Roman"/>
                <w:color w:val="auto"/>
                <w:sz w:val="21"/>
                <w:szCs w:val="21"/>
                <w:highlight w:val="none"/>
                <w:lang w:val="en-US" w:eastAsia="zh-CN"/>
              </w:rPr>
              <w:t>本项目污泥为一般固废，企业收集后暂存于</w:t>
            </w:r>
            <w:r>
              <w:rPr>
                <w:rFonts w:hint="default" w:ascii="Times New Roman" w:hAnsi="Times New Roman" w:cs="Times New Roman"/>
                <w:color w:val="auto"/>
                <w:sz w:val="21"/>
                <w:szCs w:val="21"/>
                <w:highlight w:val="none"/>
                <w:lang w:val="en-US" w:eastAsia="zh-CN"/>
              </w:rPr>
              <w:t>厂内一般固废暂存间内</w:t>
            </w:r>
            <w:r>
              <w:rPr>
                <w:rFonts w:hint="eastAsia"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定期交由</w:t>
            </w:r>
            <w:r>
              <w:rPr>
                <w:rFonts w:hint="eastAsia" w:cs="Times New Roman"/>
                <w:color w:val="auto"/>
                <w:sz w:val="21"/>
                <w:szCs w:val="21"/>
                <w:highlight w:val="none"/>
                <w:lang w:val="en-US" w:eastAsia="zh-CN"/>
              </w:rPr>
              <w:t>物资回收公司回收利用。</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ascii="Times New Roman" w:hAnsi="Times New Roman" w:cs="Times New Roman" w:eastAsiaTheme="minorEastAsia"/>
                <w:color w:val="auto"/>
                <w:sz w:val="21"/>
                <w:szCs w:val="21"/>
                <w:highlight w:val="none"/>
                <w:lang w:val="en-US" w:eastAsia="zh-CN"/>
              </w:rPr>
            </w:pPr>
            <w:r>
              <w:rPr>
                <w:rFonts w:hint="default" w:ascii="Times New Roman" w:hAnsi="Times New Roman" w:cs="Times New Roman" w:eastAsiaTheme="minorEastAsia"/>
                <w:color w:val="auto"/>
                <w:kern w:val="2"/>
                <w:sz w:val="21"/>
                <w:szCs w:val="21"/>
                <w:lang w:val="en-US" w:eastAsia="zh-CN" w:bidi="ar-SA"/>
              </w:rPr>
              <w:t>（8）</w:t>
            </w:r>
            <w:r>
              <w:rPr>
                <w:rFonts w:hint="eastAsia" w:ascii="Times New Roman" w:hAnsi="Times New Roman" w:cs="Times New Roman" w:eastAsiaTheme="minorEastAsia"/>
                <w:color w:val="auto"/>
                <w:sz w:val="21"/>
                <w:szCs w:val="21"/>
                <w:highlight w:val="none"/>
                <w:lang w:val="en-US" w:eastAsia="zh-CN"/>
              </w:rPr>
              <w:t>坏果及果渣</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firstLine="420" w:firstLineChars="200"/>
              <w:jc w:val="both"/>
              <w:textAlignment w:val="auto"/>
              <w:rPr>
                <w:rFonts w:hint="default"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根据建设单位提供的资料，本项目高端鲜榨果汁生产线坏果率约占香梨总用量的0.2%，本项目年消耗香梨总量为10320t/a，则坏果产生量约20.64t/a，进入生产线的优良香梨约10299.36t/a；高端鲜榨果汁</w:t>
            </w:r>
            <w:r>
              <w:rPr>
                <w:rFonts w:hint="eastAsia" w:cs="Times New Roman" w:eastAsiaTheme="minorEastAsia"/>
                <w:color w:val="auto"/>
                <w:sz w:val="21"/>
                <w:szCs w:val="21"/>
                <w:highlight w:val="none"/>
                <w:lang w:val="en-US" w:eastAsia="zh-CN"/>
              </w:rPr>
              <w:t>生产过程中双道打浆工序产生果渣，果渣占比约9%，则果渣产生量为926.94t/a，因此本项目</w:t>
            </w:r>
            <w:r>
              <w:rPr>
                <w:rFonts w:hint="eastAsia" w:ascii="Times New Roman" w:hAnsi="Times New Roman" w:cs="Times New Roman" w:eastAsiaTheme="minorEastAsia"/>
                <w:color w:val="auto"/>
                <w:sz w:val="21"/>
                <w:szCs w:val="21"/>
                <w:highlight w:val="none"/>
                <w:lang w:val="en-US" w:eastAsia="zh-CN"/>
              </w:rPr>
              <w:t>高端鲜榨果汁生产</w:t>
            </w:r>
            <w:r>
              <w:rPr>
                <w:rFonts w:hint="eastAsia" w:cs="Times New Roman" w:eastAsiaTheme="minorEastAsia"/>
                <w:color w:val="auto"/>
                <w:sz w:val="21"/>
                <w:szCs w:val="21"/>
                <w:highlight w:val="none"/>
                <w:lang w:val="en-US" w:eastAsia="zh-CN"/>
              </w:rPr>
              <w:t>过程中坏果及果渣产生量合计约947.58t/a，拣选出的坏果直接收集至专用贮存点密闭收集箱内，果渣则经果汁料斗进入密闭的清运车送入专用贮存点密闭收集箱内，坏果及果渣均日常日清，不在厂区内长时间储存；若遇特殊情况不能及时清运，坏果及果渣在专用贮存点密闭暂存，贮存点保持密闭、防雨、防渗，并定期喷洒除臭剂；专用贮存点内密闭收集箱内收集的坏果及果渣由物资回收公司每日拍密闭货车上门清运，坏果、果渣桶装密闭后装车，全程密闭运输，不得沿途抛洒滴漏；同时运输路线避开居民区、学校等敏感点，按规定路线运输出厂。</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jc w:val="both"/>
              <w:textAlignment w:val="auto"/>
              <w:rPr>
                <w:rFonts w:hint="eastAsia" w:cs="Times New Roman" w:eastAsiaTheme="minorEastAsia"/>
                <w:color w:val="auto"/>
                <w:sz w:val="21"/>
                <w:szCs w:val="21"/>
                <w:highlight w:val="none"/>
                <w:lang w:val="en-US" w:eastAsia="zh-CN"/>
              </w:rPr>
            </w:pPr>
            <w:r>
              <w:rPr>
                <w:rFonts w:hint="eastAsia" w:ascii="Times New Roman" w:hAnsi="Times New Roman" w:cs="Times New Roman" w:eastAsiaTheme="minorEastAsia"/>
                <w:color w:val="auto"/>
                <w:kern w:val="2"/>
                <w:sz w:val="21"/>
                <w:szCs w:val="21"/>
                <w:lang w:val="en-US" w:eastAsia="zh-CN" w:bidi="ar-SA"/>
              </w:rPr>
              <w:t>（9）</w:t>
            </w:r>
            <w:r>
              <w:rPr>
                <w:rFonts w:hint="eastAsia" w:cs="Times New Roman" w:eastAsiaTheme="minorEastAsia"/>
                <w:color w:val="auto"/>
                <w:sz w:val="21"/>
                <w:szCs w:val="21"/>
                <w:highlight w:val="none"/>
                <w:lang w:val="en-US" w:eastAsia="zh-CN"/>
              </w:rPr>
              <w:t>废塑封膜边角料</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jc w:val="both"/>
              <w:textAlignment w:val="auto"/>
              <w:rPr>
                <w:rFonts w:hint="eastAsia" w:cs="Times New Roman"/>
                <w:color w:val="auto"/>
                <w:sz w:val="21"/>
                <w:szCs w:val="21"/>
                <w:highlight w:val="none"/>
                <w:lang w:val="en-US" w:eastAsia="zh-CN"/>
              </w:rPr>
            </w:pPr>
            <w:r>
              <w:rPr>
                <w:rFonts w:hint="eastAsia" w:cs="Times New Roman" w:eastAsiaTheme="minorEastAsia"/>
                <w:color w:val="auto"/>
                <w:sz w:val="21"/>
                <w:szCs w:val="21"/>
                <w:highlight w:val="none"/>
                <w:lang w:val="en-US" w:eastAsia="zh-CN"/>
              </w:rPr>
              <w:t>本项目包装工序塑封膜</w:t>
            </w:r>
            <w:r>
              <w:rPr>
                <w:rFonts w:hint="default" w:ascii="Times New Roman" w:hAnsi="Times New Roman" w:cs="Times New Roman"/>
                <w:b w:val="0"/>
                <w:bCs/>
                <w:color w:val="auto"/>
                <w:sz w:val="21"/>
                <w:szCs w:val="21"/>
                <w:highlight w:val="none"/>
                <w:lang w:val="en-US" w:eastAsia="zh-CN"/>
              </w:rPr>
              <w:t>热收缩完成后，包装机自动裁剪多余的塑封膜边角料</w:t>
            </w:r>
            <w:r>
              <w:rPr>
                <w:rFonts w:hint="eastAsia" w:cs="Times New Roman"/>
                <w:b w:val="0"/>
                <w:bCs/>
                <w:color w:val="auto"/>
                <w:sz w:val="21"/>
                <w:szCs w:val="21"/>
                <w:highlight w:val="none"/>
                <w:lang w:val="en-US" w:eastAsia="zh-CN"/>
              </w:rPr>
              <w:t>产生废塑封膜边角料，根据建设单位提供的资料，废塑封膜边角料产生量约占使用量的0.5%，本项目年用塑封膜103.5t，则</w:t>
            </w:r>
            <w:r>
              <w:rPr>
                <w:rFonts w:hint="eastAsia" w:cs="Times New Roman" w:eastAsiaTheme="minorEastAsia"/>
                <w:color w:val="auto"/>
                <w:sz w:val="21"/>
                <w:szCs w:val="21"/>
                <w:highlight w:val="none"/>
                <w:lang w:val="en-US" w:eastAsia="zh-CN"/>
              </w:rPr>
              <w:t>废塑封膜边角料生产量为0.52t/a，企业收集后外</w:t>
            </w:r>
            <w:r>
              <w:rPr>
                <w:rFonts w:hint="default" w:ascii="Times New Roman" w:hAnsi="Times New Roman" w:cs="Times New Roman"/>
                <w:color w:val="auto"/>
                <w:sz w:val="21"/>
                <w:szCs w:val="21"/>
                <w:highlight w:val="none"/>
                <w:lang w:eastAsia="zh-CN"/>
              </w:rPr>
              <w:t>售废品回收</w:t>
            </w:r>
            <w:r>
              <w:rPr>
                <w:rFonts w:hint="default" w:ascii="Times New Roman" w:hAnsi="Times New Roman" w:cs="Times New Roman"/>
                <w:color w:val="auto"/>
                <w:sz w:val="21"/>
                <w:szCs w:val="21"/>
                <w:highlight w:val="none"/>
                <w:lang w:val="en-US" w:eastAsia="zh-CN"/>
              </w:rPr>
              <w:t>站回收利用</w:t>
            </w:r>
            <w:r>
              <w:rPr>
                <w:rFonts w:hint="eastAsia" w:cs="Times New Roman"/>
                <w:color w:val="auto"/>
                <w:sz w:val="21"/>
                <w:szCs w:val="21"/>
                <w:highlight w:val="none"/>
                <w:lang w:val="en-US" w:eastAsia="zh-CN"/>
              </w:rPr>
              <w:t>。</w:t>
            </w:r>
          </w:p>
          <w:p>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0" w:leftChars="0" w:firstLine="420" w:firstLineChars="200"/>
              <w:jc w:val="both"/>
              <w:textAlignment w:val="auto"/>
              <w:rPr>
                <w:rFonts w:hint="eastAsia" w:cs="Times New Roman"/>
                <w:color w:val="auto"/>
                <w:sz w:val="21"/>
                <w:szCs w:val="21"/>
                <w:highlight w:val="none"/>
                <w:lang w:val="en-US" w:eastAsia="zh-CN"/>
              </w:rPr>
            </w:pPr>
            <w:r>
              <w:rPr>
                <w:color w:val="auto"/>
              </w:rPr>
              <w:t>项目固体废物产生及处置情况见表4-</w:t>
            </w:r>
            <w:r>
              <w:rPr>
                <w:rFonts w:hint="eastAsia"/>
                <w:color w:val="auto"/>
                <w:lang w:val="en-US" w:eastAsia="zh-CN"/>
              </w:rPr>
              <w:t>14（1）</w:t>
            </w:r>
            <w:r>
              <w:rPr>
                <w:color w:val="auto"/>
              </w:rPr>
              <w:t>，</w:t>
            </w:r>
            <w:r>
              <w:rPr>
                <w:rFonts w:hint="eastAsia"/>
                <w:color w:val="auto"/>
                <w:lang w:val="en-US" w:eastAsia="zh-CN"/>
              </w:rPr>
              <w:t>固体废物贮存情况</w:t>
            </w:r>
            <w:r>
              <w:rPr>
                <w:color w:val="auto"/>
              </w:rPr>
              <w:t>见表4-</w:t>
            </w:r>
            <w:r>
              <w:rPr>
                <w:rFonts w:hint="eastAsia"/>
                <w:color w:val="auto"/>
                <w:lang w:val="en-US" w:eastAsia="zh-CN"/>
              </w:rPr>
              <w:t>14（2）</w:t>
            </w:r>
            <w:r>
              <w:rPr>
                <w:color w:val="auto"/>
              </w:rPr>
              <w:t>。</w:t>
            </w:r>
          </w:p>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表</w:t>
            </w:r>
            <w:r>
              <w:rPr>
                <w:rFonts w:hint="default" w:ascii="Times New Roman" w:hAnsi="Times New Roman" w:eastAsia="宋体" w:cs="Times New Roman"/>
                <w:b/>
                <w:bCs w:val="0"/>
                <w:color w:val="auto"/>
                <w:sz w:val="21"/>
                <w:szCs w:val="21"/>
                <w:highlight w:val="none"/>
                <w:lang w:val="en-US" w:eastAsia="zh-CN"/>
              </w:rPr>
              <w:t>4-</w:t>
            </w:r>
            <w:r>
              <w:rPr>
                <w:rFonts w:hint="eastAsia" w:cs="Times New Roman"/>
                <w:b/>
                <w:bCs w:val="0"/>
                <w:color w:val="auto"/>
                <w:sz w:val="21"/>
                <w:szCs w:val="21"/>
                <w:highlight w:val="none"/>
                <w:lang w:val="en-US" w:eastAsia="zh-CN"/>
              </w:rPr>
              <w:t>14（1）</w:t>
            </w:r>
            <w:r>
              <w:rPr>
                <w:rFonts w:hint="default" w:ascii="Times New Roman" w:hAnsi="Times New Roman" w:eastAsia="宋体" w:cs="Times New Roman"/>
                <w:b/>
                <w:bCs w:val="0"/>
                <w:color w:val="auto"/>
                <w:sz w:val="21"/>
                <w:szCs w:val="21"/>
                <w:highlight w:val="none"/>
              </w:rPr>
              <w:t xml:space="preserve"> 项目固体废物产生情况明细</w:t>
            </w:r>
          </w:p>
          <w:tbl>
            <w:tblPr>
              <w:tblStyle w:val="21"/>
              <w:tblW w:w="4993" w:type="pct"/>
              <w:jc w:val="center"/>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Layout w:type="autofit"/>
              <w:tblCellMar>
                <w:top w:w="0" w:type="dxa"/>
                <w:left w:w="108" w:type="dxa"/>
                <w:bottom w:w="0" w:type="dxa"/>
                <w:right w:w="108" w:type="dxa"/>
              </w:tblCellMar>
            </w:tblPr>
            <w:tblGrid>
              <w:gridCol w:w="878"/>
              <w:gridCol w:w="682"/>
              <w:gridCol w:w="812"/>
              <w:gridCol w:w="1378"/>
              <w:gridCol w:w="687"/>
              <w:gridCol w:w="888"/>
              <w:gridCol w:w="887"/>
              <w:gridCol w:w="866"/>
              <w:gridCol w:w="1049"/>
            </w:tblGrid>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567" w:hRule="atLeast"/>
                <w:jc w:val="center"/>
              </w:trPr>
              <w:tc>
                <w:tcPr>
                  <w:tcW w:w="540" w:type="pct"/>
                  <w:noWrap w:val="0"/>
                  <w:vAlign w:val="center"/>
                </w:tcPr>
                <w:p>
                  <w:pPr>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名称</w:t>
                  </w:r>
                </w:p>
              </w:tc>
              <w:tc>
                <w:tcPr>
                  <w:tcW w:w="419" w:type="pct"/>
                  <w:noWrap w:val="0"/>
                  <w:vAlign w:val="center"/>
                </w:tcPr>
                <w:p>
                  <w:pPr>
                    <w:jc w:val="center"/>
                    <w:rPr>
                      <w:rFonts w:hint="eastAsia" w:ascii="Times New Roman" w:hAnsi="Times New Roman" w:eastAsia="宋体" w:cs="Times New Roman"/>
                      <w:color w:val="auto"/>
                      <w:sz w:val="21"/>
                      <w:szCs w:val="21"/>
                      <w:highlight w:val="none"/>
                      <w:lang w:eastAsia="zh-CN"/>
                    </w:rPr>
                  </w:pPr>
                  <w:r>
                    <w:rPr>
                      <w:rFonts w:hint="eastAsia" w:cs="Times New Roman"/>
                      <w:color w:val="auto"/>
                      <w:sz w:val="21"/>
                      <w:szCs w:val="21"/>
                      <w:highlight w:val="none"/>
                      <w:lang w:val="en-US" w:eastAsia="zh-CN"/>
                    </w:rPr>
                    <w:t>固废种类</w:t>
                  </w:r>
                </w:p>
              </w:tc>
              <w:tc>
                <w:tcPr>
                  <w:tcW w:w="499" w:type="pct"/>
                  <w:noWrap w:val="0"/>
                  <w:vAlign w:val="center"/>
                </w:tcPr>
                <w:p>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废物类别</w:t>
                  </w:r>
                </w:p>
              </w:tc>
              <w:tc>
                <w:tcPr>
                  <w:tcW w:w="847" w:type="pct"/>
                  <w:noWrap w:val="0"/>
                  <w:vAlign w:val="center"/>
                </w:tcPr>
                <w:p>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废物代码</w:t>
                  </w:r>
                </w:p>
              </w:tc>
              <w:tc>
                <w:tcPr>
                  <w:tcW w:w="422" w:type="pct"/>
                  <w:noWrap w:val="0"/>
                  <w:vAlign w:val="center"/>
                </w:tcPr>
                <w:p>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形态</w:t>
                  </w:r>
                </w:p>
              </w:tc>
              <w:tc>
                <w:tcPr>
                  <w:tcW w:w="546" w:type="pct"/>
                  <w:noWrap w:val="0"/>
                  <w:vAlign w:val="center"/>
                </w:tcPr>
                <w:p>
                  <w:pPr>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环境危险特性</w:t>
                  </w:r>
                </w:p>
              </w:tc>
              <w:tc>
                <w:tcPr>
                  <w:tcW w:w="545" w:type="pct"/>
                  <w:noWrap w:val="0"/>
                  <w:vAlign w:val="center"/>
                </w:tcPr>
                <w:p>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产生量（t/a）</w:t>
                  </w:r>
                </w:p>
              </w:tc>
              <w:tc>
                <w:tcPr>
                  <w:tcW w:w="532" w:type="pct"/>
                  <w:noWrap w:val="0"/>
                  <w:vAlign w:val="center"/>
                </w:tcPr>
                <w:p>
                  <w:pPr>
                    <w:jc w:val="center"/>
                    <w:rPr>
                      <w:rFonts w:hint="default" w:ascii="Times New Roman" w:hAnsi="Times New Roman" w:eastAsia="宋体"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储存方式</w:t>
                  </w:r>
                </w:p>
              </w:tc>
              <w:tc>
                <w:tcPr>
                  <w:tcW w:w="645" w:type="pct"/>
                  <w:noWrap w:val="0"/>
                  <w:vAlign w:val="center"/>
                </w:tcPr>
                <w:p>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去向</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540" w:type="pct"/>
                  <w:noWrap w:val="0"/>
                  <w:vAlign w:val="center"/>
                </w:tcPr>
                <w:p>
                  <w:pPr>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生活垃圾</w:t>
                  </w:r>
                </w:p>
              </w:tc>
              <w:tc>
                <w:tcPr>
                  <w:tcW w:w="419" w:type="pct"/>
                  <w:noWrap w:val="0"/>
                  <w:vAlign w:val="center"/>
                </w:tcPr>
                <w:p>
                  <w:pPr>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生活垃圾</w:t>
                  </w:r>
                </w:p>
              </w:tc>
              <w:tc>
                <w:tcPr>
                  <w:tcW w:w="499" w:type="pct"/>
                  <w:noWrap w:val="0"/>
                  <w:vAlign w:val="center"/>
                </w:tcPr>
                <w:p>
                  <w:pPr>
                    <w:pStyle w:val="65"/>
                    <w:bidi w:val="0"/>
                    <w:jc w:val="center"/>
                    <w:rPr>
                      <w:rFonts w:hint="eastAsia"/>
                      <w:color w:val="auto"/>
                      <w:highlight w:val="none"/>
                      <w:lang w:val="en-US" w:eastAsia="zh-CN"/>
                    </w:rPr>
                  </w:pPr>
                  <w:r>
                    <w:rPr>
                      <w:rFonts w:hint="eastAsia"/>
                      <w:color w:val="auto"/>
                      <w:highlight w:val="none"/>
                      <w:lang w:val="en-US" w:eastAsia="zh-CN"/>
                    </w:rPr>
                    <w:t>SW61</w:t>
                  </w:r>
                </w:p>
                <w:p>
                  <w:pPr>
                    <w:pStyle w:val="65"/>
                    <w:bidi w:val="0"/>
                    <w:jc w:val="center"/>
                    <w:rPr>
                      <w:rFonts w:hint="default" w:ascii="Times New Roman" w:hAnsi="Times New Roman" w:eastAsia="宋体" w:cs="Times New Roman"/>
                      <w:color w:val="auto"/>
                      <w:sz w:val="21"/>
                      <w:szCs w:val="21"/>
                      <w:highlight w:val="none"/>
                      <w:lang w:eastAsia="zh-CN"/>
                    </w:rPr>
                  </w:pPr>
                  <w:r>
                    <w:rPr>
                      <w:rFonts w:hint="eastAsia"/>
                      <w:color w:val="auto"/>
                      <w:highlight w:val="none"/>
                      <w:lang w:val="en-US" w:eastAsia="zh-CN"/>
                    </w:rPr>
                    <w:t>SW62</w:t>
                  </w:r>
                </w:p>
              </w:tc>
              <w:tc>
                <w:tcPr>
                  <w:tcW w:w="847" w:type="pct"/>
                  <w:noWrap w:val="0"/>
                  <w:vAlign w:val="center"/>
                </w:tcPr>
                <w:p>
                  <w:pPr>
                    <w:pStyle w:val="65"/>
                    <w:bidi w:val="0"/>
                    <w:jc w:val="center"/>
                    <w:rPr>
                      <w:rFonts w:hint="eastAsia"/>
                      <w:color w:val="auto"/>
                      <w:highlight w:val="none"/>
                      <w:lang w:val="en-US" w:eastAsia="zh-CN"/>
                    </w:rPr>
                  </w:pPr>
                  <w:r>
                    <w:rPr>
                      <w:rFonts w:hint="eastAsia"/>
                      <w:color w:val="auto"/>
                      <w:highlight w:val="none"/>
                      <w:lang w:val="en-US" w:eastAsia="zh-CN"/>
                    </w:rPr>
                    <w:t>900-001-S61</w:t>
                  </w:r>
                </w:p>
                <w:p>
                  <w:pPr>
                    <w:pStyle w:val="65"/>
                    <w:bidi w:val="0"/>
                    <w:jc w:val="center"/>
                    <w:rPr>
                      <w:rFonts w:hint="eastAsia"/>
                      <w:color w:val="auto"/>
                      <w:highlight w:val="none"/>
                      <w:lang w:val="en-US" w:eastAsia="zh-CN"/>
                    </w:rPr>
                  </w:pPr>
                  <w:r>
                    <w:rPr>
                      <w:rFonts w:hint="eastAsia"/>
                      <w:color w:val="auto"/>
                      <w:highlight w:val="none"/>
                      <w:lang w:val="en-US" w:eastAsia="zh-CN"/>
                    </w:rPr>
                    <w:t>900-001-S62</w:t>
                  </w:r>
                </w:p>
                <w:p>
                  <w:pPr>
                    <w:pStyle w:val="65"/>
                    <w:bidi w:val="0"/>
                    <w:jc w:val="center"/>
                    <w:rPr>
                      <w:rFonts w:hint="default" w:ascii="Times New Roman" w:hAnsi="Times New Roman" w:cs="Times New Roman"/>
                      <w:color w:val="auto"/>
                      <w:sz w:val="21"/>
                      <w:szCs w:val="21"/>
                      <w:highlight w:val="none"/>
                    </w:rPr>
                  </w:pPr>
                  <w:r>
                    <w:rPr>
                      <w:rFonts w:hint="eastAsia"/>
                      <w:color w:val="auto"/>
                      <w:highlight w:val="none"/>
                      <w:lang w:val="en-US" w:eastAsia="zh-CN"/>
                    </w:rPr>
                    <w:t>900-002-S62</w:t>
                  </w:r>
                </w:p>
              </w:tc>
              <w:tc>
                <w:tcPr>
                  <w:tcW w:w="422" w:type="pct"/>
                  <w:noWrap w:val="0"/>
                  <w:vAlign w:val="center"/>
                </w:tcPr>
                <w:p>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固态</w:t>
                  </w:r>
                </w:p>
              </w:tc>
              <w:tc>
                <w:tcPr>
                  <w:tcW w:w="546" w:type="pct"/>
                  <w:noWrap w:val="0"/>
                  <w:vAlign w:val="center"/>
                </w:tcPr>
                <w:p>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c>
                <w:tcPr>
                  <w:tcW w:w="545" w:type="pct"/>
                  <w:noWrap w:val="0"/>
                  <w:vAlign w:val="center"/>
                </w:tcPr>
                <w:p>
                  <w:pPr>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8.19</w:t>
                  </w:r>
                </w:p>
              </w:tc>
              <w:tc>
                <w:tcPr>
                  <w:tcW w:w="532" w:type="pct"/>
                  <w:noWrap w:val="0"/>
                  <w:vAlign w:val="center"/>
                </w:tcPr>
                <w:p>
                  <w:pPr>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eastAsia="zh-CN"/>
                    </w:rPr>
                    <w:t>厂区垃圾箱内暂存</w:t>
                  </w:r>
                </w:p>
              </w:tc>
              <w:tc>
                <w:tcPr>
                  <w:tcW w:w="645" w:type="pct"/>
                  <w:noWrap w:val="0"/>
                  <w:vAlign w:val="center"/>
                </w:tcPr>
                <w:p>
                  <w:pPr>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环卫部门定时清运</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40" w:hRule="atLeast"/>
                <w:jc w:val="center"/>
              </w:trPr>
              <w:tc>
                <w:tcPr>
                  <w:tcW w:w="540" w:type="pct"/>
                  <w:shd w:val="clear" w:color="auto" w:fill="auto"/>
                  <w:noWrap w:val="0"/>
                  <w:vAlign w:val="center"/>
                </w:tcPr>
                <w:p>
                  <w:pPr>
                    <w:pStyle w:val="65"/>
                    <w:bidi w:val="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highlight w:val="none"/>
                      <w:lang w:val="en-US" w:eastAsia="zh-CN"/>
                    </w:rPr>
                    <w:t>废包装</w:t>
                  </w:r>
                  <w:r>
                    <w:rPr>
                      <w:rFonts w:hint="eastAsia" w:cs="Times New Roman"/>
                      <w:color w:val="auto"/>
                      <w:highlight w:val="none"/>
                      <w:lang w:val="en-US" w:eastAsia="zh-CN"/>
                    </w:rPr>
                    <w:t>材料</w:t>
                  </w:r>
                </w:p>
              </w:tc>
              <w:tc>
                <w:tcPr>
                  <w:tcW w:w="419" w:type="pct"/>
                  <w:vMerge w:val="restart"/>
                  <w:shd w:val="clear" w:color="auto" w:fill="auto"/>
                  <w:noWrap w:val="0"/>
                  <w:vAlign w:val="center"/>
                </w:tcPr>
                <w:p>
                  <w:pPr>
                    <w:bidi w:val="0"/>
                    <w:jc w:val="center"/>
                    <w:rPr>
                      <w:rFonts w:hint="default" w:ascii="Times New Roman" w:hAnsi="Times New Roman" w:eastAsia="宋体" w:cs="Times New Roman"/>
                      <w:color w:val="auto"/>
                      <w:kern w:val="2"/>
                      <w:sz w:val="21"/>
                      <w:szCs w:val="24"/>
                      <w:highlight w:val="none"/>
                      <w:lang w:val="en-US" w:eastAsia="en-US" w:bidi="ar-SA"/>
                    </w:rPr>
                  </w:pPr>
                  <w:r>
                    <w:rPr>
                      <w:rFonts w:hint="eastAsia" w:ascii="Times New Roman" w:hAnsi="Times New Roman" w:eastAsia="宋体" w:cs="Times New Roman"/>
                      <w:color w:val="auto"/>
                      <w:highlight w:val="none"/>
                      <w:lang w:val="en-US" w:eastAsia="zh-CN"/>
                    </w:rPr>
                    <w:t>一般固废</w:t>
                  </w:r>
                </w:p>
              </w:tc>
              <w:tc>
                <w:tcPr>
                  <w:tcW w:w="499" w:type="pct"/>
                  <w:shd w:val="clear" w:color="auto" w:fill="auto"/>
                  <w:noWrap w:val="0"/>
                  <w:vAlign w:val="center"/>
                </w:tcPr>
                <w:p>
                  <w:pPr>
                    <w:pStyle w:val="65"/>
                    <w:bidi w:val="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highlight w:val="none"/>
                      <w:lang w:val="en-US" w:eastAsia="zh-CN"/>
                    </w:rPr>
                    <w:t>SW17</w:t>
                  </w:r>
                </w:p>
              </w:tc>
              <w:tc>
                <w:tcPr>
                  <w:tcW w:w="847" w:type="pct"/>
                  <w:shd w:val="clear" w:color="auto" w:fill="auto"/>
                  <w:noWrap w:val="0"/>
                  <w:vAlign w:val="center"/>
                </w:tcPr>
                <w:p>
                  <w:pPr>
                    <w:pStyle w:val="65"/>
                    <w:bidi w:val="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highlight w:val="none"/>
                      <w:lang w:val="en-US" w:eastAsia="zh-CN"/>
                    </w:rPr>
                    <w:t>900-003-S17</w:t>
                  </w:r>
                </w:p>
              </w:tc>
              <w:tc>
                <w:tcPr>
                  <w:tcW w:w="422" w:type="pct"/>
                  <w:shd w:val="clear" w:color="auto" w:fill="auto"/>
                  <w:noWrap w:val="0"/>
                  <w:vAlign w:val="center"/>
                </w:tcPr>
                <w:p>
                  <w:pPr>
                    <w:pStyle w:val="65"/>
                    <w:bidi w:val="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highlight w:val="none"/>
                      <w:lang w:val="en-US" w:eastAsia="zh-CN"/>
                    </w:rPr>
                    <w:t>固态</w:t>
                  </w:r>
                </w:p>
              </w:tc>
              <w:tc>
                <w:tcPr>
                  <w:tcW w:w="546" w:type="pct"/>
                  <w:shd w:val="clear" w:color="auto" w:fill="auto"/>
                  <w:noWrap w:val="0"/>
                  <w:vAlign w:val="center"/>
                </w:tcPr>
                <w:p>
                  <w:pPr>
                    <w:pStyle w:val="65"/>
                    <w:bidi w:val="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highlight w:val="none"/>
                      <w:lang w:val="en-US" w:eastAsia="zh-CN"/>
                    </w:rPr>
                    <w:t>/</w:t>
                  </w:r>
                </w:p>
              </w:tc>
              <w:tc>
                <w:tcPr>
                  <w:tcW w:w="545" w:type="pct"/>
                  <w:shd w:val="clear" w:color="auto" w:fill="auto"/>
                  <w:noWrap w:val="0"/>
                  <w:vAlign w:val="center"/>
                </w:tcPr>
                <w:p>
                  <w:pPr>
                    <w:pStyle w:val="65"/>
                    <w:bidi w:val="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3</w:t>
                  </w:r>
                </w:p>
              </w:tc>
              <w:tc>
                <w:tcPr>
                  <w:tcW w:w="532" w:type="pct"/>
                  <w:vMerge w:val="restart"/>
                  <w:shd w:val="clear" w:color="auto" w:fill="auto"/>
                  <w:noWrap w:val="0"/>
                  <w:vAlign w:val="center"/>
                </w:tcPr>
                <w:p>
                  <w:pPr>
                    <w:pStyle w:val="65"/>
                    <w:bidi w:val="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highlight w:val="none"/>
                      <w:lang w:val="en-US" w:eastAsia="zh-CN"/>
                    </w:rPr>
                    <w:t>一般固废暂存间暂存</w:t>
                  </w:r>
                </w:p>
              </w:tc>
              <w:tc>
                <w:tcPr>
                  <w:tcW w:w="645" w:type="pct"/>
                  <w:shd w:val="clear" w:color="auto" w:fill="auto"/>
                  <w:noWrap w:val="0"/>
                  <w:vAlign w:val="center"/>
                </w:tcPr>
                <w:p>
                  <w:pPr>
                    <w:pStyle w:val="65"/>
                    <w:bidi w:val="0"/>
                    <w:jc w:val="center"/>
                    <w:rPr>
                      <w:rFonts w:hint="default" w:ascii="Times New Roman" w:hAnsi="Times New Roman" w:eastAsia="宋体" w:cs="Times New Roman"/>
                      <w:color w:val="auto"/>
                      <w:kern w:val="2"/>
                      <w:sz w:val="21"/>
                      <w:szCs w:val="21"/>
                      <w:highlight w:val="none"/>
                      <w:lang w:val="en-US" w:eastAsia="zh-CN" w:bidi="ar-SA"/>
                    </w:rPr>
                  </w:pPr>
                  <w:r>
                    <w:rPr>
                      <w:rFonts w:hint="default" w:ascii="Times New Roman" w:hAnsi="Times New Roman" w:eastAsia="宋体" w:cs="Times New Roman"/>
                      <w:color w:val="auto"/>
                      <w:highlight w:val="none"/>
                      <w:lang w:val="en-US" w:eastAsia="zh-CN"/>
                    </w:rPr>
                    <w:t>交由物资回收公司回收利用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CellMar>
                  <w:top w:w="0" w:type="dxa"/>
                  <w:left w:w="108" w:type="dxa"/>
                  <w:bottom w:w="0" w:type="dxa"/>
                  <w:right w:w="108" w:type="dxa"/>
                </w:tblCellMar>
              </w:tblPrEx>
              <w:trPr>
                <w:trHeight w:val="340" w:hRule="atLeast"/>
                <w:jc w:val="center"/>
              </w:trPr>
              <w:tc>
                <w:tcPr>
                  <w:tcW w:w="540" w:type="pct"/>
                  <w:shd w:val="clear" w:color="auto" w:fill="auto"/>
                  <w:noWrap w:val="0"/>
                  <w:vAlign w:val="center"/>
                </w:tcPr>
                <w:p>
                  <w:pPr>
                    <w:pStyle w:val="65"/>
                    <w:bidi w:val="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废过滤材料</w:t>
                  </w:r>
                </w:p>
              </w:tc>
              <w:tc>
                <w:tcPr>
                  <w:tcW w:w="419" w:type="pct"/>
                  <w:vMerge w:val="continue"/>
                  <w:shd w:val="clear" w:color="auto" w:fill="auto"/>
                  <w:noWrap w:val="0"/>
                  <w:vAlign w:val="center"/>
                </w:tcPr>
                <w:p>
                  <w:pPr>
                    <w:bidi w:val="0"/>
                    <w:jc w:val="center"/>
                    <w:rPr>
                      <w:rFonts w:hint="default" w:ascii="Times New Roman" w:hAnsi="Times New Roman" w:eastAsia="宋体" w:cs="Times New Roman"/>
                      <w:color w:val="auto"/>
                      <w:kern w:val="2"/>
                      <w:sz w:val="21"/>
                      <w:szCs w:val="24"/>
                      <w:highlight w:val="none"/>
                      <w:lang w:val="en-US" w:eastAsia="en-US" w:bidi="ar-SA"/>
                    </w:rPr>
                  </w:pPr>
                </w:p>
              </w:tc>
              <w:tc>
                <w:tcPr>
                  <w:tcW w:w="499" w:type="pct"/>
                  <w:shd w:val="clear" w:color="auto" w:fill="auto"/>
                  <w:noWrap w:val="0"/>
                  <w:vAlign w:val="center"/>
                </w:tcPr>
                <w:p>
                  <w:pPr>
                    <w:pStyle w:val="65"/>
                    <w:bidi w:val="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highlight w:val="none"/>
                      <w:lang w:val="en-US" w:eastAsia="zh-CN"/>
                    </w:rPr>
                    <w:t>SW</w:t>
                  </w:r>
                  <w:r>
                    <w:rPr>
                      <w:rFonts w:hint="eastAsia" w:cs="Times New Roman"/>
                      <w:color w:val="auto"/>
                      <w:highlight w:val="none"/>
                      <w:lang w:val="en-US" w:eastAsia="zh-CN"/>
                    </w:rPr>
                    <w:t>59</w:t>
                  </w:r>
                </w:p>
              </w:tc>
              <w:tc>
                <w:tcPr>
                  <w:tcW w:w="847" w:type="pct"/>
                  <w:shd w:val="clear" w:color="auto" w:fill="auto"/>
                  <w:noWrap w:val="0"/>
                  <w:vAlign w:val="center"/>
                </w:tcPr>
                <w:p>
                  <w:pPr>
                    <w:pStyle w:val="65"/>
                    <w:bidi w:val="0"/>
                    <w:jc w:val="center"/>
                    <w:rPr>
                      <w:rFonts w:hint="default" w:ascii="Times New Roman" w:hAnsi="Times New Roman" w:eastAsia="宋体" w:cs="Times New Roman"/>
                      <w:color w:val="auto"/>
                      <w:kern w:val="2"/>
                      <w:sz w:val="21"/>
                      <w:szCs w:val="21"/>
                      <w:highlight w:val="none"/>
                      <w:lang w:val="en-US" w:eastAsia="zh-CN" w:bidi="ar-SA"/>
                    </w:rPr>
                  </w:pPr>
                  <w:r>
                    <w:rPr>
                      <w:rFonts w:hint="eastAsia" w:ascii="Times New Roman" w:hAnsi="Times New Roman" w:eastAsia="宋体" w:cs="Times New Roman"/>
                      <w:color w:val="auto"/>
                      <w:highlight w:val="none"/>
                      <w:lang w:val="en-US" w:eastAsia="zh-CN"/>
                    </w:rPr>
                    <w:t>900-0</w:t>
                  </w:r>
                  <w:r>
                    <w:rPr>
                      <w:rFonts w:hint="eastAsia" w:cs="Times New Roman"/>
                      <w:color w:val="auto"/>
                      <w:highlight w:val="none"/>
                      <w:lang w:val="en-US" w:eastAsia="zh-CN"/>
                    </w:rPr>
                    <w:t>09</w:t>
                  </w:r>
                  <w:r>
                    <w:rPr>
                      <w:rFonts w:hint="eastAsia" w:ascii="Times New Roman" w:hAnsi="Times New Roman" w:eastAsia="宋体" w:cs="Times New Roman"/>
                      <w:color w:val="auto"/>
                      <w:highlight w:val="none"/>
                      <w:lang w:val="en-US" w:eastAsia="zh-CN"/>
                    </w:rPr>
                    <w:t>-S</w:t>
                  </w:r>
                  <w:r>
                    <w:rPr>
                      <w:rFonts w:hint="eastAsia" w:cs="Times New Roman"/>
                      <w:color w:val="auto"/>
                      <w:highlight w:val="none"/>
                      <w:lang w:val="en-US" w:eastAsia="zh-CN"/>
                    </w:rPr>
                    <w:t>59</w:t>
                  </w:r>
                </w:p>
              </w:tc>
              <w:tc>
                <w:tcPr>
                  <w:tcW w:w="422" w:type="pct"/>
                  <w:shd w:val="clear" w:color="auto" w:fill="auto"/>
                  <w:noWrap w:val="0"/>
                  <w:vAlign w:val="center"/>
                </w:tcPr>
                <w:p>
                  <w:pPr>
                    <w:pStyle w:val="65"/>
                    <w:bidi w:val="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highlight w:val="none"/>
                      <w:lang w:val="en-US" w:eastAsia="zh-CN"/>
                    </w:rPr>
                    <w:t>固态</w:t>
                  </w:r>
                </w:p>
              </w:tc>
              <w:tc>
                <w:tcPr>
                  <w:tcW w:w="546" w:type="pct"/>
                  <w:shd w:val="clear" w:color="auto" w:fill="auto"/>
                  <w:noWrap w:val="0"/>
                  <w:vAlign w:val="center"/>
                </w:tcPr>
                <w:p>
                  <w:pPr>
                    <w:pStyle w:val="65"/>
                    <w:bidi w:val="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highlight w:val="none"/>
                      <w:lang w:val="en-US" w:eastAsia="zh-CN"/>
                    </w:rPr>
                    <w:t>/</w:t>
                  </w:r>
                </w:p>
              </w:tc>
              <w:tc>
                <w:tcPr>
                  <w:tcW w:w="545" w:type="pct"/>
                  <w:shd w:val="clear" w:color="auto" w:fill="auto"/>
                  <w:noWrap w:val="0"/>
                  <w:vAlign w:val="center"/>
                </w:tcPr>
                <w:p>
                  <w:pPr>
                    <w:pStyle w:val="65"/>
                    <w:bidi w:val="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sz w:val="21"/>
                      <w:szCs w:val="21"/>
                      <w:highlight w:val="none"/>
                      <w:lang w:val="en-US" w:eastAsia="zh-CN"/>
                    </w:rPr>
                    <w:t>4.74</w:t>
                  </w:r>
                </w:p>
              </w:tc>
              <w:tc>
                <w:tcPr>
                  <w:tcW w:w="532" w:type="pct"/>
                  <w:vMerge w:val="continue"/>
                  <w:shd w:val="clear" w:color="auto" w:fill="auto"/>
                  <w:noWrap w:val="0"/>
                  <w:vAlign w:val="center"/>
                </w:tcPr>
                <w:p>
                  <w:pPr>
                    <w:pStyle w:val="65"/>
                    <w:bidi w:val="0"/>
                    <w:jc w:val="center"/>
                    <w:rPr>
                      <w:rFonts w:hint="default" w:ascii="Times New Roman" w:hAnsi="Times New Roman" w:eastAsia="宋体" w:cs="Times New Roman"/>
                      <w:color w:val="auto"/>
                      <w:kern w:val="2"/>
                      <w:sz w:val="21"/>
                      <w:szCs w:val="21"/>
                      <w:highlight w:val="none"/>
                      <w:lang w:val="en-US" w:eastAsia="zh-CN" w:bidi="ar-SA"/>
                    </w:rPr>
                  </w:pPr>
                </w:p>
              </w:tc>
              <w:tc>
                <w:tcPr>
                  <w:tcW w:w="645" w:type="pct"/>
                  <w:shd w:val="clear" w:color="auto" w:fill="auto"/>
                  <w:noWrap w:val="0"/>
                  <w:vAlign w:val="center"/>
                </w:tcPr>
                <w:p>
                  <w:pPr>
                    <w:pStyle w:val="65"/>
                    <w:bidi w:val="0"/>
                    <w:jc w:val="center"/>
                    <w:rPr>
                      <w:rFonts w:hint="default" w:ascii="Times New Roman" w:hAnsi="Times New Roman" w:eastAsia="宋体"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定期交由设备厂家回收处置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40" w:hRule="atLeast"/>
                <w:jc w:val="center"/>
              </w:trPr>
              <w:tc>
                <w:tcPr>
                  <w:tcW w:w="540" w:type="pct"/>
                  <w:shd w:val="clear" w:color="auto" w:fill="auto"/>
                  <w:noWrap w:val="0"/>
                  <w:vAlign w:val="center"/>
                </w:tcPr>
                <w:p>
                  <w:pPr>
                    <w:pStyle w:val="65"/>
                    <w:bidi w:val="0"/>
                    <w:jc w:val="center"/>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废塑封膜边角料</w:t>
                  </w:r>
                </w:p>
              </w:tc>
              <w:tc>
                <w:tcPr>
                  <w:tcW w:w="419" w:type="pct"/>
                  <w:vMerge w:val="continue"/>
                  <w:shd w:val="clear" w:color="auto" w:fill="auto"/>
                  <w:noWrap w:val="0"/>
                  <w:vAlign w:val="center"/>
                </w:tcPr>
                <w:p>
                  <w:pPr>
                    <w:bidi w:val="0"/>
                    <w:jc w:val="center"/>
                    <w:rPr>
                      <w:rFonts w:hint="default" w:ascii="Times New Roman" w:hAnsi="Times New Roman" w:eastAsia="宋体" w:cs="Times New Roman"/>
                      <w:color w:val="auto"/>
                      <w:kern w:val="2"/>
                      <w:sz w:val="21"/>
                      <w:szCs w:val="24"/>
                      <w:highlight w:val="none"/>
                      <w:lang w:val="en-US" w:eastAsia="en-US" w:bidi="ar-SA"/>
                    </w:rPr>
                  </w:pPr>
                </w:p>
              </w:tc>
              <w:tc>
                <w:tcPr>
                  <w:tcW w:w="499" w:type="pct"/>
                  <w:shd w:val="clear" w:color="auto" w:fill="auto"/>
                  <w:noWrap w:val="0"/>
                  <w:vAlign w:val="center"/>
                </w:tcPr>
                <w:p>
                  <w:pPr>
                    <w:pStyle w:val="65"/>
                    <w:bidi w:val="0"/>
                    <w:jc w:val="center"/>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SW17</w:t>
                  </w:r>
                </w:p>
              </w:tc>
              <w:tc>
                <w:tcPr>
                  <w:tcW w:w="847" w:type="pct"/>
                  <w:shd w:val="clear" w:color="auto" w:fill="auto"/>
                  <w:noWrap w:val="0"/>
                  <w:vAlign w:val="center"/>
                </w:tcPr>
                <w:p>
                  <w:pPr>
                    <w:pStyle w:val="65"/>
                    <w:bidi w:val="0"/>
                    <w:jc w:val="center"/>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900-003-S17</w:t>
                  </w:r>
                </w:p>
              </w:tc>
              <w:tc>
                <w:tcPr>
                  <w:tcW w:w="422" w:type="pct"/>
                  <w:shd w:val="clear" w:color="auto" w:fill="auto"/>
                  <w:noWrap w:val="0"/>
                  <w:vAlign w:val="center"/>
                </w:tcPr>
                <w:p>
                  <w:pPr>
                    <w:bidi w:val="0"/>
                    <w:jc w:val="center"/>
                    <w:rPr>
                      <w:rFonts w:hint="eastAsia" w:cs="Times New Roman"/>
                      <w:color w:val="auto"/>
                      <w:highlight w:val="none"/>
                      <w:lang w:val="en-US" w:eastAsia="zh-CN"/>
                    </w:rPr>
                  </w:pPr>
                  <w:r>
                    <w:rPr>
                      <w:rFonts w:hint="eastAsia" w:cs="Times New Roman"/>
                      <w:color w:val="auto"/>
                      <w:highlight w:val="none"/>
                      <w:lang w:val="en-US" w:eastAsia="zh-CN"/>
                    </w:rPr>
                    <w:t>固态</w:t>
                  </w:r>
                </w:p>
              </w:tc>
              <w:tc>
                <w:tcPr>
                  <w:tcW w:w="546" w:type="pct"/>
                  <w:shd w:val="clear" w:color="auto" w:fill="auto"/>
                  <w:noWrap w:val="0"/>
                  <w:vAlign w:val="center"/>
                </w:tcPr>
                <w:p>
                  <w:pPr>
                    <w:pStyle w:val="65"/>
                    <w:bidi w:val="0"/>
                    <w:jc w:val="center"/>
                    <w:rPr>
                      <w:rFonts w:hint="default" w:cs="Times New Roman"/>
                      <w:color w:val="auto"/>
                      <w:highlight w:val="none"/>
                      <w:lang w:val="en-US" w:eastAsia="zh-CN"/>
                    </w:rPr>
                  </w:pPr>
                  <w:r>
                    <w:rPr>
                      <w:rFonts w:hint="eastAsia" w:cs="Times New Roman"/>
                      <w:color w:val="auto"/>
                      <w:highlight w:val="none"/>
                      <w:lang w:val="en-US" w:eastAsia="zh-CN"/>
                    </w:rPr>
                    <w:t>/</w:t>
                  </w:r>
                </w:p>
              </w:tc>
              <w:tc>
                <w:tcPr>
                  <w:tcW w:w="545" w:type="pct"/>
                  <w:shd w:val="clear" w:color="auto" w:fill="auto"/>
                  <w:noWrap w:val="0"/>
                  <w:vAlign w:val="center"/>
                </w:tcPr>
                <w:p>
                  <w:pPr>
                    <w:pStyle w:val="65"/>
                    <w:bidi w:val="0"/>
                    <w:jc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0.52</w:t>
                  </w:r>
                </w:p>
              </w:tc>
              <w:tc>
                <w:tcPr>
                  <w:tcW w:w="532" w:type="pct"/>
                  <w:vMerge w:val="continue"/>
                  <w:shd w:val="clear" w:color="auto" w:fill="auto"/>
                  <w:noWrap w:val="0"/>
                  <w:vAlign w:val="center"/>
                </w:tcPr>
                <w:p>
                  <w:pPr>
                    <w:pStyle w:val="65"/>
                    <w:bidi w:val="0"/>
                    <w:jc w:val="center"/>
                    <w:rPr>
                      <w:rFonts w:hint="eastAsia" w:cs="Times New Roman"/>
                      <w:color w:val="auto"/>
                      <w:highlight w:val="none"/>
                      <w:lang w:val="en-US" w:eastAsia="zh-CN"/>
                    </w:rPr>
                  </w:pPr>
                </w:p>
              </w:tc>
              <w:tc>
                <w:tcPr>
                  <w:tcW w:w="645" w:type="pct"/>
                  <w:shd w:val="clear" w:color="auto" w:fill="auto"/>
                  <w:noWrap w:val="0"/>
                  <w:vAlign w:val="center"/>
                </w:tcPr>
                <w:p>
                  <w:pPr>
                    <w:pStyle w:val="65"/>
                    <w:bidi w:val="0"/>
                    <w:jc w:val="center"/>
                    <w:rPr>
                      <w:rFonts w:hint="eastAsia" w:cs="Times New Roman"/>
                      <w:color w:val="auto"/>
                      <w:kern w:val="2"/>
                      <w:sz w:val="21"/>
                      <w:szCs w:val="21"/>
                      <w:highlight w:val="none"/>
                      <w:lang w:val="en-US" w:eastAsia="zh-CN" w:bidi="ar-SA"/>
                    </w:rPr>
                  </w:pPr>
                  <w:r>
                    <w:rPr>
                      <w:rFonts w:hint="default" w:ascii="Times New Roman" w:hAnsi="Times New Roman" w:eastAsia="宋体" w:cs="Times New Roman"/>
                      <w:color w:val="auto"/>
                      <w:highlight w:val="none"/>
                      <w:lang w:val="en-US" w:eastAsia="zh-CN"/>
                    </w:rPr>
                    <w:t>交由物资回收公司回收利用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40" w:hRule="atLeast"/>
                <w:jc w:val="center"/>
              </w:trPr>
              <w:tc>
                <w:tcPr>
                  <w:tcW w:w="540" w:type="pct"/>
                  <w:shd w:val="clear" w:color="auto" w:fill="auto"/>
                  <w:noWrap w:val="0"/>
                  <w:vAlign w:val="center"/>
                </w:tcPr>
                <w:p>
                  <w:pPr>
                    <w:pStyle w:val="65"/>
                    <w:bidi w:val="0"/>
                    <w:jc w:val="center"/>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污水站污泥</w:t>
                  </w:r>
                </w:p>
              </w:tc>
              <w:tc>
                <w:tcPr>
                  <w:tcW w:w="419" w:type="pct"/>
                  <w:vMerge w:val="continue"/>
                  <w:shd w:val="clear" w:color="auto" w:fill="auto"/>
                  <w:noWrap w:val="0"/>
                  <w:vAlign w:val="center"/>
                </w:tcPr>
                <w:p>
                  <w:pPr>
                    <w:bidi w:val="0"/>
                    <w:jc w:val="center"/>
                    <w:rPr>
                      <w:rFonts w:hint="default" w:ascii="Times New Roman" w:hAnsi="Times New Roman" w:eastAsia="宋体" w:cs="Times New Roman"/>
                      <w:color w:val="auto"/>
                      <w:kern w:val="2"/>
                      <w:sz w:val="21"/>
                      <w:szCs w:val="24"/>
                      <w:highlight w:val="none"/>
                      <w:lang w:val="en-US" w:eastAsia="en-US" w:bidi="ar-SA"/>
                    </w:rPr>
                  </w:pPr>
                </w:p>
              </w:tc>
              <w:tc>
                <w:tcPr>
                  <w:tcW w:w="499" w:type="pct"/>
                  <w:shd w:val="clear" w:color="auto" w:fill="auto"/>
                  <w:noWrap w:val="0"/>
                  <w:vAlign w:val="center"/>
                </w:tcPr>
                <w:p>
                  <w:pPr>
                    <w:pStyle w:val="65"/>
                    <w:bidi w:val="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SW07</w:t>
                  </w:r>
                </w:p>
              </w:tc>
              <w:tc>
                <w:tcPr>
                  <w:tcW w:w="847" w:type="pct"/>
                  <w:shd w:val="clear" w:color="auto" w:fill="auto"/>
                  <w:noWrap w:val="0"/>
                  <w:vAlign w:val="center"/>
                </w:tcPr>
                <w:p>
                  <w:pPr>
                    <w:pStyle w:val="65"/>
                    <w:bidi w:val="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900-099-S07</w:t>
                  </w:r>
                </w:p>
              </w:tc>
              <w:tc>
                <w:tcPr>
                  <w:tcW w:w="422" w:type="pct"/>
                  <w:shd w:val="clear" w:color="auto" w:fill="auto"/>
                  <w:noWrap w:val="0"/>
                  <w:vAlign w:val="center"/>
                </w:tcPr>
                <w:p>
                  <w:pPr>
                    <w:bidi w:val="0"/>
                    <w:jc w:val="center"/>
                    <w:rPr>
                      <w:rFonts w:hint="eastAsia" w:cs="Times New Roman"/>
                      <w:color w:val="auto"/>
                      <w:highlight w:val="none"/>
                      <w:lang w:val="en-US" w:eastAsia="zh-CN"/>
                    </w:rPr>
                  </w:pPr>
                  <w:r>
                    <w:rPr>
                      <w:rFonts w:hint="eastAsia" w:cs="Times New Roman"/>
                      <w:color w:val="auto"/>
                      <w:highlight w:val="none"/>
                      <w:lang w:val="en-US" w:eastAsia="zh-CN"/>
                    </w:rPr>
                    <w:t>固态</w:t>
                  </w:r>
                </w:p>
              </w:tc>
              <w:tc>
                <w:tcPr>
                  <w:tcW w:w="546" w:type="pct"/>
                  <w:shd w:val="clear" w:color="auto" w:fill="auto"/>
                  <w:noWrap w:val="0"/>
                  <w:vAlign w:val="center"/>
                </w:tcPr>
                <w:p>
                  <w:pPr>
                    <w:pStyle w:val="65"/>
                    <w:bidi w:val="0"/>
                    <w:jc w:val="center"/>
                    <w:rPr>
                      <w:rFonts w:hint="default" w:cs="Times New Roman"/>
                      <w:color w:val="auto"/>
                      <w:highlight w:val="none"/>
                      <w:lang w:val="en-US" w:eastAsia="zh-CN"/>
                    </w:rPr>
                  </w:pPr>
                  <w:r>
                    <w:rPr>
                      <w:rFonts w:hint="eastAsia" w:cs="Times New Roman"/>
                      <w:color w:val="auto"/>
                      <w:highlight w:val="none"/>
                      <w:lang w:val="en-US" w:eastAsia="zh-CN"/>
                    </w:rPr>
                    <w:t>/</w:t>
                  </w:r>
                </w:p>
              </w:tc>
              <w:tc>
                <w:tcPr>
                  <w:tcW w:w="545" w:type="pct"/>
                  <w:shd w:val="clear" w:color="auto" w:fill="auto"/>
                  <w:noWrap w:val="0"/>
                  <w:vAlign w:val="center"/>
                </w:tcPr>
                <w:p>
                  <w:pPr>
                    <w:pStyle w:val="65"/>
                    <w:bidi w:val="0"/>
                    <w:jc w:val="center"/>
                    <w:rPr>
                      <w:rFonts w:hint="eastAsia" w:cs="Times New Roman"/>
                      <w:color w:val="auto"/>
                      <w:sz w:val="21"/>
                      <w:szCs w:val="21"/>
                      <w:highlight w:val="none"/>
                      <w:lang w:val="en-US" w:eastAsia="zh-CN"/>
                    </w:rPr>
                  </w:pPr>
                  <w:r>
                    <w:rPr>
                      <w:rFonts w:hint="eastAsia" w:cs="Times New Roman"/>
                      <w:color w:val="auto"/>
                      <w:highlight w:val="none"/>
                      <w:lang w:val="en-US" w:eastAsia="zh-CN"/>
                    </w:rPr>
                    <w:t>3.71</w:t>
                  </w:r>
                </w:p>
              </w:tc>
              <w:tc>
                <w:tcPr>
                  <w:tcW w:w="532" w:type="pct"/>
                  <w:vMerge w:val="continue"/>
                  <w:shd w:val="clear" w:color="auto" w:fill="auto"/>
                  <w:noWrap w:val="0"/>
                  <w:vAlign w:val="center"/>
                </w:tcPr>
                <w:p>
                  <w:pPr>
                    <w:pStyle w:val="65"/>
                    <w:bidi w:val="0"/>
                    <w:jc w:val="center"/>
                    <w:rPr>
                      <w:rFonts w:hint="eastAsia" w:cs="Times New Roman"/>
                      <w:color w:val="auto"/>
                      <w:highlight w:val="none"/>
                      <w:lang w:val="en-US" w:eastAsia="zh-CN"/>
                    </w:rPr>
                  </w:pPr>
                </w:p>
              </w:tc>
              <w:tc>
                <w:tcPr>
                  <w:tcW w:w="645" w:type="pct"/>
                  <w:shd w:val="clear" w:color="auto" w:fill="auto"/>
                  <w:noWrap w:val="0"/>
                  <w:vAlign w:val="center"/>
                </w:tcPr>
                <w:p>
                  <w:pPr>
                    <w:pStyle w:val="65"/>
                    <w:bidi w:val="0"/>
                    <w:jc w:val="center"/>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定期交由物资回收公司回收利用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40" w:hRule="atLeast"/>
                <w:jc w:val="center"/>
              </w:trPr>
              <w:tc>
                <w:tcPr>
                  <w:tcW w:w="540" w:type="pct"/>
                  <w:shd w:val="clear" w:color="auto" w:fill="auto"/>
                  <w:noWrap w:val="0"/>
                  <w:vAlign w:val="center"/>
                </w:tcPr>
                <w:p>
                  <w:pPr>
                    <w:pStyle w:val="65"/>
                    <w:bidi w:val="0"/>
                    <w:jc w:val="center"/>
                    <w:rPr>
                      <w:rFonts w:hint="default" w:cs="Times New Roman"/>
                      <w:color w:val="auto"/>
                      <w:kern w:val="2"/>
                      <w:sz w:val="21"/>
                      <w:szCs w:val="21"/>
                      <w:highlight w:val="none"/>
                      <w:lang w:val="en-US" w:eastAsia="zh-CN" w:bidi="ar-SA"/>
                    </w:rPr>
                  </w:pPr>
                  <w:r>
                    <w:rPr>
                      <w:rFonts w:hint="eastAsia" w:cs="Times New Roman"/>
                      <w:color w:val="auto"/>
                      <w:kern w:val="2"/>
                      <w:sz w:val="21"/>
                      <w:szCs w:val="21"/>
                      <w:highlight w:val="none"/>
                      <w:lang w:val="en-US" w:eastAsia="zh-CN" w:bidi="ar-SA"/>
                    </w:rPr>
                    <w:t>坏果及果渣</w:t>
                  </w:r>
                </w:p>
              </w:tc>
              <w:tc>
                <w:tcPr>
                  <w:tcW w:w="419" w:type="pct"/>
                  <w:vMerge w:val="continue"/>
                  <w:shd w:val="clear" w:color="auto" w:fill="auto"/>
                  <w:noWrap w:val="0"/>
                  <w:vAlign w:val="center"/>
                </w:tcPr>
                <w:p>
                  <w:pPr>
                    <w:bidi w:val="0"/>
                    <w:jc w:val="center"/>
                    <w:rPr>
                      <w:rFonts w:hint="default" w:ascii="Times New Roman" w:hAnsi="Times New Roman" w:eastAsia="宋体" w:cs="Times New Roman"/>
                      <w:color w:val="auto"/>
                      <w:kern w:val="2"/>
                      <w:sz w:val="21"/>
                      <w:szCs w:val="24"/>
                      <w:highlight w:val="none"/>
                      <w:lang w:val="en-US" w:eastAsia="en-US" w:bidi="ar-SA"/>
                    </w:rPr>
                  </w:pPr>
                </w:p>
              </w:tc>
              <w:tc>
                <w:tcPr>
                  <w:tcW w:w="499" w:type="pct"/>
                  <w:shd w:val="clear" w:color="auto" w:fill="auto"/>
                  <w:noWrap w:val="0"/>
                  <w:vAlign w:val="center"/>
                </w:tcPr>
                <w:p>
                  <w:pPr>
                    <w:pStyle w:val="65"/>
                    <w:bidi w:val="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SW13</w:t>
                  </w:r>
                </w:p>
              </w:tc>
              <w:tc>
                <w:tcPr>
                  <w:tcW w:w="847" w:type="pct"/>
                  <w:shd w:val="clear" w:color="auto" w:fill="auto"/>
                  <w:noWrap w:val="0"/>
                  <w:vAlign w:val="center"/>
                </w:tcPr>
                <w:p>
                  <w:pPr>
                    <w:pStyle w:val="65"/>
                    <w:bidi w:val="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152-001-S13</w:t>
                  </w:r>
                </w:p>
              </w:tc>
              <w:tc>
                <w:tcPr>
                  <w:tcW w:w="422" w:type="pct"/>
                  <w:shd w:val="clear" w:color="auto" w:fill="auto"/>
                  <w:noWrap w:val="0"/>
                  <w:vAlign w:val="center"/>
                </w:tcPr>
                <w:p>
                  <w:pPr>
                    <w:bidi w:val="0"/>
                    <w:jc w:val="center"/>
                    <w:rPr>
                      <w:rFonts w:hint="eastAsia" w:cs="Times New Roman"/>
                      <w:color w:val="auto"/>
                      <w:highlight w:val="none"/>
                      <w:lang w:val="en-US" w:eastAsia="zh-CN"/>
                    </w:rPr>
                  </w:pPr>
                  <w:r>
                    <w:rPr>
                      <w:rFonts w:hint="eastAsia" w:cs="Times New Roman"/>
                      <w:color w:val="auto"/>
                      <w:highlight w:val="none"/>
                      <w:lang w:val="en-US" w:eastAsia="zh-CN"/>
                    </w:rPr>
                    <w:t>固态</w:t>
                  </w:r>
                </w:p>
              </w:tc>
              <w:tc>
                <w:tcPr>
                  <w:tcW w:w="546" w:type="pct"/>
                  <w:shd w:val="clear" w:color="auto" w:fill="auto"/>
                  <w:noWrap w:val="0"/>
                  <w:vAlign w:val="center"/>
                </w:tcPr>
                <w:p>
                  <w:pPr>
                    <w:pStyle w:val="65"/>
                    <w:bidi w:val="0"/>
                    <w:jc w:val="center"/>
                    <w:rPr>
                      <w:rFonts w:hint="default" w:cs="Times New Roman"/>
                      <w:color w:val="auto"/>
                      <w:highlight w:val="none"/>
                      <w:lang w:val="en-US" w:eastAsia="zh-CN"/>
                    </w:rPr>
                  </w:pPr>
                  <w:r>
                    <w:rPr>
                      <w:rFonts w:hint="eastAsia" w:cs="Times New Roman"/>
                      <w:color w:val="auto"/>
                      <w:highlight w:val="none"/>
                      <w:lang w:val="en-US" w:eastAsia="zh-CN"/>
                    </w:rPr>
                    <w:t>/</w:t>
                  </w:r>
                </w:p>
              </w:tc>
              <w:tc>
                <w:tcPr>
                  <w:tcW w:w="545" w:type="pct"/>
                  <w:shd w:val="clear" w:color="auto" w:fill="auto"/>
                  <w:noWrap w:val="0"/>
                  <w:vAlign w:val="center"/>
                </w:tcPr>
                <w:p>
                  <w:pPr>
                    <w:pStyle w:val="65"/>
                    <w:bidi w:val="0"/>
                    <w:jc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947.58</w:t>
                  </w:r>
                </w:p>
              </w:tc>
              <w:tc>
                <w:tcPr>
                  <w:tcW w:w="532" w:type="pct"/>
                  <w:shd w:val="clear" w:color="auto" w:fill="auto"/>
                  <w:noWrap w:val="0"/>
                  <w:vAlign w:val="center"/>
                </w:tcPr>
                <w:p>
                  <w:pPr>
                    <w:pStyle w:val="65"/>
                    <w:bidi w:val="0"/>
                    <w:jc w:val="center"/>
                    <w:rPr>
                      <w:rFonts w:hint="default" w:cs="Times New Roman"/>
                      <w:color w:val="auto"/>
                      <w:highlight w:val="none"/>
                      <w:lang w:val="en-US" w:eastAsia="zh-CN"/>
                    </w:rPr>
                  </w:pPr>
                  <w:r>
                    <w:rPr>
                      <w:rFonts w:hint="eastAsia" w:cs="Times New Roman"/>
                      <w:color w:val="auto"/>
                      <w:highlight w:val="none"/>
                      <w:lang w:val="en-US" w:eastAsia="zh-CN"/>
                    </w:rPr>
                    <w:t>专用贮存点暂存密封贮存，</w:t>
                  </w:r>
                  <w:r>
                    <w:rPr>
                      <w:rFonts w:hint="eastAsia" w:cs="Times New Roman"/>
                      <w:color w:val="auto"/>
                      <w:kern w:val="2"/>
                      <w:sz w:val="21"/>
                      <w:szCs w:val="21"/>
                      <w:highlight w:val="none"/>
                      <w:lang w:val="en-US" w:eastAsia="zh-CN" w:bidi="ar-SA"/>
                    </w:rPr>
                    <w:t>日产日清</w:t>
                  </w:r>
                </w:p>
              </w:tc>
              <w:tc>
                <w:tcPr>
                  <w:tcW w:w="645" w:type="pct"/>
                  <w:shd w:val="clear" w:color="auto" w:fill="auto"/>
                  <w:noWrap w:val="0"/>
                  <w:vAlign w:val="center"/>
                </w:tcPr>
                <w:p>
                  <w:pPr>
                    <w:pStyle w:val="65"/>
                    <w:bidi w:val="0"/>
                    <w:jc w:val="center"/>
                    <w:rPr>
                      <w:rFonts w:hint="default" w:cs="Times New Roman"/>
                      <w:color w:val="auto"/>
                      <w:kern w:val="2"/>
                      <w:sz w:val="21"/>
                      <w:szCs w:val="21"/>
                      <w:highlight w:val="none"/>
                      <w:lang w:val="en-US" w:eastAsia="zh-CN" w:bidi="ar-SA"/>
                    </w:rPr>
                  </w:pPr>
                  <w:r>
                    <w:rPr>
                      <w:rFonts w:hint="default" w:ascii="Times New Roman" w:hAnsi="Times New Roman" w:eastAsia="宋体" w:cs="Times New Roman"/>
                      <w:color w:val="auto"/>
                      <w:highlight w:val="none"/>
                      <w:lang w:val="en-US" w:eastAsia="zh-CN"/>
                    </w:rPr>
                    <w:t>交由物资回收公司回收利用</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1101" w:hRule="atLeast"/>
                <w:jc w:val="center"/>
              </w:trPr>
              <w:tc>
                <w:tcPr>
                  <w:tcW w:w="540" w:type="pct"/>
                  <w:noWrap w:val="0"/>
                  <w:vAlign w:val="center"/>
                </w:tcPr>
                <w:p>
                  <w:pPr>
                    <w:pStyle w:val="65"/>
                    <w:bidi w:val="0"/>
                    <w:jc w:val="center"/>
                    <w:rPr>
                      <w:rFonts w:hint="default" w:cs="Times New Roman"/>
                      <w:color w:val="auto"/>
                      <w:highlight w:val="none"/>
                      <w:lang w:val="en-US" w:eastAsia="zh-CN"/>
                    </w:rPr>
                  </w:pPr>
                  <w:r>
                    <w:rPr>
                      <w:rFonts w:hint="eastAsia" w:cs="Times New Roman"/>
                      <w:color w:val="auto"/>
                      <w:highlight w:val="none"/>
                      <w:lang w:val="en-US" w:eastAsia="zh-CN"/>
                    </w:rPr>
                    <w:t>废活性炭（废气处理）</w:t>
                  </w:r>
                </w:p>
              </w:tc>
              <w:tc>
                <w:tcPr>
                  <w:tcW w:w="419" w:type="pct"/>
                  <w:noWrap w:val="0"/>
                  <w:vAlign w:val="center"/>
                </w:tcPr>
                <w:p>
                  <w:pPr>
                    <w:pStyle w:val="65"/>
                    <w:bidi w:val="0"/>
                    <w:jc w:val="center"/>
                    <w:rPr>
                      <w:rFonts w:hint="eastAsia" w:ascii="Times New Roman" w:hAnsi="Times New Roman" w:eastAsia="宋体" w:cs="Times New Roman"/>
                      <w:color w:val="auto"/>
                      <w:highlight w:val="none"/>
                      <w:lang w:val="en-US" w:eastAsia="zh-CN"/>
                    </w:rPr>
                  </w:pPr>
                  <w:r>
                    <w:rPr>
                      <w:rFonts w:hint="eastAsia" w:cs="Times New Roman"/>
                      <w:color w:val="auto"/>
                      <w:highlight w:val="none"/>
                      <w:lang w:val="en-US" w:eastAsia="zh-CN"/>
                    </w:rPr>
                    <w:t>危险废物</w:t>
                  </w:r>
                </w:p>
              </w:tc>
              <w:tc>
                <w:tcPr>
                  <w:tcW w:w="499" w:type="pct"/>
                  <w:shd w:val="clear" w:color="auto" w:fill="auto"/>
                  <w:noWrap w:val="0"/>
                  <w:vAlign w:val="center"/>
                </w:tcPr>
                <w:p>
                  <w:pPr>
                    <w:pStyle w:val="48"/>
                    <w:keepNext w:val="0"/>
                    <w:keepLines w:val="0"/>
                    <w:pageBreakBefore w:val="0"/>
                    <w:kinsoku/>
                    <w:wordWrap/>
                    <w:overflowPunct/>
                    <w:topLinePunct w:val="0"/>
                    <w:bidi w:val="0"/>
                    <w:spacing w:beforeLines="0" w:afterLines="0" w:line="240" w:lineRule="auto"/>
                    <w:ind w:right="0" w:rightChars="0"/>
                    <w:textAlignment w:val="auto"/>
                    <w:rPr>
                      <w:rFonts w:hint="eastAsia" w:ascii="Times New Roman" w:hAnsi="Times New Roman" w:cs="Times New Roman" w:eastAsiaTheme="minorEastAsia"/>
                      <w:color w:val="auto"/>
                      <w:kern w:val="0"/>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HW49</w:t>
                  </w:r>
                </w:p>
              </w:tc>
              <w:tc>
                <w:tcPr>
                  <w:tcW w:w="847" w:type="pct"/>
                  <w:shd w:val="clear" w:color="auto" w:fill="auto"/>
                  <w:noWrap w:val="0"/>
                  <w:vAlign w:val="center"/>
                </w:tcPr>
                <w:p>
                  <w:pPr>
                    <w:pStyle w:val="48"/>
                    <w:keepNext w:val="0"/>
                    <w:keepLines w:val="0"/>
                    <w:pageBreakBefore w:val="0"/>
                    <w:kinsoku/>
                    <w:wordWrap/>
                    <w:overflowPunct/>
                    <w:topLinePunct w:val="0"/>
                    <w:bidi w:val="0"/>
                    <w:spacing w:beforeLines="0" w:afterLines="0" w:line="240" w:lineRule="auto"/>
                    <w:ind w:right="0" w:rightChars="0"/>
                    <w:textAlignment w:val="auto"/>
                    <w:rPr>
                      <w:rFonts w:hint="eastAsia" w:ascii="Times New Roman" w:hAnsi="Times New Roman" w:cs="Times New Roman" w:eastAsiaTheme="minorEastAsia"/>
                      <w:color w:val="auto"/>
                      <w:kern w:val="0"/>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900-039-49</w:t>
                  </w:r>
                </w:p>
              </w:tc>
              <w:tc>
                <w:tcPr>
                  <w:tcW w:w="422" w:type="pct"/>
                  <w:shd w:val="clear" w:color="auto" w:fill="auto"/>
                  <w:noWrap w:val="0"/>
                  <w:vAlign w:val="center"/>
                </w:tcPr>
                <w:p>
                  <w:pPr>
                    <w:numPr>
                      <w:ilvl w:val="0"/>
                      <w:numId w:val="0"/>
                    </w:numPr>
                    <w:spacing w:line="240" w:lineRule="auto"/>
                    <w:ind w:left="0" w:leftChars="0" w:firstLine="0" w:firstLineChars="0"/>
                    <w:jc w:val="center"/>
                    <w:rPr>
                      <w:rFonts w:hint="eastAsia" w:ascii="Times New Roman" w:hAnsi="Times New Roman" w:eastAsia="宋体" w:cs="Times New Roman"/>
                      <w:b w:val="0"/>
                      <w:bCs/>
                      <w:color w:val="auto"/>
                      <w:kern w:val="2"/>
                      <w:sz w:val="21"/>
                      <w:szCs w:val="21"/>
                      <w:highlight w:val="none"/>
                      <w:vertAlign w:val="baseline"/>
                      <w:lang w:val="en-US" w:eastAsia="zh-CN" w:bidi="ar-SA"/>
                    </w:rPr>
                  </w:pPr>
                  <w:r>
                    <w:rPr>
                      <w:rFonts w:hint="eastAsia" w:cs="Times New Roman"/>
                      <w:b w:val="0"/>
                      <w:bCs/>
                      <w:color w:val="auto"/>
                      <w:kern w:val="2"/>
                      <w:sz w:val="21"/>
                      <w:szCs w:val="21"/>
                      <w:highlight w:val="none"/>
                      <w:vertAlign w:val="baseline"/>
                      <w:lang w:val="en-US" w:eastAsia="zh-CN" w:bidi="ar-SA"/>
                    </w:rPr>
                    <w:t>固态</w:t>
                  </w:r>
                </w:p>
              </w:tc>
              <w:tc>
                <w:tcPr>
                  <w:tcW w:w="546" w:type="pct"/>
                  <w:shd w:val="clear" w:color="auto" w:fill="auto"/>
                  <w:noWrap w:val="0"/>
                  <w:vAlign w:val="center"/>
                </w:tcPr>
                <w:p>
                  <w:pPr>
                    <w:pStyle w:val="48"/>
                    <w:keepNext w:val="0"/>
                    <w:keepLines w:val="0"/>
                    <w:pageBreakBefore w:val="0"/>
                    <w:kinsoku/>
                    <w:wordWrap/>
                    <w:overflowPunct/>
                    <w:topLinePunct w:val="0"/>
                    <w:bidi w:val="0"/>
                    <w:spacing w:beforeLines="0" w:afterLines="0" w:line="240" w:lineRule="auto"/>
                    <w:ind w:right="0" w:rightChars="0"/>
                    <w:textAlignment w:val="auto"/>
                    <w:rPr>
                      <w:rFonts w:hint="default" w:ascii="Times New Roman" w:hAnsi="Times New Roman" w:cs="Times New Roman" w:eastAsiaTheme="minorEastAsia"/>
                      <w:color w:val="auto"/>
                      <w:kern w:val="0"/>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T</w:t>
                  </w:r>
                </w:p>
              </w:tc>
              <w:tc>
                <w:tcPr>
                  <w:tcW w:w="545" w:type="pct"/>
                  <w:noWrap w:val="0"/>
                  <w:vAlign w:val="center"/>
                </w:tcPr>
                <w:p>
                  <w:pPr>
                    <w:pStyle w:val="65"/>
                    <w:bidi w:val="0"/>
                    <w:jc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12.84</w:t>
                  </w:r>
                </w:p>
              </w:tc>
              <w:tc>
                <w:tcPr>
                  <w:tcW w:w="532" w:type="pct"/>
                  <w:vMerge w:val="restart"/>
                  <w:noWrap w:val="0"/>
                  <w:vAlign w:val="center"/>
                </w:tcPr>
                <w:p>
                  <w:pPr>
                    <w:pStyle w:val="65"/>
                    <w:bidi w:val="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危废贮存点暂存</w:t>
                  </w:r>
                </w:p>
              </w:tc>
              <w:tc>
                <w:tcPr>
                  <w:tcW w:w="645" w:type="pct"/>
                  <w:vMerge w:val="restart"/>
                  <w:noWrap w:val="0"/>
                  <w:vAlign w:val="center"/>
                </w:tcPr>
                <w:p>
                  <w:pPr>
                    <w:pStyle w:val="65"/>
                    <w:bidi w:val="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定期交由有资质单位处置</w:t>
                  </w: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40" w:hRule="atLeast"/>
                <w:jc w:val="center"/>
              </w:trPr>
              <w:tc>
                <w:tcPr>
                  <w:tcW w:w="540" w:type="pct"/>
                  <w:shd w:val="clear" w:color="auto" w:fill="auto"/>
                  <w:noWrap w:val="0"/>
                  <w:vAlign w:val="center"/>
                </w:tcPr>
                <w:p>
                  <w:pPr>
                    <w:numPr>
                      <w:ilvl w:val="0"/>
                      <w:numId w:val="0"/>
                    </w:numPr>
                    <w:spacing w:line="240" w:lineRule="auto"/>
                    <w:ind w:left="0" w:leftChars="0" w:firstLine="0" w:firstLineChars="0"/>
                    <w:jc w:val="center"/>
                    <w:rPr>
                      <w:rFonts w:hint="default" w:ascii="Times New Roman" w:hAnsi="Times New Roman" w:eastAsia="宋体" w:cs="Times New Roman"/>
                      <w:b w:val="0"/>
                      <w:bCs/>
                      <w:color w:val="auto"/>
                      <w:kern w:val="2"/>
                      <w:sz w:val="21"/>
                      <w:szCs w:val="21"/>
                      <w:highlight w:val="none"/>
                      <w:vertAlign w:val="baseline"/>
                      <w:lang w:val="en-US" w:eastAsia="zh-CN" w:bidi="ar-SA"/>
                    </w:rPr>
                  </w:pPr>
                  <w:r>
                    <w:rPr>
                      <w:rFonts w:hint="default" w:ascii="Times New Roman" w:hAnsi="Times New Roman" w:eastAsia="宋体" w:cs="Times New Roman"/>
                      <w:b w:val="0"/>
                      <w:bCs/>
                      <w:color w:val="auto"/>
                      <w:kern w:val="2"/>
                      <w:sz w:val="21"/>
                      <w:szCs w:val="21"/>
                      <w:highlight w:val="none"/>
                      <w:vertAlign w:val="baseline"/>
                      <w:lang w:val="en-US" w:eastAsia="zh-CN" w:bidi="ar-SA"/>
                    </w:rPr>
                    <w:t>废</w:t>
                  </w:r>
                  <w:r>
                    <w:rPr>
                      <w:rFonts w:hint="eastAsia" w:cs="Times New Roman"/>
                      <w:b w:val="0"/>
                      <w:bCs/>
                      <w:color w:val="auto"/>
                      <w:kern w:val="2"/>
                      <w:sz w:val="21"/>
                      <w:szCs w:val="21"/>
                      <w:highlight w:val="none"/>
                      <w:lang w:val="en-US" w:eastAsia="zh-CN" w:bidi="ar-SA"/>
                    </w:rPr>
                    <w:t>机</w:t>
                  </w:r>
                  <w:r>
                    <w:rPr>
                      <w:rFonts w:hint="default" w:ascii="Times New Roman" w:hAnsi="Times New Roman" w:eastAsia="宋体" w:cs="Times New Roman"/>
                      <w:b w:val="0"/>
                      <w:bCs/>
                      <w:color w:val="auto"/>
                      <w:kern w:val="2"/>
                      <w:sz w:val="21"/>
                      <w:szCs w:val="21"/>
                      <w:highlight w:val="none"/>
                      <w:lang w:val="en-US" w:eastAsia="zh-CN" w:bidi="ar-SA"/>
                    </w:rPr>
                    <w:t>油</w:t>
                  </w:r>
                </w:p>
              </w:tc>
              <w:tc>
                <w:tcPr>
                  <w:tcW w:w="419" w:type="pct"/>
                  <w:shd w:val="clear" w:color="auto" w:fill="auto"/>
                  <w:noWrap w:val="0"/>
                  <w:vAlign w:val="center"/>
                </w:tcPr>
                <w:p>
                  <w:pPr>
                    <w:numPr>
                      <w:ilvl w:val="0"/>
                      <w:numId w:val="0"/>
                    </w:numPr>
                    <w:spacing w:line="240" w:lineRule="auto"/>
                    <w:ind w:left="0" w:leftChars="0" w:firstLine="0" w:firstLineChars="0"/>
                    <w:jc w:val="center"/>
                    <w:rPr>
                      <w:rFonts w:hint="eastAsia" w:ascii="Times New Roman" w:hAnsi="Times New Roman" w:eastAsia="宋体" w:cs="Times New Roman"/>
                      <w:b w:val="0"/>
                      <w:bCs/>
                      <w:color w:val="auto"/>
                      <w:kern w:val="2"/>
                      <w:sz w:val="21"/>
                      <w:szCs w:val="21"/>
                      <w:highlight w:val="none"/>
                      <w:vertAlign w:val="baseline"/>
                      <w:lang w:val="en-US" w:eastAsia="zh-CN" w:bidi="ar-SA"/>
                    </w:rPr>
                  </w:pPr>
                  <w:r>
                    <w:rPr>
                      <w:rFonts w:hint="default" w:ascii="Times New Roman" w:hAnsi="Times New Roman" w:eastAsia="宋体" w:cs="Times New Roman"/>
                      <w:b w:val="0"/>
                      <w:bCs/>
                      <w:color w:val="auto"/>
                      <w:kern w:val="2"/>
                      <w:sz w:val="21"/>
                      <w:szCs w:val="21"/>
                      <w:highlight w:val="none"/>
                      <w:vertAlign w:val="baseline"/>
                      <w:lang w:val="en-US" w:eastAsia="zh-CN" w:bidi="ar-SA"/>
                    </w:rPr>
                    <w:t>危险废物</w:t>
                  </w:r>
                </w:p>
              </w:tc>
              <w:tc>
                <w:tcPr>
                  <w:tcW w:w="499" w:type="pct"/>
                  <w:shd w:val="clear" w:color="auto" w:fill="auto"/>
                  <w:noWrap w:val="0"/>
                  <w:vAlign w:val="center"/>
                </w:tcPr>
                <w:p>
                  <w:pPr>
                    <w:pStyle w:val="48"/>
                    <w:keepNext w:val="0"/>
                    <w:keepLines w:val="0"/>
                    <w:pageBreakBefore w:val="0"/>
                    <w:kinsoku/>
                    <w:wordWrap/>
                    <w:overflowPunct/>
                    <w:topLinePunct w:val="0"/>
                    <w:bidi w:val="0"/>
                    <w:spacing w:beforeLines="0" w:afterLines="0" w:line="240" w:lineRule="auto"/>
                    <w:ind w:right="0" w:rightChars="0"/>
                    <w:textAlignment w:val="auto"/>
                    <w:rPr>
                      <w:rFonts w:hint="default" w:ascii="Times New Roman" w:hAnsi="Times New Roman" w:cs="Times New Roman" w:eastAsiaTheme="minorEastAsia"/>
                      <w:color w:val="auto"/>
                      <w:kern w:val="0"/>
                      <w:sz w:val="21"/>
                      <w:szCs w:val="21"/>
                      <w:highlight w:val="none"/>
                      <w:lang w:val="en-US" w:eastAsia="zh-CN" w:bidi="ar-SA"/>
                    </w:rPr>
                  </w:pPr>
                  <w:r>
                    <w:rPr>
                      <w:rFonts w:hint="default" w:ascii="Times New Roman" w:hAnsi="Times New Roman" w:cs="Times New Roman" w:eastAsiaTheme="minorEastAsia"/>
                      <w:color w:val="auto"/>
                      <w:sz w:val="21"/>
                      <w:szCs w:val="21"/>
                      <w:highlight w:val="none"/>
                    </w:rPr>
                    <w:t>HW08</w:t>
                  </w:r>
                </w:p>
              </w:tc>
              <w:tc>
                <w:tcPr>
                  <w:tcW w:w="847" w:type="pct"/>
                  <w:shd w:val="clear" w:color="auto" w:fill="auto"/>
                  <w:noWrap w:val="0"/>
                  <w:vAlign w:val="center"/>
                </w:tcPr>
                <w:p>
                  <w:pPr>
                    <w:pStyle w:val="48"/>
                    <w:keepNext w:val="0"/>
                    <w:keepLines w:val="0"/>
                    <w:pageBreakBefore w:val="0"/>
                    <w:kinsoku/>
                    <w:wordWrap/>
                    <w:overflowPunct/>
                    <w:topLinePunct w:val="0"/>
                    <w:bidi w:val="0"/>
                    <w:spacing w:beforeLines="0" w:afterLines="0" w:line="240" w:lineRule="auto"/>
                    <w:ind w:right="0" w:rightChars="0"/>
                    <w:textAlignment w:val="auto"/>
                    <w:rPr>
                      <w:rFonts w:hint="default" w:ascii="Times New Roman" w:hAnsi="Times New Roman" w:cs="Times New Roman" w:eastAsiaTheme="minorEastAsia"/>
                      <w:color w:val="auto"/>
                      <w:kern w:val="0"/>
                      <w:sz w:val="21"/>
                      <w:szCs w:val="21"/>
                      <w:highlight w:val="none"/>
                      <w:lang w:val="en-US" w:eastAsia="zh-CN" w:bidi="ar-SA"/>
                    </w:rPr>
                  </w:pPr>
                  <w:r>
                    <w:rPr>
                      <w:rFonts w:hint="default" w:ascii="Times New Roman" w:hAnsi="Times New Roman" w:cs="Times New Roman" w:eastAsiaTheme="minorEastAsia"/>
                      <w:color w:val="auto"/>
                      <w:sz w:val="21"/>
                      <w:szCs w:val="21"/>
                      <w:highlight w:val="none"/>
                    </w:rPr>
                    <w:t>900-249-08</w:t>
                  </w:r>
                </w:p>
              </w:tc>
              <w:tc>
                <w:tcPr>
                  <w:tcW w:w="422" w:type="pct"/>
                  <w:shd w:val="clear" w:color="auto" w:fill="auto"/>
                  <w:noWrap w:val="0"/>
                  <w:vAlign w:val="center"/>
                </w:tcPr>
                <w:p>
                  <w:pPr>
                    <w:numPr>
                      <w:ilvl w:val="0"/>
                      <w:numId w:val="0"/>
                    </w:numPr>
                    <w:spacing w:line="240" w:lineRule="auto"/>
                    <w:ind w:left="0" w:leftChars="0" w:firstLine="0" w:firstLineChars="0"/>
                    <w:jc w:val="center"/>
                    <w:rPr>
                      <w:rFonts w:hint="eastAsia" w:ascii="Times New Roman" w:hAnsi="Times New Roman" w:eastAsia="宋体" w:cs="Times New Roman"/>
                      <w:b w:val="0"/>
                      <w:bCs/>
                      <w:color w:val="auto"/>
                      <w:kern w:val="2"/>
                      <w:sz w:val="21"/>
                      <w:szCs w:val="21"/>
                      <w:highlight w:val="none"/>
                      <w:vertAlign w:val="baseline"/>
                      <w:lang w:val="en-US" w:eastAsia="zh-CN" w:bidi="ar-SA"/>
                    </w:rPr>
                  </w:pPr>
                  <w:r>
                    <w:rPr>
                      <w:rFonts w:hint="eastAsia" w:cs="Times New Roman"/>
                      <w:b w:val="0"/>
                      <w:bCs/>
                      <w:color w:val="auto"/>
                      <w:kern w:val="2"/>
                      <w:sz w:val="21"/>
                      <w:szCs w:val="21"/>
                      <w:highlight w:val="none"/>
                      <w:vertAlign w:val="baseline"/>
                      <w:lang w:val="en-US" w:eastAsia="zh-CN" w:bidi="ar-SA"/>
                    </w:rPr>
                    <w:t>液态</w:t>
                  </w:r>
                </w:p>
              </w:tc>
              <w:tc>
                <w:tcPr>
                  <w:tcW w:w="546" w:type="pct"/>
                  <w:shd w:val="clear" w:color="auto" w:fill="auto"/>
                  <w:noWrap w:val="0"/>
                  <w:vAlign w:val="center"/>
                </w:tcPr>
                <w:p>
                  <w:pPr>
                    <w:pStyle w:val="48"/>
                    <w:keepNext w:val="0"/>
                    <w:keepLines w:val="0"/>
                    <w:pageBreakBefore w:val="0"/>
                    <w:kinsoku/>
                    <w:wordWrap/>
                    <w:overflowPunct/>
                    <w:topLinePunct w:val="0"/>
                    <w:bidi w:val="0"/>
                    <w:spacing w:beforeLines="0" w:afterLines="0" w:line="240" w:lineRule="auto"/>
                    <w:ind w:right="0" w:rightChars="0"/>
                    <w:textAlignment w:val="auto"/>
                    <w:rPr>
                      <w:rFonts w:hint="default" w:ascii="Times New Roman" w:hAnsi="Times New Roman" w:cs="Times New Roman" w:eastAsiaTheme="minorEastAsia"/>
                      <w:color w:val="auto"/>
                      <w:kern w:val="0"/>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T</w:t>
                  </w:r>
                  <w:r>
                    <w:rPr>
                      <w:rFonts w:hint="eastAsia" w:ascii="Times New Roman" w:cs="Times New Roman" w:eastAsiaTheme="minorEastAsia"/>
                      <w:color w:val="auto"/>
                      <w:sz w:val="21"/>
                      <w:szCs w:val="21"/>
                      <w:highlight w:val="none"/>
                      <w:lang w:val="en-US" w:eastAsia="zh-CN"/>
                    </w:rPr>
                    <w:t>,</w:t>
                  </w:r>
                  <w:r>
                    <w:rPr>
                      <w:rFonts w:hint="default" w:ascii="Times New Roman" w:hAnsi="Times New Roman" w:cs="Times New Roman" w:eastAsiaTheme="minorEastAsia"/>
                      <w:color w:val="auto"/>
                      <w:sz w:val="21"/>
                      <w:szCs w:val="21"/>
                      <w:highlight w:val="none"/>
                      <w:lang w:val="en-US" w:eastAsia="zh-CN"/>
                    </w:rPr>
                    <w:t>I</w:t>
                  </w:r>
                </w:p>
              </w:tc>
              <w:tc>
                <w:tcPr>
                  <w:tcW w:w="545" w:type="pct"/>
                  <w:noWrap w:val="0"/>
                  <w:vAlign w:val="center"/>
                </w:tcPr>
                <w:p>
                  <w:pPr>
                    <w:pStyle w:val="65"/>
                    <w:bidi w:val="0"/>
                    <w:jc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0.05</w:t>
                  </w:r>
                </w:p>
              </w:tc>
              <w:tc>
                <w:tcPr>
                  <w:tcW w:w="532" w:type="pct"/>
                  <w:vMerge w:val="continue"/>
                  <w:noWrap w:val="0"/>
                  <w:vAlign w:val="center"/>
                </w:tcPr>
                <w:p>
                  <w:pPr>
                    <w:pStyle w:val="65"/>
                    <w:bidi w:val="0"/>
                    <w:jc w:val="center"/>
                    <w:rPr>
                      <w:rFonts w:hint="eastAsia" w:ascii="Times New Roman" w:hAnsi="Times New Roman" w:eastAsia="宋体" w:cs="Times New Roman"/>
                      <w:color w:val="auto"/>
                      <w:highlight w:val="none"/>
                      <w:lang w:val="en-US" w:eastAsia="zh-CN"/>
                    </w:rPr>
                  </w:pPr>
                </w:p>
              </w:tc>
              <w:tc>
                <w:tcPr>
                  <w:tcW w:w="645" w:type="pct"/>
                  <w:vMerge w:val="continue"/>
                  <w:noWrap w:val="0"/>
                  <w:vAlign w:val="center"/>
                </w:tcPr>
                <w:p>
                  <w:pPr>
                    <w:pStyle w:val="65"/>
                    <w:bidi w:val="0"/>
                    <w:jc w:val="center"/>
                    <w:rPr>
                      <w:rFonts w:hint="default" w:ascii="Times New Roman" w:hAnsi="Times New Roman" w:eastAsia="宋体" w:cs="Times New Roman"/>
                      <w:color w:val="auto"/>
                      <w:highlight w:val="none"/>
                      <w:lang w:val="en-US" w:eastAsia="zh-CN"/>
                    </w:rPr>
                  </w:pPr>
                </w:p>
              </w:tc>
            </w:tr>
            <w:tr>
              <w:tblPrEx>
                <w:tblBorders>
                  <w:top w:val="single" w:color="000000" w:sz="6" w:space="0"/>
                  <w:left w:val="single" w:color="000000" w:sz="6" w:space="0"/>
                  <w:bottom w:val="single" w:color="000000" w:sz="6" w:space="0"/>
                  <w:right w:val="single" w:color="000000" w:sz="6" w:space="0"/>
                  <w:insideH w:val="single" w:color="000000" w:sz="6" w:space="0"/>
                  <w:insideV w:val="single" w:color="000000" w:sz="6" w:space="0"/>
                </w:tblBorders>
              </w:tblPrEx>
              <w:trPr>
                <w:trHeight w:val="340" w:hRule="atLeast"/>
                <w:jc w:val="center"/>
              </w:trPr>
              <w:tc>
                <w:tcPr>
                  <w:tcW w:w="540" w:type="pct"/>
                  <w:shd w:val="clear" w:color="auto" w:fill="auto"/>
                  <w:noWrap w:val="0"/>
                  <w:vAlign w:val="center"/>
                </w:tcPr>
                <w:p>
                  <w:pPr>
                    <w:numPr>
                      <w:ilvl w:val="0"/>
                      <w:numId w:val="0"/>
                    </w:numPr>
                    <w:spacing w:line="240" w:lineRule="auto"/>
                    <w:ind w:left="0" w:leftChars="0" w:firstLine="0" w:firstLineChars="0"/>
                    <w:jc w:val="center"/>
                    <w:rPr>
                      <w:rFonts w:hint="default" w:ascii="Times New Roman" w:hAnsi="Times New Roman" w:eastAsia="宋体" w:cs="Times New Roman"/>
                      <w:b w:val="0"/>
                      <w:bCs/>
                      <w:color w:val="auto"/>
                      <w:kern w:val="2"/>
                      <w:sz w:val="21"/>
                      <w:szCs w:val="21"/>
                      <w:highlight w:val="none"/>
                      <w:vertAlign w:val="baseline"/>
                      <w:lang w:val="en-US" w:eastAsia="zh-CN" w:bidi="ar-SA"/>
                    </w:rPr>
                  </w:pPr>
                  <w:r>
                    <w:rPr>
                      <w:rFonts w:hint="default" w:ascii="Times New Roman" w:hAnsi="Times New Roman" w:eastAsia="宋体" w:cs="Times New Roman"/>
                      <w:b w:val="0"/>
                      <w:bCs/>
                      <w:color w:val="auto"/>
                      <w:kern w:val="2"/>
                      <w:sz w:val="21"/>
                      <w:szCs w:val="21"/>
                      <w:highlight w:val="none"/>
                      <w:vertAlign w:val="baseline"/>
                      <w:lang w:val="en-US" w:eastAsia="zh-CN" w:bidi="ar-SA"/>
                    </w:rPr>
                    <w:t>废</w:t>
                  </w:r>
                  <w:r>
                    <w:rPr>
                      <w:rFonts w:hint="default" w:ascii="Times New Roman" w:hAnsi="Times New Roman" w:eastAsia="宋体" w:cs="Times New Roman"/>
                      <w:b w:val="0"/>
                      <w:bCs/>
                      <w:color w:val="auto"/>
                      <w:kern w:val="2"/>
                      <w:sz w:val="21"/>
                      <w:szCs w:val="21"/>
                      <w:highlight w:val="none"/>
                      <w:lang w:val="en-US" w:eastAsia="zh-CN" w:bidi="ar-SA"/>
                    </w:rPr>
                    <w:t>油桶</w:t>
                  </w:r>
                </w:p>
              </w:tc>
              <w:tc>
                <w:tcPr>
                  <w:tcW w:w="419" w:type="pct"/>
                  <w:shd w:val="clear" w:color="auto" w:fill="auto"/>
                  <w:noWrap w:val="0"/>
                  <w:vAlign w:val="center"/>
                </w:tcPr>
                <w:p>
                  <w:pPr>
                    <w:numPr>
                      <w:ilvl w:val="0"/>
                      <w:numId w:val="0"/>
                    </w:numPr>
                    <w:spacing w:line="240" w:lineRule="auto"/>
                    <w:ind w:left="0" w:leftChars="0" w:firstLine="0" w:firstLineChars="0"/>
                    <w:jc w:val="center"/>
                    <w:rPr>
                      <w:rFonts w:hint="eastAsia" w:ascii="Times New Roman" w:hAnsi="Times New Roman" w:eastAsia="宋体" w:cs="Times New Roman"/>
                      <w:b w:val="0"/>
                      <w:bCs/>
                      <w:color w:val="auto"/>
                      <w:kern w:val="2"/>
                      <w:sz w:val="21"/>
                      <w:szCs w:val="21"/>
                      <w:highlight w:val="none"/>
                      <w:vertAlign w:val="baseline"/>
                      <w:lang w:val="en-US" w:eastAsia="zh-CN" w:bidi="ar-SA"/>
                    </w:rPr>
                  </w:pPr>
                  <w:r>
                    <w:rPr>
                      <w:rFonts w:hint="default" w:ascii="Times New Roman" w:hAnsi="Times New Roman" w:eastAsia="宋体" w:cs="Times New Roman"/>
                      <w:b w:val="0"/>
                      <w:bCs/>
                      <w:color w:val="auto"/>
                      <w:kern w:val="2"/>
                      <w:sz w:val="21"/>
                      <w:szCs w:val="21"/>
                      <w:highlight w:val="none"/>
                      <w:vertAlign w:val="baseline"/>
                      <w:lang w:val="en-US" w:eastAsia="zh-CN" w:bidi="ar-SA"/>
                    </w:rPr>
                    <w:t>危险废物</w:t>
                  </w:r>
                </w:p>
              </w:tc>
              <w:tc>
                <w:tcPr>
                  <w:tcW w:w="499" w:type="pct"/>
                  <w:shd w:val="clear" w:color="auto" w:fill="auto"/>
                  <w:noWrap w:val="0"/>
                  <w:vAlign w:val="center"/>
                </w:tcPr>
                <w:p>
                  <w:pPr>
                    <w:pStyle w:val="48"/>
                    <w:keepNext w:val="0"/>
                    <w:keepLines w:val="0"/>
                    <w:pageBreakBefore w:val="0"/>
                    <w:kinsoku/>
                    <w:wordWrap/>
                    <w:overflowPunct/>
                    <w:topLinePunct w:val="0"/>
                    <w:bidi w:val="0"/>
                    <w:spacing w:beforeLines="0" w:afterLines="0" w:line="240" w:lineRule="auto"/>
                    <w:ind w:right="0" w:rightChars="0"/>
                    <w:textAlignment w:val="auto"/>
                    <w:rPr>
                      <w:rFonts w:hint="default" w:ascii="Times New Roman" w:hAnsi="Times New Roman" w:cs="Times New Roman" w:eastAsiaTheme="minorEastAsia"/>
                      <w:color w:val="auto"/>
                      <w:kern w:val="0"/>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HW</w:t>
                  </w:r>
                  <w:r>
                    <w:rPr>
                      <w:rFonts w:hint="eastAsia" w:ascii="Times New Roman" w:cs="Times New Roman" w:eastAsiaTheme="minorEastAsia"/>
                      <w:color w:val="auto"/>
                      <w:sz w:val="21"/>
                      <w:szCs w:val="21"/>
                      <w:highlight w:val="none"/>
                      <w:lang w:val="en-US" w:eastAsia="zh-CN"/>
                    </w:rPr>
                    <w:t>08</w:t>
                  </w:r>
                </w:p>
              </w:tc>
              <w:tc>
                <w:tcPr>
                  <w:tcW w:w="847" w:type="pct"/>
                  <w:shd w:val="clear" w:color="auto" w:fill="auto"/>
                  <w:noWrap w:val="0"/>
                  <w:vAlign w:val="center"/>
                </w:tcPr>
                <w:p>
                  <w:pPr>
                    <w:pStyle w:val="48"/>
                    <w:keepNext w:val="0"/>
                    <w:keepLines w:val="0"/>
                    <w:pageBreakBefore w:val="0"/>
                    <w:kinsoku/>
                    <w:wordWrap/>
                    <w:overflowPunct/>
                    <w:topLinePunct w:val="0"/>
                    <w:bidi w:val="0"/>
                    <w:spacing w:beforeLines="0" w:afterLines="0" w:line="240" w:lineRule="auto"/>
                    <w:ind w:right="0" w:rightChars="0"/>
                    <w:textAlignment w:val="auto"/>
                    <w:rPr>
                      <w:rFonts w:hint="default" w:ascii="Times New Roman" w:hAnsi="Times New Roman" w:cs="Times New Roman" w:eastAsiaTheme="minorEastAsia"/>
                      <w:color w:val="auto"/>
                      <w:kern w:val="0"/>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900-</w:t>
                  </w:r>
                  <w:r>
                    <w:rPr>
                      <w:rFonts w:hint="eastAsia" w:ascii="Times New Roman" w:cs="Times New Roman" w:eastAsiaTheme="minorEastAsia"/>
                      <w:color w:val="auto"/>
                      <w:sz w:val="21"/>
                      <w:szCs w:val="21"/>
                      <w:highlight w:val="none"/>
                      <w:lang w:val="en-US" w:eastAsia="zh-CN"/>
                    </w:rPr>
                    <w:t>249-08</w:t>
                  </w:r>
                </w:p>
              </w:tc>
              <w:tc>
                <w:tcPr>
                  <w:tcW w:w="422" w:type="pct"/>
                  <w:shd w:val="clear" w:color="auto" w:fill="auto"/>
                  <w:noWrap w:val="0"/>
                  <w:vAlign w:val="center"/>
                </w:tcPr>
                <w:p>
                  <w:pPr>
                    <w:numPr>
                      <w:ilvl w:val="0"/>
                      <w:numId w:val="0"/>
                    </w:numPr>
                    <w:spacing w:line="240" w:lineRule="auto"/>
                    <w:ind w:left="0" w:leftChars="0" w:firstLine="0" w:firstLineChars="0"/>
                    <w:jc w:val="center"/>
                    <w:rPr>
                      <w:rFonts w:hint="default" w:ascii="Times New Roman" w:hAnsi="Times New Roman" w:eastAsia="宋体" w:cs="Times New Roman"/>
                      <w:b w:val="0"/>
                      <w:bCs/>
                      <w:color w:val="auto"/>
                      <w:kern w:val="2"/>
                      <w:sz w:val="21"/>
                      <w:szCs w:val="21"/>
                      <w:highlight w:val="none"/>
                      <w:vertAlign w:val="baseline"/>
                      <w:lang w:val="en-US" w:eastAsia="zh-CN" w:bidi="ar-SA"/>
                    </w:rPr>
                  </w:pPr>
                  <w:r>
                    <w:rPr>
                      <w:rFonts w:hint="eastAsia" w:cs="Times New Roman"/>
                      <w:b w:val="0"/>
                      <w:bCs/>
                      <w:color w:val="auto"/>
                      <w:kern w:val="2"/>
                      <w:sz w:val="21"/>
                      <w:szCs w:val="21"/>
                      <w:highlight w:val="none"/>
                      <w:vertAlign w:val="baseline"/>
                      <w:lang w:val="en-US" w:eastAsia="zh-CN" w:bidi="ar-SA"/>
                    </w:rPr>
                    <w:t>固态</w:t>
                  </w:r>
                </w:p>
              </w:tc>
              <w:tc>
                <w:tcPr>
                  <w:tcW w:w="546" w:type="pct"/>
                  <w:shd w:val="clear" w:color="auto" w:fill="auto"/>
                  <w:noWrap w:val="0"/>
                  <w:vAlign w:val="center"/>
                </w:tcPr>
                <w:p>
                  <w:pPr>
                    <w:pStyle w:val="48"/>
                    <w:keepNext w:val="0"/>
                    <w:keepLines w:val="0"/>
                    <w:pageBreakBefore w:val="0"/>
                    <w:kinsoku/>
                    <w:wordWrap/>
                    <w:overflowPunct/>
                    <w:topLinePunct w:val="0"/>
                    <w:bidi w:val="0"/>
                    <w:spacing w:beforeLines="0" w:afterLines="0" w:line="240" w:lineRule="auto"/>
                    <w:ind w:right="0" w:rightChars="0"/>
                    <w:textAlignment w:val="auto"/>
                    <w:rPr>
                      <w:rFonts w:hint="default" w:ascii="Times New Roman" w:hAnsi="Times New Roman" w:cs="Times New Roman" w:eastAsiaTheme="minorEastAsia"/>
                      <w:color w:val="auto"/>
                      <w:kern w:val="0"/>
                      <w:sz w:val="21"/>
                      <w:szCs w:val="21"/>
                      <w:highlight w:val="none"/>
                      <w:lang w:val="en-US" w:eastAsia="zh-CN" w:bidi="ar-SA"/>
                    </w:rPr>
                  </w:pPr>
                  <w:r>
                    <w:rPr>
                      <w:rFonts w:hint="default" w:ascii="Times New Roman" w:hAnsi="Times New Roman" w:cs="Times New Roman" w:eastAsiaTheme="minorEastAsia"/>
                      <w:color w:val="auto"/>
                      <w:sz w:val="21"/>
                      <w:szCs w:val="21"/>
                      <w:highlight w:val="none"/>
                      <w:lang w:val="en-US" w:eastAsia="zh-CN"/>
                    </w:rPr>
                    <w:t>T</w:t>
                  </w:r>
                  <w:r>
                    <w:rPr>
                      <w:rFonts w:hint="eastAsia" w:ascii="Times New Roman" w:cs="Times New Roman" w:eastAsiaTheme="minorEastAsia"/>
                      <w:color w:val="auto"/>
                      <w:sz w:val="21"/>
                      <w:szCs w:val="21"/>
                      <w:highlight w:val="none"/>
                      <w:lang w:val="en-US" w:eastAsia="zh-CN"/>
                    </w:rPr>
                    <w:t>,</w:t>
                  </w:r>
                  <w:r>
                    <w:rPr>
                      <w:rFonts w:hint="default" w:ascii="Times New Roman" w:hAnsi="Times New Roman" w:cs="Times New Roman" w:eastAsiaTheme="minorEastAsia"/>
                      <w:color w:val="auto"/>
                      <w:sz w:val="21"/>
                      <w:szCs w:val="21"/>
                      <w:highlight w:val="none"/>
                      <w:lang w:val="en-US" w:eastAsia="zh-CN"/>
                    </w:rPr>
                    <w:t>I</w:t>
                  </w:r>
                </w:p>
              </w:tc>
              <w:tc>
                <w:tcPr>
                  <w:tcW w:w="545" w:type="pct"/>
                  <w:noWrap w:val="0"/>
                  <w:vAlign w:val="center"/>
                </w:tcPr>
                <w:p>
                  <w:pPr>
                    <w:pStyle w:val="65"/>
                    <w:bidi w:val="0"/>
                    <w:jc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0.01</w:t>
                  </w:r>
                </w:p>
              </w:tc>
              <w:tc>
                <w:tcPr>
                  <w:tcW w:w="532" w:type="pct"/>
                  <w:vMerge w:val="continue"/>
                  <w:noWrap w:val="0"/>
                  <w:vAlign w:val="center"/>
                </w:tcPr>
                <w:p>
                  <w:pPr>
                    <w:pStyle w:val="65"/>
                    <w:bidi w:val="0"/>
                    <w:jc w:val="center"/>
                    <w:rPr>
                      <w:rFonts w:hint="eastAsia" w:ascii="Times New Roman" w:hAnsi="Times New Roman" w:eastAsia="宋体" w:cs="Times New Roman"/>
                      <w:color w:val="auto"/>
                      <w:highlight w:val="none"/>
                      <w:lang w:val="en-US" w:eastAsia="zh-CN"/>
                    </w:rPr>
                  </w:pPr>
                </w:p>
              </w:tc>
              <w:tc>
                <w:tcPr>
                  <w:tcW w:w="645" w:type="pct"/>
                  <w:vMerge w:val="continue"/>
                  <w:noWrap w:val="0"/>
                  <w:vAlign w:val="center"/>
                </w:tcPr>
                <w:p>
                  <w:pPr>
                    <w:pStyle w:val="65"/>
                    <w:bidi w:val="0"/>
                    <w:jc w:val="center"/>
                    <w:rPr>
                      <w:rFonts w:hint="default" w:ascii="Times New Roman" w:hAnsi="Times New Roman" w:eastAsia="宋体" w:cs="Times New Roman"/>
                      <w:color w:val="auto"/>
                      <w:highlight w:val="none"/>
                      <w:lang w:val="en-US" w:eastAsia="zh-CN"/>
                    </w:rPr>
                  </w:pPr>
                </w:p>
              </w:tc>
            </w:tr>
          </w:tbl>
          <w:p>
            <w:pPr>
              <w:keepNext w:val="0"/>
              <w:keepLines w:val="0"/>
              <w:pageBreakBefore w:val="0"/>
              <w:widowControl w:val="0"/>
              <w:numPr>
                <w:ilvl w:val="0"/>
                <w:numId w:val="0"/>
              </w:numPr>
              <w:kinsoku/>
              <w:wordWrap/>
              <w:overflowPunct/>
              <w:topLinePunct w:val="0"/>
              <w:autoSpaceDE/>
              <w:autoSpaceDN/>
              <w:bidi w:val="0"/>
              <w:adjustRightInd/>
              <w:snapToGrid/>
              <w:spacing w:line="240" w:lineRule="auto"/>
              <w:jc w:val="center"/>
              <w:textAlignment w:val="auto"/>
              <w:rPr>
                <w:rFonts w:hint="default" w:ascii="Times New Roman" w:hAnsi="Times New Roman" w:eastAsia="宋体" w:cs="Times New Roman"/>
                <w:b/>
                <w:bCs w:val="0"/>
                <w:color w:val="auto"/>
                <w:sz w:val="21"/>
                <w:szCs w:val="21"/>
                <w:highlight w:val="none"/>
              </w:rPr>
            </w:pPr>
            <w:r>
              <w:rPr>
                <w:rFonts w:hint="default" w:ascii="Times New Roman" w:hAnsi="Times New Roman" w:eastAsia="宋体" w:cs="Times New Roman"/>
                <w:b/>
                <w:bCs w:val="0"/>
                <w:color w:val="auto"/>
                <w:sz w:val="21"/>
                <w:szCs w:val="21"/>
                <w:highlight w:val="none"/>
              </w:rPr>
              <w:t>表4-</w:t>
            </w:r>
            <w:r>
              <w:rPr>
                <w:rFonts w:hint="eastAsia" w:ascii="Times New Roman" w:hAnsi="Times New Roman" w:eastAsia="宋体" w:cs="Times New Roman"/>
                <w:b/>
                <w:bCs w:val="0"/>
                <w:color w:val="auto"/>
                <w:sz w:val="21"/>
                <w:szCs w:val="21"/>
                <w:highlight w:val="none"/>
                <w:lang w:val="en-US" w:eastAsia="zh-CN"/>
              </w:rPr>
              <w:t>14（2）</w:t>
            </w:r>
            <w:r>
              <w:rPr>
                <w:rFonts w:hint="default" w:ascii="Times New Roman" w:hAnsi="Times New Roman" w:eastAsia="宋体" w:cs="Times New Roman"/>
                <w:b/>
                <w:bCs w:val="0"/>
                <w:color w:val="auto"/>
                <w:sz w:val="21"/>
                <w:szCs w:val="21"/>
                <w:highlight w:val="none"/>
              </w:rPr>
              <w:t xml:space="preserve"> 固体废物贮存场所基本情况表</w:t>
            </w:r>
          </w:p>
          <w:tbl>
            <w:tblPr>
              <w:tblStyle w:val="21"/>
              <w:tblW w:w="5000"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27"/>
              <w:gridCol w:w="1337"/>
              <w:gridCol w:w="776"/>
              <w:gridCol w:w="1314"/>
              <w:gridCol w:w="1043"/>
              <w:gridCol w:w="893"/>
              <w:gridCol w:w="820"/>
              <w:gridCol w:w="766"/>
              <w:gridCol w:w="76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20" w:hRule="atLeast"/>
                <w:jc w:val="center"/>
              </w:trPr>
              <w:tc>
                <w:tcPr>
                  <w:tcW w:w="262" w:type="pct"/>
                  <w:noWrap w:val="0"/>
                  <w:vAlign w:val="center"/>
                </w:tcPr>
                <w:p>
                  <w:pPr>
                    <w:pStyle w:val="30"/>
                    <w:jc w:val="center"/>
                    <w:rPr>
                      <w:rFonts w:cs="Times New Roman"/>
                      <w:b/>
                      <w:bCs/>
                      <w:color w:val="auto"/>
                      <w:sz w:val="21"/>
                      <w:szCs w:val="21"/>
                    </w:rPr>
                  </w:pPr>
                  <w:r>
                    <w:rPr>
                      <w:rFonts w:cs="Times New Roman"/>
                      <w:b/>
                      <w:bCs/>
                      <w:color w:val="auto"/>
                      <w:sz w:val="21"/>
                      <w:szCs w:val="21"/>
                    </w:rPr>
                    <w:t>序号</w:t>
                  </w:r>
                </w:p>
              </w:tc>
              <w:tc>
                <w:tcPr>
                  <w:tcW w:w="820" w:type="pct"/>
                  <w:noWrap w:val="0"/>
                  <w:vAlign w:val="center"/>
                </w:tcPr>
                <w:p>
                  <w:pPr>
                    <w:pStyle w:val="30"/>
                    <w:jc w:val="center"/>
                    <w:rPr>
                      <w:rFonts w:cs="Times New Roman"/>
                      <w:b/>
                      <w:bCs/>
                      <w:color w:val="auto"/>
                      <w:sz w:val="21"/>
                      <w:szCs w:val="21"/>
                    </w:rPr>
                  </w:pPr>
                  <w:r>
                    <w:rPr>
                      <w:rFonts w:cs="Times New Roman"/>
                      <w:b/>
                      <w:bCs/>
                      <w:color w:val="auto"/>
                      <w:sz w:val="21"/>
                      <w:szCs w:val="21"/>
                    </w:rPr>
                    <w:t>固体废物名称</w:t>
                  </w:r>
                </w:p>
              </w:tc>
              <w:tc>
                <w:tcPr>
                  <w:tcW w:w="476" w:type="pct"/>
                  <w:noWrap w:val="0"/>
                  <w:vAlign w:val="center"/>
                </w:tcPr>
                <w:p>
                  <w:pPr>
                    <w:pStyle w:val="30"/>
                    <w:jc w:val="center"/>
                    <w:rPr>
                      <w:rFonts w:cs="Times New Roman"/>
                      <w:b/>
                      <w:bCs/>
                      <w:color w:val="auto"/>
                      <w:sz w:val="21"/>
                      <w:szCs w:val="21"/>
                    </w:rPr>
                  </w:pPr>
                  <w:r>
                    <w:rPr>
                      <w:rFonts w:cs="Times New Roman"/>
                      <w:b/>
                      <w:bCs/>
                      <w:color w:val="auto"/>
                      <w:sz w:val="21"/>
                      <w:szCs w:val="21"/>
                    </w:rPr>
                    <w:t>废物类别</w:t>
                  </w:r>
                </w:p>
              </w:tc>
              <w:tc>
                <w:tcPr>
                  <w:tcW w:w="806" w:type="pct"/>
                  <w:noWrap w:val="0"/>
                  <w:vAlign w:val="center"/>
                </w:tcPr>
                <w:p>
                  <w:pPr>
                    <w:adjustRightInd w:val="0"/>
                    <w:snapToGrid w:val="0"/>
                    <w:jc w:val="center"/>
                    <w:rPr>
                      <w:b/>
                      <w:bCs/>
                      <w:color w:val="auto"/>
                      <w:sz w:val="21"/>
                      <w:szCs w:val="21"/>
                      <w:lang w:bidi="he-IL"/>
                    </w:rPr>
                  </w:pPr>
                  <w:r>
                    <w:rPr>
                      <w:b/>
                      <w:bCs/>
                      <w:color w:val="auto"/>
                      <w:sz w:val="21"/>
                      <w:szCs w:val="21"/>
                      <w:lang w:bidi="he-IL"/>
                    </w:rPr>
                    <w:t>废物代码</w:t>
                  </w:r>
                </w:p>
              </w:tc>
              <w:tc>
                <w:tcPr>
                  <w:tcW w:w="640" w:type="pct"/>
                  <w:noWrap w:val="0"/>
                  <w:vAlign w:val="center"/>
                </w:tcPr>
                <w:p>
                  <w:pPr>
                    <w:adjustRightInd w:val="0"/>
                    <w:snapToGrid w:val="0"/>
                    <w:jc w:val="center"/>
                    <w:rPr>
                      <w:b/>
                      <w:bCs/>
                      <w:color w:val="auto"/>
                      <w:sz w:val="21"/>
                      <w:szCs w:val="21"/>
                      <w:lang w:bidi="he-IL"/>
                    </w:rPr>
                  </w:pPr>
                  <w:r>
                    <w:rPr>
                      <w:b/>
                      <w:bCs/>
                      <w:color w:val="auto"/>
                      <w:sz w:val="21"/>
                      <w:szCs w:val="21"/>
                      <w:lang w:bidi="he-IL"/>
                    </w:rPr>
                    <w:t>位置</w:t>
                  </w:r>
                </w:p>
              </w:tc>
              <w:tc>
                <w:tcPr>
                  <w:tcW w:w="548" w:type="pct"/>
                  <w:noWrap w:val="0"/>
                  <w:vAlign w:val="center"/>
                </w:tcPr>
                <w:p>
                  <w:pPr>
                    <w:adjustRightInd w:val="0"/>
                    <w:snapToGrid w:val="0"/>
                    <w:jc w:val="center"/>
                    <w:rPr>
                      <w:b/>
                      <w:bCs/>
                      <w:color w:val="auto"/>
                      <w:sz w:val="21"/>
                      <w:szCs w:val="21"/>
                      <w:lang w:bidi="he-IL"/>
                    </w:rPr>
                  </w:pPr>
                  <w:r>
                    <w:rPr>
                      <w:b/>
                      <w:bCs/>
                      <w:color w:val="auto"/>
                      <w:sz w:val="21"/>
                      <w:szCs w:val="21"/>
                      <w:lang w:bidi="he-IL"/>
                    </w:rPr>
                    <w:t>占地面积m</w:t>
                  </w:r>
                  <w:r>
                    <w:rPr>
                      <w:b/>
                      <w:bCs/>
                      <w:color w:val="auto"/>
                      <w:sz w:val="21"/>
                      <w:szCs w:val="21"/>
                      <w:vertAlign w:val="superscript"/>
                      <w:lang w:bidi="he-IL"/>
                    </w:rPr>
                    <w:t>2</w:t>
                  </w:r>
                </w:p>
              </w:tc>
              <w:tc>
                <w:tcPr>
                  <w:tcW w:w="503" w:type="pct"/>
                  <w:noWrap w:val="0"/>
                  <w:vAlign w:val="center"/>
                </w:tcPr>
                <w:p>
                  <w:pPr>
                    <w:adjustRightInd w:val="0"/>
                    <w:snapToGrid w:val="0"/>
                    <w:jc w:val="center"/>
                    <w:rPr>
                      <w:b/>
                      <w:bCs/>
                      <w:color w:val="auto"/>
                      <w:sz w:val="21"/>
                      <w:szCs w:val="21"/>
                      <w:lang w:bidi="he-IL"/>
                    </w:rPr>
                  </w:pPr>
                  <w:r>
                    <w:rPr>
                      <w:b/>
                      <w:bCs/>
                      <w:color w:val="auto"/>
                      <w:sz w:val="21"/>
                      <w:szCs w:val="21"/>
                      <w:lang w:bidi="he-IL"/>
                    </w:rPr>
                    <w:t>贮存能力</w:t>
                  </w:r>
                </w:p>
              </w:tc>
              <w:tc>
                <w:tcPr>
                  <w:tcW w:w="470" w:type="pct"/>
                  <w:noWrap w:val="0"/>
                  <w:vAlign w:val="center"/>
                </w:tcPr>
                <w:p>
                  <w:pPr>
                    <w:adjustRightInd w:val="0"/>
                    <w:snapToGrid w:val="0"/>
                    <w:jc w:val="center"/>
                    <w:rPr>
                      <w:b/>
                      <w:bCs/>
                      <w:color w:val="auto"/>
                      <w:sz w:val="21"/>
                      <w:szCs w:val="21"/>
                      <w:lang w:bidi="he-IL"/>
                    </w:rPr>
                  </w:pPr>
                  <w:r>
                    <w:rPr>
                      <w:b/>
                      <w:bCs/>
                      <w:color w:val="auto"/>
                      <w:sz w:val="21"/>
                      <w:szCs w:val="21"/>
                      <w:lang w:bidi="he-IL"/>
                    </w:rPr>
                    <w:t>贮存方式</w:t>
                  </w:r>
                </w:p>
              </w:tc>
              <w:tc>
                <w:tcPr>
                  <w:tcW w:w="470" w:type="pct"/>
                  <w:noWrap w:val="0"/>
                  <w:vAlign w:val="center"/>
                </w:tcPr>
                <w:p>
                  <w:pPr>
                    <w:adjustRightInd w:val="0"/>
                    <w:snapToGrid w:val="0"/>
                    <w:jc w:val="center"/>
                    <w:rPr>
                      <w:b/>
                      <w:bCs/>
                      <w:color w:val="auto"/>
                      <w:sz w:val="21"/>
                      <w:szCs w:val="21"/>
                      <w:lang w:bidi="he-IL"/>
                    </w:rPr>
                  </w:pPr>
                  <w:r>
                    <w:rPr>
                      <w:b/>
                      <w:bCs/>
                      <w:color w:val="auto"/>
                      <w:sz w:val="21"/>
                      <w:szCs w:val="21"/>
                      <w:lang w:bidi="he-IL"/>
                    </w:rPr>
                    <w:t>贮存</w:t>
                  </w:r>
                </w:p>
                <w:p>
                  <w:pPr>
                    <w:adjustRightInd w:val="0"/>
                    <w:snapToGrid w:val="0"/>
                    <w:jc w:val="center"/>
                    <w:rPr>
                      <w:b/>
                      <w:bCs/>
                      <w:color w:val="auto"/>
                      <w:sz w:val="21"/>
                      <w:szCs w:val="21"/>
                      <w:lang w:bidi="he-IL"/>
                    </w:rPr>
                  </w:pPr>
                  <w:r>
                    <w:rPr>
                      <w:b/>
                      <w:bCs/>
                      <w:color w:val="auto"/>
                      <w:sz w:val="21"/>
                      <w:szCs w:val="21"/>
                      <w:lang w:bidi="he-IL"/>
                    </w:rPr>
                    <w:t>周期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 w:hRule="atLeast"/>
                <w:jc w:val="center"/>
              </w:trPr>
              <w:tc>
                <w:tcPr>
                  <w:tcW w:w="262" w:type="pct"/>
                  <w:noWrap w:val="0"/>
                  <w:vAlign w:val="center"/>
                </w:tcPr>
                <w:p>
                  <w:pPr>
                    <w:pStyle w:val="76"/>
                    <w:rPr>
                      <w:color w:val="auto"/>
                      <w:sz w:val="21"/>
                      <w:szCs w:val="21"/>
                    </w:rPr>
                  </w:pPr>
                  <w:r>
                    <w:rPr>
                      <w:color w:val="auto"/>
                    </w:rPr>
                    <w:t>1</w:t>
                  </w:r>
                </w:p>
              </w:tc>
              <w:tc>
                <w:tcPr>
                  <w:tcW w:w="820" w:type="pct"/>
                  <w:noWrap w:val="0"/>
                  <w:vAlign w:val="center"/>
                </w:tcPr>
                <w:p>
                  <w:pPr>
                    <w:pStyle w:val="65"/>
                    <w:bidi w:val="0"/>
                    <w:jc w:val="center"/>
                    <w:rPr>
                      <w:color w:val="auto"/>
                      <w:sz w:val="21"/>
                      <w:szCs w:val="21"/>
                    </w:rPr>
                  </w:pPr>
                  <w:r>
                    <w:rPr>
                      <w:rFonts w:hint="eastAsia" w:ascii="Times New Roman" w:hAnsi="Times New Roman" w:eastAsia="宋体" w:cs="Times New Roman"/>
                      <w:color w:val="auto"/>
                      <w:highlight w:val="none"/>
                      <w:lang w:val="en-US" w:eastAsia="zh-CN"/>
                    </w:rPr>
                    <w:t>废包装</w:t>
                  </w:r>
                  <w:r>
                    <w:rPr>
                      <w:rFonts w:hint="eastAsia" w:cs="Times New Roman"/>
                      <w:color w:val="auto"/>
                      <w:highlight w:val="none"/>
                      <w:lang w:val="en-US" w:eastAsia="zh-CN"/>
                    </w:rPr>
                    <w:t>材料</w:t>
                  </w:r>
                </w:p>
              </w:tc>
              <w:tc>
                <w:tcPr>
                  <w:tcW w:w="476" w:type="pct"/>
                  <w:noWrap w:val="0"/>
                  <w:vAlign w:val="center"/>
                </w:tcPr>
                <w:p>
                  <w:pPr>
                    <w:pStyle w:val="65"/>
                    <w:bidi w:val="0"/>
                    <w:jc w:val="center"/>
                    <w:rPr>
                      <w:rFonts w:hint="eastAsia" w:eastAsia="宋体"/>
                      <w:color w:val="auto"/>
                      <w:sz w:val="21"/>
                      <w:szCs w:val="21"/>
                      <w:lang w:val="en-US" w:eastAsia="zh-CN"/>
                    </w:rPr>
                  </w:pPr>
                  <w:r>
                    <w:rPr>
                      <w:rFonts w:hint="eastAsia" w:ascii="Times New Roman" w:hAnsi="Times New Roman" w:eastAsia="宋体" w:cs="Times New Roman"/>
                      <w:color w:val="auto"/>
                      <w:highlight w:val="none"/>
                      <w:lang w:val="en-US" w:eastAsia="zh-CN"/>
                    </w:rPr>
                    <w:t>SW17</w:t>
                  </w:r>
                </w:p>
              </w:tc>
              <w:tc>
                <w:tcPr>
                  <w:tcW w:w="806" w:type="pct"/>
                  <w:noWrap w:val="0"/>
                  <w:vAlign w:val="center"/>
                </w:tcPr>
                <w:p>
                  <w:pPr>
                    <w:pStyle w:val="65"/>
                    <w:bidi w:val="0"/>
                    <w:jc w:val="center"/>
                    <w:rPr>
                      <w:rFonts w:hint="default"/>
                      <w:color w:val="auto"/>
                      <w:sz w:val="21"/>
                      <w:szCs w:val="21"/>
                      <w:lang w:val="en-US"/>
                    </w:rPr>
                  </w:pPr>
                  <w:r>
                    <w:rPr>
                      <w:rFonts w:hint="eastAsia" w:ascii="Times New Roman" w:hAnsi="Times New Roman" w:eastAsia="宋体" w:cs="Times New Roman"/>
                      <w:color w:val="auto"/>
                      <w:highlight w:val="none"/>
                      <w:lang w:val="en-US" w:eastAsia="zh-CN"/>
                    </w:rPr>
                    <w:t>900-003-S17</w:t>
                  </w:r>
                </w:p>
              </w:tc>
              <w:tc>
                <w:tcPr>
                  <w:tcW w:w="640" w:type="pct"/>
                  <w:vMerge w:val="restart"/>
                  <w:noWrap w:val="0"/>
                  <w:vAlign w:val="center"/>
                </w:tcPr>
                <w:p>
                  <w:pPr>
                    <w:adjustRightInd w:val="0"/>
                    <w:snapToGrid w:val="0"/>
                    <w:jc w:val="center"/>
                    <w:rPr>
                      <w:rFonts w:hint="default"/>
                      <w:color w:val="auto"/>
                      <w:sz w:val="21"/>
                      <w:szCs w:val="21"/>
                      <w:lang w:val="en-US" w:bidi="he-IL"/>
                    </w:rPr>
                  </w:pPr>
                  <w:r>
                    <w:rPr>
                      <w:color w:val="auto"/>
                      <w:sz w:val="21"/>
                      <w:szCs w:val="21"/>
                      <w:lang w:bidi="he-IL"/>
                    </w:rPr>
                    <w:t>一般固废</w:t>
                  </w:r>
                  <w:r>
                    <w:rPr>
                      <w:rFonts w:hint="eastAsia"/>
                      <w:color w:val="auto"/>
                      <w:sz w:val="21"/>
                      <w:szCs w:val="21"/>
                      <w:lang w:val="en-US" w:eastAsia="zh-CN" w:bidi="he-IL"/>
                    </w:rPr>
                    <w:t>暂存间</w:t>
                  </w:r>
                </w:p>
              </w:tc>
              <w:tc>
                <w:tcPr>
                  <w:tcW w:w="548" w:type="pct"/>
                  <w:vMerge w:val="restart"/>
                  <w:noWrap w:val="0"/>
                  <w:vAlign w:val="center"/>
                </w:tcPr>
                <w:p>
                  <w:pPr>
                    <w:adjustRightInd w:val="0"/>
                    <w:snapToGrid w:val="0"/>
                    <w:jc w:val="center"/>
                    <w:rPr>
                      <w:rFonts w:hint="default" w:eastAsia="宋体"/>
                      <w:color w:val="auto"/>
                      <w:sz w:val="21"/>
                      <w:szCs w:val="21"/>
                      <w:lang w:val="en-US" w:eastAsia="zh-CN" w:bidi="he-IL"/>
                    </w:rPr>
                  </w:pPr>
                  <w:r>
                    <w:rPr>
                      <w:rFonts w:hint="eastAsia"/>
                      <w:color w:val="auto"/>
                      <w:sz w:val="21"/>
                      <w:szCs w:val="21"/>
                      <w:lang w:val="en-US" w:eastAsia="zh-CN" w:bidi="he-IL"/>
                    </w:rPr>
                    <w:t>20</w:t>
                  </w:r>
                </w:p>
              </w:tc>
              <w:tc>
                <w:tcPr>
                  <w:tcW w:w="503" w:type="pct"/>
                  <w:vMerge w:val="restart"/>
                  <w:noWrap w:val="0"/>
                  <w:vAlign w:val="center"/>
                </w:tcPr>
                <w:p>
                  <w:pPr>
                    <w:adjustRightInd w:val="0"/>
                    <w:snapToGrid w:val="0"/>
                    <w:jc w:val="center"/>
                    <w:rPr>
                      <w:rFonts w:hint="default" w:eastAsia="宋体"/>
                      <w:color w:val="auto"/>
                      <w:sz w:val="21"/>
                      <w:szCs w:val="21"/>
                      <w:lang w:val="en-US" w:eastAsia="zh-CN" w:bidi="he-IL"/>
                    </w:rPr>
                  </w:pPr>
                  <w:r>
                    <w:rPr>
                      <w:rFonts w:hint="eastAsia"/>
                      <w:color w:val="auto"/>
                      <w:sz w:val="21"/>
                      <w:szCs w:val="21"/>
                      <w:lang w:val="en-US" w:eastAsia="zh-CN" w:bidi="he-IL"/>
                    </w:rPr>
                    <w:t>10t</w:t>
                  </w:r>
                </w:p>
              </w:tc>
              <w:tc>
                <w:tcPr>
                  <w:tcW w:w="470" w:type="pct"/>
                  <w:noWrap w:val="0"/>
                  <w:vAlign w:val="center"/>
                </w:tcPr>
                <w:p>
                  <w:pPr>
                    <w:adjustRightInd w:val="0"/>
                    <w:snapToGrid w:val="0"/>
                    <w:jc w:val="center"/>
                    <w:rPr>
                      <w:rFonts w:hint="eastAsia" w:eastAsia="宋体"/>
                      <w:color w:val="auto"/>
                      <w:sz w:val="21"/>
                      <w:szCs w:val="21"/>
                      <w:lang w:eastAsia="zh-CN" w:bidi="he-IL"/>
                    </w:rPr>
                  </w:pPr>
                  <w:r>
                    <w:rPr>
                      <w:rFonts w:hint="eastAsia"/>
                      <w:color w:val="auto"/>
                      <w:sz w:val="21"/>
                      <w:szCs w:val="21"/>
                      <w:lang w:val="en-US" w:eastAsia="zh-CN" w:bidi="he-IL"/>
                    </w:rPr>
                    <w:t>堆存</w:t>
                  </w:r>
                </w:p>
              </w:tc>
              <w:tc>
                <w:tcPr>
                  <w:tcW w:w="470" w:type="pct"/>
                  <w:noWrap w:val="0"/>
                  <w:vAlign w:val="center"/>
                </w:tcPr>
                <w:p>
                  <w:pPr>
                    <w:adjustRightInd w:val="0"/>
                    <w:snapToGrid w:val="0"/>
                    <w:jc w:val="center"/>
                    <w:rPr>
                      <w:rFonts w:hint="default" w:eastAsia="宋体"/>
                      <w:color w:val="auto"/>
                      <w:sz w:val="21"/>
                      <w:szCs w:val="21"/>
                      <w:lang w:val="en-US" w:eastAsia="zh-CN" w:bidi="he-IL"/>
                    </w:rPr>
                  </w:pPr>
                  <w:r>
                    <w:rPr>
                      <w:rFonts w:hint="eastAsia"/>
                      <w:color w:val="auto"/>
                      <w:sz w:val="21"/>
                      <w:szCs w:val="21"/>
                      <w:lang w:val="en-US" w:eastAsia="zh-CN" w:bidi="he-IL"/>
                    </w:rPr>
                    <w:t>1季度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2" w:hRule="atLeast"/>
                <w:jc w:val="center"/>
              </w:trPr>
              <w:tc>
                <w:tcPr>
                  <w:tcW w:w="262" w:type="pct"/>
                  <w:noWrap w:val="0"/>
                  <w:vAlign w:val="center"/>
                </w:tcPr>
                <w:p>
                  <w:pPr>
                    <w:jc w:val="center"/>
                    <w:rPr>
                      <w:rFonts w:hint="eastAsia" w:eastAsia="宋体"/>
                      <w:color w:val="auto"/>
                      <w:lang w:val="en-US" w:eastAsia="zh-CN"/>
                    </w:rPr>
                  </w:pPr>
                  <w:r>
                    <w:rPr>
                      <w:rFonts w:hint="eastAsia"/>
                      <w:color w:val="auto"/>
                      <w:lang w:val="en-US" w:eastAsia="zh-CN"/>
                    </w:rPr>
                    <w:t>2</w:t>
                  </w:r>
                </w:p>
              </w:tc>
              <w:tc>
                <w:tcPr>
                  <w:tcW w:w="820" w:type="pct"/>
                  <w:noWrap w:val="0"/>
                  <w:vAlign w:val="center"/>
                </w:tcPr>
                <w:p>
                  <w:pPr>
                    <w:pStyle w:val="65"/>
                    <w:bidi w:val="0"/>
                    <w:jc w:val="center"/>
                    <w:rPr>
                      <w:rFonts w:hint="eastAsia" w:eastAsia="宋体"/>
                      <w:color w:val="auto"/>
                      <w:lang w:val="en-US" w:eastAsia="zh-CN"/>
                    </w:rPr>
                  </w:pPr>
                  <w:r>
                    <w:rPr>
                      <w:rFonts w:hint="eastAsia" w:cs="Times New Roman"/>
                      <w:color w:val="auto"/>
                      <w:kern w:val="2"/>
                      <w:sz w:val="21"/>
                      <w:szCs w:val="21"/>
                      <w:highlight w:val="none"/>
                      <w:lang w:val="en-US" w:eastAsia="zh-CN" w:bidi="ar-SA"/>
                    </w:rPr>
                    <w:t>废过滤材料</w:t>
                  </w:r>
                </w:p>
              </w:tc>
              <w:tc>
                <w:tcPr>
                  <w:tcW w:w="476" w:type="pct"/>
                  <w:noWrap w:val="0"/>
                  <w:vAlign w:val="center"/>
                </w:tcPr>
                <w:p>
                  <w:pPr>
                    <w:pStyle w:val="65"/>
                    <w:bidi w:val="0"/>
                    <w:jc w:val="center"/>
                    <w:rPr>
                      <w:rFonts w:hint="eastAsia"/>
                      <w:color w:val="auto"/>
                      <w:lang w:val="en-US" w:eastAsia="zh-CN"/>
                    </w:rPr>
                  </w:pPr>
                  <w:r>
                    <w:rPr>
                      <w:rFonts w:hint="eastAsia" w:ascii="Times New Roman" w:hAnsi="Times New Roman" w:eastAsia="宋体" w:cs="Times New Roman"/>
                      <w:color w:val="auto"/>
                      <w:highlight w:val="none"/>
                      <w:lang w:val="en-US" w:eastAsia="zh-CN"/>
                    </w:rPr>
                    <w:t>SW</w:t>
                  </w:r>
                  <w:r>
                    <w:rPr>
                      <w:rFonts w:hint="eastAsia" w:cs="Times New Roman"/>
                      <w:color w:val="auto"/>
                      <w:highlight w:val="none"/>
                      <w:lang w:val="en-US" w:eastAsia="zh-CN"/>
                    </w:rPr>
                    <w:t>59</w:t>
                  </w:r>
                </w:p>
              </w:tc>
              <w:tc>
                <w:tcPr>
                  <w:tcW w:w="806" w:type="pct"/>
                  <w:noWrap w:val="0"/>
                  <w:vAlign w:val="center"/>
                </w:tcPr>
                <w:p>
                  <w:pPr>
                    <w:pStyle w:val="65"/>
                    <w:bidi w:val="0"/>
                    <w:jc w:val="center"/>
                    <w:rPr>
                      <w:rFonts w:hint="eastAsia"/>
                      <w:color w:val="auto"/>
                      <w:lang w:val="en-US" w:eastAsia="zh-CN"/>
                    </w:rPr>
                  </w:pPr>
                  <w:r>
                    <w:rPr>
                      <w:rFonts w:hint="eastAsia" w:ascii="Times New Roman" w:hAnsi="Times New Roman" w:eastAsia="宋体" w:cs="Times New Roman"/>
                      <w:color w:val="auto"/>
                      <w:highlight w:val="none"/>
                      <w:lang w:val="en-US" w:eastAsia="zh-CN"/>
                    </w:rPr>
                    <w:t>900-0</w:t>
                  </w:r>
                  <w:r>
                    <w:rPr>
                      <w:rFonts w:hint="eastAsia" w:cs="Times New Roman"/>
                      <w:color w:val="auto"/>
                      <w:highlight w:val="none"/>
                      <w:lang w:val="en-US" w:eastAsia="zh-CN"/>
                    </w:rPr>
                    <w:t>09</w:t>
                  </w:r>
                  <w:r>
                    <w:rPr>
                      <w:rFonts w:hint="eastAsia" w:ascii="Times New Roman" w:hAnsi="Times New Roman" w:eastAsia="宋体" w:cs="Times New Roman"/>
                      <w:color w:val="auto"/>
                      <w:highlight w:val="none"/>
                      <w:lang w:val="en-US" w:eastAsia="zh-CN"/>
                    </w:rPr>
                    <w:t>-S</w:t>
                  </w:r>
                  <w:r>
                    <w:rPr>
                      <w:rFonts w:hint="eastAsia" w:cs="Times New Roman"/>
                      <w:color w:val="auto"/>
                      <w:highlight w:val="none"/>
                      <w:lang w:val="en-US" w:eastAsia="zh-CN"/>
                    </w:rPr>
                    <w:t>59</w:t>
                  </w:r>
                </w:p>
              </w:tc>
              <w:tc>
                <w:tcPr>
                  <w:tcW w:w="640" w:type="pct"/>
                  <w:vMerge w:val="continue"/>
                  <w:noWrap w:val="0"/>
                  <w:vAlign w:val="center"/>
                </w:tcPr>
                <w:p>
                  <w:pPr>
                    <w:adjustRightInd w:val="0"/>
                    <w:snapToGrid w:val="0"/>
                    <w:jc w:val="center"/>
                    <w:rPr>
                      <w:color w:val="auto"/>
                      <w:sz w:val="21"/>
                      <w:szCs w:val="21"/>
                      <w:lang w:bidi="he-IL"/>
                    </w:rPr>
                  </w:pPr>
                </w:p>
              </w:tc>
              <w:tc>
                <w:tcPr>
                  <w:tcW w:w="548" w:type="pct"/>
                  <w:vMerge w:val="continue"/>
                  <w:noWrap w:val="0"/>
                  <w:vAlign w:val="center"/>
                </w:tcPr>
                <w:p>
                  <w:pPr>
                    <w:adjustRightInd w:val="0"/>
                    <w:snapToGrid w:val="0"/>
                    <w:jc w:val="center"/>
                    <w:rPr>
                      <w:rFonts w:hint="eastAsia"/>
                      <w:color w:val="auto"/>
                      <w:sz w:val="21"/>
                      <w:szCs w:val="21"/>
                      <w:lang w:val="en-US" w:eastAsia="zh-CN" w:bidi="he-IL"/>
                    </w:rPr>
                  </w:pPr>
                </w:p>
              </w:tc>
              <w:tc>
                <w:tcPr>
                  <w:tcW w:w="503" w:type="pct"/>
                  <w:vMerge w:val="continue"/>
                  <w:noWrap w:val="0"/>
                  <w:vAlign w:val="center"/>
                </w:tcPr>
                <w:p>
                  <w:pPr>
                    <w:adjustRightInd w:val="0"/>
                    <w:snapToGrid w:val="0"/>
                    <w:jc w:val="center"/>
                    <w:rPr>
                      <w:rFonts w:hint="eastAsia"/>
                      <w:color w:val="auto"/>
                      <w:sz w:val="21"/>
                      <w:szCs w:val="21"/>
                      <w:lang w:val="en-US" w:eastAsia="zh-CN" w:bidi="he-IL"/>
                    </w:rPr>
                  </w:pPr>
                </w:p>
              </w:tc>
              <w:tc>
                <w:tcPr>
                  <w:tcW w:w="470" w:type="pct"/>
                  <w:noWrap w:val="0"/>
                  <w:vAlign w:val="center"/>
                </w:tcPr>
                <w:p>
                  <w:pPr>
                    <w:adjustRightInd w:val="0"/>
                    <w:snapToGrid w:val="0"/>
                    <w:jc w:val="center"/>
                    <w:rPr>
                      <w:rFonts w:hint="eastAsia"/>
                      <w:color w:val="auto"/>
                      <w:sz w:val="21"/>
                      <w:szCs w:val="21"/>
                      <w:lang w:val="en-US" w:eastAsia="zh-CN" w:bidi="he-IL"/>
                    </w:rPr>
                  </w:pPr>
                  <w:r>
                    <w:rPr>
                      <w:rFonts w:hint="eastAsia"/>
                      <w:color w:val="auto"/>
                      <w:sz w:val="21"/>
                      <w:szCs w:val="21"/>
                      <w:lang w:val="en-US" w:eastAsia="zh-CN" w:bidi="he-IL"/>
                    </w:rPr>
                    <w:t>袋装</w:t>
                  </w:r>
                </w:p>
              </w:tc>
              <w:tc>
                <w:tcPr>
                  <w:tcW w:w="470" w:type="pct"/>
                  <w:noWrap w:val="0"/>
                  <w:vAlign w:val="center"/>
                </w:tcPr>
                <w:p>
                  <w:pPr>
                    <w:adjustRightInd w:val="0"/>
                    <w:snapToGrid w:val="0"/>
                    <w:jc w:val="center"/>
                    <w:rPr>
                      <w:rFonts w:hint="eastAsia" w:eastAsia="宋体"/>
                      <w:color w:val="auto"/>
                      <w:kern w:val="2"/>
                      <w:sz w:val="21"/>
                      <w:szCs w:val="21"/>
                      <w:lang w:val="en-US" w:eastAsia="zh-CN" w:bidi="he-IL"/>
                    </w:rPr>
                  </w:pPr>
                  <w:r>
                    <w:rPr>
                      <w:rFonts w:hint="eastAsia"/>
                      <w:color w:val="auto"/>
                      <w:sz w:val="21"/>
                      <w:szCs w:val="21"/>
                      <w:lang w:val="en-US" w:eastAsia="zh-CN" w:bidi="he-IL"/>
                    </w:rPr>
                    <w:t>半年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2" w:hRule="atLeast"/>
                <w:jc w:val="center"/>
              </w:trPr>
              <w:tc>
                <w:tcPr>
                  <w:tcW w:w="262" w:type="pct"/>
                  <w:noWrap w:val="0"/>
                  <w:vAlign w:val="center"/>
                </w:tcPr>
                <w:p>
                  <w:pPr>
                    <w:pStyle w:val="76"/>
                    <w:rPr>
                      <w:rFonts w:hint="default" w:eastAsia="宋体"/>
                      <w:color w:val="auto"/>
                      <w:sz w:val="21"/>
                      <w:szCs w:val="21"/>
                      <w:lang w:val="en-US" w:eastAsia="zh-CN"/>
                    </w:rPr>
                  </w:pPr>
                  <w:r>
                    <w:rPr>
                      <w:rFonts w:hint="eastAsia" w:eastAsia="宋体"/>
                      <w:color w:val="auto"/>
                      <w:sz w:val="21"/>
                      <w:szCs w:val="21"/>
                      <w:lang w:val="en-US" w:eastAsia="zh-CN"/>
                    </w:rPr>
                    <w:t>3</w:t>
                  </w:r>
                </w:p>
              </w:tc>
              <w:tc>
                <w:tcPr>
                  <w:tcW w:w="820" w:type="pct"/>
                  <w:noWrap w:val="0"/>
                  <w:vAlign w:val="center"/>
                </w:tcPr>
                <w:p>
                  <w:pPr>
                    <w:pStyle w:val="65"/>
                    <w:bidi w:val="0"/>
                    <w:jc w:val="center"/>
                    <w:rPr>
                      <w:rFonts w:hint="eastAsia"/>
                      <w:color w:val="auto"/>
                      <w:lang w:val="en-US" w:eastAsia="zh-CN"/>
                    </w:rPr>
                  </w:pPr>
                  <w:r>
                    <w:rPr>
                      <w:rFonts w:hint="eastAsia" w:cs="Times New Roman"/>
                      <w:color w:val="auto"/>
                      <w:kern w:val="2"/>
                      <w:sz w:val="21"/>
                      <w:szCs w:val="21"/>
                      <w:highlight w:val="none"/>
                      <w:lang w:val="en-US" w:eastAsia="zh-CN" w:bidi="ar-SA"/>
                    </w:rPr>
                    <w:t>废塑封膜边角料</w:t>
                  </w:r>
                </w:p>
              </w:tc>
              <w:tc>
                <w:tcPr>
                  <w:tcW w:w="476" w:type="pct"/>
                  <w:noWrap w:val="0"/>
                  <w:vAlign w:val="center"/>
                </w:tcPr>
                <w:p>
                  <w:pPr>
                    <w:pStyle w:val="65"/>
                    <w:bidi w:val="0"/>
                    <w:jc w:val="center"/>
                    <w:rPr>
                      <w:rFonts w:hint="eastAsia" w:eastAsia="宋体"/>
                      <w:color w:val="auto"/>
                      <w:lang w:val="en-US" w:eastAsia="zh-CN"/>
                    </w:rPr>
                  </w:pPr>
                  <w:r>
                    <w:rPr>
                      <w:rFonts w:hint="eastAsia" w:ascii="Times New Roman" w:hAnsi="Times New Roman" w:eastAsia="宋体" w:cs="Times New Roman"/>
                      <w:color w:val="auto"/>
                      <w:highlight w:val="none"/>
                      <w:lang w:val="en-US" w:eastAsia="zh-CN"/>
                    </w:rPr>
                    <w:t>SW17</w:t>
                  </w:r>
                </w:p>
              </w:tc>
              <w:tc>
                <w:tcPr>
                  <w:tcW w:w="806" w:type="pct"/>
                  <w:noWrap w:val="0"/>
                  <w:vAlign w:val="center"/>
                </w:tcPr>
                <w:p>
                  <w:pPr>
                    <w:pStyle w:val="65"/>
                    <w:bidi w:val="0"/>
                    <w:jc w:val="center"/>
                    <w:rPr>
                      <w:rFonts w:hint="eastAsia"/>
                      <w:color w:val="auto"/>
                      <w:lang w:val="en-US" w:eastAsia="zh-CN"/>
                    </w:rPr>
                  </w:pPr>
                  <w:r>
                    <w:rPr>
                      <w:rFonts w:hint="eastAsia" w:ascii="Times New Roman" w:hAnsi="Times New Roman" w:eastAsia="宋体" w:cs="Times New Roman"/>
                      <w:color w:val="auto"/>
                      <w:highlight w:val="none"/>
                      <w:lang w:val="en-US" w:eastAsia="zh-CN"/>
                    </w:rPr>
                    <w:t>900-003-S17</w:t>
                  </w:r>
                </w:p>
              </w:tc>
              <w:tc>
                <w:tcPr>
                  <w:tcW w:w="640" w:type="pct"/>
                  <w:vMerge w:val="continue"/>
                  <w:noWrap w:val="0"/>
                  <w:vAlign w:val="center"/>
                </w:tcPr>
                <w:p>
                  <w:pPr>
                    <w:adjustRightInd w:val="0"/>
                    <w:snapToGrid w:val="0"/>
                    <w:jc w:val="center"/>
                    <w:rPr>
                      <w:rFonts w:hint="default" w:eastAsia="宋体"/>
                      <w:color w:val="auto"/>
                      <w:sz w:val="21"/>
                      <w:szCs w:val="21"/>
                      <w:lang w:val="en-US" w:eastAsia="zh-CN" w:bidi="he-IL"/>
                    </w:rPr>
                  </w:pPr>
                </w:p>
              </w:tc>
              <w:tc>
                <w:tcPr>
                  <w:tcW w:w="548" w:type="pct"/>
                  <w:vMerge w:val="continue"/>
                  <w:noWrap w:val="0"/>
                  <w:vAlign w:val="center"/>
                </w:tcPr>
                <w:p>
                  <w:pPr>
                    <w:adjustRightInd w:val="0"/>
                    <w:snapToGrid w:val="0"/>
                    <w:jc w:val="center"/>
                    <w:rPr>
                      <w:rFonts w:hint="default" w:eastAsia="宋体"/>
                      <w:color w:val="auto"/>
                      <w:sz w:val="21"/>
                      <w:szCs w:val="21"/>
                      <w:lang w:val="en-US" w:eastAsia="zh-CN" w:bidi="he-IL"/>
                    </w:rPr>
                  </w:pPr>
                </w:p>
              </w:tc>
              <w:tc>
                <w:tcPr>
                  <w:tcW w:w="503" w:type="pct"/>
                  <w:vMerge w:val="continue"/>
                  <w:noWrap w:val="0"/>
                  <w:vAlign w:val="center"/>
                </w:tcPr>
                <w:p>
                  <w:pPr>
                    <w:adjustRightInd w:val="0"/>
                    <w:snapToGrid w:val="0"/>
                    <w:jc w:val="center"/>
                    <w:rPr>
                      <w:rFonts w:hint="default" w:eastAsia="宋体"/>
                      <w:color w:val="auto"/>
                      <w:sz w:val="21"/>
                      <w:szCs w:val="21"/>
                      <w:lang w:val="en-US" w:eastAsia="zh-CN" w:bidi="he-IL"/>
                    </w:rPr>
                  </w:pPr>
                </w:p>
              </w:tc>
              <w:tc>
                <w:tcPr>
                  <w:tcW w:w="470" w:type="pct"/>
                  <w:noWrap w:val="0"/>
                  <w:vAlign w:val="center"/>
                </w:tcPr>
                <w:p>
                  <w:pPr>
                    <w:adjustRightInd w:val="0"/>
                    <w:snapToGrid w:val="0"/>
                    <w:jc w:val="center"/>
                    <w:rPr>
                      <w:rFonts w:hint="eastAsia"/>
                      <w:color w:val="auto"/>
                      <w:sz w:val="21"/>
                      <w:szCs w:val="21"/>
                      <w:lang w:val="en-US" w:eastAsia="zh-CN" w:bidi="he-IL"/>
                    </w:rPr>
                  </w:pPr>
                  <w:r>
                    <w:rPr>
                      <w:rFonts w:hint="eastAsia"/>
                      <w:color w:val="auto"/>
                      <w:sz w:val="21"/>
                      <w:szCs w:val="21"/>
                      <w:lang w:val="en-US" w:eastAsia="zh-CN" w:bidi="he-IL"/>
                    </w:rPr>
                    <w:t>堆存</w:t>
                  </w:r>
                </w:p>
              </w:tc>
              <w:tc>
                <w:tcPr>
                  <w:tcW w:w="470" w:type="pct"/>
                  <w:noWrap w:val="0"/>
                  <w:vAlign w:val="center"/>
                </w:tcPr>
                <w:p>
                  <w:pPr>
                    <w:adjustRightInd w:val="0"/>
                    <w:snapToGrid w:val="0"/>
                    <w:jc w:val="center"/>
                    <w:rPr>
                      <w:rFonts w:hint="default" w:eastAsia="宋体"/>
                      <w:color w:val="auto"/>
                      <w:sz w:val="21"/>
                      <w:szCs w:val="21"/>
                      <w:lang w:val="en-US" w:eastAsia="zh-CN" w:bidi="he-IL"/>
                    </w:rPr>
                  </w:pPr>
                  <w:r>
                    <w:rPr>
                      <w:rFonts w:hint="eastAsia"/>
                      <w:color w:val="auto"/>
                      <w:sz w:val="21"/>
                      <w:szCs w:val="21"/>
                      <w:lang w:val="en-US" w:eastAsia="zh-CN" w:bidi="he-IL"/>
                    </w:rPr>
                    <w:t>1年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2" w:hRule="atLeast"/>
                <w:jc w:val="center"/>
              </w:trPr>
              <w:tc>
                <w:tcPr>
                  <w:tcW w:w="262" w:type="pct"/>
                  <w:noWrap w:val="0"/>
                  <w:vAlign w:val="center"/>
                </w:tcPr>
                <w:p>
                  <w:pPr>
                    <w:pStyle w:val="76"/>
                    <w:rPr>
                      <w:rFonts w:hint="default" w:eastAsia="宋体"/>
                      <w:color w:val="auto"/>
                      <w:sz w:val="21"/>
                      <w:szCs w:val="21"/>
                      <w:lang w:val="en-US" w:eastAsia="zh-CN"/>
                    </w:rPr>
                  </w:pPr>
                  <w:r>
                    <w:rPr>
                      <w:rFonts w:hint="eastAsia" w:eastAsia="宋体"/>
                      <w:color w:val="auto"/>
                      <w:sz w:val="21"/>
                      <w:szCs w:val="21"/>
                      <w:lang w:val="en-US" w:eastAsia="zh-CN"/>
                    </w:rPr>
                    <w:t>4</w:t>
                  </w:r>
                </w:p>
              </w:tc>
              <w:tc>
                <w:tcPr>
                  <w:tcW w:w="820" w:type="pct"/>
                  <w:noWrap w:val="0"/>
                  <w:vAlign w:val="center"/>
                </w:tcPr>
                <w:p>
                  <w:pPr>
                    <w:pStyle w:val="65"/>
                    <w:bidi w:val="0"/>
                    <w:jc w:val="center"/>
                    <w:rPr>
                      <w:rFonts w:hint="eastAsia"/>
                      <w:color w:val="auto"/>
                      <w:lang w:val="en-US" w:eastAsia="zh-CN"/>
                    </w:rPr>
                  </w:pPr>
                  <w:r>
                    <w:rPr>
                      <w:rFonts w:hint="eastAsia" w:cs="Times New Roman"/>
                      <w:color w:val="auto"/>
                      <w:kern w:val="2"/>
                      <w:sz w:val="21"/>
                      <w:szCs w:val="21"/>
                      <w:highlight w:val="none"/>
                      <w:lang w:val="en-US" w:eastAsia="zh-CN" w:bidi="ar-SA"/>
                    </w:rPr>
                    <w:t>污水站污泥</w:t>
                  </w:r>
                </w:p>
              </w:tc>
              <w:tc>
                <w:tcPr>
                  <w:tcW w:w="476" w:type="pct"/>
                  <w:noWrap w:val="0"/>
                  <w:vAlign w:val="center"/>
                </w:tcPr>
                <w:p>
                  <w:pPr>
                    <w:pStyle w:val="65"/>
                    <w:bidi w:val="0"/>
                    <w:jc w:val="center"/>
                    <w:rPr>
                      <w:rFonts w:hint="eastAsia" w:eastAsia="宋体"/>
                      <w:color w:val="auto"/>
                      <w:lang w:val="en-US" w:eastAsia="zh-CN"/>
                    </w:rPr>
                  </w:pPr>
                  <w:r>
                    <w:rPr>
                      <w:rFonts w:hint="eastAsia" w:cs="Times New Roman"/>
                      <w:color w:val="auto"/>
                      <w:highlight w:val="none"/>
                      <w:lang w:val="en-US" w:eastAsia="zh-CN"/>
                    </w:rPr>
                    <w:t>SW07</w:t>
                  </w:r>
                </w:p>
              </w:tc>
              <w:tc>
                <w:tcPr>
                  <w:tcW w:w="806" w:type="pct"/>
                  <w:noWrap w:val="0"/>
                  <w:vAlign w:val="center"/>
                </w:tcPr>
                <w:p>
                  <w:pPr>
                    <w:pStyle w:val="65"/>
                    <w:bidi w:val="0"/>
                    <w:jc w:val="center"/>
                    <w:rPr>
                      <w:rFonts w:hint="eastAsia"/>
                      <w:color w:val="auto"/>
                      <w:lang w:val="en-US" w:eastAsia="zh-CN"/>
                    </w:rPr>
                  </w:pPr>
                  <w:r>
                    <w:rPr>
                      <w:rFonts w:hint="eastAsia" w:cs="Times New Roman"/>
                      <w:color w:val="auto"/>
                      <w:highlight w:val="none"/>
                      <w:lang w:val="en-US" w:eastAsia="zh-CN"/>
                    </w:rPr>
                    <w:t>900-099-S07</w:t>
                  </w:r>
                </w:p>
              </w:tc>
              <w:tc>
                <w:tcPr>
                  <w:tcW w:w="640" w:type="pct"/>
                  <w:vMerge w:val="continue"/>
                  <w:noWrap w:val="0"/>
                  <w:vAlign w:val="center"/>
                </w:tcPr>
                <w:p>
                  <w:pPr>
                    <w:adjustRightInd w:val="0"/>
                    <w:snapToGrid w:val="0"/>
                    <w:jc w:val="center"/>
                    <w:rPr>
                      <w:color w:val="auto"/>
                      <w:sz w:val="21"/>
                      <w:szCs w:val="21"/>
                      <w:lang w:bidi="he-IL"/>
                    </w:rPr>
                  </w:pPr>
                </w:p>
              </w:tc>
              <w:tc>
                <w:tcPr>
                  <w:tcW w:w="548" w:type="pct"/>
                  <w:vMerge w:val="continue"/>
                  <w:noWrap w:val="0"/>
                  <w:vAlign w:val="center"/>
                </w:tcPr>
                <w:p>
                  <w:pPr>
                    <w:adjustRightInd w:val="0"/>
                    <w:snapToGrid w:val="0"/>
                    <w:jc w:val="center"/>
                    <w:rPr>
                      <w:color w:val="auto"/>
                      <w:sz w:val="21"/>
                      <w:szCs w:val="21"/>
                      <w:lang w:bidi="he-IL"/>
                    </w:rPr>
                  </w:pPr>
                </w:p>
              </w:tc>
              <w:tc>
                <w:tcPr>
                  <w:tcW w:w="503" w:type="pct"/>
                  <w:vMerge w:val="continue"/>
                  <w:noWrap w:val="0"/>
                  <w:vAlign w:val="center"/>
                </w:tcPr>
                <w:p>
                  <w:pPr>
                    <w:adjustRightInd w:val="0"/>
                    <w:snapToGrid w:val="0"/>
                    <w:jc w:val="center"/>
                    <w:rPr>
                      <w:color w:val="auto"/>
                      <w:sz w:val="21"/>
                      <w:szCs w:val="21"/>
                      <w:lang w:bidi="he-IL"/>
                    </w:rPr>
                  </w:pPr>
                </w:p>
              </w:tc>
              <w:tc>
                <w:tcPr>
                  <w:tcW w:w="470" w:type="pct"/>
                  <w:noWrap w:val="0"/>
                  <w:vAlign w:val="center"/>
                </w:tcPr>
                <w:p>
                  <w:pPr>
                    <w:adjustRightInd w:val="0"/>
                    <w:snapToGrid w:val="0"/>
                    <w:jc w:val="center"/>
                    <w:rPr>
                      <w:rFonts w:hint="default"/>
                      <w:color w:val="auto"/>
                      <w:sz w:val="21"/>
                      <w:szCs w:val="21"/>
                      <w:lang w:val="en-US" w:eastAsia="zh-CN" w:bidi="he-IL"/>
                    </w:rPr>
                  </w:pPr>
                  <w:r>
                    <w:rPr>
                      <w:rFonts w:hint="eastAsia"/>
                      <w:color w:val="auto"/>
                      <w:sz w:val="21"/>
                      <w:szCs w:val="21"/>
                      <w:lang w:val="en-US" w:eastAsia="zh-CN" w:bidi="he-IL"/>
                    </w:rPr>
                    <w:t>袋装</w:t>
                  </w:r>
                </w:p>
              </w:tc>
              <w:tc>
                <w:tcPr>
                  <w:tcW w:w="470" w:type="pct"/>
                  <w:noWrap w:val="0"/>
                  <w:vAlign w:val="center"/>
                </w:tcPr>
                <w:p>
                  <w:pPr>
                    <w:adjustRightInd w:val="0"/>
                    <w:snapToGrid w:val="0"/>
                    <w:jc w:val="center"/>
                    <w:rPr>
                      <w:rFonts w:hint="default" w:eastAsia="宋体"/>
                      <w:color w:val="auto"/>
                      <w:sz w:val="21"/>
                      <w:szCs w:val="21"/>
                      <w:lang w:val="en-US" w:eastAsia="zh-CN" w:bidi="he-IL"/>
                    </w:rPr>
                  </w:pPr>
                  <w:r>
                    <w:rPr>
                      <w:rFonts w:hint="eastAsia"/>
                      <w:color w:val="auto"/>
                      <w:sz w:val="21"/>
                      <w:szCs w:val="21"/>
                      <w:lang w:val="en-US" w:eastAsia="zh-CN" w:bidi="he-IL"/>
                    </w:rPr>
                    <w:t>1季度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2" w:hRule="atLeast"/>
                <w:jc w:val="center"/>
              </w:trPr>
              <w:tc>
                <w:tcPr>
                  <w:tcW w:w="262" w:type="pct"/>
                  <w:noWrap w:val="0"/>
                  <w:vAlign w:val="center"/>
                </w:tcPr>
                <w:p>
                  <w:pPr>
                    <w:pStyle w:val="76"/>
                    <w:rPr>
                      <w:rFonts w:hint="default" w:eastAsia="宋体"/>
                      <w:color w:val="auto"/>
                      <w:sz w:val="21"/>
                      <w:szCs w:val="21"/>
                      <w:lang w:val="en-US" w:eastAsia="zh-CN"/>
                    </w:rPr>
                  </w:pPr>
                  <w:r>
                    <w:rPr>
                      <w:rFonts w:hint="eastAsia"/>
                      <w:color w:val="auto"/>
                      <w:sz w:val="21"/>
                      <w:szCs w:val="21"/>
                      <w:lang w:val="en-US" w:eastAsia="zh-CN"/>
                    </w:rPr>
                    <w:t>5</w:t>
                  </w:r>
                </w:p>
              </w:tc>
              <w:tc>
                <w:tcPr>
                  <w:tcW w:w="820" w:type="pct"/>
                  <w:noWrap w:val="0"/>
                  <w:vAlign w:val="center"/>
                </w:tcPr>
                <w:p>
                  <w:pPr>
                    <w:pStyle w:val="76"/>
                    <w:rPr>
                      <w:rFonts w:hint="eastAsia"/>
                      <w:color w:val="auto"/>
                      <w:lang w:val="en-US" w:eastAsia="zh-CN"/>
                    </w:rPr>
                  </w:pPr>
                  <w:r>
                    <w:rPr>
                      <w:rFonts w:hint="eastAsia" w:cs="Times New Roman"/>
                      <w:color w:val="auto"/>
                      <w:kern w:val="2"/>
                      <w:sz w:val="21"/>
                      <w:szCs w:val="21"/>
                      <w:highlight w:val="none"/>
                      <w:lang w:val="en-US" w:eastAsia="zh-CN" w:bidi="ar-SA"/>
                    </w:rPr>
                    <w:t>坏果及果渣</w:t>
                  </w:r>
                </w:p>
              </w:tc>
              <w:tc>
                <w:tcPr>
                  <w:tcW w:w="476" w:type="pct"/>
                  <w:noWrap w:val="0"/>
                  <w:vAlign w:val="center"/>
                </w:tcPr>
                <w:p>
                  <w:pPr>
                    <w:pStyle w:val="65"/>
                    <w:bidi w:val="0"/>
                    <w:jc w:val="center"/>
                    <w:rPr>
                      <w:rFonts w:hint="eastAsia"/>
                      <w:color w:val="auto"/>
                      <w:lang w:val="en-US" w:eastAsia="zh-CN"/>
                    </w:rPr>
                  </w:pPr>
                  <w:r>
                    <w:rPr>
                      <w:rFonts w:hint="eastAsia" w:cs="Times New Roman"/>
                      <w:color w:val="auto"/>
                      <w:highlight w:val="none"/>
                      <w:lang w:val="en-US" w:eastAsia="zh-CN"/>
                    </w:rPr>
                    <w:t>SW13</w:t>
                  </w:r>
                </w:p>
              </w:tc>
              <w:tc>
                <w:tcPr>
                  <w:tcW w:w="806" w:type="pct"/>
                  <w:noWrap w:val="0"/>
                  <w:vAlign w:val="center"/>
                </w:tcPr>
                <w:p>
                  <w:pPr>
                    <w:pStyle w:val="65"/>
                    <w:bidi w:val="0"/>
                    <w:jc w:val="center"/>
                    <w:rPr>
                      <w:rFonts w:hint="eastAsia"/>
                      <w:color w:val="auto"/>
                      <w:lang w:val="en-US" w:eastAsia="zh-CN"/>
                    </w:rPr>
                  </w:pPr>
                  <w:r>
                    <w:rPr>
                      <w:rFonts w:hint="eastAsia" w:cs="Times New Roman"/>
                      <w:color w:val="auto"/>
                      <w:highlight w:val="none"/>
                      <w:lang w:val="en-US" w:eastAsia="zh-CN"/>
                    </w:rPr>
                    <w:t>152-001-S13</w:t>
                  </w:r>
                </w:p>
              </w:tc>
              <w:tc>
                <w:tcPr>
                  <w:tcW w:w="640" w:type="pct"/>
                  <w:noWrap w:val="0"/>
                  <w:vAlign w:val="center"/>
                </w:tcPr>
                <w:p>
                  <w:pPr>
                    <w:adjustRightInd w:val="0"/>
                    <w:snapToGrid w:val="0"/>
                    <w:jc w:val="center"/>
                    <w:rPr>
                      <w:rFonts w:hint="default" w:eastAsia="宋体"/>
                      <w:color w:val="auto"/>
                      <w:sz w:val="21"/>
                      <w:szCs w:val="21"/>
                      <w:lang w:val="en-US" w:eastAsia="zh-CN" w:bidi="he-IL"/>
                    </w:rPr>
                  </w:pPr>
                  <w:r>
                    <w:rPr>
                      <w:rFonts w:hint="eastAsia"/>
                      <w:color w:val="auto"/>
                      <w:sz w:val="21"/>
                      <w:szCs w:val="21"/>
                      <w:lang w:val="en-US" w:eastAsia="zh-CN" w:bidi="he-IL"/>
                    </w:rPr>
                    <w:t>专用贮存点</w:t>
                  </w:r>
                </w:p>
              </w:tc>
              <w:tc>
                <w:tcPr>
                  <w:tcW w:w="548" w:type="pct"/>
                  <w:noWrap w:val="0"/>
                  <w:vAlign w:val="center"/>
                </w:tcPr>
                <w:p>
                  <w:pPr>
                    <w:adjustRightInd w:val="0"/>
                    <w:snapToGrid w:val="0"/>
                    <w:jc w:val="center"/>
                    <w:rPr>
                      <w:rFonts w:hint="default" w:eastAsia="宋体"/>
                      <w:color w:val="auto"/>
                      <w:sz w:val="21"/>
                      <w:szCs w:val="21"/>
                      <w:lang w:val="en-US" w:eastAsia="zh-CN" w:bidi="he-IL"/>
                    </w:rPr>
                  </w:pPr>
                  <w:r>
                    <w:rPr>
                      <w:rFonts w:hint="eastAsia"/>
                      <w:color w:val="auto"/>
                      <w:sz w:val="21"/>
                      <w:szCs w:val="21"/>
                      <w:lang w:val="en-US" w:eastAsia="zh-CN" w:bidi="he-IL"/>
                    </w:rPr>
                    <w:t>30</w:t>
                  </w:r>
                </w:p>
              </w:tc>
              <w:tc>
                <w:tcPr>
                  <w:tcW w:w="503" w:type="pct"/>
                  <w:noWrap w:val="0"/>
                  <w:vAlign w:val="center"/>
                </w:tcPr>
                <w:p>
                  <w:pPr>
                    <w:adjustRightInd w:val="0"/>
                    <w:snapToGrid w:val="0"/>
                    <w:jc w:val="center"/>
                    <w:rPr>
                      <w:rFonts w:hint="default" w:eastAsia="宋体"/>
                      <w:color w:val="auto"/>
                      <w:sz w:val="21"/>
                      <w:szCs w:val="21"/>
                      <w:lang w:val="en-US" w:eastAsia="zh-CN" w:bidi="he-IL"/>
                    </w:rPr>
                  </w:pPr>
                  <w:r>
                    <w:rPr>
                      <w:rFonts w:hint="eastAsia"/>
                      <w:color w:val="auto"/>
                      <w:sz w:val="21"/>
                      <w:szCs w:val="21"/>
                      <w:lang w:val="en-US" w:eastAsia="zh-CN" w:bidi="he-IL"/>
                    </w:rPr>
                    <w:t>15t</w:t>
                  </w:r>
                </w:p>
              </w:tc>
              <w:tc>
                <w:tcPr>
                  <w:tcW w:w="470" w:type="pct"/>
                  <w:noWrap w:val="0"/>
                  <w:vAlign w:val="center"/>
                </w:tcPr>
                <w:p>
                  <w:pPr>
                    <w:adjustRightInd w:val="0"/>
                    <w:snapToGrid w:val="0"/>
                    <w:jc w:val="center"/>
                    <w:rPr>
                      <w:rFonts w:hint="default"/>
                      <w:color w:val="auto"/>
                      <w:sz w:val="21"/>
                      <w:szCs w:val="21"/>
                      <w:lang w:val="en-US" w:eastAsia="zh-CN" w:bidi="he-IL"/>
                    </w:rPr>
                  </w:pPr>
                  <w:r>
                    <w:rPr>
                      <w:rFonts w:hint="eastAsia"/>
                      <w:color w:val="auto"/>
                      <w:sz w:val="21"/>
                      <w:szCs w:val="21"/>
                      <w:lang w:val="en-US" w:eastAsia="zh-CN" w:bidi="he-IL"/>
                    </w:rPr>
                    <w:t>箱装</w:t>
                  </w:r>
                </w:p>
              </w:tc>
              <w:tc>
                <w:tcPr>
                  <w:tcW w:w="470" w:type="pct"/>
                  <w:noWrap w:val="0"/>
                  <w:vAlign w:val="center"/>
                </w:tcPr>
                <w:p>
                  <w:pPr>
                    <w:adjustRightInd w:val="0"/>
                    <w:snapToGrid w:val="0"/>
                    <w:jc w:val="center"/>
                    <w:rPr>
                      <w:rFonts w:hint="default"/>
                      <w:color w:val="auto"/>
                      <w:sz w:val="21"/>
                      <w:szCs w:val="21"/>
                      <w:lang w:val="en-US" w:eastAsia="zh-CN" w:bidi="he-IL"/>
                    </w:rPr>
                  </w:pPr>
                  <w:r>
                    <w:rPr>
                      <w:rFonts w:hint="eastAsia"/>
                      <w:color w:val="auto"/>
                      <w:sz w:val="21"/>
                      <w:szCs w:val="21"/>
                      <w:lang w:val="en-US" w:eastAsia="zh-CN" w:bidi="he-IL"/>
                    </w:rPr>
                    <w:t>日产日清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2" w:hRule="atLeast"/>
                <w:jc w:val="center"/>
              </w:trPr>
              <w:tc>
                <w:tcPr>
                  <w:tcW w:w="262" w:type="pct"/>
                  <w:noWrap w:val="0"/>
                  <w:vAlign w:val="center"/>
                </w:tcPr>
                <w:p>
                  <w:pPr>
                    <w:pStyle w:val="76"/>
                    <w:rPr>
                      <w:rFonts w:hint="default" w:eastAsia="宋体"/>
                      <w:color w:val="auto"/>
                      <w:sz w:val="21"/>
                      <w:szCs w:val="21"/>
                      <w:lang w:val="en-US" w:eastAsia="zh-CN"/>
                    </w:rPr>
                  </w:pPr>
                  <w:r>
                    <w:rPr>
                      <w:rFonts w:hint="eastAsia"/>
                      <w:color w:val="auto"/>
                      <w:sz w:val="21"/>
                      <w:szCs w:val="21"/>
                      <w:lang w:val="en-US" w:eastAsia="zh-CN"/>
                    </w:rPr>
                    <w:t>6</w:t>
                  </w:r>
                </w:p>
              </w:tc>
              <w:tc>
                <w:tcPr>
                  <w:tcW w:w="820" w:type="pct"/>
                  <w:noWrap w:val="0"/>
                  <w:vAlign w:val="center"/>
                </w:tcPr>
                <w:p>
                  <w:pPr>
                    <w:pStyle w:val="76"/>
                    <w:rPr>
                      <w:rFonts w:hint="eastAsia"/>
                      <w:color w:val="auto"/>
                      <w:lang w:val="en-US" w:eastAsia="zh-CN"/>
                    </w:rPr>
                  </w:pPr>
                  <w:r>
                    <w:rPr>
                      <w:rFonts w:hint="eastAsia" w:cs="Times New Roman"/>
                      <w:color w:val="auto"/>
                      <w:highlight w:val="none"/>
                      <w:lang w:val="en-US" w:eastAsia="zh-CN"/>
                    </w:rPr>
                    <w:t>废活性炭（废气处理）</w:t>
                  </w:r>
                </w:p>
              </w:tc>
              <w:tc>
                <w:tcPr>
                  <w:tcW w:w="476" w:type="pct"/>
                  <w:noWrap w:val="0"/>
                  <w:vAlign w:val="center"/>
                </w:tcPr>
                <w:p>
                  <w:pPr>
                    <w:pStyle w:val="48"/>
                    <w:keepNext w:val="0"/>
                    <w:keepLines w:val="0"/>
                    <w:pageBreakBefore w:val="0"/>
                    <w:kinsoku/>
                    <w:wordWrap/>
                    <w:overflowPunct/>
                    <w:topLinePunct w:val="0"/>
                    <w:bidi w:val="0"/>
                    <w:spacing w:beforeLines="0" w:afterLines="0" w:line="240" w:lineRule="auto"/>
                    <w:ind w:right="0" w:rightChars="0"/>
                    <w:textAlignment w:val="auto"/>
                    <w:rPr>
                      <w:rFonts w:hint="eastAsia"/>
                      <w:color w:val="auto"/>
                      <w:lang w:val="en-US" w:eastAsia="zh-CN"/>
                    </w:rPr>
                  </w:pPr>
                  <w:r>
                    <w:rPr>
                      <w:rFonts w:hint="default" w:ascii="Times New Roman" w:hAnsi="Times New Roman" w:cs="Times New Roman" w:eastAsiaTheme="minorEastAsia"/>
                      <w:color w:val="auto"/>
                      <w:sz w:val="21"/>
                      <w:szCs w:val="21"/>
                      <w:highlight w:val="none"/>
                      <w:lang w:val="en-US" w:eastAsia="zh-CN"/>
                    </w:rPr>
                    <w:t>HW49</w:t>
                  </w:r>
                </w:p>
              </w:tc>
              <w:tc>
                <w:tcPr>
                  <w:tcW w:w="806" w:type="pct"/>
                  <w:noWrap w:val="0"/>
                  <w:vAlign w:val="center"/>
                </w:tcPr>
                <w:p>
                  <w:pPr>
                    <w:pStyle w:val="48"/>
                    <w:keepNext w:val="0"/>
                    <w:keepLines w:val="0"/>
                    <w:pageBreakBefore w:val="0"/>
                    <w:kinsoku/>
                    <w:wordWrap/>
                    <w:overflowPunct/>
                    <w:topLinePunct w:val="0"/>
                    <w:bidi w:val="0"/>
                    <w:spacing w:beforeLines="0" w:afterLines="0" w:line="240" w:lineRule="auto"/>
                    <w:ind w:right="0" w:rightChars="0"/>
                    <w:textAlignment w:val="auto"/>
                    <w:rPr>
                      <w:rFonts w:hint="eastAsia"/>
                      <w:color w:val="auto"/>
                      <w:lang w:val="en-US" w:eastAsia="zh-CN"/>
                    </w:rPr>
                  </w:pPr>
                  <w:r>
                    <w:rPr>
                      <w:rFonts w:hint="default" w:ascii="Times New Roman" w:hAnsi="Times New Roman" w:cs="Times New Roman" w:eastAsiaTheme="minorEastAsia"/>
                      <w:color w:val="auto"/>
                      <w:sz w:val="21"/>
                      <w:szCs w:val="21"/>
                      <w:highlight w:val="none"/>
                      <w:lang w:val="en-US" w:eastAsia="zh-CN"/>
                    </w:rPr>
                    <w:t>900-039-49</w:t>
                  </w:r>
                </w:p>
              </w:tc>
              <w:tc>
                <w:tcPr>
                  <w:tcW w:w="640" w:type="pct"/>
                  <w:vMerge w:val="restart"/>
                  <w:noWrap w:val="0"/>
                  <w:vAlign w:val="center"/>
                </w:tcPr>
                <w:p>
                  <w:pPr>
                    <w:adjustRightInd w:val="0"/>
                    <w:snapToGrid w:val="0"/>
                    <w:jc w:val="center"/>
                    <w:rPr>
                      <w:rFonts w:hint="default" w:eastAsia="宋体"/>
                      <w:color w:val="auto"/>
                      <w:sz w:val="21"/>
                      <w:szCs w:val="21"/>
                      <w:lang w:val="en-US" w:eastAsia="zh-CN" w:bidi="he-IL"/>
                    </w:rPr>
                  </w:pPr>
                  <w:r>
                    <w:rPr>
                      <w:rFonts w:hint="default" w:ascii="Times New Roman" w:hAnsi="Times New Roman" w:cs="Times New Roman"/>
                      <w:color w:val="auto"/>
                      <w:sz w:val="21"/>
                      <w:szCs w:val="21"/>
                      <w:highlight w:val="none"/>
                      <w:lang w:val="en-US" w:eastAsia="zh-CN"/>
                    </w:rPr>
                    <w:t>危废贮存点</w:t>
                  </w:r>
                </w:p>
              </w:tc>
              <w:tc>
                <w:tcPr>
                  <w:tcW w:w="548" w:type="pct"/>
                  <w:vMerge w:val="restart"/>
                  <w:noWrap w:val="0"/>
                  <w:vAlign w:val="center"/>
                </w:tcPr>
                <w:p>
                  <w:pPr>
                    <w:adjustRightInd w:val="0"/>
                    <w:snapToGrid w:val="0"/>
                    <w:jc w:val="center"/>
                    <w:rPr>
                      <w:rFonts w:hint="default" w:eastAsia="宋体"/>
                      <w:color w:val="auto"/>
                      <w:sz w:val="21"/>
                      <w:szCs w:val="21"/>
                      <w:lang w:val="en-US" w:eastAsia="zh-CN" w:bidi="he-IL"/>
                    </w:rPr>
                  </w:pPr>
                  <w:r>
                    <w:rPr>
                      <w:rFonts w:hint="eastAsia"/>
                      <w:color w:val="auto"/>
                      <w:sz w:val="21"/>
                      <w:szCs w:val="21"/>
                      <w:lang w:val="en-US" w:eastAsia="zh-CN" w:bidi="he-IL"/>
                    </w:rPr>
                    <w:t>20</w:t>
                  </w:r>
                </w:p>
              </w:tc>
              <w:tc>
                <w:tcPr>
                  <w:tcW w:w="503" w:type="pct"/>
                  <w:vMerge w:val="restart"/>
                  <w:noWrap w:val="0"/>
                  <w:vAlign w:val="center"/>
                </w:tcPr>
                <w:p>
                  <w:pPr>
                    <w:adjustRightInd w:val="0"/>
                    <w:snapToGrid w:val="0"/>
                    <w:jc w:val="center"/>
                    <w:rPr>
                      <w:rFonts w:hint="default" w:eastAsia="宋体"/>
                      <w:color w:val="auto"/>
                      <w:sz w:val="21"/>
                      <w:szCs w:val="21"/>
                      <w:lang w:val="en-US" w:eastAsia="zh-CN" w:bidi="he-IL"/>
                    </w:rPr>
                  </w:pPr>
                  <w:r>
                    <w:rPr>
                      <w:rFonts w:hint="eastAsia"/>
                      <w:color w:val="auto"/>
                      <w:sz w:val="21"/>
                      <w:szCs w:val="21"/>
                      <w:lang w:val="en-US" w:eastAsia="zh-CN" w:bidi="he-IL"/>
                    </w:rPr>
                    <w:t>10t</w:t>
                  </w:r>
                </w:p>
              </w:tc>
              <w:tc>
                <w:tcPr>
                  <w:tcW w:w="470" w:type="pct"/>
                  <w:noWrap w:val="0"/>
                  <w:vAlign w:val="center"/>
                </w:tcPr>
                <w:p>
                  <w:pPr>
                    <w:adjustRightInd w:val="0"/>
                    <w:snapToGrid w:val="0"/>
                    <w:jc w:val="center"/>
                    <w:rPr>
                      <w:rFonts w:hint="default"/>
                      <w:color w:val="auto"/>
                      <w:sz w:val="21"/>
                      <w:szCs w:val="21"/>
                      <w:lang w:val="en-US" w:eastAsia="zh-CN" w:bidi="he-IL"/>
                    </w:rPr>
                  </w:pPr>
                  <w:r>
                    <w:rPr>
                      <w:rFonts w:hint="eastAsia"/>
                      <w:color w:val="auto"/>
                      <w:sz w:val="21"/>
                      <w:szCs w:val="21"/>
                      <w:lang w:val="en-US" w:eastAsia="zh-CN" w:bidi="he-IL"/>
                    </w:rPr>
                    <w:t>袋装</w:t>
                  </w:r>
                </w:p>
              </w:tc>
              <w:tc>
                <w:tcPr>
                  <w:tcW w:w="470" w:type="pct"/>
                  <w:noWrap w:val="0"/>
                  <w:vAlign w:val="center"/>
                </w:tcPr>
                <w:p>
                  <w:pPr>
                    <w:adjustRightInd w:val="0"/>
                    <w:snapToGrid w:val="0"/>
                    <w:jc w:val="center"/>
                    <w:rPr>
                      <w:rFonts w:hint="default"/>
                      <w:color w:val="auto"/>
                      <w:sz w:val="21"/>
                      <w:szCs w:val="21"/>
                      <w:lang w:val="en-US" w:eastAsia="zh-CN" w:bidi="he-IL"/>
                    </w:rPr>
                  </w:pPr>
                  <w:r>
                    <w:rPr>
                      <w:rFonts w:hint="eastAsia"/>
                      <w:color w:val="auto"/>
                      <w:sz w:val="21"/>
                      <w:szCs w:val="21"/>
                      <w:lang w:val="en-US" w:eastAsia="zh-CN" w:bidi="he-IL"/>
                    </w:rPr>
                    <w:t>半年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2" w:hRule="atLeast"/>
                <w:jc w:val="center"/>
              </w:trPr>
              <w:tc>
                <w:tcPr>
                  <w:tcW w:w="262" w:type="pct"/>
                  <w:noWrap w:val="0"/>
                  <w:vAlign w:val="center"/>
                </w:tcPr>
                <w:p>
                  <w:pPr>
                    <w:pStyle w:val="76"/>
                    <w:rPr>
                      <w:rFonts w:hint="default" w:eastAsia="宋体"/>
                      <w:color w:val="auto"/>
                      <w:sz w:val="21"/>
                      <w:szCs w:val="21"/>
                      <w:lang w:val="en-US" w:eastAsia="zh-CN"/>
                    </w:rPr>
                  </w:pPr>
                  <w:r>
                    <w:rPr>
                      <w:rFonts w:hint="eastAsia"/>
                      <w:color w:val="auto"/>
                      <w:sz w:val="21"/>
                      <w:szCs w:val="21"/>
                      <w:lang w:val="en-US" w:eastAsia="zh-CN"/>
                    </w:rPr>
                    <w:t>7</w:t>
                  </w:r>
                </w:p>
              </w:tc>
              <w:tc>
                <w:tcPr>
                  <w:tcW w:w="820" w:type="pct"/>
                  <w:noWrap w:val="0"/>
                  <w:vAlign w:val="center"/>
                </w:tcPr>
                <w:p>
                  <w:pPr>
                    <w:numPr>
                      <w:ilvl w:val="0"/>
                      <w:numId w:val="0"/>
                    </w:numPr>
                    <w:spacing w:line="240" w:lineRule="auto"/>
                    <w:ind w:left="0" w:leftChars="0" w:firstLine="0" w:firstLineChars="0"/>
                    <w:jc w:val="center"/>
                    <w:rPr>
                      <w:rFonts w:hint="eastAsia"/>
                      <w:color w:val="auto"/>
                      <w:lang w:val="en-US" w:eastAsia="zh-CN"/>
                    </w:rPr>
                  </w:pPr>
                  <w:r>
                    <w:rPr>
                      <w:rFonts w:hint="default" w:ascii="Times New Roman" w:hAnsi="Times New Roman" w:eastAsia="宋体" w:cs="Times New Roman"/>
                      <w:b w:val="0"/>
                      <w:bCs/>
                      <w:color w:val="auto"/>
                      <w:kern w:val="2"/>
                      <w:sz w:val="21"/>
                      <w:szCs w:val="21"/>
                      <w:highlight w:val="none"/>
                      <w:vertAlign w:val="baseline"/>
                      <w:lang w:val="en-US" w:eastAsia="zh-CN" w:bidi="ar-SA"/>
                    </w:rPr>
                    <w:t>废</w:t>
                  </w:r>
                  <w:r>
                    <w:rPr>
                      <w:rFonts w:hint="eastAsia" w:cs="Times New Roman"/>
                      <w:b w:val="0"/>
                      <w:bCs/>
                      <w:color w:val="auto"/>
                      <w:kern w:val="2"/>
                      <w:sz w:val="21"/>
                      <w:szCs w:val="21"/>
                      <w:highlight w:val="none"/>
                      <w:lang w:val="en-US" w:eastAsia="zh-CN" w:bidi="ar-SA"/>
                    </w:rPr>
                    <w:t>机</w:t>
                  </w:r>
                  <w:r>
                    <w:rPr>
                      <w:rFonts w:hint="default" w:ascii="Times New Roman" w:hAnsi="Times New Roman" w:eastAsia="宋体" w:cs="Times New Roman"/>
                      <w:b w:val="0"/>
                      <w:bCs/>
                      <w:color w:val="auto"/>
                      <w:kern w:val="2"/>
                      <w:sz w:val="21"/>
                      <w:szCs w:val="21"/>
                      <w:highlight w:val="none"/>
                      <w:lang w:val="en-US" w:eastAsia="zh-CN" w:bidi="ar-SA"/>
                    </w:rPr>
                    <w:t>油</w:t>
                  </w:r>
                </w:p>
              </w:tc>
              <w:tc>
                <w:tcPr>
                  <w:tcW w:w="476" w:type="pct"/>
                  <w:noWrap w:val="0"/>
                  <w:vAlign w:val="center"/>
                </w:tcPr>
                <w:p>
                  <w:pPr>
                    <w:pStyle w:val="48"/>
                    <w:keepNext w:val="0"/>
                    <w:keepLines w:val="0"/>
                    <w:pageBreakBefore w:val="0"/>
                    <w:kinsoku/>
                    <w:wordWrap/>
                    <w:overflowPunct/>
                    <w:topLinePunct w:val="0"/>
                    <w:bidi w:val="0"/>
                    <w:spacing w:beforeLines="0" w:afterLines="0" w:line="240" w:lineRule="auto"/>
                    <w:ind w:right="0" w:rightChars="0"/>
                    <w:textAlignment w:val="auto"/>
                    <w:rPr>
                      <w:rFonts w:hint="eastAsia"/>
                      <w:color w:val="auto"/>
                      <w:lang w:val="en-US" w:eastAsia="zh-CN"/>
                    </w:rPr>
                  </w:pPr>
                  <w:r>
                    <w:rPr>
                      <w:rFonts w:hint="default" w:ascii="Times New Roman" w:hAnsi="Times New Roman" w:cs="Times New Roman" w:eastAsiaTheme="minorEastAsia"/>
                      <w:color w:val="auto"/>
                      <w:sz w:val="21"/>
                      <w:szCs w:val="21"/>
                      <w:highlight w:val="none"/>
                    </w:rPr>
                    <w:t>HW08</w:t>
                  </w:r>
                </w:p>
              </w:tc>
              <w:tc>
                <w:tcPr>
                  <w:tcW w:w="806" w:type="pct"/>
                  <w:noWrap w:val="0"/>
                  <w:vAlign w:val="center"/>
                </w:tcPr>
                <w:p>
                  <w:pPr>
                    <w:pStyle w:val="48"/>
                    <w:keepNext w:val="0"/>
                    <w:keepLines w:val="0"/>
                    <w:pageBreakBefore w:val="0"/>
                    <w:kinsoku/>
                    <w:wordWrap/>
                    <w:overflowPunct/>
                    <w:topLinePunct w:val="0"/>
                    <w:bidi w:val="0"/>
                    <w:spacing w:beforeLines="0" w:afterLines="0" w:line="240" w:lineRule="auto"/>
                    <w:ind w:right="0" w:rightChars="0"/>
                    <w:textAlignment w:val="auto"/>
                    <w:rPr>
                      <w:rFonts w:hint="eastAsia"/>
                      <w:color w:val="auto"/>
                      <w:lang w:val="en-US" w:eastAsia="zh-CN"/>
                    </w:rPr>
                  </w:pPr>
                  <w:r>
                    <w:rPr>
                      <w:rFonts w:hint="default" w:ascii="Times New Roman" w:hAnsi="Times New Roman" w:cs="Times New Roman" w:eastAsiaTheme="minorEastAsia"/>
                      <w:color w:val="auto"/>
                      <w:sz w:val="21"/>
                      <w:szCs w:val="21"/>
                      <w:highlight w:val="none"/>
                    </w:rPr>
                    <w:t>900-249-08</w:t>
                  </w:r>
                </w:p>
              </w:tc>
              <w:tc>
                <w:tcPr>
                  <w:tcW w:w="640" w:type="pct"/>
                  <w:vMerge w:val="continue"/>
                  <w:noWrap w:val="0"/>
                  <w:vAlign w:val="center"/>
                </w:tcPr>
                <w:p>
                  <w:pPr>
                    <w:adjustRightInd w:val="0"/>
                    <w:snapToGrid w:val="0"/>
                    <w:jc w:val="center"/>
                    <w:rPr>
                      <w:color w:val="auto"/>
                      <w:sz w:val="21"/>
                      <w:szCs w:val="21"/>
                      <w:lang w:bidi="he-IL"/>
                    </w:rPr>
                  </w:pPr>
                </w:p>
              </w:tc>
              <w:tc>
                <w:tcPr>
                  <w:tcW w:w="548" w:type="pct"/>
                  <w:vMerge w:val="continue"/>
                  <w:noWrap w:val="0"/>
                  <w:vAlign w:val="center"/>
                </w:tcPr>
                <w:p>
                  <w:pPr>
                    <w:adjustRightInd w:val="0"/>
                    <w:snapToGrid w:val="0"/>
                    <w:jc w:val="center"/>
                    <w:rPr>
                      <w:color w:val="auto"/>
                      <w:sz w:val="21"/>
                      <w:szCs w:val="21"/>
                      <w:lang w:bidi="he-IL"/>
                    </w:rPr>
                  </w:pPr>
                </w:p>
              </w:tc>
              <w:tc>
                <w:tcPr>
                  <w:tcW w:w="503" w:type="pct"/>
                  <w:vMerge w:val="continue"/>
                  <w:noWrap w:val="0"/>
                  <w:vAlign w:val="center"/>
                </w:tcPr>
                <w:p>
                  <w:pPr>
                    <w:adjustRightInd w:val="0"/>
                    <w:snapToGrid w:val="0"/>
                    <w:jc w:val="center"/>
                    <w:rPr>
                      <w:color w:val="auto"/>
                      <w:sz w:val="21"/>
                      <w:szCs w:val="21"/>
                      <w:lang w:bidi="he-IL"/>
                    </w:rPr>
                  </w:pPr>
                </w:p>
              </w:tc>
              <w:tc>
                <w:tcPr>
                  <w:tcW w:w="470" w:type="pct"/>
                  <w:noWrap w:val="0"/>
                  <w:vAlign w:val="center"/>
                </w:tcPr>
                <w:p>
                  <w:pPr>
                    <w:adjustRightInd w:val="0"/>
                    <w:snapToGrid w:val="0"/>
                    <w:jc w:val="center"/>
                    <w:rPr>
                      <w:rFonts w:hint="default"/>
                      <w:color w:val="auto"/>
                      <w:sz w:val="21"/>
                      <w:szCs w:val="21"/>
                      <w:lang w:val="en-US" w:eastAsia="zh-CN" w:bidi="he-IL"/>
                    </w:rPr>
                  </w:pPr>
                  <w:r>
                    <w:rPr>
                      <w:rFonts w:hint="eastAsia"/>
                      <w:color w:val="auto"/>
                      <w:sz w:val="21"/>
                      <w:szCs w:val="21"/>
                      <w:lang w:val="en-US" w:eastAsia="zh-CN" w:bidi="he-IL"/>
                    </w:rPr>
                    <w:t>桶装</w:t>
                  </w:r>
                </w:p>
              </w:tc>
              <w:tc>
                <w:tcPr>
                  <w:tcW w:w="470" w:type="pct"/>
                  <w:noWrap w:val="0"/>
                  <w:vAlign w:val="center"/>
                </w:tcPr>
                <w:p>
                  <w:pPr>
                    <w:adjustRightInd w:val="0"/>
                    <w:snapToGrid w:val="0"/>
                    <w:jc w:val="center"/>
                    <w:rPr>
                      <w:rFonts w:hint="default"/>
                      <w:color w:val="auto"/>
                      <w:sz w:val="21"/>
                      <w:szCs w:val="21"/>
                      <w:lang w:val="en-US" w:eastAsia="zh-CN" w:bidi="he-IL"/>
                    </w:rPr>
                  </w:pPr>
                  <w:r>
                    <w:rPr>
                      <w:rFonts w:hint="eastAsia"/>
                      <w:color w:val="auto"/>
                      <w:sz w:val="21"/>
                      <w:szCs w:val="21"/>
                      <w:lang w:val="en-US" w:eastAsia="zh-CN" w:bidi="he-IL"/>
                    </w:rPr>
                    <w:t>1年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12" w:hRule="atLeast"/>
                <w:jc w:val="center"/>
              </w:trPr>
              <w:tc>
                <w:tcPr>
                  <w:tcW w:w="262" w:type="pct"/>
                  <w:noWrap w:val="0"/>
                  <w:vAlign w:val="center"/>
                </w:tcPr>
                <w:p>
                  <w:pPr>
                    <w:pStyle w:val="76"/>
                    <w:rPr>
                      <w:rFonts w:hint="default" w:eastAsia="宋体"/>
                      <w:color w:val="auto"/>
                      <w:sz w:val="21"/>
                      <w:szCs w:val="21"/>
                      <w:lang w:val="en-US" w:eastAsia="zh-CN"/>
                    </w:rPr>
                  </w:pPr>
                  <w:r>
                    <w:rPr>
                      <w:rFonts w:hint="eastAsia"/>
                      <w:color w:val="auto"/>
                      <w:sz w:val="21"/>
                      <w:szCs w:val="21"/>
                      <w:lang w:val="en-US" w:eastAsia="zh-CN"/>
                    </w:rPr>
                    <w:t>8</w:t>
                  </w:r>
                </w:p>
              </w:tc>
              <w:tc>
                <w:tcPr>
                  <w:tcW w:w="820" w:type="pct"/>
                  <w:noWrap w:val="0"/>
                  <w:vAlign w:val="center"/>
                </w:tcPr>
                <w:p>
                  <w:pPr>
                    <w:numPr>
                      <w:ilvl w:val="0"/>
                      <w:numId w:val="0"/>
                    </w:numPr>
                    <w:spacing w:line="240" w:lineRule="auto"/>
                    <w:ind w:left="0" w:leftChars="0" w:firstLine="0" w:firstLineChars="0"/>
                    <w:jc w:val="center"/>
                    <w:rPr>
                      <w:rFonts w:hint="eastAsia"/>
                      <w:color w:val="auto"/>
                      <w:lang w:val="en-US" w:eastAsia="zh-CN"/>
                    </w:rPr>
                  </w:pPr>
                  <w:r>
                    <w:rPr>
                      <w:rFonts w:hint="default" w:ascii="Times New Roman" w:hAnsi="Times New Roman" w:eastAsia="宋体" w:cs="Times New Roman"/>
                      <w:b w:val="0"/>
                      <w:bCs/>
                      <w:color w:val="auto"/>
                      <w:kern w:val="2"/>
                      <w:sz w:val="21"/>
                      <w:szCs w:val="21"/>
                      <w:highlight w:val="none"/>
                      <w:vertAlign w:val="baseline"/>
                      <w:lang w:val="en-US" w:eastAsia="zh-CN" w:bidi="ar-SA"/>
                    </w:rPr>
                    <w:t>废</w:t>
                  </w:r>
                  <w:r>
                    <w:rPr>
                      <w:rFonts w:hint="default" w:ascii="Times New Roman" w:hAnsi="Times New Roman" w:eastAsia="宋体" w:cs="Times New Roman"/>
                      <w:b w:val="0"/>
                      <w:bCs/>
                      <w:color w:val="auto"/>
                      <w:kern w:val="2"/>
                      <w:sz w:val="21"/>
                      <w:szCs w:val="21"/>
                      <w:highlight w:val="none"/>
                      <w:lang w:val="en-US" w:eastAsia="zh-CN" w:bidi="ar-SA"/>
                    </w:rPr>
                    <w:t>油桶</w:t>
                  </w:r>
                </w:p>
              </w:tc>
              <w:tc>
                <w:tcPr>
                  <w:tcW w:w="476" w:type="pct"/>
                  <w:noWrap w:val="0"/>
                  <w:vAlign w:val="center"/>
                </w:tcPr>
                <w:p>
                  <w:pPr>
                    <w:pStyle w:val="48"/>
                    <w:keepNext w:val="0"/>
                    <w:keepLines w:val="0"/>
                    <w:pageBreakBefore w:val="0"/>
                    <w:kinsoku/>
                    <w:wordWrap/>
                    <w:overflowPunct/>
                    <w:topLinePunct w:val="0"/>
                    <w:bidi w:val="0"/>
                    <w:spacing w:beforeLines="0" w:afterLines="0" w:line="240" w:lineRule="auto"/>
                    <w:ind w:right="0" w:rightChars="0"/>
                    <w:textAlignment w:val="auto"/>
                    <w:rPr>
                      <w:rFonts w:hint="eastAsia"/>
                      <w:color w:val="auto"/>
                      <w:lang w:val="en-US" w:eastAsia="zh-CN"/>
                    </w:rPr>
                  </w:pPr>
                  <w:r>
                    <w:rPr>
                      <w:rFonts w:hint="default" w:ascii="Times New Roman" w:hAnsi="Times New Roman" w:cs="Times New Roman" w:eastAsiaTheme="minorEastAsia"/>
                      <w:color w:val="auto"/>
                      <w:sz w:val="21"/>
                      <w:szCs w:val="21"/>
                      <w:highlight w:val="none"/>
                      <w:lang w:val="en-US" w:eastAsia="zh-CN"/>
                    </w:rPr>
                    <w:t>HW</w:t>
                  </w:r>
                  <w:r>
                    <w:rPr>
                      <w:rFonts w:hint="eastAsia" w:ascii="Times New Roman" w:cs="Times New Roman" w:eastAsiaTheme="minorEastAsia"/>
                      <w:color w:val="auto"/>
                      <w:sz w:val="21"/>
                      <w:szCs w:val="21"/>
                      <w:highlight w:val="none"/>
                      <w:lang w:val="en-US" w:eastAsia="zh-CN"/>
                    </w:rPr>
                    <w:t>08</w:t>
                  </w:r>
                </w:p>
              </w:tc>
              <w:tc>
                <w:tcPr>
                  <w:tcW w:w="806" w:type="pct"/>
                  <w:noWrap w:val="0"/>
                  <w:vAlign w:val="center"/>
                </w:tcPr>
                <w:p>
                  <w:pPr>
                    <w:pStyle w:val="48"/>
                    <w:keepNext w:val="0"/>
                    <w:keepLines w:val="0"/>
                    <w:pageBreakBefore w:val="0"/>
                    <w:kinsoku/>
                    <w:wordWrap/>
                    <w:overflowPunct/>
                    <w:topLinePunct w:val="0"/>
                    <w:bidi w:val="0"/>
                    <w:spacing w:beforeLines="0" w:afterLines="0" w:line="240" w:lineRule="auto"/>
                    <w:ind w:right="0" w:rightChars="0"/>
                    <w:textAlignment w:val="auto"/>
                    <w:rPr>
                      <w:rFonts w:hint="eastAsia"/>
                      <w:color w:val="auto"/>
                      <w:lang w:val="en-US" w:eastAsia="zh-CN"/>
                    </w:rPr>
                  </w:pPr>
                  <w:r>
                    <w:rPr>
                      <w:rFonts w:hint="default" w:ascii="Times New Roman" w:hAnsi="Times New Roman" w:cs="Times New Roman" w:eastAsiaTheme="minorEastAsia"/>
                      <w:color w:val="auto"/>
                      <w:sz w:val="21"/>
                      <w:szCs w:val="21"/>
                      <w:highlight w:val="none"/>
                      <w:lang w:val="en-US" w:eastAsia="zh-CN"/>
                    </w:rPr>
                    <w:t>900-</w:t>
                  </w:r>
                  <w:r>
                    <w:rPr>
                      <w:rFonts w:hint="eastAsia" w:ascii="Times New Roman" w:cs="Times New Roman" w:eastAsiaTheme="minorEastAsia"/>
                      <w:color w:val="auto"/>
                      <w:sz w:val="21"/>
                      <w:szCs w:val="21"/>
                      <w:highlight w:val="none"/>
                      <w:lang w:val="en-US" w:eastAsia="zh-CN"/>
                    </w:rPr>
                    <w:t>249-08</w:t>
                  </w:r>
                </w:p>
              </w:tc>
              <w:tc>
                <w:tcPr>
                  <w:tcW w:w="640" w:type="pct"/>
                  <w:vMerge w:val="continue"/>
                  <w:noWrap w:val="0"/>
                  <w:vAlign w:val="center"/>
                </w:tcPr>
                <w:p>
                  <w:pPr>
                    <w:adjustRightInd w:val="0"/>
                    <w:snapToGrid w:val="0"/>
                    <w:jc w:val="center"/>
                    <w:rPr>
                      <w:color w:val="auto"/>
                      <w:sz w:val="21"/>
                      <w:szCs w:val="21"/>
                      <w:lang w:bidi="he-IL"/>
                    </w:rPr>
                  </w:pPr>
                </w:p>
              </w:tc>
              <w:tc>
                <w:tcPr>
                  <w:tcW w:w="548" w:type="pct"/>
                  <w:vMerge w:val="continue"/>
                  <w:noWrap w:val="0"/>
                  <w:vAlign w:val="center"/>
                </w:tcPr>
                <w:p>
                  <w:pPr>
                    <w:adjustRightInd w:val="0"/>
                    <w:snapToGrid w:val="0"/>
                    <w:jc w:val="center"/>
                    <w:rPr>
                      <w:color w:val="auto"/>
                      <w:sz w:val="21"/>
                      <w:szCs w:val="21"/>
                      <w:lang w:bidi="he-IL"/>
                    </w:rPr>
                  </w:pPr>
                </w:p>
              </w:tc>
              <w:tc>
                <w:tcPr>
                  <w:tcW w:w="503" w:type="pct"/>
                  <w:vMerge w:val="continue"/>
                  <w:noWrap w:val="0"/>
                  <w:vAlign w:val="center"/>
                </w:tcPr>
                <w:p>
                  <w:pPr>
                    <w:adjustRightInd w:val="0"/>
                    <w:snapToGrid w:val="0"/>
                    <w:jc w:val="center"/>
                    <w:rPr>
                      <w:color w:val="auto"/>
                      <w:sz w:val="21"/>
                      <w:szCs w:val="21"/>
                      <w:lang w:bidi="he-IL"/>
                    </w:rPr>
                  </w:pPr>
                </w:p>
              </w:tc>
              <w:tc>
                <w:tcPr>
                  <w:tcW w:w="470" w:type="pct"/>
                  <w:noWrap w:val="0"/>
                  <w:vAlign w:val="center"/>
                </w:tcPr>
                <w:p>
                  <w:pPr>
                    <w:adjustRightInd w:val="0"/>
                    <w:snapToGrid w:val="0"/>
                    <w:jc w:val="center"/>
                    <w:rPr>
                      <w:rFonts w:hint="eastAsia"/>
                      <w:color w:val="auto"/>
                      <w:sz w:val="21"/>
                      <w:szCs w:val="21"/>
                      <w:lang w:val="en-US" w:eastAsia="zh-CN" w:bidi="he-IL"/>
                    </w:rPr>
                  </w:pPr>
                  <w:r>
                    <w:rPr>
                      <w:rFonts w:hint="eastAsia"/>
                      <w:color w:val="auto"/>
                      <w:sz w:val="21"/>
                      <w:szCs w:val="21"/>
                      <w:lang w:val="en-US" w:eastAsia="zh-CN" w:bidi="he-IL"/>
                    </w:rPr>
                    <w:t>桶装</w:t>
                  </w:r>
                </w:p>
              </w:tc>
              <w:tc>
                <w:tcPr>
                  <w:tcW w:w="470" w:type="pct"/>
                  <w:noWrap w:val="0"/>
                  <w:vAlign w:val="center"/>
                </w:tcPr>
                <w:p>
                  <w:pPr>
                    <w:adjustRightInd w:val="0"/>
                    <w:snapToGrid w:val="0"/>
                    <w:jc w:val="center"/>
                    <w:rPr>
                      <w:rFonts w:hint="default"/>
                      <w:color w:val="auto"/>
                      <w:sz w:val="21"/>
                      <w:szCs w:val="21"/>
                      <w:lang w:val="en-US" w:eastAsia="zh-CN" w:bidi="he-IL"/>
                    </w:rPr>
                  </w:pPr>
                  <w:r>
                    <w:rPr>
                      <w:rFonts w:hint="eastAsia"/>
                      <w:color w:val="auto"/>
                      <w:sz w:val="21"/>
                      <w:szCs w:val="21"/>
                      <w:lang w:val="en-US" w:eastAsia="zh-CN" w:bidi="he-IL"/>
                    </w:rPr>
                    <w:t>1年</w:t>
                  </w:r>
                </w:p>
              </w:tc>
            </w:tr>
          </w:tbl>
          <w:p>
            <w:pPr>
              <w:pStyle w:val="74"/>
              <w:ind w:left="0" w:leftChars="0" w:firstLine="422" w:firstLineChars="200"/>
              <w:rPr>
                <w:rFonts w:hint="default" w:ascii="Times New Roman" w:hAnsi="Times New Roman" w:cs="Times New Roman"/>
                <w:b/>
                <w:bCs w:val="0"/>
                <w:color w:val="auto"/>
              </w:rPr>
            </w:pPr>
            <w:r>
              <w:rPr>
                <w:rFonts w:hint="eastAsia" w:ascii="Times New Roman" w:hAnsi="Times New Roman" w:cs="Times New Roman"/>
                <w:b/>
                <w:bCs w:val="0"/>
                <w:color w:val="auto"/>
                <w:lang w:val="en-US" w:eastAsia="zh-CN"/>
              </w:rPr>
              <w:t>4.</w:t>
            </w:r>
            <w:r>
              <w:rPr>
                <w:rFonts w:hint="default" w:ascii="Times New Roman" w:hAnsi="Times New Roman" w:cs="Times New Roman"/>
                <w:b/>
                <w:bCs w:val="0"/>
                <w:color w:val="auto"/>
                <w:lang w:val="en-US" w:eastAsia="zh-CN"/>
              </w:rPr>
              <w:t>2</w:t>
            </w:r>
            <w:r>
              <w:rPr>
                <w:rFonts w:hint="eastAsia" w:ascii="Times New Roman" w:hAnsi="Times New Roman" w:cs="Times New Roman"/>
                <w:b/>
                <w:bCs w:val="0"/>
                <w:color w:val="auto"/>
                <w:lang w:val="en-US" w:eastAsia="zh-CN"/>
              </w:rPr>
              <w:t xml:space="preserve"> </w:t>
            </w:r>
            <w:r>
              <w:rPr>
                <w:rFonts w:hint="default" w:ascii="Times New Roman" w:hAnsi="Times New Roman" w:cs="Times New Roman"/>
                <w:b/>
                <w:bCs w:val="0"/>
                <w:color w:val="auto"/>
              </w:rPr>
              <w:t>固体废物处置可行性分析</w:t>
            </w:r>
          </w:p>
          <w:p>
            <w:pPr>
              <w:pStyle w:val="74"/>
              <w:ind w:firstLine="420"/>
              <w:jc w:val="both"/>
              <w:rPr>
                <w:rFonts w:hint="default" w:ascii="Times New Roman" w:hAnsi="Times New Roman" w:cs="Times New Roman"/>
                <w:b w:val="0"/>
                <w:bCs/>
                <w:color w:val="auto"/>
              </w:rPr>
            </w:pPr>
            <w:r>
              <w:rPr>
                <w:rFonts w:hint="default" w:ascii="Times New Roman" w:hAnsi="Times New Roman" w:cs="Times New Roman"/>
                <w:b w:val="0"/>
                <w:bCs/>
                <w:color w:val="auto"/>
              </w:rPr>
              <w:t>本项目</w:t>
            </w:r>
            <w:r>
              <w:rPr>
                <w:rFonts w:hint="eastAsia" w:ascii="Times New Roman" w:hAnsi="Times New Roman" w:cs="Times New Roman"/>
                <w:b w:val="0"/>
                <w:bCs/>
                <w:color w:val="auto"/>
                <w:lang w:val="en-US" w:eastAsia="zh-CN"/>
              </w:rPr>
              <w:t>于一般固废暂存间暂存的</w:t>
            </w:r>
            <w:r>
              <w:rPr>
                <w:rFonts w:hint="default" w:ascii="Times New Roman" w:hAnsi="Times New Roman" w:cs="Times New Roman"/>
                <w:b w:val="0"/>
                <w:bCs/>
                <w:color w:val="auto"/>
              </w:rPr>
              <w:t>一般固废产生量</w:t>
            </w:r>
            <w:r>
              <w:rPr>
                <w:rFonts w:hint="eastAsia" w:ascii="Times New Roman" w:hAnsi="Times New Roman" w:cs="Times New Roman"/>
                <w:b w:val="0"/>
                <w:bCs/>
                <w:color w:val="auto"/>
                <w:lang w:val="en-US" w:eastAsia="zh-CN"/>
              </w:rPr>
              <w:t>约</w:t>
            </w:r>
            <w:r>
              <w:rPr>
                <w:rFonts w:hint="default" w:ascii="Times New Roman" w:hAnsi="Times New Roman" w:cs="Times New Roman"/>
                <w:b w:val="0"/>
                <w:bCs/>
                <w:color w:val="auto"/>
              </w:rPr>
              <w:t>为</w:t>
            </w:r>
            <w:r>
              <w:rPr>
                <w:rFonts w:hint="eastAsia" w:ascii="Times New Roman" w:hAnsi="Times New Roman" w:cs="Times New Roman"/>
                <w:b w:val="0"/>
                <w:bCs/>
                <w:color w:val="auto"/>
                <w:lang w:val="en-US" w:eastAsia="zh-CN"/>
              </w:rPr>
              <w:t>11.97t</w:t>
            </w:r>
            <w:r>
              <w:rPr>
                <w:rFonts w:hint="default" w:ascii="Times New Roman" w:hAnsi="Times New Roman" w:cs="Times New Roman"/>
                <w:b w:val="0"/>
                <w:bCs/>
                <w:color w:val="auto"/>
              </w:rPr>
              <w:t>/a</w:t>
            </w:r>
            <w:r>
              <w:rPr>
                <w:rFonts w:hint="default" w:ascii="Times New Roman" w:hAnsi="Times New Roman" w:cs="Times New Roman"/>
                <w:b w:val="0"/>
                <w:bCs/>
                <w:color w:val="auto"/>
                <w:lang w:eastAsia="zh-CN"/>
              </w:rPr>
              <w:t>，</w:t>
            </w:r>
            <w:r>
              <w:rPr>
                <w:rFonts w:hint="eastAsia" w:ascii="Times New Roman" w:hAnsi="Times New Roman" w:cs="Times New Roman"/>
                <w:b w:val="0"/>
                <w:bCs/>
                <w:color w:val="auto"/>
                <w:lang w:val="en-US" w:eastAsia="zh-CN"/>
              </w:rPr>
              <w:t>各固废同时最大贮存量为4.82</w:t>
            </w:r>
            <w:r>
              <w:rPr>
                <w:rFonts w:hint="default" w:ascii="Times New Roman" w:hAnsi="Times New Roman" w:cs="Times New Roman"/>
                <w:b w:val="0"/>
                <w:bCs/>
                <w:color w:val="auto"/>
              </w:rPr>
              <w:t>t</w:t>
            </w:r>
            <w:r>
              <w:rPr>
                <w:rFonts w:hint="eastAsia" w:ascii="Times New Roman" w:hAnsi="Times New Roman" w:cs="Times New Roman"/>
                <w:b w:val="0"/>
                <w:bCs/>
                <w:color w:val="auto"/>
                <w:lang w:eastAsia="zh-CN"/>
              </w:rPr>
              <w:t>，</w:t>
            </w:r>
            <w:r>
              <w:rPr>
                <w:rFonts w:hint="eastAsia" w:ascii="Times New Roman" w:hAnsi="Times New Roman" w:cs="Times New Roman"/>
                <w:b w:val="0"/>
                <w:bCs/>
                <w:color w:val="auto"/>
                <w:lang w:val="en-US" w:eastAsia="zh-CN"/>
              </w:rPr>
              <w:t>厂区设置</w:t>
            </w:r>
            <w:r>
              <w:rPr>
                <w:rFonts w:hint="default" w:ascii="Times New Roman" w:hAnsi="Times New Roman" w:cs="Times New Roman"/>
                <w:b w:val="0"/>
                <w:bCs/>
                <w:color w:val="auto"/>
              </w:rPr>
              <w:t>一般固废</w:t>
            </w:r>
            <w:r>
              <w:rPr>
                <w:rFonts w:hint="default" w:ascii="Times New Roman" w:hAnsi="Times New Roman" w:cs="Times New Roman"/>
                <w:b w:val="0"/>
                <w:bCs/>
                <w:color w:val="auto"/>
                <w:lang w:val="en-US" w:eastAsia="zh-CN"/>
              </w:rPr>
              <w:t>暂存间</w:t>
            </w:r>
            <w:r>
              <w:rPr>
                <w:rFonts w:hint="default" w:ascii="Times New Roman" w:hAnsi="Times New Roman" w:cs="Times New Roman"/>
                <w:b w:val="0"/>
                <w:bCs/>
                <w:color w:val="auto"/>
              </w:rPr>
              <w:t>为</w:t>
            </w:r>
            <w:r>
              <w:rPr>
                <w:rFonts w:hint="eastAsia" w:ascii="Times New Roman" w:hAnsi="Times New Roman" w:cs="Times New Roman"/>
                <w:b w:val="0"/>
                <w:bCs/>
                <w:color w:val="auto"/>
                <w:lang w:val="en-US" w:eastAsia="zh-CN"/>
              </w:rPr>
              <w:t>20</w:t>
            </w:r>
            <w:r>
              <w:rPr>
                <w:rFonts w:hint="default" w:ascii="Times New Roman" w:hAnsi="Times New Roman" w:cs="Times New Roman"/>
                <w:b w:val="0"/>
                <w:bCs/>
                <w:color w:val="auto"/>
              </w:rPr>
              <w:t>m</w:t>
            </w:r>
            <w:r>
              <w:rPr>
                <w:rFonts w:hint="default" w:ascii="Times New Roman" w:hAnsi="Times New Roman" w:cs="Times New Roman"/>
                <w:b w:val="0"/>
                <w:bCs/>
                <w:color w:val="auto"/>
                <w:vertAlign w:val="superscript"/>
              </w:rPr>
              <w:t>2</w:t>
            </w:r>
            <w:r>
              <w:rPr>
                <w:rFonts w:hint="default" w:ascii="Times New Roman" w:hAnsi="Times New Roman" w:cs="Times New Roman"/>
                <w:b w:val="0"/>
                <w:bCs/>
                <w:color w:val="auto"/>
              </w:rPr>
              <w:t>，最大储存能力为</w:t>
            </w:r>
            <w:r>
              <w:rPr>
                <w:rFonts w:hint="eastAsia" w:ascii="Times New Roman" w:hAnsi="Times New Roman" w:cs="Times New Roman"/>
                <w:b w:val="0"/>
                <w:bCs/>
                <w:color w:val="auto"/>
                <w:lang w:val="en-US" w:eastAsia="zh-CN"/>
              </w:rPr>
              <w:t>10</w:t>
            </w:r>
            <w:r>
              <w:rPr>
                <w:rFonts w:hint="default" w:ascii="Times New Roman" w:hAnsi="Times New Roman" w:cs="Times New Roman"/>
                <w:b w:val="0"/>
                <w:bCs/>
                <w:color w:val="auto"/>
              </w:rPr>
              <w:t>t，满足</w:t>
            </w:r>
            <w:r>
              <w:rPr>
                <w:rFonts w:hint="eastAsia" w:ascii="Times New Roman" w:hAnsi="Times New Roman" w:cs="Times New Roman"/>
                <w:b w:val="0"/>
                <w:bCs/>
                <w:color w:val="auto"/>
                <w:lang w:val="en-US" w:eastAsia="zh-CN"/>
              </w:rPr>
              <w:t>厂区一般</w:t>
            </w:r>
            <w:r>
              <w:rPr>
                <w:rFonts w:hint="default" w:ascii="Times New Roman" w:hAnsi="Times New Roman" w:cs="Times New Roman"/>
                <w:b w:val="0"/>
                <w:bCs/>
                <w:color w:val="auto"/>
              </w:rPr>
              <w:t>固废</w:t>
            </w:r>
            <w:r>
              <w:rPr>
                <w:rFonts w:hint="default" w:ascii="Times New Roman" w:hAnsi="Times New Roman" w:cs="Times New Roman"/>
                <w:b w:val="0"/>
                <w:bCs/>
                <w:color w:val="auto"/>
                <w:lang w:val="en-US" w:eastAsia="zh-CN"/>
              </w:rPr>
              <w:t>贮存</w:t>
            </w:r>
            <w:r>
              <w:rPr>
                <w:rFonts w:hint="default" w:ascii="Times New Roman" w:hAnsi="Times New Roman" w:cs="Times New Roman"/>
                <w:b w:val="0"/>
                <w:bCs/>
                <w:color w:val="auto"/>
              </w:rPr>
              <w:t>需要</w:t>
            </w:r>
            <w:r>
              <w:rPr>
                <w:rFonts w:hint="eastAsia" w:ascii="Times New Roman" w:hAnsi="Times New Roman" w:cs="Times New Roman"/>
                <w:b w:val="0"/>
                <w:bCs/>
                <w:color w:val="auto"/>
                <w:lang w:eastAsia="zh-CN"/>
              </w:rPr>
              <w:t>，</w:t>
            </w:r>
            <w:r>
              <w:rPr>
                <w:rFonts w:hint="eastAsia" w:ascii="Times New Roman" w:hAnsi="Times New Roman" w:cs="Times New Roman"/>
                <w:b w:val="0"/>
                <w:bCs/>
                <w:color w:val="auto"/>
                <w:lang w:val="en-US" w:eastAsia="zh-CN"/>
              </w:rPr>
              <w:t>因此本项目建设的一般固废暂存间可行；本项目坏果及果渣收集后密封贮存于专用贮存点，日产日清，每日最大贮存量为3.5t，当出现特殊情况不能及时清运时，最长贮存时间不超过3天，则坏果及果渣最大可能贮存量不超过10.5t，本项目厂区设置专用贮存点为30</w:t>
            </w:r>
            <w:r>
              <w:rPr>
                <w:rFonts w:hint="default" w:ascii="Times New Roman" w:hAnsi="Times New Roman" w:cs="Times New Roman"/>
                <w:b w:val="0"/>
                <w:bCs/>
                <w:color w:val="auto"/>
              </w:rPr>
              <w:t>m</w:t>
            </w:r>
            <w:r>
              <w:rPr>
                <w:rFonts w:hint="default" w:ascii="Times New Roman" w:hAnsi="Times New Roman" w:cs="Times New Roman"/>
                <w:b w:val="0"/>
                <w:bCs/>
                <w:color w:val="auto"/>
                <w:vertAlign w:val="superscript"/>
              </w:rPr>
              <w:t>2</w:t>
            </w:r>
            <w:r>
              <w:rPr>
                <w:rFonts w:hint="default" w:ascii="Times New Roman" w:hAnsi="Times New Roman" w:cs="Times New Roman"/>
                <w:b w:val="0"/>
                <w:bCs/>
                <w:color w:val="auto"/>
              </w:rPr>
              <w:t>，最大储存能力为</w:t>
            </w:r>
            <w:r>
              <w:rPr>
                <w:rFonts w:hint="eastAsia" w:ascii="Times New Roman" w:hAnsi="Times New Roman" w:cs="Times New Roman"/>
                <w:b w:val="0"/>
                <w:bCs/>
                <w:color w:val="auto"/>
                <w:lang w:val="en-US" w:eastAsia="zh-CN"/>
              </w:rPr>
              <w:t>15</w:t>
            </w:r>
            <w:r>
              <w:rPr>
                <w:rFonts w:hint="default" w:ascii="Times New Roman" w:hAnsi="Times New Roman" w:cs="Times New Roman"/>
                <w:b w:val="0"/>
                <w:bCs/>
                <w:color w:val="auto"/>
              </w:rPr>
              <w:t>t</w:t>
            </w:r>
            <w:r>
              <w:rPr>
                <w:rFonts w:hint="eastAsia" w:ascii="Times New Roman" w:hAnsi="Times New Roman" w:cs="Times New Roman"/>
                <w:b w:val="0"/>
                <w:bCs/>
                <w:color w:val="auto"/>
                <w:lang w:eastAsia="zh-CN"/>
              </w:rPr>
              <w:t>，</w:t>
            </w:r>
            <w:r>
              <w:rPr>
                <w:rFonts w:hint="eastAsia" w:ascii="Times New Roman" w:hAnsi="Times New Roman" w:cs="Times New Roman"/>
                <w:b w:val="0"/>
                <w:bCs/>
                <w:color w:val="auto"/>
                <w:lang w:val="en-US" w:eastAsia="zh-CN"/>
              </w:rPr>
              <w:t>满足生产产生的坏果及果渣最大暂存需求，因此本项目建设的专用贮存点可行；本项目危险废物产生量为12.9t/a，各危废同时最大贮存量为6.48t，厂区设置危废贮存点为20</w:t>
            </w:r>
            <w:r>
              <w:rPr>
                <w:rFonts w:hint="default" w:ascii="Times New Roman" w:hAnsi="Times New Roman" w:cs="Times New Roman"/>
                <w:b w:val="0"/>
                <w:bCs/>
                <w:color w:val="auto"/>
              </w:rPr>
              <w:t>m</w:t>
            </w:r>
            <w:r>
              <w:rPr>
                <w:rFonts w:hint="default" w:ascii="Times New Roman" w:hAnsi="Times New Roman" w:cs="Times New Roman"/>
                <w:b w:val="0"/>
                <w:bCs/>
                <w:color w:val="auto"/>
                <w:vertAlign w:val="superscript"/>
              </w:rPr>
              <w:t>2</w:t>
            </w:r>
            <w:r>
              <w:rPr>
                <w:rFonts w:hint="default" w:ascii="Times New Roman" w:hAnsi="Times New Roman" w:cs="Times New Roman"/>
                <w:b w:val="0"/>
                <w:bCs/>
                <w:color w:val="auto"/>
              </w:rPr>
              <w:t>，最大储存能力为</w:t>
            </w:r>
            <w:r>
              <w:rPr>
                <w:rFonts w:hint="eastAsia" w:ascii="Times New Roman" w:hAnsi="Times New Roman" w:cs="Times New Roman"/>
                <w:b w:val="0"/>
                <w:bCs/>
                <w:color w:val="auto"/>
                <w:lang w:val="en-US" w:eastAsia="zh-CN"/>
              </w:rPr>
              <w:t>10</w:t>
            </w:r>
            <w:r>
              <w:rPr>
                <w:rFonts w:hint="default" w:ascii="Times New Roman" w:hAnsi="Times New Roman" w:cs="Times New Roman"/>
                <w:b w:val="0"/>
                <w:bCs/>
                <w:color w:val="auto"/>
              </w:rPr>
              <w:t>t，满足</w:t>
            </w:r>
            <w:r>
              <w:rPr>
                <w:rFonts w:hint="eastAsia" w:ascii="Times New Roman" w:hAnsi="Times New Roman" w:cs="Times New Roman"/>
                <w:b w:val="0"/>
                <w:bCs/>
                <w:color w:val="auto"/>
                <w:lang w:val="en-US" w:eastAsia="zh-CN"/>
              </w:rPr>
              <w:t>厂区危废</w:t>
            </w:r>
            <w:r>
              <w:rPr>
                <w:rFonts w:hint="default" w:ascii="Times New Roman" w:hAnsi="Times New Roman" w:cs="Times New Roman"/>
                <w:b w:val="0"/>
                <w:bCs/>
                <w:color w:val="auto"/>
                <w:lang w:val="en-US" w:eastAsia="zh-CN"/>
              </w:rPr>
              <w:t>贮存</w:t>
            </w:r>
            <w:r>
              <w:rPr>
                <w:rFonts w:hint="default" w:ascii="Times New Roman" w:hAnsi="Times New Roman" w:cs="Times New Roman"/>
                <w:b w:val="0"/>
                <w:bCs/>
                <w:color w:val="auto"/>
              </w:rPr>
              <w:t>需要</w:t>
            </w:r>
            <w:r>
              <w:rPr>
                <w:rFonts w:hint="eastAsia" w:ascii="Times New Roman" w:hAnsi="Times New Roman" w:cs="Times New Roman"/>
                <w:b w:val="0"/>
                <w:bCs/>
                <w:color w:val="auto"/>
                <w:lang w:eastAsia="zh-CN"/>
              </w:rPr>
              <w:t>，</w:t>
            </w:r>
            <w:r>
              <w:rPr>
                <w:rFonts w:hint="eastAsia" w:ascii="Times New Roman" w:hAnsi="Times New Roman" w:cs="Times New Roman"/>
                <w:b w:val="0"/>
                <w:bCs/>
                <w:color w:val="auto"/>
                <w:lang w:val="en-US" w:eastAsia="zh-CN"/>
              </w:rPr>
              <w:t>因此本项目建设的危废贮存点可行</w:t>
            </w:r>
            <w:r>
              <w:rPr>
                <w:rFonts w:hint="default" w:ascii="Times New Roman" w:hAnsi="Times New Roman" w:cs="Times New Roman"/>
                <w:b w:val="0"/>
                <w:bCs/>
                <w:color w:val="auto"/>
              </w:rPr>
              <w:t>。</w:t>
            </w:r>
          </w:p>
          <w:p>
            <w:pPr>
              <w:pStyle w:val="73"/>
              <w:jc w:val="both"/>
              <w:rPr>
                <w:b/>
                <w:bCs/>
                <w:color w:val="auto"/>
              </w:rPr>
            </w:pPr>
            <w:r>
              <w:rPr>
                <w:rFonts w:hint="eastAsia"/>
                <w:b/>
                <w:bCs/>
                <w:color w:val="auto"/>
                <w:lang w:val="en-US" w:eastAsia="zh-CN"/>
              </w:rPr>
              <w:t xml:space="preserve">4.3 </w:t>
            </w:r>
            <w:r>
              <w:rPr>
                <w:b/>
                <w:bCs/>
                <w:color w:val="auto"/>
              </w:rPr>
              <w:t>环境管理要求</w:t>
            </w:r>
          </w:p>
          <w:p>
            <w:pPr>
              <w:pStyle w:val="73"/>
              <w:jc w:val="both"/>
              <w:rPr>
                <w:rFonts w:hint="default" w:eastAsia="宋体"/>
                <w:b/>
                <w:bCs/>
                <w:color w:val="auto"/>
                <w:lang w:val="en-US" w:eastAsia="zh-CN"/>
              </w:rPr>
            </w:pPr>
            <w:r>
              <w:rPr>
                <w:rFonts w:hint="eastAsia"/>
                <w:b/>
                <w:bCs/>
                <w:color w:val="auto"/>
                <w:lang w:eastAsia="zh-CN"/>
              </w:rPr>
              <w:t>（</w:t>
            </w:r>
            <w:r>
              <w:rPr>
                <w:rFonts w:hint="eastAsia"/>
                <w:b/>
                <w:bCs/>
                <w:color w:val="auto"/>
                <w:lang w:val="en-US" w:eastAsia="zh-CN"/>
              </w:rPr>
              <w:t>1</w:t>
            </w:r>
            <w:r>
              <w:rPr>
                <w:rFonts w:hint="eastAsia"/>
                <w:b/>
                <w:bCs/>
                <w:color w:val="auto"/>
                <w:lang w:eastAsia="zh-CN"/>
              </w:rPr>
              <w:t>）</w:t>
            </w:r>
            <w:r>
              <w:rPr>
                <w:rFonts w:hint="eastAsia"/>
                <w:b/>
                <w:bCs/>
                <w:color w:val="auto"/>
                <w:lang w:val="en-US" w:eastAsia="zh-CN"/>
              </w:rPr>
              <w:t>一般工业固废</w:t>
            </w:r>
          </w:p>
          <w:p>
            <w:pPr>
              <w:pStyle w:val="73"/>
              <w:jc w:val="both"/>
              <w:rPr>
                <w:rFonts w:hint="eastAsia"/>
                <w:color w:val="auto"/>
              </w:rPr>
            </w:pPr>
            <w:r>
              <w:rPr>
                <w:rFonts w:hint="eastAsia"/>
                <w:color w:val="auto"/>
              </w:rPr>
              <w:t>根据《一般工业固体废物贮存和填埋污染控制标准》（GB18599-2020）“采用库房、包装工具（罐、桶、包装袋等）贮存一般工业固体废物过程的污染控制，不适用本标准，其贮存过程应满足相应防渗漏、防雨淋、防扬尘等环境保护要求”。本项目一般工业固体废物贮存在</w:t>
            </w:r>
            <w:r>
              <w:rPr>
                <w:rFonts w:hint="eastAsia"/>
                <w:color w:val="auto"/>
                <w:lang w:val="en-US" w:eastAsia="zh-CN"/>
              </w:rPr>
              <w:t>单独设</w:t>
            </w:r>
            <w:r>
              <w:rPr>
                <w:rFonts w:hint="eastAsia"/>
                <w:color w:val="auto"/>
              </w:rPr>
              <w:t>置的一般固废</w:t>
            </w:r>
            <w:r>
              <w:rPr>
                <w:rFonts w:hint="eastAsia"/>
                <w:color w:val="auto"/>
                <w:lang w:val="en-US" w:eastAsia="zh-CN"/>
              </w:rPr>
              <w:t>暂存间及专用暂存点</w:t>
            </w:r>
            <w:r>
              <w:rPr>
                <w:rFonts w:hint="eastAsia"/>
                <w:color w:val="auto"/>
              </w:rPr>
              <w:t>内，属于采用库房贮存一般工业固体废物</w:t>
            </w:r>
            <w:r>
              <w:rPr>
                <w:rFonts w:hint="eastAsia"/>
                <w:color w:val="auto"/>
                <w:lang w:val="en-US" w:eastAsia="zh-CN"/>
              </w:rPr>
              <w:t>情况</w:t>
            </w:r>
            <w:r>
              <w:rPr>
                <w:rFonts w:hint="eastAsia"/>
                <w:color w:val="auto"/>
              </w:rPr>
              <w:t>，不适用《一般工业固体废物贮存和填埋污染控制标准》（GB18599-2020），但本项目一般固废贮存应满足相应防渗漏、防雨淋、防扬尘等环境保护要求。</w:t>
            </w:r>
          </w:p>
          <w:p>
            <w:pPr>
              <w:pStyle w:val="73"/>
              <w:jc w:val="both"/>
              <w:rPr>
                <w:rFonts w:hint="eastAsia"/>
                <w:color w:val="auto"/>
              </w:rPr>
            </w:pPr>
            <w:r>
              <w:rPr>
                <w:rFonts w:hint="eastAsia"/>
                <w:color w:val="auto"/>
              </w:rPr>
              <w:t>本项目</w:t>
            </w:r>
            <w:r>
              <w:rPr>
                <w:rFonts w:hint="eastAsia"/>
                <w:color w:val="auto"/>
                <w:lang w:eastAsia="zh-CN"/>
              </w:rPr>
              <w:t>一般固废暂存</w:t>
            </w:r>
            <w:r>
              <w:rPr>
                <w:rFonts w:hint="eastAsia"/>
                <w:color w:val="auto"/>
                <w:lang w:val="en-US" w:eastAsia="zh-CN"/>
              </w:rPr>
              <w:t>间设置于生产车间内，专用贮存点单独设置，均</w:t>
            </w:r>
            <w:r>
              <w:rPr>
                <w:rFonts w:hint="eastAsia"/>
                <w:color w:val="auto"/>
              </w:rPr>
              <w:t>做好地面防渗措施，可防雨淋、防渗漏，</w:t>
            </w:r>
            <w:r>
              <w:rPr>
                <w:rFonts w:hint="eastAsia"/>
                <w:color w:val="auto"/>
                <w:lang w:val="en-US" w:eastAsia="zh-CN"/>
              </w:rPr>
              <w:t>本</w:t>
            </w:r>
            <w:r>
              <w:rPr>
                <w:rFonts w:hint="eastAsia"/>
                <w:color w:val="auto"/>
              </w:rPr>
              <w:t>项目</w:t>
            </w:r>
            <w:r>
              <w:rPr>
                <w:rFonts w:hint="eastAsia"/>
                <w:color w:val="auto"/>
                <w:lang w:val="en-US" w:eastAsia="zh-CN"/>
              </w:rPr>
              <w:t>在厂内贮存的</w:t>
            </w:r>
            <w:r>
              <w:rPr>
                <w:rFonts w:hint="eastAsia"/>
                <w:color w:val="auto"/>
              </w:rPr>
              <w:t>一般工业固体废物主要有</w:t>
            </w:r>
            <w:r>
              <w:rPr>
                <w:rFonts w:hint="eastAsia"/>
                <w:color w:val="auto"/>
                <w:lang w:val="en-US" w:eastAsia="zh-CN"/>
              </w:rPr>
              <w:t>废包装材料、废过滤材料、废塑封膜边角料、污水站污泥、坏果及果渣</w:t>
            </w:r>
            <w:r>
              <w:rPr>
                <w:rFonts w:hint="eastAsia"/>
                <w:color w:val="auto"/>
              </w:rPr>
              <w:t>，</w:t>
            </w:r>
            <w:r>
              <w:rPr>
                <w:rFonts w:hint="eastAsia"/>
                <w:color w:val="auto"/>
                <w:lang w:val="en-US" w:eastAsia="zh-CN"/>
              </w:rPr>
              <w:t>采用袋装、箱装或堆存方式储存，</w:t>
            </w:r>
            <w:r>
              <w:rPr>
                <w:rFonts w:hint="eastAsia"/>
                <w:color w:val="auto"/>
              </w:rPr>
              <w:t>无扬尘产生。同时，在门口设置明显标识，安排专人看管并建立一般工业固废管理台账，满足环境保护要求。</w:t>
            </w:r>
          </w:p>
          <w:p>
            <w:pPr>
              <w:pStyle w:val="73"/>
              <w:jc w:val="both"/>
              <w:rPr>
                <w:rFonts w:hint="eastAsia"/>
                <w:color w:val="auto"/>
              </w:rPr>
            </w:pPr>
            <w:r>
              <w:rPr>
                <w:rFonts w:hint="eastAsia"/>
                <w:color w:val="auto"/>
              </w:rPr>
              <w:t>项目生产过程中产生的一般工业固体申报管理应认真落实《中华人民共和国固体废物污染环境防治法》第三十九条：国家实行工业固体废物申报登记制度。产生工业固体废物的单位必须按照国务院环境保护行政主管部门的规定，向所在地县级以上人民政府环境保护行政主管部门提供工业固体废物的种类、产生量、流向、贮存、处置等有关资料。</w:t>
            </w:r>
          </w:p>
          <w:p>
            <w:pPr>
              <w:pStyle w:val="73"/>
              <w:jc w:val="both"/>
              <w:rPr>
                <w:rFonts w:hint="eastAsia"/>
                <w:color w:val="auto"/>
              </w:rPr>
            </w:pPr>
            <w:r>
              <w:rPr>
                <w:rFonts w:hint="eastAsia"/>
                <w:color w:val="auto"/>
              </w:rPr>
              <w:t>一般工业固体废物产生单位必须如实申报正常作业条件下工业固体废物的种类、产生量、流向、贮存、利用、处置状况等有关资料，以及执行有关法律、法规的真实情况，不得隐瞒不报或者虚报、谎报。一般工业固体废物产生单位应按要求在网上申报登记上一年度的信息，通过省固体废物管理信息平台依法申报固体废物的种类、产生量、流向、交接、贮存、利用、处置情况。申报企业要签署承诺书，依法向县级环保部门申报登记信息，确保申报数据的真实性、准确性和完整性。</w:t>
            </w:r>
          </w:p>
          <w:p>
            <w:pPr>
              <w:pStyle w:val="73"/>
              <w:jc w:val="both"/>
              <w:rPr>
                <w:rFonts w:hint="eastAsia"/>
                <w:color w:val="auto"/>
              </w:rPr>
            </w:pPr>
            <w:r>
              <w:rPr>
                <w:rFonts w:hint="eastAsia"/>
                <w:color w:val="auto"/>
              </w:rPr>
              <w:t>一般工业固体废物的贮存设施、场所必须采取防扬散、防流失、防渗漏或者其他防止污染环境的措施，必须符合国家环境保护标准，并对未处理的固体废物做出妥善处理，安全存放。对暂时不利用或者不能回收利用的一般工业固体废物，必须配套建设防雨淋、防渗漏、易识别等符合环境保护标准和管理要求的贮存设施或场所，以及足够的流转空间，按照国家环境保护的技术和管理要求，有专人看管，建立便于核查的进、出物料的台账记录和固体废物明细表。</w:t>
            </w:r>
          </w:p>
          <w:p>
            <w:pPr>
              <w:pStyle w:val="73"/>
              <w:jc w:val="both"/>
              <w:rPr>
                <w:rFonts w:hint="eastAsia"/>
                <w:color w:val="auto"/>
              </w:rPr>
            </w:pPr>
            <w:r>
              <w:rPr>
                <w:rFonts w:hint="eastAsia"/>
                <w:color w:val="auto"/>
              </w:rPr>
              <w:t>根据《中华人民共和国固体废物污染环境防治法》（2020年修订）规定如下：</w:t>
            </w:r>
          </w:p>
          <w:p>
            <w:pPr>
              <w:pStyle w:val="73"/>
              <w:jc w:val="both"/>
              <w:rPr>
                <w:rFonts w:hint="eastAsia"/>
                <w:color w:val="auto"/>
              </w:rPr>
            </w:pPr>
            <w:r>
              <w:rPr>
                <w:rFonts w:hint="eastAsia"/>
                <w:color w:val="auto"/>
              </w:rPr>
              <w:t>①转移固体废物出省、自治区、直辖市行政区域贮存、处置的，应当向固体废物转移出地的省、自治区、直辖市人民政府生态环境主管部门提出申请。移出地的省、直辖市人民政府生态环境主管部门同意后，在规定期限内批准转移该固体废物出省、自治区、直辖市行政区域。未经批准的，不得转移。转移固体废物出省、自治区、直辖市行政区域利用的，应当报固体废物移出地的省、自治区、直辖市人民政府生态环境主管部门备案。移出地的省、直辖市人民政府生态环境主管部门应当将备案信息通报接受地的省、自治区、直辖市人民政府环境主管部门。</w:t>
            </w:r>
          </w:p>
          <w:p>
            <w:pPr>
              <w:pStyle w:val="73"/>
              <w:jc w:val="both"/>
              <w:rPr>
                <w:rFonts w:hint="eastAsia"/>
                <w:color w:val="auto"/>
              </w:rPr>
            </w:pPr>
            <w:r>
              <w:rPr>
                <w:rFonts w:hint="eastAsia"/>
                <w:color w:val="auto"/>
              </w:rPr>
              <w:t>②产生工业固体废物的单位应当建立健全工业固体废物产生、收集、贮存、运输、利用、处置全过程的污染环境防治责任制度，建立工业固体废物管理台账，如实记录产生工业固体废物的种类、数量、流向、贮存、利用、处置等信息、实现工业固废废物可追溯、可查询，并采取防治工业固体废物污染环境的措施。</w:t>
            </w:r>
          </w:p>
          <w:p>
            <w:pPr>
              <w:pStyle w:val="73"/>
              <w:jc w:val="both"/>
              <w:rPr>
                <w:rFonts w:hint="eastAsia" w:eastAsia="宋体"/>
                <w:color w:val="auto"/>
                <w:lang w:eastAsia="zh-CN"/>
              </w:rPr>
            </w:pPr>
            <w:r>
              <w:rPr>
                <w:rFonts w:hint="eastAsia"/>
                <w:color w:val="auto"/>
              </w:rPr>
              <w:t>③产生工业固</w:t>
            </w:r>
            <w:r>
              <w:rPr>
                <w:rFonts w:hint="eastAsia"/>
                <w:color w:val="auto"/>
                <w:lang w:val="en-US" w:eastAsia="zh-CN"/>
              </w:rPr>
              <w:t>体</w:t>
            </w:r>
            <w:r>
              <w:rPr>
                <w:rFonts w:hint="eastAsia"/>
                <w:color w:val="auto"/>
              </w:rPr>
              <w:t>废物的单位委托他人运输、利用、处置工业固体废物的，应当对受托方的主体资格和技术能力进行核实，依法签订书面合同，在合同中约定污染防治要求</w:t>
            </w:r>
            <w:r>
              <w:rPr>
                <w:rFonts w:hint="eastAsia"/>
                <w:color w:val="auto"/>
                <w:lang w:eastAsia="zh-CN"/>
              </w:rPr>
              <w:t>。</w:t>
            </w:r>
          </w:p>
          <w:p>
            <w:pPr>
              <w:pStyle w:val="73"/>
              <w:jc w:val="both"/>
              <w:rPr>
                <w:rFonts w:hint="eastAsia"/>
                <w:color w:val="auto"/>
              </w:rPr>
            </w:pPr>
            <w:r>
              <w:rPr>
                <w:rFonts w:hint="eastAsia"/>
                <w:color w:val="auto"/>
                <w:lang w:val="en-US" w:eastAsia="zh-CN"/>
              </w:rPr>
              <w:t>④产生工业固体废物的单位应当根据要求取得排污许可证。</w:t>
            </w:r>
          </w:p>
          <w:p>
            <w:pPr>
              <w:pStyle w:val="73"/>
              <w:rPr>
                <w:rFonts w:hint="eastAsia" w:eastAsia="宋体"/>
                <w:color w:val="auto"/>
                <w:lang w:val="en-US" w:eastAsia="zh-CN"/>
              </w:rPr>
            </w:pPr>
            <w:r>
              <w:rPr>
                <w:rFonts w:hint="eastAsia"/>
                <w:color w:val="auto"/>
                <w:lang w:val="en-US" w:eastAsia="zh-CN"/>
              </w:rPr>
              <w:t>（2）危险废物</w:t>
            </w:r>
          </w:p>
          <w:p>
            <w:pPr>
              <w:pStyle w:val="73"/>
              <w:rPr>
                <w:color w:val="auto"/>
              </w:rPr>
            </w:pPr>
            <w:r>
              <w:rPr>
                <w:rFonts w:hint="eastAsia"/>
                <w:color w:val="auto"/>
                <w:lang w:val="en-US" w:eastAsia="zh-CN"/>
              </w:rPr>
              <w:t>项目产生的危险废物主要为废气处理废活性炭、废机油及废油桶，均收集后交有危险废物处理资质的单位处理</w:t>
            </w:r>
            <w:r>
              <w:rPr>
                <w:rFonts w:hint="eastAsia" w:ascii="Times New Roman" w:hAnsi="Times New Roman" w:eastAsia="宋体" w:cs="Times New Roman"/>
                <w:color w:val="auto"/>
                <w:kern w:val="0"/>
                <w:sz w:val="21"/>
                <w:szCs w:val="21"/>
                <w:lang w:val="en-US" w:eastAsia="zh-CN" w:bidi="ar-SA"/>
              </w:rPr>
              <w:t>。</w:t>
            </w:r>
            <w:r>
              <w:rPr>
                <w:rFonts w:hint="eastAsia"/>
                <w:color w:val="auto"/>
                <w:lang w:val="en-US" w:eastAsia="zh-CN"/>
              </w:rPr>
              <w:t>本评价按照《建设项目危险废物环境影响评价指南》等规范对危险废物环境影响进行分析。</w:t>
            </w:r>
          </w:p>
          <w:p>
            <w:pPr>
              <w:pStyle w:val="73"/>
              <w:rPr>
                <w:rFonts w:hint="eastAsia"/>
                <w:color w:val="auto"/>
                <w:lang w:val="en-US" w:eastAsia="zh-CN"/>
              </w:rPr>
            </w:pPr>
            <w:r>
              <w:rPr>
                <w:rFonts w:hint="eastAsia"/>
                <w:color w:val="auto"/>
                <w:lang w:val="en-US" w:eastAsia="zh-CN"/>
              </w:rPr>
              <w:t>建设单位根据废物特性设置符合《危险废物贮存污染控制标准》（</w:t>
            </w:r>
            <w:r>
              <w:rPr>
                <w:rFonts w:hint="default"/>
                <w:color w:val="auto"/>
                <w:lang w:val="en-US" w:eastAsia="zh-CN"/>
              </w:rPr>
              <w:t>GB18597-2023</w:t>
            </w:r>
            <w:r>
              <w:rPr>
                <w:rFonts w:hint="eastAsia"/>
                <w:color w:val="auto"/>
                <w:lang w:val="en-US" w:eastAsia="zh-CN"/>
              </w:rPr>
              <w:t>）要求的危险废物暂存场所，所有贮存装置必须有良好的防雨防渗防腐设施，可以有效地防止废物中的物质被雨水淋溶排入环境，因此要求所有暂存未处理的废物都必须存放在室内，所有地面都必须水泥硬化。本项目应根据需要，在车间内部建设危废暂存间，暂存间基础防渗。</w:t>
            </w:r>
          </w:p>
          <w:p>
            <w:pPr>
              <w:pStyle w:val="73"/>
              <w:rPr>
                <w:color w:val="auto"/>
              </w:rPr>
            </w:pPr>
            <w:r>
              <w:rPr>
                <w:rFonts w:hint="eastAsia"/>
                <w:color w:val="auto"/>
                <w:lang w:val="en-US" w:eastAsia="zh-CN"/>
              </w:rPr>
              <w:t xml:space="preserve">对于危险废物的管理和贮存应做好以下工作： </w:t>
            </w:r>
          </w:p>
          <w:p>
            <w:pPr>
              <w:pStyle w:val="73"/>
              <w:rPr>
                <w:color w:val="auto"/>
              </w:rPr>
            </w:pPr>
            <w:r>
              <w:rPr>
                <w:rFonts w:hint="eastAsia"/>
                <w:color w:val="auto"/>
                <w:lang w:val="en-US" w:eastAsia="zh-CN"/>
              </w:rPr>
              <w:t>①禁止将相互反应的危险废物在同一容器内混装；装载液体、半固体危险废物的容器内需留有足够的空间，容器顶部距页面之间的距离不得小于</w:t>
            </w:r>
            <w:r>
              <w:rPr>
                <w:rFonts w:hint="default"/>
                <w:color w:val="auto"/>
                <w:lang w:val="en-US" w:eastAsia="zh-CN"/>
              </w:rPr>
              <w:t>100mm</w:t>
            </w:r>
            <w:r>
              <w:rPr>
                <w:rFonts w:hint="eastAsia"/>
                <w:color w:val="auto"/>
                <w:lang w:val="en-US" w:eastAsia="zh-CN"/>
              </w:rPr>
              <w:t>。</w:t>
            </w:r>
          </w:p>
          <w:p>
            <w:pPr>
              <w:pStyle w:val="73"/>
              <w:rPr>
                <w:color w:val="auto"/>
              </w:rPr>
            </w:pPr>
            <w:r>
              <w:rPr>
                <w:rFonts w:hint="eastAsia"/>
                <w:color w:val="auto"/>
                <w:lang w:val="en-US" w:eastAsia="zh-CN"/>
              </w:rPr>
              <w:t>②应当使用符合标准的容器盛装危险废物，其材质强度应满足贮存要求，同时，选用的材质必须不能与危险废物产生化学反应。</w:t>
            </w:r>
          </w:p>
          <w:p>
            <w:pPr>
              <w:pStyle w:val="73"/>
              <w:rPr>
                <w:color w:val="auto"/>
              </w:rPr>
            </w:pPr>
            <w:r>
              <w:rPr>
                <w:rFonts w:hint="eastAsia"/>
                <w:color w:val="auto"/>
                <w:lang w:val="en-US" w:eastAsia="zh-CN"/>
              </w:rPr>
              <w:t>③危险废物贮存场所的建设要求：</w:t>
            </w:r>
          </w:p>
          <w:p>
            <w:pPr>
              <w:pStyle w:val="73"/>
              <w:rPr>
                <w:color w:val="auto"/>
              </w:rPr>
            </w:pPr>
            <w:r>
              <w:rPr>
                <w:rFonts w:hint="default"/>
                <w:color w:val="auto"/>
                <w:lang w:val="en-US" w:eastAsia="zh-CN"/>
              </w:rPr>
              <w:t>a.</w:t>
            </w:r>
            <w:r>
              <w:rPr>
                <w:rFonts w:hint="eastAsia"/>
                <w:color w:val="auto"/>
                <w:lang w:val="en-US" w:eastAsia="zh-CN"/>
              </w:rPr>
              <w:t>地面与墙角应采用坚固、防渗材料建造，同时材料不能与废物产生化学反应；</w:t>
            </w:r>
          </w:p>
          <w:p>
            <w:pPr>
              <w:pStyle w:val="73"/>
              <w:rPr>
                <w:color w:val="auto"/>
              </w:rPr>
            </w:pPr>
            <w:r>
              <w:rPr>
                <w:rFonts w:hint="default"/>
                <w:color w:val="auto"/>
                <w:lang w:val="en-US" w:eastAsia="zh-CN"/>
              </w:rPr>
              <w:t>b.</w:t>
            </w:r>
            <w:r>
              <w:rPr>
                <w:rFonts w:hint="eastAsia"/>
                <w:color w:val="auto"/>
                <w:lang w:val="en-US" w:eastAsia="zh-CN"/>
              </w:rPr>
              <w:t>贮存库上方应设有排气系统，以保证贮存间内的空气质量；</w:t>
            </w:r>
          </w:p>
          <w:p>
            <w:pPr>
              <w:pStyle w:val="73"/>
              <w:rPr>
                <w:color w:val="auto"/>
              </w:rPr>
            </w:pPr>
            <w:r>
              <w:rPr>
                <w:rFonts w:hint="default"/>
                <w:color w:val="auto"/>
                <w:lang w:val="en-US" w:eastAsia="zh-CN"/>
              </w:rPr>
              <w:t>c.</w:t>
            </w:r>
            <w:r>
              <w:rPr>
                <w:rFonts w:hint="eastAsia"/>
                <w:color w:val="auto"/>
                <w:lang w:val="en-US" w:eastAsia="zh-CN"/>
              </w:rPr>
              <w:t>设施内要有安全照明设施和观察窗口；</w:t>
            </w:r>
          </w:p>
          <w:p>
            <w:pPr>
              <w:pStyle w:val="73"/>
              <w:rPr>
                <w:color w:val="auto"/>
              </w:rPr>
            </w:pPr>
            <w:r>
              <w:rPr>
                <w:rFonts w:hint="default"/>
                <w:color w:val="auto"/>
                <w:lang w:val="en-US" w:eastAsia="zh-CN"/>
              </w:rPr>
              <w:t>d.</w:t>
            </w:r>
            <w:r>
              <w:rPr>
                <w:rFonts w:hint="eastAsia"/>
                <w:color w:val="auto"/>
                <w:lang w:val="en-US" w:eastAsia="zh-CN"/>
              </w:rPr>
              <w:t>用于存放装载液体、半固体危险废物容器的地方，必须有耐腐蚀的硬化地面，且表面无裂隙。</w:t>
            </w:r>
          </w:p>
          <w:p>
            <w:pPr>
              <w:pStyle w:val="73"/>
              <w:rPr>
                <w:color w:val="auto"/>
              </w:rPr>
            </w:pPr>
            <w:r>
              <w:rPr>
                <w:rFonts w:hint="default"/>
                <w:color w:val="auto"/>
                <w:lang w:val="en-US" w:eastAsia="zh-CN"/>
              </w:rPr>
              <w:t>e.</w:t>
            </w:r>
            <w:r>
              <w:rPr>
                <w:rFonts w:hint="eastAsia"/>
                <w:color w:val="auto"/>
                <w:lang w:val="en-US" w:eastAsia="zh-CN"/>
              </w:rPr>
              <w:t>应设计堵截泄漏的裙脚，地面与裙脚所围建的容积不低于堵截最大容器的最大储量或总储量的</w:t>
            </w:r>
            <w:r>
              <w:rPr>
                <w:rFonts w:hint="default"/>
                <w:color w:val="auto"/>
                <w:lang w:val="en-US" w:eastAsia="zh-CN"/>
              </w:rPr>
              <w:t>1/5</w:t>
            </w:r>
            <w:r>
              <w:rPr>
                <w:rFonts w:hint="eastAsia"/>
                <w:color w:val="auto"/>
                <w:lang w:val="en-US" w:eastAsia="zh-CN"/>
              </w:rPr>
              <w:t>。</w:t>
            </w:r>
          </w:p>
          <w:p>
            <w:pPr>
              <w:pStyle w:val="73"/>
              <w:rPr>
                <w:color w:val="auto"/>
              </w:rPr>
            </w:pPr>
            <w:r>
              <w:rPr>
                <w:rFonts w:hint="default"/>
                <w:color w:val="auto"/>
                <w:lang w:val="en-US" w:eastAsia="zh-CN"/>
              </w:rPr>
              <w:t>f.</w:t>
            </w:r>
            <w:r>
              <w:rPr>
                <w:rFonts w:hint="eastAsia"/>
                <w:color w:val="auto"/>
                <w:lang w:val="en-US" w:eastAsia="zh-CN"/>
              </w:rPr>
              <w:t>不相容的危险废物必须分开存放，并设有隔离间隔段。</w:t>
            </w:r>
          </w:p>
          <w:p>
            <w:pPr>
              <w:pStyle w:val="73"/>
              <w:rPr>
                <w:color w:val="auto"/>
              </w:rPr>
            </w:pPr>
            <w:r>
              <w:rPr>
                <w:rFonts w:hint="eastAsia"/>
                <w:color w:val="auto"/>
                <w:lang w:val="en-US" w:eastAsia="zh-CN"/>
              </w:rPr>
              <w:t>④应加强危险废物贮存设施的运行管理，做好危险废物的出入库管理记录和标识，定期检查危险废物包装容器的完好性，发现破损，应及时采取措施。</w:t>
            </w:r>
          </w:p>
          <w:p>
            <w:pPr>
              <w:pStyle w:val="73"/>
              <w:rPr>
                <w:color w:val="auto"/>
              </w:rPr>
            </w:pPr>
            <w:r>
              <w:rPr>
                <w:color w:val="auto"/>
              </w:rPr>
              <w:t>综上所述，该项目生产过程中所产生的固体废物均可得到妥善处理，建设单位在解决好其排放去向并及时清运的前提下，对周围环境质量影响较小。</w:t>
            </w:r>
          </w:p>
          <w:p>
            <w:pPr>
              <w:keepNext w:val="0"/>
              <w:keepLines w:val="0"/>
              <w:pageBreakBefore w:val="0"/>
              <w:kinsoku/>
              <w:wordWrap/>
              <w:overflowPunct/>
              <w:topLinePunct w:val="0"/>
              <w:bidi w:val="0"/>
              <w:spacing w:line="360" w:lineRule="auto"/>
              <w:jc w:val="both"/>
              <w:textAlignment w:val="auto"/>
              <w:rPr>
                <w:rFonts w:hint="default" w:ascii="Times New Roman" w:hAnsi="Times New Roman" w:cs="Times New Roman"/>
                <w:color w:val="auto"/>
                <w:kern w:val="2"/>
                <w:sz w:val="21"/>
                <w:szCs w:val="21"/>
                <w:highlight w:val="none"/>
              </w:rPr>
            </w:pPr>
            <w:r>
              <w:rPr>
                <w:rFonts w:hint="eastAsia" w:cs="Times New Roman"/>
                <w:b/>
                <w:bCs w:val="0"/>
                <w:color w:val="auto"/>
                <w:sz w:val="21"/>
                <w:szCs w:val="21"/>
                <w:highlight w:val="none"/>
                <w:lang w:val="en-US" w:eastAsia="zh-CN"/>
              </w:rPr>
              <w:t>5</w:t>
            </w:r>
            <w:r>
              <w:rPr>
                <w:rFonts w:hint="eastAsia" w:cs="Times New Roman"/>
                <w:b/>
                <w:bCs w:val="0"/>
                <w:color w:val="auto"/>
                <w:sz w:val="21"/>
                <w:szCs w:val="21"/>
                <w:highlight w:val="none"/>
                <w:lang w:eastAsia="zh-CN"/>
              </w:rPr>
              <w:t>地下水、土壤</w:t>
            </w:r>
            <w:r>
              <w:rPr>
                <w:rFonts w:hint="eastAsia" w:ascii="宋体" w:hAnsi="宋体" w:cs="宋体"/>
                <w:b/>
                <w:color w:val="auto"/>
                <w:sz w:val="21"/>
                <w:szCs w:val="21"/>
                <w:highlight w:val="none"/>
              </w:rPr>
              <w:t>环境影响和保护措施</w:t>
            </w:r>
          </w:p>
          <w:p>
            <w:pPr>
              <w:pStyle w:val="66"/>
              <w:keepNext w:val="0"/>
              <w:keepLines w:val="0"/>
              <w:pageBreakBefore w:val="0"/>
              <w:widowControl w:val="0"/>
              <w:kinsoku/>
              <w:wordWrap/>
              <w:overflowPunct/>
              <w:topLinePunct w:val="0"/>
              <w:bidi w:val="0"/>
              <w:snapToGrid/>
              <w:spacing w:line="360" w:lineRule="auto"/>
              <w:ind w:firstLine="420" w:firstLineChars="200"/>
              <w:jc w:val="both"/>
              <w:textAlignment w:val="auto"/>
              <w:rPr>
                <w:rFonts w:hint="default" w:ascii="Times New Roman" w:hAnsi="Times New Roman" w:eastAsia="宋体" w:cs="Times New Roman"/>
                <w:b w:val="0"/>
                <w:bCs/>
                <w:color w:val="auto"/>
                <w:kern w:val="2"/>
                <w:sz w:val="21"/>
                <w:szCs w:val="21"/>
                <w:highlight w:val="none"/>
                <w:lang w:val="en-US" w:eastAsia="zh-CN" w:bidi="ar-SA"/>
              </w:rPr>
            </w:pPr>
            <w:r>
              <w:rPr>
                <w:rFonts w:hint="default" w:ascii="Times New Roman" w:hAnsi="Times New Roman" w:cs="Times New Roman"/>
                <w:b w:val="0"/>
                <w:bCs/>
                <w:color w:val="auto"/>
                <w:sz w:val="21"/>
                <w:szCs w:val="21"/>
                <w:highlight w:val="none"/>
              </w:rPr>
              <w:t>为确保项目生产运行不会对周围地下水、土壤产生污染</w:t>
            </w:r>
            <w:r>
              <w:rPr>
                <w:rFonts w:hint="eastAsia" w:ascii="Times New Roman" w:hAnsi="Times New Roman" w:cs="Times New Roman"/>
                <w:b w:val="0"/>
                <w:bCs/>
                <w:color w:val="auto"/>
                <w:sz w:val="21"/>
                <w:szCs w:val="21"/>
                <w:highlight w:val="none"/>
                <w:lang w:eastAsia="zh-CN"/>
              </w:rPr>
              <w:t>，</w:t>
            </w:r>
            <w:r>
              <w:rPr>
                <w:rFonts w:hint="default" w:ascii="Times New Roman" w:hAnsi="Times New Roman" w:cs="Times New Roman"/>
                <w:b w:val="0"/>
                <w:bCs/>
                <w:color w:val="auto"/>
                <w:sz w:val="21"/>
                <w:szCs w:val="21"/>
                <w:highlight w:val="none"/>
              </w:rPr>
              <w:t>全厂地面根据《环境</w:t>
            </w:r>
            <w:r>
              <w:rPr>
                <w:rFonts w:hint="default" w:ascii="Times New Roman" w:hAnsi="Times New Roman" w:eastAsia="宋体" w:cs="Times New Roman"/>
                <w:b w:val="0"/>
                <w:bCs/>
                <w:color w:val="auto"/>
                <w:kern w:val="2"/>
                <w:sz w:val="21"/>
                <w:szCs w:val="21"/>
                <w:highlight w:val="none"/>
                <w:lang w:val="en-US" w:eastAsia="zh-CN" w:bidi="ar-SA"/>
              </w:rPr>
              <w:t>影响评价技术导则 地下水环境》（HJ610-2016）、《环境影响评价技术导则 土壤环境（试行）》（HJ964-2018）的相关要求，进行分区防渗处理。</w:t>
            </w:r>
          </w:p>
          <w:p>
            <w:pPr>
              <w:pStyle w:val="66"/>
              <w:keepNext w:val="0"/>
              <w:keepLines w:val="0"/>
              <w:pageBreakBefore w:val="0"/>
              <w:widowControl w:val="0"/>
              <w:kinsoku/>
              <w:wordWrap/>
              <w:overflowPunct/>
              <w:topLinePunct w:val="0"/>
              <w:bidi w:val="0"/>
              <w:snapToGrid/>
              <w:spacing w:line="360" w:lineRule="auto"/>
              <w:ind w:firstLine="420" w:firstLineChars="200"/>
              <w:jc w:val="both"/>
              <w:textAlignment w:val="auto"/>
              <w:rPr>
                <w:rFonts w:hint="eastAsia" w:ascii="Times New Roman" w:hAnsi="Times New Roman" w:eastAsia="宋体" w:cs="Times New Roman"/>
                <w:b w:val="0"/>
                <w:bCs/>
                <w:color w:val="auto"/>
                <w:kern w:val="2"/>
                <w:sz w:val="21"/>
                <w:szCs w:val="21"/>
                <w:highlight w:val="none"/>
                <w:lang w:val="en-US" w:eastAsia="zh-CN" w:bidi="ar-SA"/>
              </w:rPr>
            </w:pPr>
            <w:r>
              <w:rPr>
                <w:rFonts w:hint="eastAsia" w:ascii="Times New Roman" w:hAnsi="Times New Roman" w:eastAsia="宋体" w:cs="Times New Roman"/>
                <w:b w:val="0"/>
                <w:bCs/>
                <w:color w:val="auto"/>
                <w:kern w:val="2"/>
                <w:sz w:val="21"/>
                <w:szCs w:val="21"/>
                <w:highlight w:val="none"/>
                <w:lang w:val="en-US" w:eastAsia="zh-CN" w:bidi="ar-SA"/>
              </w:rPr>
              <w:t>1</w:t>
            </w:r>
            <w:r>
              <w:rPr>
                <w:rFonts w:hint="eastAsia" w:ascii="Times New Roman" w:eastAsia="宋体" w:cs="Times New Roman"/>
                <w:b w:val="0"/>
                <w:bCs/>
                <w:color w:val="auto"/>
                <w:kern w:val="2"/>
                <w:sz w:val="21"/>
                <w:szCs w:val="21"/>
                <w:highlight w:val="none"/>
                <w:lang w:val="en-US" w:eastAsia="zh-CN" w:bidi="ar-SA"/>
              </w:rPr>
              <w:t>、</w:t>
            </w:r>
            <w:r>
              <w:rPr>
                <w:rFonts w:hint="eastAsia" w:ascii="Times New Roman" w:hAnsi="Times New Roman" w:eastAsia="宋体" w:cs="Times New Roman"/>
                <w:b w:val="0"/>
                <w:bCs/>
                <w:color w:val="auto"/>
                <w:kern w:val="2"/>
                <w:sz w:val="21"/>
                <w:szCs w:val="21"/>
                <w:highlight w:val="none"/>
                <w:lang w:val="en-US" w:eastAsia="zh-CN" w:bidi="ar-SA"/>
              </w:rPr>
              <w:t>重点防渗区</w:t>
            </w:r>
          </w:p>
          <w:p>
            <w:pPr>
              <w:keepNext w:val="0"/>
              <w:keepLines w:val="0"/>
              <w:pageBreakBefore w:val="0"/>
              <w:widowControl w:val="0"/>
              <w:numPr>
                <w:ilvl w:val="0"/>
                <w:numId w:val="0"/>
              </w:numPr>
              <w:kinsoku/>
              <w:wordWrap/>
              <w:overflowPunct/>
              <w:topLinePunct w:val="0"/>
              <w:bidi w:val="0"/>
              <w:snapToGrid/>
              <w:spacing w:line="360" w:lineRule="auto"/>
              <w:ind w:firstLine="420" w:firstLineChars="200"/>
              <w:jc w:val="both"/>
              <w:textAlignment w:val="auto"/>
              <w:rPr>
                <w:rFonts w:hint="default"/>
                <w:color w:val="auto"/>
                <w:sz w:val="21"/>
                <w:szCs w:val="21"/>
                <w:highlight w:val="none"/>
                <w:lang w:val="en-US" w:eastAsia="zh-CN"/>
              </w:rPr>
            </w:pPr>
            <w:r>
              <w:rPr>
                <w:rFonts w:hint="eastAsia" w:eastAsia="宋体" w:cs="Times New Roman"/>
                <w:b w:val="0"/>
                <w:bCs/>
                <w:color w:val="auto"/>
                <w:kern w:val="2"/>
                <w:sz w:val="21"/>
                <w:szCs w:val="21"/>
                <w:highlight w:val="none"/>
                <w:lang w:val="en-US" w:eastAsia="zh-CN" w:bidi="ar-SA"/>
              </w:rPr>
              <w:t>项目</w:t>
            </w:r>
            <w:r>
              <w:rPr>
                <w:rFonts w:hint="default" w:ascii="Times New Roman" w:hAnsi="Times New Roman" w:cs="Times New Roman" w:eastAsiaTheme="minorEastAsia"/>
                <w:bCs/>
                <w:color w:val="auto"/>
                <w:kern w:val="2"/>
                <w:sz w:val="21"/>
                <w:szCs w:val="21"/>
                <w:highlight w:val="none"/>
                <w:lang w:val="en-US" w:eastAsia="zh-CN" w:bidi="ar-SA"/>
              </w:rPr>
              <w:t>危废</w:t>
            </w:r>
            <w:r>
              <w:rPr>
                <w:rFonts w:hint="eastAsia" w:cs="Times New Roman" w:eastAsiaTheme="minorEastAsia"/>
                <w:bCs/>
                <w:color w:val="auto"/>
                <w:kern w:val="2"/>
                <w:sz w:val="21"/>
                <w:szCs w:val="21"/>
                <w:highlight w:val="none"/>
                <w:lang w:val="en-US" w:eastAsia="zh-CN" w:bidi="ar-SA"/>
              </w:rPr>
              <w:t>贮存点、污水处理站区域设</w:t>
            </w:r>
            <w:r>
              <w:rPr>
                <w:rFonts w:hint="default" w:ascii="Times New Roman" w:hAnsi="Times New Roman" w:cs="Times New Roman" w:eastAsiaTheme="minorEastAsia"/>
                <w:bCs/>
                <w:color w:val="auto"/>
                <w:kern w:val="2"/>
                <w:sz w:val="21"/>
                <w:szCs w:val="21"/>
                <w:highlight w:val="none"/>
                <w:lang w:val="en-US" w:eastAsia="zh-CN" w:bidi="ar-SA"/>
              </w:rPr>
              <w:t>为重点防渗区，防渗层为至少1m厚黏土层（渗透系数不大于10</w:t>
            </w:r>
            <w:r>
              <w:rPr>
                <w:rFonts w:hint="default" w:ascii="Times New Roman" w:hAnsi="Times New Roman" w:cs="Times New Roman" w:eastAsiaTheme="minorEastAsia"/>
                <w:bCs/>
                <w:color w:val="auto"/>
                <w:kern w:val="2"/>
                <w:sz w:val="21"/>
                <w:szCs w:val="21"/>
                <w:highlight w:val="none"/>
                <w:vertAlign w:val="superscript"/>
                <w:lang w:val="en-US" w:eastAsia="zh-CN" w:bidi="ar-SA"/>
              </w:rPr>
              <w:t>-7</w:t>
            </w:r>
            <w:r>
              <w:rPr>
                <w:rFonts w:hint="default" w:ascii="Times New Roman" w:hAnsi="Times New Roman" w:cs="Times New Roman" w:eastAsiaTheme="minorEastAsia"/>
                <w:bCs/>
                <w:color w:val="auto"/>
                <w:kern w:val="2"/>
                <w:sz w:val="21"/>
                <w:szCs w:val="21"/>
                <w:highlight w:val="none"/>
                <w:lang w:val="en-US" w:eastAsia="zh-CN" w:bidi="ar-SA"/>
              </w:rPr>
              <w:t>cm/s），或至少2mm厚高密度聚乙烯膜等人工防渗材料（渗透系数不大于10</w:t>
            </w:r>
            <w:r>
              <w:rPr>
                <w:rFonts w:hint="default" w:ascii="Times New Roman" w:hAnsi="Times New Roman" w:cs="Times New Roman" w:eastAsiaTheme="minorEastAsia"/>
                <w:bCs/>
                <w:color w:val="auto"/>
                <w:kern w:val="2"/>
                <w:sz w:val="21"/>
                <w:szCs w:val="21"/>
                <w:highlight w:val="none"/>
                <w:vertAlign w:val="superscript"/>
                <w:lang w:val="en-US" w:eastAsia="zh-CN" w:bidi="ar-SA"/>
              </w:rPr>
              <w:t>-10</w:t>
            </w:r>
            <w:r>
              <w:rPr>
                <w:rFonts w:hint="default" w:ascii="Times New Roman" w:hAnsi="Times New Roman" w:cs="Times New Roman" w:eastAsiaTheme="minorEastAsia"/>
                <w:bCs/>
                <w:color w:val="auto"/>
                <w:kern w:val="2"/>
                <w:sz w:val="21"/>
                <w:szCs w:val="21"/>
                <w:highlight w:val="none"/>
                <w:lang w:val="en-US" w:eastAsia="zh-CN" w:bidi="ar-SA"/>
              </w:rPr>
              <w:t>cm/s），或其他防渗性能等效的材料。</w:t>
            </w:r>
          </w:p>
          <w:p>
            <w:pPr>
              <w:pStyle w:val="66"/>
              <w:keepNext w:val="0"/>
              <w:keepLines w:val="0"/>
              <w:pageBreakBefore w:val="0"/>
              <w:widowControl w:val="0"/>
              <w:kinsoku/>
              <w:wordWrap/>
              <w:overflowPunct/>
              <w:topLinePunct w:val="0"/>
              <w:bidi w:val="0"/>
              <w:snapToGrid/>
              <w:spacing w:line="360" w:lineRule="auto"/>
              <w:ind w:firstLine="420" w:firstLineChars="200"/>
              <w:jc w:val="both"/>
              <w:textAlignment w:val="auto"/>
              <w:rPr>
                <w:rFonts w:hint="default" w:ascii="Times New Roman" w:hAnsi="Times New Roman" w:eastAsia="宋体" w:cs="Times New Roman"/>
                <w:b w:val="0"/>
                <w:bCs/>
                <w:color w:val="auto"/>
                <w:kern w:val="2"/>
                <w:sz w:val="21"/>
                <w:szCs w:val="21"/>
                <w:highlight w:val="none"/>
                <w:lang w:val="en-US" w:eastAsia="zh-CN" w:bidi="ar-SA"/>
              </w:rPr>
            </w:pPr>
            <w:r>
              <w:rPr>
                <w:rFonts w:hint="eastAsia" w:ascii="Times New Roman" w:hAnsi="Times New Roman" w:eastAsia="宋体" w:cs="Times New Roman"/>
                <w:b w:val="0"/>
                <w:bCs/>
                <w:color w:val="auto"/>
                <w:kern w:val="2"/>
                <w:sz w:val="21"/>
                <w:szCs w:val="21"/>
                <w:highlight w:val="none"/>
                <w:lang w:val="en-US" w:eastAsia="zh-CN" w:bidi="ar-SA"/>
              </w:rPr>
              <w:t>2</w:t>
            </w:r>
            <w:r>
              <w:rPr>
                <w:rFonts w:hint="default" w:ascii="Times New Roman" w:hAnsi="Times New Roman" w:eastAsia="宋体" w:cs="Times New Roman"/>
                <w:b w:val="0"/>
                <w:bCs/>
                <w:color w:val="auto"/>
                <w:kern w:val="2"/>
                <w:sz w:val="21"/>
                <w:szCs w:val="21"/>
                <w:highlight w:val="none"/>
                <w:lang w:val="en-US" w:eastAsia="zh-CN" w:bidi="ar-SA"/>
              </w:rPr>
              <w:t>、一般防渗区</w:t>
            </w:r>
          </w:p>
          <w:p>
            <w:pPr>
              <w:pStyle w:val="66"/>
              <w:keepNext w:val="0"/>
              <w:keepLines w:val="0"/>
              <w:pageBreakBefore w:val="0"/>
              <w:widowControl w:val="0"/>
              <w:kinsoku/>
              <w:wordWrap/>
              <w:overflowPunct/>
              <w:topLinePunct w:val="0"/>
              <w:bidi w:val="0"/>
              <w:snapToGrid/>
              <w:spacing w:line="360" w:lineRule="auto"/>
              <w:ind w:firstLine="420" w:firstLineChars="200"/>
              <w:jc w:val="both"/>
              <w:textAlignment w:val="auto"/>
              <w:rPr>
                <w:rFonts w:hint="default" w:ascii="Times New Roman" w:hAnsi="Times New Roman" w:cs="Times New Roman"/>
                <w:b w:val="0"/>
                <w:bCs/>
                <w:color w:val="auto"/>
                <w:kern w:val="2"/>
                <w:sz w:val="21"/>
                <w:szCs w:val="21"/>
                <w:highlight w:val="none"/>
                <w:lang w:val="en-US" w:eastAsia="zh-CN"/>
              </w:rPr>
            </w:pPr>
            <w:r>
              <w:rPr>
                <w:rFonts w:hint="eastAsia" w:ascii="Times New Roman" w:hAnsi="Times New Roman" w:eastAsia="宋体" w:cs="Times New Roman"/>
                <w:b w:val="0"/>
                <w:bCs/>
                <w:color w:val="auto"/>
                <w:kern w:val="2"/>
                <w:sz w:val="21"/>
                <w:szCs w:val="21"/>
                <w:highlight w:val="none"/>
                <w:lang w:val="en-US" w:eastAsia="zh-CN" w:bidi="ar-SA"/>
              </w:rPr>
              <w:t>项目生产车间</w:t>
            </w:r>
            <w:r>
              <w:rPr>
                <w:rFonts w:hint="eastAsia" w:ascii="Times New Roman" w:eastAsia="宋体" w:cs="Times New Roman"/>
                <w:b w:val="0"/>
                <w:bCs/>
                <w:color w:val="auto"/>
                <w:kern w:val="2"/>
                <w:sz w:val="21"/>
                <w:szCs w:val="21"/>
                <w:highlight w:val="none"/>
                <w:lang w:val="en-US" w:eastAsia="zh-CN" w:bidi="ar-SA"/>
              </w:rPr>
              <w:t>、一般固废暂存间</w:t>
            </w:r>
            <w:r>
              <w:rPr>
                <w:rFonts w:hint="eastAsia" w:ascii="Times New Roman" w:cs="Times New Roman"/>
                <w:b w:val="0"/>
                <w:bCs/>
                <w:color w:val="auto"/>
                <w:kern w:val="2"/>
                <w:sz w:val="21"/>
                <w:szCs w:val="21"/>
                <w:highlight w:val="none"/>
                <w:lang w:val="en-US" w:eastAsia="zh-CN" w:bidi="ar-SA"/>
              </w:rPr>
              <w:t>、坏果及果渣专用贮存点</w:t>
            </w:r>
            <w:r>
              <w:rPr>
                <w:rFonts w:hint="eastAsia" w:ascii="Times New Roman" w:hAnsi="Times New Roman" w:eastAsia="宋体" w:cs="Times New Roman"/>
                <w:b w:val="0"/>
                <w:bCs/>
                <w:color w:val="auto"/>
                <w:kern w:val="2"/>
                <w:sz w:val="21"/>
                <w:szCs w:val="21"/>
                <w:highlight w:val="none"/>
                <w:lang w:val="en-US" w:eastAsia="zh-CN" w:bidi="ar-SA"/>
              </w:rPr>
              <w:t>作</w:t>
            </w:r>
            <w:r>
              <w:rPr>
                <w:rFonts w:hint="eastAsia" w:ascii="Times New Roman" w:hAnsi="Times New Roman" w:cs="Times New Roman"/>
                <w:b w:val="0"/>
                <w:bCs/>
                <w:color w:val="auto"/>
                <w:kern w:val="2"/>
                <w:sz w:val="21"/>
                <w:szCs w:val="21"/>
                <w:highlight w:val="none"/>
                <w:lang w:eastAsia="zh-CN"/>
              </w:rPr>
              <w:t>为一般防渗区，以混凝土浇筑底板，并设有防渗层，渗透系数</w:t>
            </w:r>
            <w:r>
              <w:rPr>
                <w:rFonts w:hint="default" w:ascii="Times New Roman" w:hAnsi="Times New Roman" w:cs="Times New Roman"/>
                <w:b w:val="0"/>
                <w:bCs/>
                <w:color w:val="auto"/>
                <w:kern w:val="2"/>
                <w:sz w:val="21"/>
                <w:szCs w:val="21"/>
                <w:highlight w:val="none"/>
                <w:lang w:eastAsia="zh-CN"/>
              </w:rPr>
              <w:t>≤</w:t>
            </w:r>
            <w:r>
              <w:rPr>
                <w:rFonts w:hint="eastAsia" w:ascii="Times New Roman" w:hAnsi="Times New Roman" w:cs="Times New Roman"/>
                <w:b w:val="0"/>
                <w:bCs/>
                <w:color w:val="auto"/>
                <w:kern w:val="2"/>
                <w:sz w:val="21"/>
                <w:szCs w:val="21"/>
                <w:highlight w:val="none"/>
                <w:lang w:val="en-US" w:eastAsia="zh-CN"/>
              </w:rPr>
              <w:t>10</w:t>
            </w:r>
            <w:r>
              <w:rPr>
                <w:rFonts w:hint="eastAsia" w:ascii="Times New Roman" w:hAnsi="Times New Roman" w:cs="Times New Roman"/>
                <w:b w:val="0"/>
                <w:bCs/>
                <w:color w:val="auto"/>
                <w:kern w:val="2"/>
                <w:sz w:val="21"/>
                <w:szCs w:val="21"/>
                <w:highlight w:val="none"/>
                <w:vertAlign w:val="superscript"/>
                <w:lang w:val="en-US" w:eastAsia="zh-CN"/>
              </w:rPr>
              <w:t>-7</w:t>
            </w:r>
            <w:r>
              <w:rPr>
                <w:rFonts w:hint="eastAsia" w:ascii="Times New Roman" w:hAnsi="Times New Roman" w:cs="Times New Roman"/>
                <w:b w:val="0"/>
                <w:bCs/>
                <w:color w:val="auto"/>
                <w:kern w:val="2"/>
                <w:sz w:val="21"/>
                <w:szCs w:val="21"/>
                <w:highlight w:val="none"/>
                <w:lang w:val="en-US" w:eastAsia="zh-CN"/>
              </w:rPr>
              <w:t>cm/s，可满足一般防渗要求。</w:t>
            </w:r>
          </w:p>
          <w:p>
            <w:pPr>
              <w:pStyle w:val="66"/>
              <w:keepNext w:val="0"/>
              <w:keepLines w:val="0"/>
              <w:pageBreakBefore w:val="0"/>
              <w:widowControl w:val="0"/>
              <w:kinsoku/>
              <w:wordWrap/>
              <w:overflowPunct/>
              <w:topLinePunct w:val="0"/>
              <w:bidi w:val="0"/>
              <w:snapToGrid/>
              <w:spacing w:line="360" w:lineRule="auto"/>
              <w:ind w:firstLine="420" w:firstLineChars="200"/>
              <w:jc w:val="both"/>
              <w:textAlignment w:val="auto"/>
              <w:rPr>
                <w:rFonts w:hint="eastAsia" w:ascii="Times New Roman" w:hAnsi="Times New Roman" w:cs="Times New Roman"/>
                <w:b w:val="0"/>
                <w:bCs/>
                <w:color w:val="auto"/>
                <w:sz w:val="21"/>
                <w:szCs w:val="21"/>
                <w:highlight w:val="none"/>
                <w:lang w:val="en-US" w:eastAsia="zh-CN"/>
              </w:rPr>
            </w:pPr>
            <w:r>
              <w:rPr>
                <w:rFonts w:hint="eastAsia" w:ascii="Times New Roman" w:hAnsi="Times New Roman" w:cs="Times New Roman"/>
                <w:b w:val="0"/>
                <w:bCs/>
                <w:color w:val="auto"/>
                <w:sz w:val="21"/>
                <w:szCs w:val="21"/>
                <w:highlight w:val="none"/>
                <w:lang w:val="en-US" w:eastAsia="zh-CN"/>
              </w:rPr>
              <w:t>3、简单防渗区</w:t>
            </w:r>
          </w:p>
          <w:p>
            <w:pPr>
              <w:pStyle w:val="66"/>
              <w:keepNext w:val="0"/>
              <w:keepLines w:val="0"/>
              <w:pageBreakBefore w:val="0"/>
              <w:widowControl w:val="0"/>
              <w:kinsoku/>
              <w:wordWrap/>
              <w:overflowPunct/>
              <w:topLinePunct w:val="0"/>
              <w:bidi w:val="0"/>
              <w:snapToGrid/>
              <w:spacing w:line="360" w:lineRule="auto"/>
              <w:ind w:firstLine="420" w:firstLineChars="200"/>
              <w:jc w:val="both"/>
              <w:textAlignment w:val="auto"/>
              <w:rPr>
                <w:rFonts w:hint="default" w:ascii="Times New Roman" w:hAnsi="Times New Roman" w:cs="Times New Roman"/>
                <w:b w:val="0"/>
                <w:bCs/>
                <w:color w:val="auto"/>
                <w:kern w:val="2"/>
                <w:sz w:val="21"/>
                <w:szCs w:val="21"/>
                <w:highlight w:val="none"/>
              </w:rPr>
            </w:pPr>
            <w:r>
              <w:rPr>
                <w:rFonts w:hint="default" w:ascii="Times New Roman" w:hAnsi="Times New Roman" w:cs="Times New Roman"/>
                <w:b w:val="0"/>
                <w:bCs/>
                <w:color w:val="auto"/>
                <w:sz w:val="21"/>
                <w:szCs w:val="21"/>
                <w:highlight w:val="none"/>
                <w:lang w:eastAsia="zh-CN"/>
              </w:rPr>
              <w:t>项目</w:t>
            </w:r>
            <w:r>
              <w:rPr>
                <w:rFonts w:hint="eastAsia" w:ascii="Times New Roman" w:cs="Times New Roman"/>
                <w:b w:val="0"/>
                <w:bCs/>
                <w:color w:val="auto"/>
                <w:sz w:val="21"/>
                <w:szCs w:val="21"/>
                <w:highlight w:val="none"/>
                <w:lang w:eastAsia="zh-CN"/>
              </w:rPr>
              <w:t>区厂区通道、办公生活区、</w:t>
            </w:r>
            <w:r>
              <w:rPr>
                <w:rFonts w:hint="eastAsia" w:ascii="Times New Roman" w:cs="Times New Roman"/>
                <w:b w:val="0"/>
                <w:bCs/>
                <w:color w:val="auto"/>
                <w:sz w:val="21"/>
                <w:szCs w:val="21"/>
                <w:highlight w:val="none"/>
                <w:lang w:val="en-US" w:eastAsia="zh-CN"/>
              </w:rPr>
              <w:t>门卫室</w:t>
            </w:r>
            <w:r>
              <w:rPr>
                <w:rFonts w:hint="eastAsia" w:ascii="Times New Roman" w:cs="Times New Roman"/>
                <w:b w:val="0"/>
                <w:bCs/>
                <w:color w:val="auto"/>
                <w:sz w:val="21"/>
                <w:szCs w:val="21"/>
                <w:highlight w:val="none"/>
                <w:lang w:eastAsia="zh-CN"/>
              </w:rPr>
              <w:t>等其他区域</w:t>
            </w:r>
            <w:r>
              <w:rPr>
                <w:rFonts w:hint="default" w:ascii="Times New Roman" w:hAnsi="Times New Roman" w:cs="Times New Roman"/>
                <w:b w:val="0"/>
                <w:bCs/>
                <w:color w:val="auto"/>
                <w:sz w:val="21"/>
                <w:szCs w:val="21"/>
                <w:highlight w:val="none"/>
              </w:rPr>
              <w:t>为简单防渗区。</w:t>
            </w:r>
            <w:r>
              <w:rPr>
                <w:rFonts w:hint="default" w:ascii="Times New Roman" w:hAnsi="Times New Roman" w:cs="Times New Roman"/>
                <w:b w:val="0"/>
                <w:bCs/>
                <w:color w:val="auto"/>
                <w:sz w:val="21"/>
                <w:szCs w:val="21"/>
                <w:highlight w:val="none"/>
                <w:lang w:eastAsia="zh-CN"/>
              </w:rPr>
              <w:t>地面均为</w:t>
            </w:r>
            <w:r>
              <w:rPr>
                <w:rFonts w:hint="default" w:ascii="Times New Roman" w:hAnsi="Times New Roman" w:cs="Times New Roman"/>
                <w:b w:val="0"/>
                <w:bCs/>
                <w:color w:val="auto"/>
                <w:sz w:val="21"/>
                <w:szCs w:val="21"/>
                <w:highlight w:val="none"/>
              </w:rPr>
              <w:t>混凝土</w:t>
            </w:r>
            <w:r>
              <w:rPr>
                <w:rFonts w:hint="eastAsia" w:ascii="Times New Roman" w:hAnsi="Times New Roman" w:cs="Times New Roman"/>
                <w:b w:val="0"/>
                <w:bCs/>
                <w:color w:val="auto"/>
                <w:sz w:val="21"/>
                <w:szCs w:val="21"/>
                <w:highlight w:val="none"/>
                <w:lang w:eastAsia="zh-CN"/>
              </w:rPr>
              <w:t>浇筑</w:t>
            </w:r>
            <w:r>
              <w:rPr>
                <w:rFonts w:hint="default" w:ascii="Times New Roman" w:hAnsi="Times New Roman" w:cs="Times New Roman"/>
                <w:b w:val="0"/>
                <w:bCs/>
                <w:color w:val="auto"/>
                <w:sz w:val="21"/>
                <w:szCs w:val="21"/>
                <w:highlight w:val="none"/>
              </w:rPr>
              <w:t>底板，可达到一般地面硬化要求。</w:t>
            </w:r>
          </w:p>
          <w:p>
            <w:pPr>
              <w:keepNext w:val="0"/>
              <w:keepLines w:val="0"/>
              <w:pageBreakBefore w:val="0"/>
              <w:widowControl w:val="0"/>
              <w:kinsoku/>
              <w:wordWrap/>
              <w:overflowPunct/>
              <w:topLinePunct w:val="0"/>
              <w:bidi w:val="0"/>
              <w:adjustRightInd w:val="0"/>
              <w:snapToGrid w:val="0"/>
              <w:spacing w:line="360" w:lineRule="auto"/>
              <w:ind w:firstLine="420" w:firstLineChars="200"/>
              <w:jc w:val="both"/>
              <w:textAlignment w:val="auto"/>
              <w:rPr>
                <w:rFonts w:hint="eastAsia"/>
                <w:b w:val="0"/>
                <w:bCs/>
                <w:color w:val="auto"/>
                <w:sz w:val="21"/>
                <w:szCs w:val="21"/>
                <w:highlight w:val="none"/>
              </w:rPr>
            </w:pPr>
            <w:r>
              <w:rPr>
                <w:rFonts w:hint="eastAsia"/>
                <w:b w:val="0"/>
                <w:bCs/>
                <w:color w:val="auto"/>
                <w:sz w:val="21"/>
                <w:szCs w:val="21"/>
                <w:highlight w:val="none"/>
                <w:lang w:eastAsia="zh-CN"/>
              </w:rPr>
              <w:t>本项目采取分区防控措施后</w:t>
            </w:r>
            <w:r>
              <w:rPr>
                <w:b w:val="0"/>
                <w:bCs/>
                <w:color w:val="auto"/>
                <w:sz w:val="21"/>
                <w:szCs w:val="21"/>
                <w:highlight w:val="none"/>
              </w:rPr>
              <w:t>，</w:t>
            </w:r>
            <w:r>
              <w:rPr>
                <w:rFonts w:hint="eastAsia"/>
                <w:b w:val="0"/>
                <w:bCs/>
                <w:color w:val="auto"/>
                <w:sz w:val="21"/>
                <w:szCs w:val="21"/>
                <w:highlight w:val="none"/>
                <w:lang w:eastAsia="zh-CN"/>
              </w:rPr>
              <w:t>本</w:t>
            </w:r>
            <w:r>
              <w:rPr>
                <w:b w:val="0"/>
                <w:bCs/>
                <w:color w:val="auto"/>
                <w:sz w:val="21"/>
                <w:szCs w:val="21"/>
                <w:highlight w:val="none"/>
              </w:rPr>
              <w:t>项目</w:t>
            </w:r>
            <w:r>
              <w:rPr>
                <w:rFonts w:hint="eastAsia"/>
                <w:b w:val="0"/>
                <w:bCs/>
                <w:color w:val="auto"/>
                <w:sz w:val="21"/>
                <w:szCs w:val="21"/>
                <w:highlight w:val="none"/>
                <w:lang w:eastAsia="zh-CN"/>
              </w:rPr>
              <w:t>可以杜绝</w:t>
            </w:r>
            <w:r>
              <w:rPr>
                <w:b w:val="0"/>
                <w:bCs/>
                <w:color w:val="auto"/>
                <w:sz w:val="21"/>
                <w:szCs w:val="21"/>
                <w:highlight w:val="none"/>
              </w:rPr>
              <w:t>地下水、土壤</w:t>
            </w:r>
            <w:r>
              <w:rPr>
                <w:rFonts w:hint="eastAsia"/>
                <w:b w:val="0"/>
                <w:bCs/>
                <w:color w:val="auto"/>
                <w:sz w:val="21"/>
                <w:szCs w:val="21"/>
                <w:highlight w:val="none"/>
                <w:lang w:eastAsia="zh-CN"/>
              </w:rPr>
              <w:t>污染途径，不会对周围</w:t>
            </w:r>
            <w:r>
              <w:rPr>
                <w:b w:val="0"/>
                <w:bCs/>
                <w:color w:val="auto"/>
                <w:sz w:val="21"/>
                <w:szCs w:val="21"/>
                <w:highlight w:val="none"/>
              </w:rPr>
              <w:t>地下水、土壤</w:t>
            </w:r>
            <w:r>
              <w:rPr>
                <w:rFonts w:hint="eastAsia"/>
                <w:b w:val="0"/>
                <w:bCs/>
                <w:color w:val="auto"/>
                <w:sz w:val="21"/>
                <w:szCs w:val="21"/>
                <w:highlight w:val="none"/>
                <w:lang w:eastAsia="zh-CN"/>
              </w:rPr>
              <w:t>环境造成影响</w:t>
            </w:r>
            <w:r>
              <w:rPr>
                <w:rFonts w:hint="eastAsia"/>
                <w:b w:val="0"/>
                <w:bCs/>
                <w:color w:val="auto"/>
                <w:sz w:val="21"/>
                <w:szCs w:val="21"/>
                <w:highlight w:val="none"/>
              </w:rPr>
              <w:t>。</w:t>
            </w:r>
          </w:p>
          <w:p>
            <w:pPr>
              <w:spacing w:line="360" w:lineRule="auto"/>
              <w:ind w:left="0" w:leftChars="0" w:firstLine="0" w:firstLineChars="0"/>
              <w:jc w:val="both"/>
              <w:rPr>
                <w:rFonts w:hint="eastAsia" w:ascii="Times New Roman" w:hAnsi="Times New Roman" w:eastAsia="宋体" w:cs="Times New Roman"/>
                <w:b/>
                <w:bCs w:val="0"/>
                <w:color w:val="auto"/>
                <w:sz w:val="21"/>
                <w:szCs w:val="21"/>
                <w:highlight w:val="none"/>
                <w:lang w:val="en-US" w:eastAsia="zh-CN"/>
              </w:rPr>
            </w:pPr>
            <w:r>
              <w:rPr>
                <w:rFonts w:hint="eastAsia" w:ascii="Times New Roman" w:hAnsi="Times New Roman" w:eastAsia="宋体" w:cs="Times New Roman"/>
                <w:b/>
                <w:bCs w:val="0"/>
                <w:color w:val="auto"/>
                <w:sz w:val="21"/>
                <w:szCs w:val="21"/>
                <w:highlight w:val="none"/>
                <w:lang w:val="en-US" w:eastAsia="zh-CN"/>
              </w:rPr>
              <w:t>6环境风险</w:t>
            </w:r>
          </w:p>
          <w:p>
            <w:pPr>
              <w:keepNext w:val="0"/>
              <w:keepLines w:val="0"/>
              <w:pageBreakBefore w:val="0"/>
              <w:widowControl w:val="0"/>
              <w:kinsoku/>
              <w:wordWrap/>
              <w:overflowPunct/>
              <w:topLinePunct w:val="0"/>
              <w:bidi w:val="0"/>
              <w:adjustRightInd w:val="0"/>
              <w:snapToGrid w:val="0"/>
              <w:spacing w:line="360" w:lineRule="auto"/>
              <w:ind w:firstLine="422" w:firstLineChars="200"/>
              <w:jc w:val="both"/>
              <w:textAlignment w:val="auto"/>
              <w:rPr>
                <w:rFonts w:hint="default" w:ascii="Times New Roman" w:hAnsi="Times New Roman" w:cs="Times New Roman"/>
                <w:b/>
                <w:bCs w:val="0"/>
                <w:color w:val="auto"/>
                <w:sz w:val="21"/>
                <w:szCs w:val="21"/>
                <w:highlight w:val="none"/>
              </w:rPr>
            </w:pPr>
            <w:r>
              <w:rPr>
                <w:rFonts w:hint="eastAsia" w:ascii="Times New Roman" w:hAnsi="Times New Roman" w:eastAsia="宋体" w:cs="Times New Roman"/>
                <w:b/>
                <w:bCs/>
                <w:color w:val="auto"/>
                <w:sz w:val="21"/>
                <w:szCs w:val="21"/>
                <w:highlight w:val="none"/>
                <w:lang w:val="en-US" w:eastAsia="zh-CN"/>
              </w:rPr>
              <w:t>6.1</w:t>
            </w:r>
            <w:r>
              <w:rPr>
                <w:rFonts w:hint="default" w:ascii="Times New Roman" w:hAnsi="Times New Roman" w:eastAsia="宋体" w:cs="Times New Roman"/>
                <w:b/>
                <w:bCs w:val="0"/>
                <w:color w:val="auto"/>
                <w:kern w:val="2"/>
                <w:sz w:val="21"/>
                <w:szCs w:val="21"/>
                <w:highlight w:val="none"/>
                <w:lang w:val="en-US" w:eastAsia="zh-CN" w:bidi="ar-SA"/>
              </w:rPr>
              <w:t>本项目</w:t>
            </w:r>
            <w:r>
              <w:rPr>
                <w:rFonts w:hint="eastAsia" w:cs="Times New Roman"/>
                <w:b/>
                <w:bCs w:val="0"/>
                <w:color w:val="auto"/>
                <w:kern w:val="2"/>
                <w:sz w:val="21"/>
                <w:szCs w:val="21"/>
                <w:highlight w:val="none"/>
                <w:lang w:val="en-US" w:eastAsia="zh-CN" w:bidi="ar-SA"/>
              </w:rPr>
              <w:t>风险</w:t>
            </w:r>
            <w:r>
              <w:rPr>
                <w:rFonts w:hint="default" w:ascii="Times New Roman" w:hAnsi="Times New Roman" w:eastAsia="宋体" w:cs="Times New Roman"/>
                <w:b/>
                <w:bCs w:val="0"/>
                <w:color w:val="auto"/>
                <w:kern w:val="2"/>
                <w:sz w:val="21"/>
                <w:szCs w:val="21"/>
                <w:highlight w:val="none"/>
                <w:lang w:val="en-US" w:eastAsia="zh-CN" w:bidi="ar-SA"/>
              </w:rPr>
              <w:t>物质及分布情况</w:t>
            </w:r>
          </w:p>
          <w:p>
            <w:pPr>
              <w:keepNext w:val="0"/>
              <w:keepLines w:val="0"/>
              <w:pageBreakBefore w:val="0"/>
              <w:widowControl w:val="0"/>
              <w:kinsoku/>
              <w:wordWrap/>
              <w:overflowPunct/>
              <w:topLinePunct w:val="0"/>
              <w:bidi w:val="0"/>
              <w:adjustRightInd w:val="0"/>
              <w:snapToGrid w:val="0"/>
              <w:spacing w:line="360" w:lineRule="auto"/>
              <w:ind w:firstLine="420" w:firstLineChars="200"/>
              <w:jc w:val="both"/>
              <w:textAlignment w:val="auto"/>
              <w:rPr>
                <w:rFonts w:hint="default" w:ascii="Times New Roman" w:hAnsi="Times New Roman" w:cs="Times New Roman"/>
                <w:b w:val="0"/>
                <w:bCs/>
                <w:color w:val="auto"/>
                <w:sz w:val="21"/>
                <w:szCs w:val="21"/>
                <w:highlight w:val="none"/>
                <w:lang w:eastAsia="zh-CN"/>
              </w:rPr>
            </w:pPr>
            <w:r>
              <w:rPr>
                <w:rFonts w:hint="default" w:ascii="Times New Roman" w:hAnsi="Times New Roman" w:cs="Times New Roman"/>
                <w:b w:val="0"/>
                <w:bCs/>
                <w:color w:val="auto"/>
                <w:sz w:val="21"/>
                <w:szCs w:val="21"/>
                <w:highlight w:val="none"/>
                <w:lang w:eastAsia="zh-CN"/>
              </w:rPr>
              <w:t>本项目危险物质及分布情况见表</w:t>
            </w:r>
            <w:r>
              <w:rPr>
                <w:rFonts w:hint="eastAsia" w:cs="Times New Roman"/>
                <w:b w:val="0"/>
                <w:bCs/>
                <w:color w:val="auto"/>
                <w:sz w:val="21"/>
                <w:szCs w:val="21"/>
                <w:highlight w:val="none"/>
                <w:lang w:val="en-US" w:eastAsia="zh-CN"/>
              </w:rPr>
              <w:t>4-15</w:t>
            </w:r>
            <w:r>
              <w:rPr>
                <w:rFonts w:hint="default" w:ascii="Times New Roman" w:hAnsi="Times New Roman" w:cs="Times New Roman"/>
                <w:b w:val="0"/>
                <w:bCs/>
                <w:color w:val="auto"/>
                <w:sz w:val="21"/>
                <w:szCs w:val="21"/>
                <w:highlight w:val="none"/>
                <w:lang w:eastAsia="zh-CN"/>
              </w:rPr>
              <w:t>。</w:t>
            </w:r>
          </w:p>
          <w:p>
            <w:pPr>
              <w:pStyle w:val="66"/>
              <w:keepNext w:val="0"/>
              <w:keepLines w:val="0"/>
              <w:pageBreakBefore w:val="0"/>
              <w:widowControl w:val="0"/>
              <w:kinsoku/>
              <w:wordWrap/>
              <w:overflowPunct/>
              <w:topLinePunct w:val="0"/>
              <w:autoSpaceDE w:val="0"/>
              <w:autoSpaceDN w:val="0"/>
              <w:bidi w:val="0"/>
              <w:adjustRightInd w:val="0"/>
              <w:snapToGrid w:val="0"/>
              <w:spacing w:line="240" w:lineRule="auto"/>
              <w:jc w:val="center"/>
              <w:textAlignment w:val="auto"/>
              <w:rPr>
                <w:rFonts w:hint="default" w:ascii="Times New Roman" w:hAnsi="Times New Roman" w:eastAsia="宋体" w:cs="Times New Roman"/>
                <w:b/>
                <w:bCs/>
                <w:color w:val="auto"/>
                <w:kern w:val="2"/>
                <w:highlight w:val="none"/>
                <w:lang w:val="en-US" w:eastAsia="zh-CN"/>
              </w:rPr>
            </w:pPr>
            <w:r>
              <w:rPr>
                <w:rFonts w:hint="default" w:ascii="Times New Roman" w:hAnsi="Times New Roman" w:eastAsia="宋体" w:cs="Times New Roman"/>
                <w:b/>
                <w:bCs/>
                <w:color w:val="auto"/>
                <w:kern w:val="2"/>
                <w:highlight w:val="none"/>
                <w:lang w:eastAsia="zh-CN"/>
              </w:rPr>
              <w:t>表</w:t>
            </w:r>
            <w:r>
              <w:rPr>
                <w:rFonts w:hint="eastAsia" w:ascii="Times New Roman" w:hAnsi="Times New Roman" w:cs="Times New Roman"/>
                <w:b/>
                <w:bCs/>
                <w:color w:val="auto"/>
                <w:kern w:val="2"/>
                <w:highlight w:val="none"/>
                <w:lang w:val="en-US" w:eastAsia="zh-CN"/>
              </w:rPr>
              <w:t>4-</w:t>
            </w:r>
            <w:r>
              <w:rPr>
                <w:rFonts w:hint="eastAsia" w:ascii="Times New Roman" w:cs="Times New Roman"/>
                <w:b/>
                <w:bCs/>
                <w:color w:val="auto"/>
                <w:kern w:val="2"/>
                <w:highlight w:val="none"/>
                <w:lang w:val="en-US" w:eastAsia="zh-CN"/>
              </w:rPr>
              <w:t>15</w:t>
            </w:r>
            <w:r>
              <w:rPr>
                <w:rFonts w:hint="default" w:ascii="Times New Roman" w:hAnsi="Times New Roman" w:eastAsia="宋体" w:cs="Times New Roman"/>
                <w:b/>
                <w:bCs/>
                <w:color w:val="auto"/>
                <w:kern w:val="2"/>
                <w:highlight w:val="none"/>
                <w:lang w:val="en-US" w:eastAsia="zh-CN"/>
              </w:rPr>
              <w:t xml:space="preserve">  </w:t>
            </w:r>
            <w:r>
              <w:rPr>
                <w:rFonts w:hint="eastAsia" w:ascii="Times New Roman" w:cs="Times New Roman"/>
                <w:b/>
                <w:bCs/>
                <w:color w:val="auto"/>
                <w:kern w:val="2"/>
                <w:highlight w:val="none"/>
                <w:lang w:val="en-US" w:eastAsia="zh-CN"/>
              </w:rPr>
              <w:t>风险</w:t>
            </w:r>
            <w:r>
              <w:rPr>
                <w:rFonts w:hint="default" w:ascii="Times New Roman" w:hAnsi="Times New Roman" w:eastAsia="宋体" w:cs="Times New Roman"/>
                <w:b/>
                <w:bCs/>
                <w:color w:val="auto"/>
                <w:kern w:val="2"/>
                <w:highlight w:val="none"/>
                <w:lang w:val="en-US" w:eastAsia="zh-CN"/>
              </w:rPr>
              <w:t>物质及分布</w:t>
            </w:r>
            <w:r>
              <w:rPr>
                <w:rFonts w:hint="default" w:ascii="Times New Roman" w:hAnsi="Times New Roman" w:cs="Times New Roman"/>
                <w:b/>
                <w:bCs/>
                <w:color w:val="auto"/>
                <w:kern w:val="2"/>
                <w:highlight w:val="none"/>
                <w:lang w:val="en-US" w:eastAsia="zh-CN"/>
              </w:rPr>
              <w:t>情况</w:t>
            </w:r>
          </w:p>
          <w:tbl>
            <w:tblPr>
              <w:tblStyle w:val="22"/>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512"/>
              <w:gridCol w:w="1201"/>
              <w:gridCol w:w="1401"/>
              <w:gridCol w:w="1602"/>
              <w:gridCol w:w="1317"/>
              <w:gridCol w:w="110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387" w:hRule="atLeast"/>
                <w:jc w:val="center"/>
              </w:trPr>
              <w:tc>
                <w:tcPr>
                  <w:tcW w:w="929" w:type="pct"/>
                  <w:noWrap w:val="0"/>
                  <w:vAlign w:val="center"/>
                </w:tcPr>
                <w:p>
                  <w:pPr>
                    <w:pStyle w:val="48"/>
                    <w:bidi w:val="0"/>
                    <w:rPr>
                      <w:rFonts w:hint="default" w:ascii="Times New Roman" w:hAnsi="Times New Roman" w:cs="Times New Roman"/>
                      <w:color w:val="auto"/>
                      <w:sz w:val="21"/>
                      <w:szCs w:val="21"/>
                      <w:highlight w:val="none"/>
                      <w:lang w:val="en-US" w:eastAsia="zh-CN" w:bidi="ar-SA"/>
                    </w:rPr>
                  </w:pPr>
                  <w:r>
                    <w:rPr>
                      <w:rFonts w:hint="default" w:ascii="Times New Roman" w:hAnsi="Times New Roman" w:cs="Times New Roman"/>
                      <w:color w:val="auto"/>
                      <w:sz w:val="21"/>
                      <w:szCs w:val="21"/>
                      <w:highlight w:val="none"/>
                      <w:lang w:val="en-US" w:eastAsia="zh-CN" w:bidi="ar-SA"/>
                    </w:rPr>
                    <w:t>危险物质</w:t>
                  </w:r>
                </w:p>
              </w:tc>
              <w:tc>
                <w:tcPr>
                  <w:tcW w:w="738" w:type="pct"/>
                  <w:noWrap w:val="0"/>
                  <w:vAlign w:val="center"/>
                </w:tcPr>
                <w:p>
                  <w:pPr>
                    <w:pStyle w:val="48"/>
                    <w:bidi w:val="0"/>
                    <w:rPr>
                      <w:rFonts w:hint="default" w:ascii="Times New Roman" w:hAnsi="Times New Roman" w:cs="Times New Roman"/>
                      <w:color w:val="auto"/>
                      <w:sz w:val="21"/>
                      <w:szCs w:val="21"/>
                      <w:highlight w:val="none"/>
                      <w:lang w:val="en-US" w:eastAsia="zh-CN" w:bidi="ar-SA"/>
                    </w:rPr>
                  </w:pPr>
                  <w:r>
                    <w:rPr>
                      <w:rFonts w:hint="default" w:ascii="Times New Roman" w:hAnsi="Times New Roman" w:cs="Times New Roman"/>
                      <w:color w:val="auto"/>
                      <w:sz w:val="21"/>
                      <w:szCs w:val="21"/>
                      <w:highlight w:val="none"/>
                      <w:lang w:val="en-US" w:eastAsia="zh-CN" w:bidi="ar-SA"/>
                    </w:rPr>
                    <w:t>主要成分</w:t>
                  </w:r>
                </w:p>
              </w:tc>
              <w:tc>
                <w:tcPr>
                  <w:tcW w:w="861" w:type="pct"/>
                  <w:noWrap w:val="0"/>
                  <w:vAlign w:val="center"/>
                </w:tcPr>
                <w:p>
                  <w:pPr>
                    <w:pStyle w:val="48"/>
                    <w:bidi w:val="0"/>
                    <w:rPr>
                      <w:rFonts w:hint="default" w:ascii="Times New Roman" w:hAnsi="Times New Roman" w:cs="Times New Roman"/>
                      <w:color w:val="auto"/>
                      <w:sz w:val="21"/>
                      <w:szCs w:val="21"/>
                      <w:highlight w:val="none"/>
                      <w:lang w:val="en-US" w:eastAsia="zh-CN" w:bidi="ar-SA"/>
                    </w:rPr>
                  </w:pPr>
                  <w:r>
                    <w:rPr>
                      <w:rFonts w:hint="default" w:ascii="Times New Roman" w:hAnsi="Times New Roman" w:cs="Times New Roman"/>
                      <w:color w:val="auto"/>
                      <w:sz w:val="21"/>
                      <w:szCs w:val="21"/>
                      <w:highlight w:val="none"/>
                      <w:lang w:val="en-US" w:eastAsia="zh-CN" w:bidi="ar-SA"/>
                    </w:rPr>
                    <w:t>最大</w:t>
                  </w:r>
                  <w:r>
                    <w:rPr>
                      <w:rFonts w:hint="eastAsia" w:ascii="Times New Roman" w:cs="Times New Roman"/>
                      <w:color w:val="auto"/>
                      <w:sz w:val="21"/>
                      <w:szCs w:val="21"/>
                      <w:highlight w:val="none"/>
                      <w:lang w:val="en-US" w:eastAsia="zh-CN" w:bidi="ar-SA"/>
                    </w:rPr>
                    <w:t>存在</w:t>
                  </w:r>
                  <w:r>
                    <w:rPr>
                      <w:rFonts w:hint="default" w:ascii="Times New Roman" w:hAnsi="Times New Roman" w:cs="Times New Roman"/>
                      <w:color w:val="auto"/>
                      <w:sz w:val="21"/>
                      <w:szCs w:val="21"/>
                      <w:highlight w:val="none"/>
                      <w:lang w:val="en-US" w:eastAsia="zh-CN" w:bidi="ar-SA"/>
                    </w:rPr>
                    <w:t>量（t/a）</w:t>
                  </w:r>
                </w:p>
              </w:tc>
              <w:tc>
                <w:tcPr>
                  <w:tcW w:w="984" w:type="pct"/>
                  <w:noWrap w:val="0"/>
                  <w:vAlign w:val="center"/>
                </w:tcPr>
                <w:p>
                  <w:pPr>
                    <w:pStyle w:val="48"/>
                    <w:bidi w:val="0"/>
                    <w:rPr>
                      <w:rFonts w:hint="default" w:ascii="Times New Roman" w:hAnsi="Times New Roman" w:cs="Times New Roman"/>
                      <w:color w:val="auto"/>
                      <w:sz w:val="21"/>
                      <w:szCs w:val="21"/>
                      <w:highlight w:val="none"/>
                      <w:lang w:val="en-US" w:eastAsia="zh-CN" w:bidi="ar-SA"/>
                    </w:rPr>
                  </w:pPr>
                  <w:r>
                    <w:rPr>
                      <w:rFonts w:hint="default" w:ascii="Times New Roman" w:hAnsi="Times New Roman" w:cs="Times New Roman"/>
                      <w:color w:val="auto"/>
                      <w:sz w:val="21"/>
                      <w:szCs w:val="21"/>
                      <w:highlight w:val="none"/>
                      <w:lang w:val="en-US" w:eastAsia="zh-CN" w:bidi="ar-SA"/>
                    </w:rPr>
                    <w:t>储存方式</w:t>
                  </w:r>
                </w:p>
              </w:tc>
              <w:tc>
                <w:tcPr>
                  <w:tcW w:w="809" w:type="pct"/>
                  <w:noWrap w:val="0"/>
                  <w:vAlign w:val="center"/>
                </w:tcPr>
                <w:p>
                  <w:pPr>
                    <w:pStyle w:val="48"/>
                    <w:bidi w:val="0"/>
                    <w:rPr>
                      <w:rFonts w:hint="default" w:ascii="Times New Roman" w:hAnsi="Times New Roman" w:cs="Times New Roman"/>
                      <w:color w:val="auto"/>
                      <w:sz w:val="21"/>
                      <w:szCs w:val="21"/>
                      <w:highlight w:val="none"/>
                      <w:lang w:val="en-US" w:eastAsia="zh-CN" w:bidi="ar-SA"/>
                    </w:rPr>
                  </w:pPr>
                  <w:r>
                    <w:rPr>
                      <w:rFonts w:hint="default" w:ascii="Times New Roman" w:hAnsi="Times New Roman" w:cs="Times New Roman"/>
                      <w:color w:val="auto"/>
                      <w:sz w:val="21"/>
                      <w:szCs w:val="21"/>
                      <w:highlight w:val="none"/>
                      <w:lang w:val="en-US" w:eastAsia="zh-CN" w:bidi="ar-SA"/>
                    </w:rPr>
                    <w:t>临界量（t）</w:t>
                  </w:r>
                </w:p>
              </w:tc>
              <w:tc>
                <w:tcPr>
                  <w:tcW w:w="677" w:type="pct"/>
                  <w:noWrap w:val="0"/>
                  <w:vAlign w:val="center"/>
                </w:tcPr>
                <w:p>
                  <w:pPr>
                    <w:pStyle w:val="48"/>
                    <w:bidi w:val="0"/>
                    <w:rPr>
                      <w:rFonts w:hint="default" w:ascii="Times New Roman" w:hAnsi="Times New Roman" w:cs="Times New Roman"/>
                      <w:color w:val="auto"/>
                      <w:sz w:val="21"/>
                      <w:szCs w:val="21"/>
                      <w:highlight w:val="none"/>
                      <w:lang w:val="en-US" w:eastAsia="zh-CN" w:bidi="ar-SA"/>
                    </w:rPr>
                  </w:pPr>
                  <w:r>
                    <w:rPr>
                      <w:rFonts w:hint="default" w:ascii="Times New Roman" w:hAnsi="Times New Roman" w:cs="Times New Roman"/>
                      <w:color w:val="auto"/>
                      <w:sz w:val="21"/>
                      <w:szCs w:val="21"/>
                      <w:highlight w:val="none"/>
                      <w:lang w:val="en-US" w:eastAsia="zh-CN" w:bidi="ar-SA"/>
                    </w:rPr>
                    <w:t>Q</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4" w:hRule="atLeast"/>
                <w:jc w:val="center"/>
              </w:trPr>
              <w:tc>
                <w:tcPr>
                  <w:tcW w:w="929" w:type="pct"/>
                  <w:noWrap w:val="0"/>
                  <w:vAlign w:val="center"/>
                </w:tcPr>
                <w:p>
                  <w:pPr>
                    <w:pStyle w:val="48"/>
                    <w:bidi w:val="0"/>
                    <w:rPr>
                      <w:rFonts w:hint="default" w:ascii="Times New Roman" w:hAnsi="Times New Roman" w:cs="Times New Roman"/>
                      <w:color w:val="auto"/>
                      <w:sz w:val="21"/>
                      <w:szCs w:val="21"/>
                      <w:highlight w:val="none"/>
                      <w:lang w:val="en-US" w:eastAsia="zh-CN" w:bidi="ar-SA"/>
                    </w:rPr>
                  </w:pPr>
                  <w:r>
                    <w:rPr>
                      <w:rFonts w:hint="default" w:ascii="Times New Roman" w:hAnsi="Times New Roman" w:cs="Times New Roman"/>
                      <w:color w:val="auto"/>
                      <w:sz w:val="21"/>
                      <w:szCs w:val="21"/>
                      <w:highlight w:val="none"/>
                      <w:lang w:val="en-US" w:eastAsia="zh-CN" w:bidi="ar-SA"/>
                    </w:rPr>
                    <w:t>天然气</w:t>
                  </w:r>
                </w:p>
              </w:tc>
              <w:tc>
                <w:tcPr>
                  <w:tcW w:w="738" w:type="pct"/>
                  <w:noWrap w:val="0"/>
                  <w:vAlign w:val="center"/>
                </w:tcPr>
                <w:p>
                  <w:pPr>
                    <w:pStyle w:val="48"/>
                    <w:bidi w:val="0"/>
                    <w:rPr>
                      <w:rFonts w:hint="default" w:ascii="Times New Roman" w:hAnsi="Times New Roman" w:cs="Times New Roman"/>
                      <w:color w:val="auto"/>
                      <w:sz w:val="21"/>
                      <w:szCs w:val="21"/>
                      <w:highlight w:val="none"/>
                      <w:lang w:val="en-US" w:eastAsia="zh-CN" w:bidi="ar-SA"/>
                    </w:rPr>
                  </w:pPr>
                  <w:r>
                    <w:rPr>
                      <w:rFonts w:hint="default" w:ascii="Times New Roman" w:hAnsi="Times New Roman" w:cs="Times New Roman"/>
                      <w:color w:val="auto"/>
                      <w:sz w:val="21"/>
                      <w:szCs w:val="21"/>
                      <w:highlight w:val="none"/>
                      <w:lang w:val="en-US" w:eastAsia="zh-CN" w:bidi="ar-SA"/>
                    </w:rPr>
                    <w:t>甲烷</w:t>
                  </w:r>
                </w:p>
              </w:tc>
              <w:tc>
                <w:tcPr>
                  <w:tcW w:w="861" w:type="pct"/>
                  <w:noWrap w:val="0"/>
                  <w:vAlign w:val="center"/>
                </w:tcPr>
                <w:p>
                  <w:pPr>
                    <w:pStyle w:val="48"/>
                    <w:bidi w:val="0"/>
                    <w:rPr>
                      <w:rFonts w:hint="default" w:ascii="Times New Roman" w:hAnsi="Times New Roman" w:cs="Times New Roman"/>
                      <w:color w:val="auto"/>
                      <w:sz w:val="21"/>
                      <w:szCs w:val="21"/>
                      <w:highlight w:val="none"/>
                      <w:lang w:val="en-US" w:eastAsia="zh-CN" w:bidi="ar-SA"/>
                    </w:rPr>
                  </w:pPr>
                  <w:r>
                    <w:rPr>
                      <w:rFonts w:hint="default" w:ascii="Times New Roman" w:hAnsi="Times New Roman" w:cs="Times New Roman"/>
                      <w:color w:val="auto"/>
                      <w:sz w:val="21"/>
                      <w:szCs w:val="21"/>
                      <w:highlight w:val="none"/>
                      <w:lang w:val="en-US" w:eastAsia="zh-CN" w:bidi="ar-SA"/>
                    </w:rPr>
                    <w:t>0.05</w:t>
                  </w:r>
                </w:p>
              </w:tc>
              <w:tc>
                <w:tcPr>
                  <w:tcW w:w="984" w:type="pct"/>
                  <w:noWrap w:val="0"/>
                  <w:vAlign w:val="center"/>
                </w:tcPr>
                <w:p>
                  <w:pPr>
                    <w:pStyle w:val="48"/>
                    <w:bidi w:val="0"/>
                    <w:jc w:val="both"/>
                    <w:rPr>
                      <w:rFonts w:hint="default" w:ascii="Times New Roman" w:hAnsi="Times New Roman" w:cs="Times New Roman"/>
                      <w:color w:val="auto"/>
                      <w:sz w:val="21"/>
                      <w:szCs w:val="21"/>
                      <w:highlight w:val="none"/>
                      <w:lang w:val="en-US" w:eastAsia="zh-CN" w:bidi="ar-SA"/>
                    </w:rPr>
                  </w:pPr>
                  <w:r>
                    <w:rPr>
                      <w:rFonts w:hint="default" w:ascii="Times New Roman" w:hAnsi="Times New Roman" w:cs="Times New Roman"/>
                      <w:color w:val="auto"/>
                      <w:sz w:val="21"/>
                      <w:szCs w:val="21"/>
                      <w:highlight w:val="none"/>
                      <w:lang w:val="en-US" w:eastAsia="zh-CN" w:bidi="ar-SA"/>
                    </w:rPr>
                    <w:t>天然气管道内</w:t>
                  </w:r>
                </w:p>
              </w:tc>
              <w:tc>
                <w:tcPr>
                  <w:tcW w:w="809" w:type="pct"/>
                  <w:noWrap w:val="0"/>
                  <w:vAlign w:val="center"/>
                </w:tcPr>
                <w:p>
                  <w:pPr>
                    <w:pStyle w:val="48"/>
                    <w:bidi w:val="0"/>
                    <w:rPr>
                      <w:rFonts w:hint="default" w:ascii="Times New Roman" w:hAnsi="Times New Roman" w:cs="Times New Roman"/>
                      <w:color w:val="auto"/>
                      <w:sz w:val="21"/>
                      <w:szCs w:val="21"/>
                      <w:highlight w:val="none"/>
                      <w:lang w:val="en-US" w:eastAsia="zh-CN" w:bidi="ar-SA"/>
                    </w:rPr>
                  </w:pPr>
                  <w:r>
                    <w:rPr>
                      <w:rFonts w:hint="default" w:ascii="Times New Roman" w:hAnsi="Times New Roman" w:cs="Times New Roman"/>
                      <w:color w:val="auto"/>
                      <w:sz w:val="21"/>
                      <w:szCs w:val="21"/>
                      <w:highlight w:val="none"/>
                      <w:lang w:val="en-US" w:eastAsia="zh-CN" w:bidi="ar-SA"/>
                    </w:rPr>
                    <w:t>10</w:t>
                  </w:r>
                </w:p>
              </w:tc>
              <w:tc>
                <w:tcPr>
                  <w:tcW w:w="677" w:type="pct"/>
                  <w:noWrap w:val="0"/>
                  <w:vAlign w:val="center"/>
                </w:tcPr>
                <w:p>
                  <w:pPr>
                    <w:pStyle w:val="48"/>
                    <w:bidi w:val="0"/>
                    <w:rPr>
                      <w:rFonts w:hint="default" w:ascii="Times New Roman" w:hAnsi="Times New Roman" w:cs="Times New Roman"/>
                      <w:color w:val="auto"/>
                      <w:sz w:val="21"/>
                      <w:szCs w:val="21"/>
                      <w:highlight w:val="none"/>
                      <w:vertAlign w:val="superscript"/>
                      <w:lang w:val="en-US" w:eastAsia="zh-CN" w:bidi="ar-SA"/>
                    </w:rPr>
                  </w:pPr>
                  <w:r>
                    <w:rPr>
                      <w:rFonts w:hint="default" w:ascii="Times New Roman" w:hAnsi="Times New Roman" w:cs="Times New Roman"/>
                      <w:color w:val="auto"/>
                      <w:sz w:val="21"/>
                      <w:szCs w:val="21"/>
                      <w:highlight w:val="none"/>
                      <w:lang w:val="en-US" w:eastAsia="zh-CN" w:bidi="ar-SA"/>
                    </w:rPr>
                    <w:t>0.006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trHeight w:val="627" w:hRule="atLeast"/>
                <w:jc w:val="center"/>
              </w:trPr>
              <w:tc>
                <w:tcPr>
                  <w:tcW w:w="929" w:type="pct"/>
                  <w:shd w:val="clear" w:color="auto" w:fill="auto"/>
                  <w:noWrap w:val="0"/>
                  <w:vAlign w:val="center"/>
                </w:tcPr>
                <w:p>
                  <w:pPr>
                    <w:numPr>
                      <w:ilvl w:val="0"/>
                      <w:numId w:val="0"/>
                    </w:numPr>
                    <w:spacing w:line="240" w:lineRule="auto"/>
                    <w:ind w:left="0" w:leftChars="0" w:firstLine="0" w:firstLineChars="0"/>
                    <w:jc w:val="center"/>
                    <w:rPr>
                      <w:rFonts w:hint="default" w:ascii="Times New Roman" w:hAnsi="Times New Roman" w:eastAsia="宋体" w:cs="Times New Roman"/>
                      <w:b w:val="0"/>
                      <w:bCs/>
                      <w:color w:val="auto"/>
                      <w:kern w:val="2"/>
                      <w:sz w:val="21"/>
                      <w:szCs w:val="21"/>
                      <w:highlight w:val="none"/>
                      <w:vertAlign w:val="baseline"/>
                      <w:lang w:val="en-US" w:eastAsia="zh-CN" w:bidi="ar-SA"/>
                    </w:rPr>
                  </w:pPr>
                  <w:r>
                    <w:rPr>
                      <w:rFonts w:hint="default" w:ascii="Times New Roman" w:hAnsi="Times New Roman" w:eastAsia="宋体" w:cs="Times New Roman"/>
                      <w:b w:val="0"/>
                      <w:bCs/>
                      <w:color w:val="auto"/>
                      <w:kern w:val="2"/>
                      <w:sz w:val="21"/>
                      <w:szCs w:val="21"/>
                      <w:highlight w:val="none"/>
                      <w:vertAlign w:val="baseline"/>
                      <w:lang w:val="en-US" w:eastAsia="zh-CN" w:bidi="ar-SA"/>
                    </w:rPr>
                    <w:t>废</w:t>
                  </w:r>
                  <w:r>
                    <w:rPr>
                      <w:rFonts w:hint="default" w:ascii="Times New Roman" w:hAnsi="Times New Roman" w:cs="Times New Roman"/>
                      <w:b w:val="0"/>
                      <w:bCs/>
                      <w:color w:val="auto"/>
                      <w:kern w:val="2"/>
                      <w:sz w:val="21"/>
                      <w:szCs w:val="21"/>
                      <w:highlight w:val="none"/>
                      <w:lang w:val="en-US" w:eastAsia="zh-CN" w:bidi="ar-SA"/>
                    </w:rPr>
                    <w:t>机</w:t>
                  </w:r>
                  <w:r>
                    <w:rPr>
                      <w:rFonts w:hint="default" w:ascii="Times New Roman" w:hAnsi="Times New Roman" w:eastAsia="宋体" w:cs="Times New Roman"/>
                      <w:b w:val="0"/>
                      <w:bCs/>
                      <w:color w:val="auto"/>
                      <w:kern w:val="2"/>
                      <w:sz w:val="21"/>
                      <w:szCs w:val="21"/>
                      <w:highlight w:val="none"/>
                      <w:lang w:val="en-US" w:eastAsia="zh-CN" w:bidi="ar-SA"/>
                    </w:rPr>
                    <w:t>油</w:t>
                  </w:r>
                </w:p>
              </w:tc>
              <w:tc>
                <w:tcPr>
                  <w:tcW w:w="738" w:type="pct"/>
                  <w:noWrap w:val="0"/>
                  <w:vAlign w:val="center"/>
                </w:tcPr>
                <w:p>
                  <w:pPr>
                    <w:pStyle w:val="48"/>
                    <w:bidi w:val="0"/>
                    <w:rPr>
                      <w:rFonts w:hint="default" w:ascii="Times New Roman" w:hAnsi="Times New Roman" w:cs="Times New Roman"/>
                      <w:color w:val="auto"/>
                      <w:sz w:val="21"/>
                      <w:szCs w:val="21"/>
                      <w:highlight w:val="none"/>
                      <w:lang w:val="en-US" w:eastAsia="zh-CN" w:bidi="ar-SA"/>
                    </w:rPr>
                  </w:pPr>
                  <w:r>
                    <w:rPr>
                      <w:rFonts w:hint="default" w:ascii="Times New Roman" w:hAnsi="Times New Roman" w:cs="Times New Roman"/>
                      <w:color w:val="auto"/>
                      <w:sz w:val="21"/>
                      <w:szCs w:val="21"/>
                      <w:highlight w:val="none"/>
                      <w:lang w:val="en-US" w:eastAsia="zh-CN" w:bidi="ar-SA"/>
                    </w:rPr>
                    <w:t>油类物质</w:t>
                  </w:r>
                </w:p>
              </w:tc>
              <w:tc>
                <w:tcPr>
                  <w:tcW w:w="861" w:type="pct"/>
                  <w:shd w:val="clear" w:color="auto" w:fill="auto"/>
                  <w:noWrap w:val="0"/>
                  <w:vAlign w:val="center"/>
                </w:tcPr>
                <w:p>
                  <w:pPr>
                    <w:pStyle w:val="48"/>
                    <w:bidi w:val="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0.0</w:t>
                  </w:r>
                  <w:r>
                    <w:rPr>
                      <w:rFonts w:hint="eastAsia" w:ascii="Times New Roman" w:cs="Times New Roman"/>
                      <w:color w:val="auto"/>
                      <w:sz w:val="21"/>
                      <w:szCs w:val="21"/>
                      <w:highlight w:val="none"/>
                      <w:lang w:val="en-US" w:eastAsia="zh-CN" w:bidi="ar-SA"/>
                    </w:rPr>
                    <w:t>5</w:t>
                  </w:r>
                </w:p>
              </w:tc>
              <w:tc>
                <w:tcPr>
                  <w:tcW w:w="984" w:type="pct"/>
                  <w:noWrap w:val="0"/>
                  <w:vAlign w:val="center"/>
                </w:tcPr>
                <w:p>
                  <w:pPr>
                    <w:pStyle w:val="48"/>
                    <w:bidi w:val="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危废贮存点</w:t>
                  </w:r>
                </w:p>
              </w:tc>
              <w:tc>
                <w:tcPr>
                  <w:tcW w:w="809" w:type="pct"/>
                  <w:noWrap w:val="0"/>
                  <w:vAlign w:val="center"/>
                </w:tcPr>
                <w:p>
                  <w:pPr>
                    <w:pStyle w:val="65"/>
                    <w:bidi w:val="0"/>
                    <w:jc w:val="center"/>
                    <w:rPr>
                      <w:rFonts w:hint="default" w:ascii="Times New Roman" w:hAnsi="Times New Roman" w:cs="Times New Roman"/>
                      <w:color w:val="auto"/>
                      <w:sz w:val="21"/>
                      <w:szCs w:val="21"/>
                      <w:highlight w:val="none"/>
                      <w:lang w:val="en-US" w:eastAsia="zh-CN" w:bidi="ar-SA"/>
                    </w:rPr>
                  </w:pPr>
                  <w:r>
                    <w:rPr>
                      <w:rFonts w:hint="default" w:ascii="Times New Roman" w:hAnsi="Times New Roman" w:cs="Times New Roman"/>
                      <w:color w:val="auto"/>
                      <w:sz w:val="21"/>
                      <w:szCs w:val="21"/>
                      <w:highlight w:val="none"/>
                      <w:lang w:val="en-US" w:eastAsia="zh-CN" w:bidi="ar-SA"/>
                    </w:rPr>
                    <w:t>2500</w:t>
                  </w:r>
                </w:p>
              </w:tc>
              <w:tc>
                <w:tcPr>
                  <w:tcW w:w="677" w:type="pct"/>
                  <w:noWrap w:val="0"/>
                  <w:vAlign w:val="center"/>
                </w:tcPr>
                <w:p>
                  <w:pPr>
                    <w:pStyle w:val="48"/>
                    <w:bidi w:val="0"/>
                    <w:rPr>
                      <w:rFonts w:hint="default" w:ascii="Times New Roman" w:hAnsi="Times New Roman" w:cs="Times New Roman"/>
                      <w:color w:val="auto"/>
                      <w:sz w:val="21"/>
                      <w:szCs w:val="21"/>
                      <w:highlight w:val="none"/>
                      <w:vertAlign w:val="superscript"/>
                      <w:lang w:val="en-US" w:eastAsia="zh-CN" w:bidi="ar-SA"/>
                    </w:rPr>
                  </w:pPr>
                  <w:r>
                    <w:rPr>
                      <w:rFonts w:hint="eastAsia" w:ascii="Times New Roman" w:cs="Times New Roman"/>
                      <w:color w:val="auto"/>
                      <w:sz w:val="21"/>
                      <w:szCs w:val="21"/>
                      <w:highlight w:val="none"/>
                      <w:lang w:val="en-US" w:eastAsia="zh-CN" w:bidi="ar-SA"/>
                    </w:rPr>
                    <w:t>2</w:t>
                  </w:r>
                  <w:r>
                    <w:rPr>
                      <w:rFonts w:hint="default" w:ascii="Times New Roman" w:hAnsi="Times New Roman" w:cs="Times New Roman"/>
                      <w:color w:val="auto"/>
                      <w:sz w:val="21"/>
                      <w:szCs w:val="21"/>
                      <w:highlight w:val="none"/>
                      <w:lang w:val="en-US" w:eastAsia="zh-CN" w:bidi="ar-SA"/>
                    </w:rPr>
                    <w:t>×10</w:t>
                  </w:r>
                  <w:r>
                    <w:rPr>
                      <w:rFonts w:hint="default" w:ascii="Times New Roman" w:hAnsi="Times New Roman" w:cs="Times New Roman"/>
                      <w:color w:val="auto"/>
                      <w:sz w:val="21"/>
                      <w:szCs w:val="21"/>
                      <w:highlight w:val="none"/>
                      <w:vertAlign w:val="superscript"/>
                      <w:lang w:val="en-US" w:eastAsia="zh-CN" w:bidi="ar-SA"/>
                    </w:rPr>
                    <w:t>-</w:t>
                  </w:r>
                  <w:r>
                    <w:rPr>
                      <w:rFonts w:hint="eastAsia" w:ascii="Times New Roman" w:cs="Times New Roman"/>
                      <w:color w:val="auto"/>
                      <w:sz w:val="21"/>
                      <w:szCs w:val="21"/>
                      <w:highlight w:val="none"/>
                      <w:vertAlign w:val="superscript"/>
                      <w:lang w:val="en-US" w:eastAsia="zh-CN" w:bidi="ar-SA"/>
                    </w:rPr>
                    <w:t>5</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2" w:hRule="atLeast"/>
                <w:jc w:val="center"/>
              </w:trPr>
              <w:tc>
                <w:tcPr>
                  <w:tcW w:w="929" w:type="pct"/>
                  <w:shd w:val="clear" w:color="auto" w:fill="auto"/>
                  <w:noWrap w:val="0"/>
                  <w:vAlign w:val="center"/>
                </w:tcPr>
                <w:p>
                  <w:pPr>
                    <w:numPr>
                      <w:ilvl w:val="0"/>
                      <w:numId w:val="0"/>
                    </w:numPr>
                    <w:spacing w:line="240" w:lineRule="auto"/>
                    <w:ind w:left="0" w:leftChars="0" w:firstLine="0" w:firstLineChars="0"/>
                    <w:jc w:val="center"/>
                    <w:rPr>
                      <w:rFonts w:hint="default" w:ascii="Times New Roman" w:hAnsi="Times New Roman" w:eastAsia="宋体" w:cs="Times New Roman"/>
                      <w:b w:val="0"/>
                      <w:bCs/>
                      <w:color w:val="auto"/>
                      <w:kern w:val="2"/>
                      <w:sz w:val="21"/>
                      <w:szCs w:val="21"/>
                      <w:highlight w:val="none"/>
                      <w:vertAlign w:val="baseline"/>
                      <w:lang w:val="en-US" w:eastAsia="zh-CN" w:bidi="ar-SA"/>
                    </w:rPr>
                  </w:pPr>
                  <w:r>
                    <w:rPr>
                      <w:rFonts w:hint="default" w:ascii="Times New Roman" w:hAnsi="Times New Roman" w:eastAsia="宋体" w:cs="Times New Roman"/>
                      <w:b w:val="0"/>
                      <w:bCs/>
                      <w:color w:val="auto"/>
                      <w:kern w:val="2"/>
                      <w:sz w:val="21"/>
                      <w:szCs w:val="21"/>
                      <w:highlight w:val="none"/>
                      <w:vertAlign w:val="baseline"/>
                      <w:lang w:val="en-US" w:eastAsia="zh-CN" w:bidi="ar-SA"/>
                    </w:rPr>
                    <w:t>废</w:t>
                  </w:r>
                  <w:r>
                    <w:rPr>
                      <w:rFonts w:hint="default" w:ascii="Times New Roman" w:hAnsi="Times New Roman" w:eastAsia="宋体" w:cs="Times New Roman"/>
                      <w:b w:val="0"/>
                      <w:bCs/>
                      <w:color w:val="auto"/>
                      <w:kern w:val="2"/>
                      <w:sz w:val="21"/>
                      <w:szCs w:val="21"/>
                      <w:highlight w:val="none"/>
                      <w:lang w:val="en-US" w:eastAsia="zh-CN" w:bidi="ar-SA"/>
                    </w:rPr>
                    <w:t>油桶</w:t>
                  </w:r>
                </w:p>
              </w:tc>
              <w:tc>
                <w:tcPr>
                  <w:tcW w:w="738" w:type="pct"/>
                  <w:noWrap w:val="0"/>
                  <w:vAlign w:val="center"/>
                </w:tcPr>
                <w:p>
                  <w:pPr>
                    <w:pStyle w:val="48"/>
                    <w:bidi w:val="0"/>
                    <w:rPr>
                      <w:rFonts w:hint="default" w:ascii="Times New Roman" w:hAnsi="Times New Roman" w:cs="Times New Roman"/>
                      <w:color w:val="auto"/>
                      <w:sz w:val="21"/>
                      <w:szCs w:val="21"/>
                      <w:highlight w:val="none"/>
                      <w:lang w:val="en-US" w:eastAsia="zh-CN" w:bidi="ar-SA"/>
                    </w:rPr>
                  </w:pPr>
                  <w:r>
                    <w:rPr>
                      <w:rFonts w:hint="default" w:ascii="Times New Roman" w:hAnsi="Times New Roman" w:cs="Times New Roman"/>
                      <w:color w:val="auto"/>
                      <w:sz w:val="21"/>
                      <w:szCs w:val="21"/>
                      <w:highlight w:val="none"/>
                      <w:lang w:val="en-US" w:eastAsia="zh-CN" w:bidi="ar-SA"/>
                    </w:rPr>
                    <w:t>油类物质</w:t>
                  </w:r>
                </w:p>
              </w:tc>
              <w:tc>
                <w:tcPr>
                  <w:tcW w:w="861" w:type="pct"/>
                  <w:shd w:val="clear" w:color="auto" w:fill="auto"/>
                  <w:noWrap w:val="0"/>
                  <w:vAlign w:val="center"/>
                </w:tcPr>
                <w:p>
                  <w:pPr>
                    <w:pStyle w:val="48"/>
                    <w:bidi w:val="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0.0</w:t>
                  </w:r>
                  <w:r>
                    <w:rPr>
                      <w:rFonts w:hint="default" w:ascii="Times New Roman" w:hAnsi="Times New Roman" w:cs="Times New Roman"/>
                      <w:color w:val="auto"/>
                      <w:sz w:val="21"/>
                      <w:szCs w:val="21"/>
                      <w:highlight w:val="none"/>
                      <w:lang w:val="en-US" w:eastAsia="zh-CN" w:bidi="ar-SA"/>
                    </w:rPr>
                    <w:t>05（沾染的油品）</w:t>
                  </w:r>
                </w:p>
              </w:tc>
              <w:tc>
                <w:tcPr>
                  <w:tcW w:w="984" w:type="pct"/>
                  <w:noWrap w:val="0"/>
                  <w:vAlign w:val="center"/>
                </w:tcPr>
                <w:p>
                  <w:pPr>
                    <w:pStyle w:val="48"/>
                    <w:bidi w:val="0"/>
                    <w:rPr>
                      <w:rFonts w:hint="default" w:ascii="Times New Roman" w:hAnsi="Times New Roman" w:eastAsia="宋体" w:cs="Times New Roman"/>
                      <w:color w:val="auto"/>
                      <w:sz w:val="21"/>
                      <w:szCs w:val="21"/>
                      <w:highlight w:val="none"/>
                      <w:lang w:val="en-US" w:eastAsia="zh-CN" w:bidi="ar-SA"/>
                    </w:rPr>
                  </w:pPr>
                  <w:r>
                    <w:rPr>
                      <w:rFonts w:hint="default" w:ascii="Times New Roman" w:hAnsi="Times New Roman" w:eastAsia="宋体" w:cs="Times New Roman"/>
                      <w:color w:val="auto"/>
                      <w:sz w:val="21"/>
                      <w:szCs w:val="21"/>
                      <w:highlight w:val="none"/>
                      <w:lang w:val="en-US" w:eastAsia="zh-CN" w:bidi="ar-SA"/>
                    </w:rPr>
                    <w:t>危废贮存点</w:t>
                  </w:r>
                </w:p>
              </w:tc>
              <w:tc>
                <w:tcPr>
                  <w:tcW w:w="809" w:type="pct"/>
                  <w:noWrap w:val="0"/>
                  <w:vAlign w:val="center"/>
                </w:tcPr>
                <w:p>
                  <w:pPr>
                    <w:pStyle w:val="65"/>
                    <w:bidi w:val="0"/>
                    <w:jc w:val="center"/>
                    <w:rPr>
                      <w:rFonts w:hint="default" w:ascii="Times New Roman" w:hAnsi="Times New Roman" w:cs="Times New Roman"/>
                      <w:color w:val="auto"/>
                      <w:sz w:val="21"/>
                      <w:szCs w:val="21"/>
                      <w:highlight w:val="none"/>
                      <w:lang w:val="en-US" w:eastAsia="zh-CN" w:bidi="ar-SA"/>
                    </w:rPr>
                  </w:pPr>
                  <w:r>
                    <w:rPr>
                      <w:rFonts w:hint="default" w:ascii="Times New Roman" w:hAnsi="Times New Roman" w:cs="Times New Roman"/>
                      <w:color w:val="auto"/>
                      <w:sz w:val="21"/>
                      <w:szCs w:val="21"/>
                      <w:highlight w:val="none"/>
                      <w:lang w:val="en-US" w:eastAsia="zh-CN" w:bidi="ar-SA"/>
                    </w:rPr>
                    <w:t>2500</w:t>
                  </w:r>
                </w:p>
              </w:tc>
              <w:tc>
                <w:tcPr>
                  <w:tcW w:w="677" w:type="pct"/>
                  <w:noWrap w:val="0"/>
                  <w:vAlign w:val="center"/>
                </w:tcPr>
                <w:p>
                  <w:pPr>
                    <w:pStyle w:val="48"/>
                    <w:bidi w:val="0"/>
                    <w:rPr>
                      <w:rFonts w:hint="default" w:ascii="Times New Roman" w:hAnsi="Times New Roman" w:cs="Times New Roman"/>
                      <w:color w:val="auto"/>
                      <w:sz w:val="21"/>
                      <w:szCs w:val="21"/>
                      <w:highlight w:val="none"/>
                      <w:lang w:val="en-US" w:eastAsia="zh-CN" w:bidi="ar-SA"/>
                    </w:rPr>
                  </w:pPr>
                  <w:r>
                    <w:rPr>
                      <w:rFonts w:hint="default" w:ascii="Times New Roman" w:hAnsi="Times New Roman" w:cs="Times New Roman"/>
                      <w:b w:val="0"/>
                      <w:bCs w:val="0"/>
                      <w:color w:val="auto"/>
                      <w:sz w:val="21"/>
                      <w:szCs w:val="21"/>
                      <w:highlight w:val="none"/>
                      <w:lang w:val="en-US" w:eastAsia="zh-CN" w:bidi="ar-SA"/>
                    </w:rPr>
                    <w:t>2×10</w:t>
                  </w:r>
                  <w:r>
                    <w:rPr>
                      <w:rFonts w:hint="default" w:ascii="Times New Roman" w:hAnsi="Times New Roman" w:cs="Times New Roman"/>
                      <w:b w:val="0"/>
                      <w:bCs w:val="0"/>
                      <w:color w:val="auto"/>
                      <w:sz w:val="21"/>
                      <w:szCs w:val="21"/>
                      <w:highlight w:val="none"/>
                      <w:vertAlign w:val="superscript"/>
                      <w:lang w:val="en-US" w:eastAsia="zh-CN" w:bidi="ar-SA"/>
                    </w:rPr>
                    <w:t>-6</w:t>
                  </w:r>
                </w:p>
              </w:tc>
            </w:tr>
          </w:tbl>
          <w:p>
            <w:pPr>
              <w:pStyle w:val="66"/>
              <w:keepNext w:val="0"/>
              <w:keepLines w:val="0"/>
              <w:pageBreakBefore w:val="0"/>
              <w:widowControl w:val="0"/>
              <w:kinsoku/>
              <w:wordWrap/>
              <w:overflowPunct/>
              <w:topLinePunct w:val="0"/>
              <w:bidi w:val="0"/>
              <w:snapToGrid/>
              <w:spacing w:line="360" w:lineRule="auto"/>
              <w:ind w:firstLine="422" w:firstLineChars="200"/>
              <w:jc w:val="both"/>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eastAsia="宋体" w:cs="Times New Roman"/>
                <w:b/>
                <w:bCs/>
                <w:color w:val="auto"/>
                <w:sz w:val="21"/>
                <w:szCs w:val="21"/>
                <w:highlight w:val="none"/>
                <w:lang w:val="en-US" w:eastAsia="zh-CN"/>
              </w:rPr>
              <w:t>6.2</w:t>
            </w:r>
            <w:r>
              <w:rPr>
                <w:rFonts w:hint="default" w:ascii="Times New Roman" w:hAnsi="Times New Roman" w:eastAsia="宋体" w:cs="Times New Roman"/>
                <w:b/>
                <w:bCs/>
                <w:color w:val="auto"/>
                <w:sz w:val="21"/>
                <w:szCs w:val="21"/>
                <w:highlight w:val="none"/>
                <w:lang w:val="en-US" w:eastAsia="zh-CN"/>
              </w:rPr>
              <w:t>风险事故和影响途径分析</w:t>
            </w:r>
          </w:p>
          <w:p>
            <w:pPr>
              <w:keepNext w:val="0"/>
              <w:keepLines w:val="0"/>
              <w:pageBreakBefore w:val="0"/>
              <w:widowControl w:val="0"/>
              <w:kinsoku/>
              <w:overflowPunct/>
              <w:topLinePunct w:val="0"/>
              <w:bidi w:val="0"/>
              <w:spacing w:line="360" w:lineRule="auto"/>
              <w:ind w:firstLine="420" w:firstLineChars="200"/>
              <w:jc w:val="both"/>
              <w:textAlignment w:val="auto"/>
              <w:rPr>
                <w:rFonts w:hint="eastAsia" w:asci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根据项目内容，本工程可能发生风险事故的主要生产单元为</w:t>
            </w:r>
            <w:r>
              <w:rPr>
                <w:rFonts w:hint="eastAsia" w:ascii="Times New Roman" w:cs="Times New Roman"/>
                <w:b w:val="0"/>
                <w:bCs w:val="0"/>
                <w:color w:val="auto"/>
                <w:sz w:val="21"/>
                <w:szCs w:val="21"/>
                <w:highlight w:val="none"/>
                <w:lang w:val="en-US" w:eastAsia="zh-CN"/>
              </w:rPr>
              <w:t>车间内</w:t>
            </w:r>
            <w:r>
              <w:rPr>
                <w:rFonts w:hint="eastAsia" w:cs="Times New Roman"/>
                <w:b w:val="0"/>
                <w:bCs w:val="0"/>
                <w:color w:val="auto"/>
                <w:sz w:val="21"/>
                <w:szCs w:val="21"/>
                <w:highlight w:val="none"/>
                <w:lang w:val="en-US" w:eastAsia="zh-CN"/>
              </w:rPr>
              <w:t>锅炉</w:t>
            </w:r>
            <w:r>
              <w:rPr>
                <w:rFonts w:hint="eastAsia" w:ascii="Times New Roman" w:cs="Times New Roman"/>
                <w:b w:val="0"/>
                <w:bCs w:val="0"/>
                <w:color w:val="auto"/>
                <w:sz w:val="21"/>
                <w:szCs w:val="21"/>
                <w:highlight w:val="none"/>
                <w:lang w:val="en-US" w:eastAsia="zh-CN"/>
              </w:rPr>
              <w:t>机组和危废贮存点。</w:t>
            </w:r>
          </w:p>
          <w:p>
            <w:pPr>
              <w:keepNext w:val="0"/>
              <w:keepLines w:val="0"/>
              <w:pageBreakBefore w:val="0"/>
              <w:widowControl w:val="0"/>
              <w:kinsoku/>
              <w:overflowPunct/>
              <w:topLinePunct w:val="0"/>
              <w:bidi w:val="0"/>
              <w:spacing w:line="360" w:lineRule="auto"/>
              <w:ind w:firstLine="420" w:firstLineChars="200"/>
              <w:jc w:val="both"/>
              <w:textAlignment w:val="auto"/>
              <w:rPr>
                <w:rFonts w:hint="default" w:ascii="Times New Roman" w:cs="Times New Roman"/>
                <w:b w:val="0"/>
                <w:bCs w:val="0"/>
                <w:color w:val="auto"/>
                <w:sz w:val="21"/>
                <w:szCs w:val="21"/>
                <w:highlight w:val="none"/>
                <w:lang w:val="en-US" w:eastAsia="zh-CN"/>
              </w:rPr>
            </w:pPr>
            <w:r>
              <w:rPr>
                <w:rFonts w:hint="eastAsia" w:cs="Times New Roman"/>
                <w:b w:val="0"/>
                <w:bCs w:val="0"/>
                <w:color w:val="auto"/>
                <w:sz w:val="21"/>
                <w:szCs w:val="21"/>
                <w:highlight w:val="none"/>
                <w:lang w:val="en-US" w:eastAsia="zh-CN"/>
              </w:rPr>
              <w:t>（1）危废贮存点</w:t>
            </w:r>
          </w:p>
          <w:p>
            <w:pPr>
              <w:keepNext w:val="0"/>
              <w:keepLines w:val="0"/>
              <w:pageBreakBefore w:val="0"/>
              <w:widowControl w:val="0"/>
              <w:kinsoku/>
              <w:overflowPunct/>
              <w:topLinePunct w:val="0"/>
              <w:bidi w:val="0"/>
              <w:spacing w:line="360" w:lineRule="auto"/>
              <w:ind w:firstLine="420" w:firstLineChars="200"/>
              <w:jc w:val="both"/>
              <w:textAlignment w:val="auto"/>
              <w:rPr>
                <w:rFonts w:hint="eastAsia" w:eastAsia="宋体" w:cs="Times New Roman"/>
                <w:b w:val="0"/>
                <w:bCs/>
                <w:color w:val="auto"/>
                <w:kern w:val="2"/>
                <w:sz w:val="21"/>
                <w:szCs w:val="21"/>
                <w:highlight w:val="none"/>
                <w:lang w:val="en-US" w:eastAsia="zh-CN" w:bidi="ar-SA"/>
              </w:rPr>
            </w:pPr>
            <w:r>
              <w:rPr>
                <w:rFonts w:hint="eastAsia" w:ascii="Times New Roman" w:cs="Times New Roman"/>
                <w:b w:val="0"/>
                <w:bCs w:val="0"/>
                <w:color w:val="auto"/>
                <w:sz w:val="21"/>
                <w:szCs w:val="21"/>
                <w:highlight w:val="none"/>
                <w:lang w:val="en-US" w:eastAsia="zh-CN"/>
              </w:rPr>
              <w:t>当</w:t>
            </w:r>
            <w:r>
              <w:rPr>
                <w:rFonts w:hint="default" w:ascii="Times New Roman" w:hAnsi="Times New Roman" w:eastAsia="宋体" w:cs="Times New Roman"/>
                <w:b w:val="0"/>
                <w:bCs/>
                <w:color w:val="auto"/>
                <w:kern w:val="2"/>
                <w:sz w:val="21"/>
                <w:szCs w:val="21"/>
                <w:highlight w:val="none"/>
                <w:lang w:val="en-US" w:eastAsia="zh-CN" w:bidi="ar-SA"/>
              </w:rPr>
              <w:t>储油</w:t>
            </w:r>
            <w:r>
              <w:rPr>
                <w:rFonts w:hint="eastAsia" w:cs="Times New Roman"/>
                <w:b w:val="0"/>
                <w:bCs/>
                <w:color w:val="auto"/>
                <w:kern w:val="2"/>
                <w:sz w:val="21"/>
                <w:szCs w:val="21"/>
                <w:highlight w:val="none"/>
                <w:lang w:val="en-US" w:eastAsia="zh-CN" w:bidi="ar-SA"/>
              </w:rPr>
              <w:t>桶</w:t>
            </w:r>
            <w:r>
              <w:rPr>
                <w:rFonts w:hint="default" w:ascii="Times New Roman" w:hAnsi="Times New Roman" w:eastAsia="宋体" w:cs="Times New Roman"/>
                <w:b w:val="0"/>
                <w:bCs/>
                <w:color w:val="auto"/>
                <w:kern w:val="2"/>
                <w:sz w:val="21"/>
                <w:szCs w:val="21"/>
                <w:highlight w:val="none"/>
                <w:lang w:val="en-US" w:eastAsia="zh-CN" w:bidi="ar-SA"/>
              </w:rPr>
              <w:t>由于密封接口处损坏</w:t>
            </w:r>
            <w:r>
              <w:rPr>
                <w:rFonts w:hint="eastAsia" w:eastAsia="宋体" w:cs="Times New Roman"/>
                <w:b w:val="0"/>
                <w:bCs/>
                <w:color w:val="auto"/>
                <w:kern w:val="2"/>
                <w:sz w:val="21"/>
                <w:szCs w:val="21"/>
                <w:highlight w:val="none"/>
                <w:lang w:val="en-US" w:eastAsia="zh-CN" w:bidi="ar-SA"/>
              </w:rPr>
              <w:t>或员</w:t>
            </w:r>
            <w:r>
              <w:rPr>
                <w:rFonts w:hint="default" w:ascii="Times New Roman" w:hAnsi="Times New Roman" w:eastAsia="宋体" w:cs="Times New Roman"/>
                <w:b w:val="0"/>
                <w:bCs/>
                <w:color w:val="auto"/>
                <w:kern w:val="2"/>
                <w:sz w:val="21"/>
                <w:szCs w:val="21"/>
                <w:highlight w:val="none"/>
                <w:lang w:val="en-US" w:eastAsia="zh-CN" w:bidi="ar-SA"/>
              </w:rPr>
              <w:t>工失误操作</w:t>
            </w:r>
            <w:r>
              <w:rPr>
                <w:rFonts w:hint="eastAsia" w:ascii="Times New Roman" w:hAnsi="Times New Roman" w:eastAsia="宋体" w:cs="Times New Roman"/>
                <w:b w:val="0"/>
                <w:bCs/>
                <w:color w:val="auto"/>
                <w:kern w:val="2"/>
                <w:sz w:val="21"/>
                <w:szCs w:val="21"/>
                <w:highlight w:val="none"/>
                <w:lang w:val="en-US" w:eastAsia="zh-CN" w:bidi="ar-SA"/>
              </w:rPr>
              <w:t>会导致危废贮存点内危险废物发生泄漏，</w:t>
            </w:r>
            <w:r>
              <w:rPr>
                <w:rFonts w:hint="default" w:ascii="Times New Roman" w:hAnsi="Times New Roman" w:eastAsia="宋体" w:cs="Times New Roman"/>
                <w:b w:val="0"/>
                <w:bCs/>
                <w:color w:val="auto"/>
                <w:kern w:val="2"/>
                <w:sz w:val="21"/>
                <w:szCs w:val="21"/>
                <w:highlight w:val="none"/>
                <w:lang w:val="en-US" w:eastAsia="zh-CN" w:bidi="ar-SA"/>
              </w:rPr>
              <w:t>溢流或入渗流入地表或地下，污染水体及土壤</w:t>
            </w:r>
            <w:r>
              <w:rPr>
                <w:rFonts w:hint="eastAsia" w:eastAsia="宋体" w:cs="Times New Roman"/>
                <w:b w:val="0"/>
                <w:bCs/>
                <w:color w:val="auto"/>
                <w:kern w:val="2"/>
                <w:sz w:val="21"/>
                <w:szCs w:val="21"/>
                <w:highlight w:val="none"/>
                <w:lang w:val="en-US" w:eastAsia="zh-CN" w:bidi="ar-SA"/>
              </w:rPr>
              <w:t>。</w:t>
            </w:r>
          </w:p>
          <w:p>
            <w:pPr>
              <w:keepNext w:val="0"/>
              <w:keepLines w:val="0"/>
              <w:pageBreakBefore w:val="0"/>
              <w:widowControl w:val="0"/>
              <w:kinsoku/>
              <w:overflowPunct/>
              <w:topLinePunct w:val="0"/>
              <w:bidi w:val="0"/>
              <w:spacing w:line="360" w:lineRule="auto"/>
              <w:ind w:firstLine="420" w:firstLineChars="200"/>
              <w:jc w:val="both"/>
              <w:textAlignment w:val="auto"/>
              <w:rPr>
                <w:rFonts w:hint="default" w:eastAsia="宋体" w:cs="Times New Roman"/>
                <w:b w:val="0"/>
                <w:bCs/>
                <w:color w:val="auto"/>
                <w:kern w:val="2"/>
                <w:sz w:val="21"/>
                <w:szCs w:val="21"/>
                <w:highlight w:val="none"/>
                <w:lang w:val="en-US" w:eastAsia="zh-CN" w:bidi="ar-SA"/>
              </w:rPr>
            </w:pPr>
            <w:r>
              <w:rPr>
                <w:rFonts w:hint="eastAsia" w:eastAsia="宋体" w:cs="Times New Roman"/>
                <w:b w:val="0"/>
                <w:bCs/>
                <w:color w:val="auto"/>
                <w:kern w:val="2"/>
                <w:sz w:val="21"/>
                <w:szCs w:val="21"/>
                <w:highlight w:val="none"/>
                <w:lang w:val="en-US" w:eastAsia="zh-CN" w:bidi="ar-SA"/>
              </w:rPr>
              <w:t>本项目危废贮存点进行重点防渗处理，</w:t>
            </w:r>
            <w:r>
              <w:rPr>
                <w:rFonts w:hint="eastAsia" w:ascii="Times New Roman" w:hAnsi="Times New Roman" w:cs="Times New Roman"/>
                <w:b w:val="0"/>
                <w:bCs w:val="0"/>
                <w:color w:val="auto"/>
                <w:sz w:val="21"/>
                <w:szCs w:val="21"/>
                <w:highlight w:val="none"/>
                <w:lang w:val="en-US" w:eastAsia="zh-CN"/>
              </w:rPr>
              <w:t>正常工况下不存在土壤、地下水污染途径，</w:t>
            </w:r>
            <w:r>
              <w:rPr>
                <w:rFonts w:hint="default" w:ascii="Times New Roman" w:hAnsi="Times New Roman" w:cs="Times New Roman" w:eastAsiaTheme="minorEastAsia"/>
                <w:color w:val="auto"/>
                <w:sz w:val="21"/>
                <w:szCs w:val="21"/>
                <w:highlight w:val="none"/>
              </w:rPr>
              <w:t>危险废物贮存满足《危险废物贮存污染控制标准》</w:t>
            </w:r>
            <w:r>
              <w:rPr>
                <w:rFonts w:hint="default" w:ascii="Times New Roman" w:hAnsi="Times New Roman" w:cs="Times New Roman" w:eastAsiaTheme="minorEastAsia"/>
                <w:color w:val="auto"/>
                <w:sz w:val="21"/>
                <w:szCs w:val="21"/>
                <w:highlight w:val="none"/>
                <w:lang w:val="en-US" w:eastAsia="zh-CN"/>
              </w:rPr>
              <w:t>（</w:t>
            </w:r>
            <w:r>
              <w:rPr>
                <w:rFonts w:hint="default" w:ascii="Times New Roman" w:hAnsi="Times New Roman" w:cs="Times New Roman" w:eastAsiaTheme="minorEastAsia"/>
                <w:color w:val="auto"/>
                <w:sz w:val="21"/>
                <w:szCs w:val="21"/>
                <w:highlight w:val="none"/>
              </w:rPr>
              <w:t>GB18597-20</w:t>
            </w:r>
            <w:r>
              <w:rPr>
                <w:rFonts w:hint="default" w:ascii="Times New Roman" w:hAnsi="Times New Roman" w:cs="Times New Roman" w:eastAsiaTheme="minorEastAsia"/>
                <w:color w:val="auto"/>
                <w:sz w:val="21"/>
                <w:szCs w:val="21"/>
                <w:highlight w:val="none"/>
                <w:lang w:val="en-US" w:eastAsia="zh-CN"/>
              </w:rPr>
              <w:t>23）</w:t>
            </w:r>
            <w:r>
              <w:rPr>
                <w:rFonts w:hint="eastAsia" w:cs="Times New Roman" w:eastAsiaTheme="minorEastAsia"/>
                <w:color w:val="auto"/>
                <w:sz w:val="21"/>
                <w:szCs w:val="21"/>
                <w:highlight w:val="none"/>
                <w:lang w:val="en-US" w:eastAsia="zh-CN"/>
              </w:rPr>
              <w:t>要求</w:t>
            </w:r>
            <w:r>
              <w:rPr>
                <w:rFonts w:hint="eastAsia" w:ascii="Times New Roman" w:hAnsi="Times New Roman" w:cs="Times New Roman"/>
                <w:b w:val="0"/>
                <w:bCs w:val="0"/>
                <w:color w:val="auto"/>
                <w:sz w:val="21"/>
                <w:szCs w:val="21"/>
                <w:highlight w:val="none"/>
                <w:lang w:val="en-US" w:eastAsia="zh-CN"/>
              </w:rPr>
              <w:t>。</w:t>
            </w:r>
            <w:r>
              <w:rPr>
                <w:rFonts w:hint="eastAsia" w:eastAsia="宋体" w:cs="Times New Roman"/>
                <w:b w:val="0"/>
                <w:bCs/>
                <w:color w:val="auto"/>
                <w:kern w:val="2"/>
                <w:sz w:val="21"/>
                <w:szCs w:val="21"/>
                <w:highlight w:val="none"/>
                <w:lang w:val="en-US" w:eastAsia="zh-CN" w:bidi="ar-SA"/>
              </w:rPr>
              <w:t>一旦发现危险废物</w:t>
            </w:r>
            <w:r>
              <w:rPr>
                <w:rFonts w:hint="eastAsia" w:cs="Times New Roman"/>
                <w:b w:val="0"/>
                <w:bCs/>
                <w:color w:val="auto"/>
                <w:kern w:val="2"/>
                <w:sz w:val="21"/>
                <w:szCs w:val="21"/>
                <w:highlight w:val="none"/>
                <w:lang w:val="en-US" w:eastAsia="zh-CN" w:bidi="ar-SA"/>
              </w:rPr>
              <w:t>泄漏</w:t>
            </w:r>
            <w:r>
              <w:rPr>
                <w:rFonts w:hint="eastAsia" w:eastAsia="宋体" w:cs="Times New Roman"/>
                <w:b w:val="0"/>
                <w:bCs/>
                <w:color w:val="auto"/>
                <w:kern w:val="2"/>
                <w:sz w:val="21"/>
                <w:szCs w:val="21"/>
                <w:highlight w:val="none"/>
                <w:lang w:val="en-US" w:eastAsia="zh-CN" w:bidi="ar-SA"/>
              </w:rPr>
              <w:t>，及时收集并</w:t>
            </w:r>
            <w:r>
              <w:rPr>
                <w:rFonts w:hint="eastAsia"/>
                <w:color w:val="auto"/>
                <w:sz w:val="21"/>
                <w:szCs w:val="21"/>
                <w:highlight w:val="none"/>
              </w:rPr>
              <w:t>放置到密闭的容器中储存</w:t>
            </w:r>
            <w:r>
              <w:rPr>
                <w:rFonts w:hint="eastAsia"/>
                <w:color w:val="auto"/>
                <w:sz w:val="21"/>
                <w:szCs w:val="21"/>
                <w:highlight w:val="none"/>
                <w:lang w:eastAsia="zh-CN"/>
              </w:rPr>
              <w:t>，</w:t>
            </w:r>
            <w:r>
              <w:rPr>
                <w:rFonts w:hint="eastAsia"/>
                <w:color w:val="auto"/>
                <w:sz w:val="21"/>
                <w:szCs w:val="21"/>
                <w:highlight w:val="none"/>
                <w:lang w:val="en-US" w:eastAsia="zh-CN"/>
              </w:rPr>
              <w:t>不会对周边环境造成影响。</w:t>
            </w:r>
          </w:p>
          <w:p>
            <w:pPr>
              <w:pStyle w:val="66"/>
              <w:keepNext w:val="0"/>
              <w:keepLines w:val="0"/>
              <w:pageBreakBefore w:val="0"/>
              <w:widowControl w:val="0"/>
              <w:kinsoku/>
              <w:wordWrap/>
              <w:overflowPunct/>
              <w:topLinePunct w:val="0"/>
              <w:bidi w:val="0"/>
              <w:snapToGrid/>
              <w:spacing w:line="360" w:lineRule="auto"/>
              <w:ind w:firstLine="420" w:firstLineChars="200"/>
              <w:jc w:val="both"/>
              <w:textAlignment w:val="auto"/>
              <w:rPr>
                <w:rFonts w:hint="default" w:ascii="Times New Roman" w:hAnsi="Times New Roman" w:cs="Times New Roman"/>
                <w:b w:val="0"/>
                <w:bCs w:val="0"/>
                <w:color w:val="auto"/>
                <w:sz w:val="21"/>
                <w:szCs w:val="21"/>
                <w:highlight w:val="none"/>
                <w:lang w:val="en-US" w:eastAsia="zh-CN"/>
              </w:rPr>
            </w:pPr>
            <w:r>
              <w:rPr>
                <w:rFonts w:hint="eastAsia" w:ascii="Times New Roman" w:cs="Times New Roman"/>
                <w:b w:val="0"/>
                <w:bCs w:val="0"/>
                <w:color w:val="auto"/>
                <w:sz w:val="21"/>
                <w:szCs w:val="21"/>
                <w:highlight w:val="none"/>
                <w:lang w:val="en-US" w:eastAsia="zh-CN"/>
              </w:rPr>
              <w:t>（2）锅炉机组</w:t>
            </w:r>
          </w:p>
          <w:p>
            <w:pPr>
              <w:pStyle w:val="66"/>
              <w:keepNext w:val="0"/>
              <w:keepLines w:val="0"/>
              <w:pageBreakBefore w:val="0"/>
              <w:widowControl w:val="0"/>
              <w:kinsoku/>
              <w:wordWrap/>
              <w:overflowPunct/>
              <w:topLinePunct w:val="0"/>
              <w:bidi w:val="0"/>
              <w:snapToGrid/>
              <w:spacing w:line="360" w:lineRule="auto"/>
              <w:ind w:firstLine="420" w:firstLineChars="200"/>
              <w:jc w:val="both"/>
              <w:textAlignment w:val="auto"/>
              <w:rPr>
                <w:rFonts w:hint="eastAsia"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本项目使用的</w:t>
            </w:r>
            <w:r>
              <w:rPr>
                <w:rFonts w:hint="eastAsia" w:ascii="Times New Roman" w:cs="Times New Roman"/>
                <w:b w:val="0"/>
                <w:bCs w:val="0"/>
                <w:color w:val="auto"/>
                <w:sz w:val="21"/>
                <w:szCs w:val="21"/>
                <w:highlight w:val="none"/>
                <w:lang w:val="en-US" w:eastAsia="zh-CN"/>
              </w:rPr>
              <w:t>锅炉</w:t>
            </w:r>
            <w:r>
              <w:rPr>
                <w:rFonts w:hint="eastAsia" w:ascii="Times New Roman" w:hAnsi="Times New Roman" w:cs="Times New Roman"/>
                <w:b w:val="0"/>
                <w:bCs w:val="0"/>
                <w:color w:val="auto"/>
                <w:sz w:val="21"/>
                <w:szCs w:val="21"/>
                <w:highlight w:val="none"/>
                <w:lang w:val="en-US" w:eastAsia="zh-CN"/>
              </w:rPr>
              <w:t>燃料为天然气，由园区供气管网统一供给。环境事故情形主要是设计缺陷、材料缺陷、施工质量缺陷、长期使用磨损、人员误操作、人为破坏等原因造成天然气泄漏，引发火灾、爆炸等事件。</w:t>
            </w:r>
          </w:p>
          <w:p>
            <w:pPr>
              <w:pStyle w:val="66"/>
              <w:keepNext w:val="0"/>
              <w:keepLines w:val="0"/>
              <w:pageBreakBefore w:val="0"/>
              <w:widowControl w:val="0"/>
              <w:kinsoku/>
              <w:wordWrap/>
              <w:overflowPunct/>
              <w:topLinePunct w:val="0"/>
              <w:bidi w:val="0"/>
              <w:snapToGrid/>
              <w:spacing w:line="360" w:lineRule="auto"/>
              <w:ind w:firstLine="420" w:firstLineChars="200"/>
              <w:jc w:val="both"/>
              <w:textAlignment w:val="auto"/>
              <w:rPr>
                <w:rFonts w:hint="eastAsia"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本项目</w:t>
            </w:r>
            <w:r>
              <w:rPr>
                <w:rFonts w:hint="eastAsia" w:ascii="Times New Roman" w:cs="Times New Roman"/>
                <w:b w:val="0"/>
                <w:bCs w:val="0"/>
                <w:color w:val="auto"/>
                <w:sz w:val="21"/>
                <w:szCs w:val="21"/>
                <w:highlight w:val="none"/>
                <w:lang w:val="en-US" w:eastAsia="zh-CN"/>
              </w:rPr>
              <w:t>锅炉</w:t>
            </w:r>
            <w:r>
              <w:rPr>
                <w:rFonts w:hint="eastAsia" w:ascii="Times New Roman" w:hAnsi="Times New Roman" w:cs="Times New Roman"/>
                <w:b w:val="0"/>
                <w:bCs w:val="0"/>
                <w:color w:val="auto"/>
                <w:sz w:val="21"/>
                <w:szCs w:val="21"/>
                <w:highlight w:val="none"/>
                <w:lang w:val="en-US" w:eastAsia="zh-CN"/>
              </w:rPr>
              <w:t xml:space="preserve">设置区域地面为混凝土浇筑地面，正常工况下不存在土壤、地下水污染途径，火灾、爆炸产生的次生污染物可能对环境空气产生一定的影响，主要有害物质为二氧化硫和氮氧化物，可能危害人体健康，造成大气污染。 </w:t>
            </w:r>
          </w:p>
          <w:p>
            <w:pPr>
              <w:pStyle w:val="66"/>
              <w:keepNext w:val="0"/>
              <w:keepLines w:val="0"/>
              <w:pageBreakBefore w:val="0"/>
              <w:widowControl w:val="0"/>
              <w:kinsoku/>
              <w:wordWrap/>
              <w:overflowPunct/>
              <w:topLinePunct w:val="0"/>
              <w:bidi w:val="0"/>
              <w:snapToGrid/>
              <w:spacing w:line="360" w:lineRule="auto"/>
              <w:ind w:firstLine="420" w:firstLineChars="200"/>
              <w:jc w:val="both"/>
              <w:textAlignment w:val="auto"/>
              <w:rPr>
                <w:rFonts w:hint="eastAsia" w:ascii="Times New Roman" w:hAnsi="Times New Roman"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由于本项目厂区周围没有居民区等环境敏感目标，主要受影响人群为厂内职工，若不慎吸入，会有身体不适。本项目区地域空旷，扩散条件较好，发生事故后，应及时采取相应的措施，将人员疏散到事故区外。</w:t>
            </w:r>
          </w:p>
          <w:p>
            <w:pPr>
              <w:pStyle w:val="66"/>
              <w:keepNext w:val="0"/>
              <w:keepLines w:val="0"/>
              <w:pageBreakBefore w:val="0"/>
              <w:widowControl w:val="0"/>
              <w:kinsoku/>
              <w:wordWrap/>
              <w:overflowPunct/>
              <w:topLinePunct w:val="0"/>
              <w:bidi w:val="0"/>
              <w:snapToGrid/>
              <w:spacing w:line="360" w:lineRule="auto"/>
              <w:ind w:firstLine="422" w:firstLineChars="200"/>
              <w:jc w:val="both"/>
              <w:textAlignment w:val="auto"/>
              <w:rPr>
                <w:rFonts w:hint="default" w:ascii="Times New Roman" w:hAnsi="Times New Roman" w:eastAsia="宋体" w:cs="Times New Roman"/>
                <w:b/>
                <w:bCs/>
                <w:color w:val="auto"/>
                <w:sz w:val="21"/>
                <w:szCs w:val="21"/>
                <w:highlight w:val="none"/>
                <w:lang w:val="en-US" w:eastAsia="zh-CN"/>
              </w:rPr>
            </w:pPr>
            <w:r>
              <w:rPr>
                <w:rFonts w:hint="eastAsia" w:ascii="Times New Roman" w:hAnsi="Times New Roman" w:cs="Times New Roman"/>
                <w:b/>
                <w:bCs/>
                <w:color w:val="auto"/>
                <w:sz w:val="21"/>
                <w:szCs w:val="21"/>
                <w:highlight w:val="none"/>
                <w:lang w:val="en-US" w:eastAsia="zh-CN"/>
              </w:rPr>
              <w:t>6.3</w:t>
            </w:r>
            <w:r>
              <w:rPr>
                <w:rFonts w:hint="default" w:ascii="Times New Roman" w:hAnsi="Times New Roman" w:eastAsia="宋体" w:cs="Times New Roman"/>
                <w:b/>
                <w:bCs/>
                <w:color w:val="auto"/>
                <w:sz w:val="21"/>
                <w:szCs w:val="21"/>
                <w:highlight w:val="none"/>
                <w:lang w:val="en-US" w:eastAsia="zh-CN"/>
              </w:rPr>
              <w:t>环境风险防范措施</w:t>
            </w:r>
          </w:p>
          <w:p>
            <w:pPr>
              <w:pStyle w:val="66"/>
              <w:keepNext w:val="0"/>
              <w:keepLines w:val="0"/>
              <w:pageBreakBefore w:val="0"/>
              <w:widowControl w:val="0"/>
              <w:kinsoku/>
              <w:wordWrap/>
              <w:overflowPunct/>
              <w:topLinePunct w:val="0"/>
              <w:bidi w:val="0"/>
              <w:snapToGrid/>
              <w:spacing w:line="360" w:lineRule="auto"/>
              <w:ind w:firstLine="420" w:firstLineChars="200"/>
              <w:jc w:val="both"/>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为减少项目风险事故对周边环境的影响，建议建设单位做好如下防范</w:t>
            </w:r>
            <w:r>
              <w:rPr>
                <w:rFonts w:hint="eastAsia" w:ascii="Times New Roman" w:hAnsi="Times New Roman" w:cs="Times New Roman"/>
                <w:b w:val="0"/>
                <w:bCs w:val="0"/>
                <w:color w:val="auto"/>
                <w:sz w:val="21"/>
                <w:szCs w:val="21"/>
                <w:highlight w:val="none"/>
                <w:lang w:val="en-US" w:eastAsia="zh-CN"/>
              </w:rPr>
              <w:t>措施</w:t>
            </w:r>
            <w:r>
              <w:rPr>
                <w:rFonts w:hint="eastAsia" w:ascii="Times New Roman" w:hAnsi="Times New Roman" w:eastAsia="宋体" w:cs="Times New Roman"/>
                <w:b w:val="0"/>
                <w:bCs w:val="0"/>
                <w:color w:val="auto"/>
                <w:sz w:val="21"/>
                <w:szCs w:val="21"/>
                <w:highlight w:val="none"/>
                <w:lang w:val="en-US" w:eastAsia="zh-CN"/>
              </w:rPr>
              <w:t>：</w:t>
            </w:r>
          </w:p>
          <w:p>
            <w:pPr>
              <w:pStyle w:val="66"/>
              <w:keepNext w:val="0"/>
              <w:keepLines w:val="0"/>
              <w:pageBreakBefore w:val="0"/>
              <w:widowControl w:val="0"/>
              <w:kinsoku/>
              <w:wordWrap/>
              <w:overflowPunct/>
              <w:topLinePunct w:val="0"/>
              <w:bidi w:val="0"/>
              <w:snapToGrid/>
              <w:spacing w:line="360" w:lineRule="auto"/>
              <w:ind w:firstLine="420" w:firstLineChars="200"/>
              <w:jc w:val="both"/>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（1）加强对生产设备及环保设备的维护，保证设备正常运行，</w:t>
            </w:r>
            <w:r>
              <w:rPr>
                <w:rFonts w:hint="eastAsia" w:ascii="Times New Roman" w:hAnsi="Times New Roman" w:cs="Times New Roman"/>
                <w:b w:val="0"/>
                <w:bCs w:val="0"/>
                <w:color w:val="auto"/>
                <w:sz w:val="21"/>
                <w:szCs w:val="21"/>
                <w:highlight w:val="none"/>
                <w:lang w:val="en-US" w:eastAsia="zh-CN"/>
              </w:rPr>
              <w:t>降低</w:t>
            </w:r>
            <w:r>
              <w:rPr>
                <w:rFonts w:hint="default" w:ascii="Times New Roman" w:hAnsi="Times New Roman" w:eastAsia="宋体" w:cs="Times New Roman"/>
                <w:b w:val="0"/>
                <w:bCs w:val="0"/>
                <w:color w:val="auto"/>
                <w:sz w:val="21"/>
                <w:szCs w:val="21"/>
                <w:highlight w:val="none"/>
                <w:lang w:val="en-US" w:eastAsia="zh-CN"/>
              </w:rPr>
              <w:t>事故危害。</w:t>
            </w:r>
          </w:p>
          <w:p>
            <w:pPr>
              <w:pStyle w:val="66"/>
              <w:keepNext w:val="0"/>
              <w:keepLines w:val="0"/>
              <w:pageBreakBefore w:val="0"/>
              <w:widowControl w:val="0"/>
              <w:kinsoku/>
              <w:wordWrap/>
              <w:overflowPunct/>
              <w:topLinePunct w:val="0"/>
              <w:bidi w:val="0"/>
              <w:snapToGrid/>
              <w:spacing w:line="360" w:lineRule="auto"/>
              <w:ind w:firstLine="420" w:firstLineChars="200"/>
              <w:jc w:val="both"/>
              <w:textAlignment w:val="auto"/>
              <w:rPr>
                <w:rFonts w:hint="default" w:ascii="Times New Roman" w:hAnsi="Times New Roman" w:eastAsia="宋体" w:cs="Times New Roman"/>
                <w:b w:val="0"/>
                <w:bCs w:val="0"/>
                <w:color w:val="auto"/>
                <w:sz w:val="21"/>
                <w:szCs w:val="21"/>
                <w:highlight w:val="none"/>
                <w:lang w:val="en-US" w:eastAsia="zh-CN"/>
              </w:rPr>
            </w:pPr>
            <w:r>
              <w:rPr>
                <w:rFonts w:hint="eastAsia" w:ascii="Times New Roman" w:hAnsi="Times New Roman" w:cs="Times New Roman"/>
                <w:b w:val="0"/>
                <w:bCs w:val="0"/>
                <w:color w:val="auto"/>
                <w:sz w:val="21"/>
                <w:szCs w:val="21"/>
                <w:highlight w:val="none"/>
                <w:lang w:val="en-US" w:eastAsia="zh-CN"/>
              </w:rPr>
              <w:t>（2）</w:t>
            </w:r>
            <w:r>
              <w:rPr>
                <w:rFonts w:hint="default" w:ascii="Times New Roman" w:hAnsi="Times New Roman" w:eastAsia="宋体" w:cs="Times New Roman"/>
                <w:b w:val="0"/>
                <w:bCs w:val="0"/>
                <w:color w:val="auto"/>
                <w:sz w:val="21"/>
                <w:szCs w:val="21"/>
                <w:highlight w:val="none"/>
                <w:lang w:val="en-US" w:eastAsia="zh-CN"/>
              </w:rPr>
              <w:t>加强巡视检查，发现问题及时处理；加强危险废物管理</w:t>
            </w:r>
            <w:r>
              <w:rPr>
                <w:rFonts w:hint="eastAsia" w:ascii="Times New Roman" w:cs="Times New Roman"/>
                <w:b w:val="0"/>
                <w:bCs w:val="0"/>
                <w:color w:val="auto"/>
                <w:sz w:val="21"/>
                <w:szCs w:val="21"/>
                <w:highlight w:val="none"/>
                <w:lang w:val="en-US" w:eastAsia="zh-CN"/>
              </w:rPr>
              <w:t>，</w:t>
            </w:r>
            <w:r>
              <w:rPr>
                <w:rFonts w:hint="default" w:ascii="Times New Roman" w:hAnsi="Times New Roman" w:eastAsia="宋体" w:cs="Times New Roman"/>
                <w:b w:val="0"/>
                <w:bCs w:val="0"/>
                <w:color w:val="auto"/>
                <w:sz w:val="21"/>
                <w:szCs w:val="21"/>
                <w:highlight w:val="none"/>
                <w:lang w:val="en-US" w:eastAsia="zh-CN"/>
              </w:rPr>
              <w:t>做好防火工作，完善消防设施和监控。</w:t>
            </w:r>
          </w:p>
          <w:p>
            <w:pPr>
              <w:pStyle w:val="66"/>
              <w:keepNext w:val="0"/>
              <w:keepLines w:val="0"/>
              <w:pageBreakBefore w:val="0"/>
              <w:widowControl w:val="0"/>
              <w:kinsoku/>
              <w:wordWrap/>
              <w:overflowPunct/>
              <w:topLinePunct w:val="0"/>
              <w:bidi w:val="0"/>
              <w:snapToGrid/>
              <w:spacing w:line="360" w:lineRule="auto"/>
              <w:ind w:firstLine="420" w:firstLineChars="200"/>
              <w:jc w:val="both"/>
              <w:textAlignment w:val="auto"/>
              <w:rPr>
                <w:rFonts w:hint="default" w:ascii="Times New Roman" w:hAnsi="Times New Roman" w:eastAsia="宋体" w:cs="Times New Roman"/>
                <w:b w:val="0"/>
                <w:bCs w:val="0"/>
                <w:color w:val="auto"/>
                <w:sz w:val="21"/>
                <w:szCs w:val="18"/>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w:t>
            </w:r>
            <w:r>
              <w:rPr>
                <w:rFonts w:hint="eastAsia" w:ascii="Times New Roman" w:hAnsi="Times New Roman" w:cs="Times New Roman"/>
                <w:b w:val="0"/>
                <w:bCs w:val="0"/>
                <w:color w:val="auto"/>
                <w:sz w:val="21"/>
                <w:szCs w:val="21"/>
                <w:highlight w:val="none"/>
                <w:lang w:val="en-US" w:eastAsia="zh-CN"/>
              </w:rPr>
              <w:t>3</w:t>
            </w:r>
            <w:r>
              <w:rPr>
                <w:rFonts w:hint="default" w:ascii="Times New Roman" w:hAnsi="Times New Roman" w:eastAsia="宋体" w:cs="Times New Roman"/>
                <w:b w:val="0"/>
                <w:bCs w:val="0"/>
                <w:color w:val="auto"/>
                <w:sz w:val="21"/>
                <w:szCs w:val="21"/>
                <w:highlight w:val="none"/>
                <w:lang w:val="en-US" w:eastAsia="zh-CN"/>
              </w:rPr>
              <w:t>）</w:t>
            </w:r>
            <w:r>
              <w:rPr>
                <w:rFonts w:hint="default" w:ascii="Times New Roman" w:hAnsi="Times New Roman" w:cs="Times New Roman"/>
                <w:b w:val="0"/>
                <w:bCs w:val="0"/>
                <w:color w:val="auto"/>
                <w:sz w:val="21"/>
                <w:szCs w:val="18"/>
                <w:highlight w:val="none"/>
              </w:rPr>
              <w:t>生产区域应进行一般防渗处理</w:t>
            </w:r>
            <w:r>
              <w:rPr>
                <w:rFonts w:hint="eastAsia" w:ascii="Times New Roman" w:cs="Times New Roman"/>
                <w:b w:val="0"/>
                <w:bCs w:val="0"/>
                <w:color w:val="auto"/>
                <w:sz w:val="21"/>
                <w:szCs w:val="18"/>
                <w:highlight w:val="none"/>
                <w:lang w:eastAsia="zh-CN"/>
              </w:rPr>
              <w:t>，对</w:t>
            </w:r>
            <w:r>
              <w:rPr>
                <w:rFonts w:hint="eastAsia" w:ascii="Times New Roman" w:cs="Times New Roman"/>
                <w:b w:val="0"/>
                <w:bCs w:val="0"/>
                <w:color w:val="auto"/>
                <w:sz w:val="21"/>
                <w:szCs w:val="18"/>
                <w:highlight w:val="none"/>
                <w:lang w:val="en-US" w:eastAsia="zh-CN"/>
              </w:rPr>
              <w:t>危废贮存点进行重点防渗处理，</w:t>
            </w:r>
            <w:r>
              <w:rPr>
                <w:rFonts w:hint="default" w:ascii="Times New Roman" w:hAnsi="Times New Roman" w:cs="Times New Roman"/>
                <w:b w:val="0"/>
                <w:bCs w:val="0"/>
                <w:color w:val="auto"/>
                <w:sz w:val="21"/>
                <w:szCs w:val="18"/>
                <w:highlight w:val="none"/>
              </w:rPr>
              <w:t>杜绝因出现“跑、冒、滴、漏”等问题造成土壤和地下水污染</w:t>
            </w:r>
            <w:r>
              <w:rPr>
                <w:rFonts w:hint="eastAsia" w:ascii="Times New Roman" w:cs="Times New Roman"/>
                <w:b w:val="0"/>
                <w:bCs w:val="0"/>
                <w:color w:val="auto"/>
                <w:sz w:val="21"/>
                <w:szCs w:val="18"/>
                <w:highlight w:val="none"/>
                <w:lang w:val="en-US" w:eastAsia="zh-CN"/>
              </w:rPr>
              <w:t>。</w:t>
            </w:r>
          </w:p>
          <w:p>
            <w:pPr>
              <w:pStyle w:val="66"/>
              <w:keepNext w:val="0"/>
              <w:keepLines w:val="0"/>
              <w:pageBreakBefore w:val="0"/>
              <w:widowControl w:val="0"/>
              <w:kinsoku/>
              <w:wordWrap/>
              <w:overflowPunct/>
              <w:topLinePunct w:val="0"/>
              <w:bidi w:val="0"/>
              <w:snapToGrid/>
              <w:spacing w:line="360" w:lineRule="auto"/>
              <w:ind w:firstLine="420" w:firstLineChars="200"/>
              <w:jc w:val="both"/>
              <w:textAlignment w:val="auto"/>
              <w:rPr>
                <w:rFonts w:hint="default" w:ascii="Times New Roman" w:hAnsi="Times New Roman" w:eastAsia="宋体" w:cs="Times New Roman"/>
                <w:b w:val="0"/>
                <w:bCs w:val="0"/>
                <w:color w:val="auto"/>
                <w:sz w:val="21"/>
                <w:szCs w:val="21"/>
                <w:highlight w:val="none"/>
                <w:lang w:val="en-US" w:eastAsia="zh-CN"/>
              </w:rPr>
            </w:pPr>
            <w:r>
              <w:rPr>
                <w:rFonts w:hint="default" w:ascii="Times New Roman" w:hAnsi="Times New Roman" w:eastAsia="宋体" w:cs="Times New Roman"/>
                <w:b w:val="0"/>
                <w:bCs w:val="0"/>
                <w:color w:val="auto"/>
                <w:sz w:val="21"/>
                <w:szCs w:val="21"/>
                <w:highlight w:val="none"/>
                <w:lang w:val="en-US" w:eastAsia="zh-CN"/>
              </w:rPr>
              <w:t>（</w:t>
            </w:r>
            <w:r>
              <w:rPr>
                <w:rFonts w:hint="eastAsia" w:ascii="Times New Roman" w:hAnsi="Times New Roman" w:cs="Times New Roman"/>
                <w:b w:val="0"/>
                <w:bCs w:val="0"/>
                <w:color w:val="auto"/>
                <w:sz w:val="21"/>
                <w:szCs w:val="21"/>
                <w:highlight w:val="none"/>
                <w:lang w:val="en-US" w:eastAsia="zh-CN"/>
              </w:rPr>
              <w:t>4</w:t>
            </w:r>
            <w:r>
              <w:rPr>
                <w:rFonts w:hint="default" w:ascii="Times New Roman" w:hAnsi="Times New Roman" w:eastAsia="宋体" w:cs="Times New Roman"/>
                <w:b w:val="0"/>
                <w:bCs w:val="0"/>
                <w:color w:val="auto"/>
                <w:sz w:val="21"/>
                <w:szCs w:val="21"/>
                <w:highlight w:val="none"/>
                <w:lang w:val="en-US" w:eastAsia="zh-CN"/>
              </w:rPr>
              <w:t>）规范操作流程，加强环境管理，加强员工的责任心和</w:t>
            </w:r>
            <w:r>
              <w:rPr>
                <w:rFonts w:hint="eastAsia" w:ascii="Times New Roman" w:hAnsi="Times New Roman" w:cs="Times New Roman"/>
                <w:b w:val="0"/>
                <w:bCs w:val="0"/>
                <w:color w:val="auto"/>
                <w:sz w:val="21"/>
                <w:szCs w:val="21"/>
                <w:highlight w:val="none"/>
                <w:lang w:val="en-US" w:eastAsia="zh-CN"/>
              </w:rPr>
              <w:t>主观能动性</w:t>
            </w:r>
            <w:r>
              <w:rPr>
                <w:rFonts w:hint="default" w:ascii="Times New Roman" w:hAnsi="Times New Roman" w:eastAsia="宋体" w:cs="Times New Roman"/>
                <w:b w:val="0"/>
                <w:bCs w:val="0"/>
                <w:color w:val="auto"/>
                <w:sz w:val="21"/>
                <w:szCs w:val="21"/>
                <w:highlight w:val="none"/>
                <w:lang w:val="en-US" w:eastAsia="zh-CN"/>
              </w:rPr>
              <w:t>建立一套完善的安全管理制度，执行工业安全卫生、劳动保护、环保、消防等相关规定。</w:t>
            </w:r>
          </w:p>
          <w:p>
            <w:pPr>
              <w:pStyle w:val="68"/>
              <w:keepNext w:val="0"/>
              <w:keepLines w:val="0"/>
              <w:pageBreakBefore w:val="0"/>
              <w:widowControl w:val="0"/>
              <w:kinsoku/>
              <w:overflowPunct/>
              <w:topLinePunct w:val="0"/>
              <w:bidi w:val="0"/>
              <w:spacing w:line="360" w:lineRule="auto"/>
              <w:ind w:left="0" w:leftChars="0" w:firstLine="0" w:firstLineChars="0"/>
              <w:jc w:val="both"/>
              <w:textAlignment w:val="auto"/>
              <w:rPr>
                <w:rFonts w:hint="eastAsia" w:ascii="Times New Roman" w:hAnsi="Times New Roman" w:eastAsia="宋体" w:cs="Times New Roman"/>
                <w:b/>
                <w:bCs/>
                <w:color w:val="auto"/>
                <w:sz w:val="21"/>
                <w:szCs w:val="21"/>
                <w:highlight w:val="none"/>
                <w:lang w:val="en-US" w:eastAsia="zh-CN"/>
              </w:rPr>
            </w:pPr>
            <w:r>
              <w:rPr>
                <w:rFonts w:hint="eastAsia" w:ascii="Times New Roman" w:hAnsi="Times New Roman" w:eastAsia="宋体" w:cs="Times New Roman"/>
                <w:b/>
                <w:bCs/>
                <w:color w:val="auto"/>
                <w:sz w:val="21"/>
                <w:szCs w:val="21"/>
                <w:highlight w:val="none"/>
                <w:lang w:val="en-US" w:eastAsia="zh-CN"/>
              </w:rPr>
              <w:t>7</w:t>
            </w:r>
            <w:r>
              <w:rPr>
                <w:b/>
                <w:bCs/>
                <w:color w:val="auto"/>
                <w:kern w:val="0"/>
                <w:sz w:val="21"/>
                <w:szCs w:val="22"/>
                <w:highlight w:val="none"/>
              </w:rPr>
              <w:t>排污许可管理</w:t>
            </w:r>
          </w:p>
          <w:p>
            <w:pPr>
              <w:pStyle w:val="56"/>
              <w:keepNext w:val="0"/>
              <w:keepLines w:val="0"/>
              <w:pageBreakBefore w:val="0"/>
              <w:widowControl w:val="0"/>
              <w:kinsoku/>
              <w:wordWrap w:val="0"/>
              <w:overflowPunct/>
              <w:topLinePunct w:val="0"/>
              <w:autoSpaceDE/>
              <w:autoSpaceDN/>
              <w:bidi w:val="0"/>
              <w:adjustRightInd w:val="0"/>
              <w:snapToGrid w:val="0"/>
              <w:spacing w:line="360" w:lineRule="auto"/>
              <w:ind w:firstLine="420" w:firstLineChars="200"/>
              <w:jc w:val="both"/>
              <w:textAlignment w:val="auto"/>
              <w:rPr>
                <w:rFonts w:hint="default"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根据《关于强化建设项目环评事中事后监管的实施意见》（环环评〔2018〕11号）、《固定污染源排污许可分类管理名录（2019年版）》（生态环境部</w:t>
            </w:r>
            <w:r>
              <w:rPr>
                <w:rFonts w:hint="eastAsia" w:cs="宋体"/>
                <w:color w:val="auto"/>
                <w:sz w:val="21"/>
                <w:szCs w:val="21"/>
                <w:highlight w:val="none"/>
                <w:lang w:val="en-US" w:eastAsia="zh-CN"/>
              </w:rPr>
              <w:t xml:space="preserve"> </w:t>
            </w:r>
            <w:r>
              <w:rPr>
                <w:rFonts w:hint="eastAsia" w:ascii="Times New Roman" w:hAnsi="Times New Roman" w:eastAsia="宋体" w:cs="宋体"/>
                <w:color w:val="auto"/>
                <w:sz w:val="21"/>
                <w:szCs w:val="21"/>
                <w:highlight w:val="none"/>
                <w:lang w:val="en-US" w:eastAsia="zh-CN"/>
              </w:rPr>
              <w:t>部令2019年第11号）等文件要求，企业或者其他经营者按照国家规定，在实施期限内申请排污许可证。对照《固定污染源排污许可分类管理名录（2019年版）》文件，本项目</w:t>
            </w:r>
            <w:r>
              <w:rPr>
                <w:rFonts w:hint="eastAsia" w:cs="宋体"/>
                <w:color w:val="auto"/>
                <w:sz w:val="21"/>
                <w:szCs w:val="21"/>
                <w:highlight w:val="none"/>
                <w:lang w:val="en-US" w:eastAsia="zh-CN"/>
              </w:rPr>
              <w:t>NFC鲜榨果汁生产属于其中</w:t>
            </w:r>
            <w:r>
              <w:rPr>
                <w:rFonts w:hint="eastAsia" w:ascii="Times New Roman" w:hAnsi="Times New Roman" w:eastAsia="宋体" w:cs="宋体"/>
                <w:color w:val="auto"/>
                <w:sz w:val="21"/>
                <w:szCs w:val="21"/>
                <w:highlight w:val="none"/>
                <w:lang w:val="en-US" w:eastAsia="zh-CN"/>
              </w:rPr>
              <w:t>“十二、酒、饮料制造业15-</w:t>
            </w:r>
            <w:r>
              <w:rPr>
                <w:rFonts w:hint="eastAsia" w:cs="宋体"/>
                <w:color w:val="auto"/>
                <w:sz w:val="21"/>
                <w:szCs w:val="21"/>
                <w:highlight w:val="none"/>
                <w:lang w:val="en-US" w:eastAsia="zh-CN"/>
              </w:rPr>
              <w:t>26饮料制造152</w:t>
            </w:r>
            <w:r>
              <w:rPr>
                <w:rFonts w:hint="eastAsia" w:ascii="Times New Roman" w:hAnsi="Times New Roman" w:eastAsia="宋体" w:cs="宋体"/>
                <w:color w:val="auto"/>
                <w:sz w:val="21"/>
                <w:szCs w:val="21"/>
                <w:highlight w:val="none"/>
                <w:lang w:val="en-US" w:eastAsia="zh-CN"/>
              </w:rPr>
              <w:t>-有发酵工艺、原汁生产的”，</w:t>
            </w:r>
            <w:r>
              <w:rPr>
                <w:rFonts w:hint="eastAsia" w:cs="宋体"/>
                <w:color w:val="auto"/>
                <w:sz w:val="21"/>
                <w:szCs w:val="21"/>
                <w:highlight w:val="none"/>
                <w:lang w:val="en-US" w:eastAsia="zh-CN"/>
              </w:rPr>
              <w:t>属于“简化管理”类别</w:t>
            </w:r>
            <w:r>
              <w:rPr>
                <w:rFonts w:hint="eastAsia" w:ascii="Times New Roman" w:hAnsi="Times New Roman" w:eastAsia="宋体" w:cs="宋体"/>
                <w:color w:val="auto"/>
                <w:sz w:val="21"/>
                <w:szCs w:val="21"/>
                <w:highlight w:val="none"/>
                <w:lang w:val="en-US" w:eastAsia="zh-CN"/>
              </w:rPr>
              <w:t>。</w:t>
            </w:r>
            <w:r>
              <w:rPr>
                <w:rFonts w:hint="eastAsia" w:cs="宋体"/>
                <w:color w:val="auto"/>
                <w:sz w:val="21"/>
                <w:szCs w:val="21"/>
                <w:highlight w:val="none"/>
                <w:lang w:val="en-US" w:eastAsia="zh-CN"/>
              </w:rPr>
              <w:t>项目建成后投入生产之前应申请排污许可证。</w:t>
            </w:r>
          </w:p>
          <w:p>
            <w:pPr>
              <w:pStyle w:val="68"/>
              <w:keepNext w:val="0"/>
              <w:keepLines w:val="0"/>
              <w:pageBreakBefore w:val="0"/>
              <w:widowControl w:val="0"/>
              <w:kinsoku/>
              <w:overflowPunct/>
              <w:topLinePunct w:val="0"/>
              <w:bidi w:val="0"/>
              <w:spacing w:line="360" w:lineRule="auto"/>
              <w:ind w:left="0" w:leftChars="0" w:firstLine="0" w:firstLineChars="0"/>
              <w:jc w:val="both"/>
              <w:textAlignment w:val="auto"/>
              <w:rPr>
                <w:rFonts w:hint="eastAsia" w:ascii="Times New Roman" w:hAnsi="Times New Roman" w:eastAsia="宋体" w:cs="Times New Roman"/>
                <w:b/>
                <w:bCs/>
                <w:color w:val="auto"/>
                <w:sz w:val="21"/>
                <w:szCs w:val="21"/>
                <w:highlight w:val="none"/>
                <w:lang w:val="en-US" w:eastAsia="zh-CN"/>
              </w:rPr>
            </w:pPr>
            <w:r>
              <w:rPr>
                <w:rFonts w:hint="eastAsia" w:ascii="Times New Roman" w:hAnsi="Times New Roman" w:eastAsia="宋体" w:cs="Times New Roman"/>
                <w:b/>
                <w:bCs/>
                <w:color w:val="auto"/>
                <w:sz w:val="21"/>
                <w:szCs w:val="21"/>
                <w:highlight w:val="none"/>
                <w:lang w:val="en-US" w:eastAsia="zh-CN"/>
              </w:rPr>
              <w:t>8排污口规范化</w:t>
            </w:r>
          </w:p>
          <w:p>
            <w:pPr>
              <w:pStyle w:val="56"/>
              <w:keepNext w:val="0"/>
              <w:keepLines w:val="0"/>
              <w:pageBreakBefore w:val="0"/>
              <w:widowControl w:val="0"/>
              <w:kinsoku/>
              <w:wordWrap w:val="0"/>
              <w:overflowPunct/>
              <w:topLinePunct w:val="0"/>
              <w:autoSpaceDE/>
              <w:autoSpaceDN/>
              <w:bidi w:val="0"/>
              <w:adjustRightInd w:val="0"/>
              <w:snapToGrid w:val="0"/>
              <w:spacing w:line="360" w:lineRule="auto"/>
              <w:ind w:firstLine="420" w:firstLineChars="200"/>
              <w:jc w:val="both"/>
              <w:textAlignment w:val="auto"/>
              <w:rPr>
                <w:rFonts w:hint="eastAsia" w:ascii="Times New Roman" w:hAnsi="Times New Roman" w:eastAsia="宋体" w:cs="宋体"/>
                <w:color w:val="auto"/>
                <w:sz w:val="21"/>
                <w:szCs w:val="21"/>
                <w:highlight w:val="none"/>
                <w:lang w:val="en-US" w:eastAsia="zh-CN"/>
              </w:rPr>
            </w:pPr>
            <w:r>
              <w:rPr>
                <w:rFonts w:hint="eastAsia" w:eastAsia="宋体" w:cs="宋体"/>
                <w:color w:val="auto"/>
                <w:sz w:val="21"/>
                <w:szCs w:val="21"/>
                <w:highlight w:val="none"/>
                <w:lang w:val="en-US" w:eastAsia="zh-CN"/>
              </w:rPr>
              <w:t>根据《关于开展排放口规范化整治工作的通知》（国家环境保护总局环发</w:t>
            </w:r>
            <w:r>
              <w:rPr>
                <w:rFonts w:hint="eastAsia" w:cs="宋体"/>
                <w:color w:val="auto"/>
                <w:sz w:val="21"/>
                <w:szCs w:val="21"/>
                <w:highlight w:val="none"/>
                <w:lang w:val="en-US" w:eastAsia="zh-CN"/>
              </w:rPr>
              <w:t>〔</w:t>
            </w:r>
            <w:r>
              <w:rPr>
                <w:rFonts w:hint="eastAsia" w:eastAsia="宋体" w:cs="宋体"/>
                <w:color w:val="auto"/>
                <w:sz w:val="21"/>
                <w:szCs w:val="21"/>
                <w:highlight w:val="none"/>
                <w:lang w:val="en-US" w:eastAsia="zh-CN"/>
              </w:rPr>
              <w:t>1999</w:t>
            </w:r>
            <w:r>
              <w:rPr>
                <w:rFonts w:hint="eastAsia" w:cs="宋体"/>
                <w:color w:val="auto"/>
                <w:sz w:val="21"/>
                <w:szCs w:val="21"/>
                <w:highlight w:val="none"/>
                <w:lang w:val="en-US" w:eastAsia="zh-CN"/>
              </w:rPr>
              <w:t>〕</w:t>
            </w:r>
            <w:r>
              <w:rPr>
                <w:rFonts w:hint="eastAsia" w:eastAsia="宋体" w:cs="宋体"/>
                <w:color w:val="auto"/>
                <w:sz w:val="21"/>
                <w:szCs w:val="21"/>
                <w:highlight w:val="none"/>
                <w:lang w:val="en-US" w:eastAsia="zh-CN"/>
              </w:rPr>
              <w:t>24号）和《排放口规范化整治技术》（国家环境保护总局环发</w:t>
            </w:r>
            <w:r>
              <w:rPr>
                <w:rFonts w:hint="eastAsia" w:cs="宋体"/>
                <w:color w:val="auto"/>
                <w:sz w:val="21"/>
                <w:szCs w:val="21"/>
                <w:highlight w:val="none"/>
                <w:lang w:val="en-US" w:eastAsia="zh-CN"/>
              </w:rPr>
              <w:t>〔</w:t>
            </w:r>
            <w:r>
              <w:rPr>
                <w:rFonts w:hint="eastAsia" w:eastAsia="宋体" w:cs="宋体"/>
                <w:color w:val="auto"/>
                <w:sz w:val="21"/>
                <w:szCs w:val="21"/>
                <w:highlight w:val="none"/>
                <w:lang w:val="en-US" w:eastAsia="zh-CN"/>
              </w:rPr>
              <w:t>1999</w:t>
            </w:r>
            <w:r>
              <w:rPr>
                <w:rFonts w:hint="eastAsia" w:cs="宋体"/>
                <w:color w:val="auto"/>
                <w:sz w:val="21"/>
                <w:szCs w:val="21"/>
                <w:highlight w:val="none"/>
                <w:lang w:val="en-US" w:eastAsia="zh-CN"/>
              </w:rPr>
              <w:t>〕</w:t>
            </w:r>
            <w:r>
              <w:rPr>
                <w:rFonts w:hint="eastAsia" w:eastAsia="宋体" w:cs="宋体"/>
                <w:color w:val="auto"/>
                <w:sz w:val="21"/>
                <w:szCs w:val="21"/>
                <w:highlight w:val="none"/>
                <w:lang w:val="en-US" w:eastAsia="zh-CN"/>
              </w:rPr>
              <w:t>24号）文件的要求，一切新建、改建的排污单位以及限期治理的排污单位，必须在建设污染治理设施的同时，建设规范化排污口。因此，建设单位在投产时，各类排污口必须规范化建设和管理，而且规范化工作应与污染治理同步实施，即治理设施完工时，规范化工作必须同时完成，并列入污染物治理设施的验收内容。拟建项目应在各气、水、声、固排污口（源）挂牌标识。</w:t>
            </w:r>
          </w:p>
          <w:p>
            <w:pPr>
              <w:pStyle w:val="56"/>
              <w:keepNext w:val="0"/>
              <w:keepLines w:val="0"/>
              <w:pageBreakBefore w:val="0"/>
              <w:widowControl w:val="0"/>
              <w:kinsoku/>
              <w:wordWrap w:val="0"/>
              <w:overflowPunct/>
              <w:topLinePunct w:val="0"/>
              <w:autoSpaceDE/>
              <w:autoSpaceDN/>
              <w:bidi w:val="0"/>
              <w:adjustRightInd w:val="0"/>
              <w:snapToGrid w:val="0"/>
              <w:spacing w:line="360" w:lineRule="auto"/>
              <w:ind w:firstLine="420" w:firstLineChars="200"/>
              <w:jc w:val="both"/>
              <w:textAlignment w:val="auto"/>
              <w:rPr>
                <w:rFonts w:hint="default" w:ascii="Times New Roman" w:hAnsi="Times New Roman" w:eastAsia="宋体" w:cs="宋体"/>
                <w:color w:val="auto"/>
                <w:sz w:val="21"/>
                <w:szCs w:val="21"/>
                <w:highlight w:val="none"/>
                <w:lang w:val="en-US" w:eastAsia="zh-CN"/>
              </w:rPr>
            </w:pPr>
            <w:r>
              <w:rPr>
                <w:rFonts w:hint="eastAsia" w:ascii="Times New Roman" w:hAnsi="Times New Roman" w:eastAsia="宋体" w:cs="宋体"/>
                <w:color w:val="auto"/>
                <w:sz w:val="21"/>
                <w:szCs w:val="21"/>
                <w:highlight w:val="none"/>
                <w:lang w:val="en-US" w:eastAsia="zh-CN"/>
              </w:rPr>
              <w:t>排污口标志牌的图形标志、图形颜色及装置颜色、标志牌材质、表面处理、外观质量以及字体等要求应符合《排污单位污染物排放口监测点位设置技术规范》（HJ 1405-2024）</w:t>
            </w:r>
            <w:r>
              <w:rPr>
                <w:rFonts w:hint="eastAsia" w:cs="宋体"/>
                <w:color w:val="auto"/>
                <w:sz w:val="21"/>
                <w:szCs w:val="21"/>
                <w:highlight w:val="none"/>
                <w:lang w:val="en-US" w:eastAsia="zh-CN"/>
              </w:rPr>
              <w:t>、</w:t>
            </w:r>
            <w:r>
              <w:rPr>
                <w:rFonts w:hint="eastAsia" w:ascii="Times New Roman" w:hAnsi="Times New Roman" w:eastAsia="宋体" w:cs="宋体"/>
                <w:color w:val="auto"/>
                <w:sz w:val="21"/>
                <w:szCs w:val="21"/>
                <w:highlight w:val="none"/>
                <w:lang w:val="en-US" w:eastAsia="zh-CN"/>
              </w:rPr>
              <w:t>《环境保护图形标志－排放口（源）》（</w:t>
            </w:r>
            <w:r>
              <w:rPr>
                <w:rFonts w:hint="eastAsia" w:cs="宋体"/>
                <w:color w:val="auto"/>
                <w:sz w:val="21"/>
                <w:szCs w:val="21"/>
                <w:highlight w:val="none"/>
                <w:lang w:val="en-US" w:eastAsia="zh-CN"/>
              </w:rPr>
              <w:t>GB 15562.1-1995</w:t>
            </w:r>
            <w:r>
              <w:rPr>
                <w:rFonts w:hint="eastAsia" w:ascii="Times New Roman" w:hAnsi="Times New Roman" w:eastAsia="宋体" w:cs="宋体"/>
                <w:color w:val="auto"/>
                <w:sz w:val="21"/>
                <w:szCs w:val="21"/>
                <w:highlight w:val="none"/>
                <w:lang w:val="en-US" w:eastAsia="zh-CN"/>
              </w:rPr>
              <w:t>）、《环境保护图形标志实施细则（试行）》（国环监〔1996〕463号）、《排污单位污染物排放口二维码标识技术规范》（HJ 1297—2023）及《关于印发排放口标志牌技术规格的通知》（环办〔2003〕95号）的有关规定。</w:t>
            </w:r>
          </w:p>
          <w:p>
            <w:pPr>
              <w:adjustRightInd w:val="0"/>
              <w:snapToGrid w:val="0"/>
              <w:spacing w:line="360" w:lineRule="auto"/>
              <w:rPr>
                <w:rFonts w:hint="eastAsia" w:ascii="宋体" w:cs="宋体"/>
                <w:b/>
                <w:color w:val="auto"/>
                <w:kern w:val="0"/>
                <w:sz w:val="28"/>
                <w:szCs w:val="28"/>
                <w:highlight w:val="none"/>
                <w:vertAlign w:val="baseline"/>
              </w:rPr>
            </w:pPr>
          </w:p>
          <w:p>
            <w:pPr>
              <w:pStyle w:val="6"/>
              <w:rPr>
                <w:rFonts w:hint="eastAsia" w:ascii="宋体" w:cs="宋体"/>
                <w:b/>
                <w:color w:val="auto"/>
                <w:kern w:val="0"/>
                <w:sz w:val="28"/>
                <w:szCs w:val="28"/>
                <w:highlight w:val="none"/>
                <w:vertAlign w:val="baseline"/>
              </w:rPr>
            </w:pPr>
          </w:p>
          <w:p>
            <w:pPr>
              <w:pStyle w:val="31"/>
              <w:rPr>
                <w:rFonts w:hint="eastAsia" w:ascii="宋体" w:cs="宋体"/>
                <w:b/>
                <w:color w:val="auto"/>
                <w:kern w:val="0"/>
                <w:sz w:val="28"/>
                <w:szCs w:val="28"/>
                <w:highlight w:val="none"/>
                <w:vertAlign w:val="baseline"/>
              </w:rPr>
            </w:pPr>
          </w:p>
          <w:p>
            <w:pPr>
              <w:pStyle w:val="32"/>
              <w:rPr>
                <w:rFonts w:hint="eastAsia" w:ascii="宋体" w:cs="宋体"/>
                <w:b/>
                <w:color w:val="auto"/>
                <w:kern w:val="0"/>
                <w:sz w:val="28"/>
                <w:szCs w:val="28"/>
                <w:highlight w:val="none"/>
                <w:vertAlign w:val="baseline"/>
              </w:rPr>
            </w:pPr>
          </w:p>
          <w:p>
            <w:pPr>
              <w:rPr>
                <w:rFonts w:hint="eastAsia" w:ascii="宋体" w:cs="宋体"/>
                <w:b/>
                <w:color w:val="auto"/>
                <w:kern w:val="0"/>
                <w:sz w:val="28"/>
                <w:szCs w:val="28"/>
                <w:highlight w:val="none"/>
                <w:vertAlign w:val="baseline"/>
              </w:rPr>
            </w:pPr>
          </w:p>
          <w:p>
            <w:pPr>
              <w:pStyle w:val="6"/>
              <w:rPr>
                <w:rFonts w:hint="eastAsia" w:ascii="宋体" w:cs="宋体"/>
                <w:b/>
                <w:color w:val="auto"/>
                <w:kern w:val="0"/>
                <w:sz w:val="28"/>
                <w:szCs w:val="28"/>
                <w:highlight w:val="none"/>
                <w:vertAlign w:val="baseline"/>
              </w:rPr>
            </w:pPr>
          </w:p>
          <w:p>
            <w:pPr>
              <w:pStyle w:val="31"/>
              <w:rPr>
                <w:rFonts w:hint="eastAsia" w:ascii="宋体" w:cs="宋体"/>
                <w:b/>
                <w:color w:val="auto"/>
                <w:kern w:val="0"/>
                <w:sz w:val="28"/>
                <w:szCs w:val="28"/>
                <w:highlight w:val="none"/>
                <w:vertAlign w:val="baseline"/>
              </w:rPr>
            </w:pPr>
          </w:p>
          <w:p>
            <w:pPr>
              <w:pStyle w:val="32"/>
              <w:rPr>
                <w:rFonts w:hint="eastAsia" w:ascii="宋体" w:cs="宋体"/>
                <w:b/>
                <w:color w:val="auto"/>
                <w:kern w:val="0"/>
                <w:sz w:val="28"/>
                <w:szCs w:val="28"/>
                <w:highlight w:val="none"/>
                <w:vertAlign w:val="baseline"/>
              </w:rPr>
            </w:pPr>
          </w:p>
          <w:p>
            <w:pPr>
              <w:rPr>
                <w:rFonts w:hint="eastAsia" w:ascii="宋体" w:cs="宋体"/>
                <w:b/>
                <w:color w:val="auto"/>
                <w:kern w:val="0"/>
                <w:sz w:val="28"/>
                <w:szCs w:val="28"/>
                <w:highlight w:val="none"/>
                <w:vertAlign w:val="baseline"/>
              </w:rPr>
            </w:pPr>
          </w:p>
          <w:p>
            <w:pPr>
              <w:pStyle w:val="6"/>
              <w:rPr>
                <w:rFonts w:hint="eastAsia"/>
                <w:color w:val="auto"/>
                <w:highlight w:val="none"/>
              </w:rPr>
            </w:pPr>
          </w:p>
        </w:tc>
      </w:tr>
    </w:tbl>
    <w:p>
      <w:pPr>
        <w:adjustRightInd w:val="0"/>
        <w:snapToGrid w:val="0"/>
        <w:spacing w:line="360" w:lineRule="auto"/>
        <w:rPr>
          <w:rFonts w:hint="eastAsia" w:ascii="宋体" w:cs="宋体"/>
          <w:b/>
          <w:color w:val="auto"/>
          <w:kern w:val="0"/>
          <w:sz w:val="28"/>
          <w:szCs w:val="28"/>
          <w:highlight w:val="none"/>
        </w:rPr>
        <w:sectPr>
          <w:pgSz w:w="11907" w:h="16840"/>
          <w:pgMar w:top="1701" w:right="1531" w:bottom="2127" w:left="1531" w:header="851" w:footer="851" w:gutter="0"/>
          <w:cols w:space="720" w:num="1"/>
          <w:docGrid w:linePitch="312" w:charSpace="0"/>
        </w:sectPr>
      </w:pPr>
    </w:p>
    <w:p>
      <w:pPr>
        <w:pStyle w:val="18"/>
        <w:jc w:val="center"/>
        <w:outlineLvl w:val="0"/>
        <w:rPr>
          <w:rFonts w:ascii="黑体" w:hAnsi="黑体" w:eastAsia="黑体"/>
          <w:snapToGrid w:val="0"/>
          <w:color w:val="auto"/>
          <w:sz w:val="30"/>
          <w:szCs w:val="30"/>
          <w:highlight w:val="none"/>
        </w:rPr>
      </w:pPr>
      <w:r>
        <w:rPr>
          <w:rFonts w:hint="eastAsia" w:ascii="黑体" w:hAnsi="黑体" w:eastAsia="黑体"/>
          <w:snapToGrid w:val="0"/>
          <w:color w:val="auto"/>
          <w:sz w:val="30"/>
          <w:szCs w:val="30"/>
          <w:highlight w:val="none"/>
        </w:rPr>
        <w:t>五、</w:t>
      </w:r>
      <w:bookmarkStart w:id="13" w:name="_Hlk54167917"/>
      <w:r>
        <w:rPr>
          <w:rFonts w:hint="eastAsia" w:ascii="黑体" w:hAnsi="黑体" w:eastAsia="黑体"/>
          <w:snapToGrid w:val="0"/>
          <w:color w:val="auto"/>
          <w:sz w:val="30"/>
          <w:szCs w:val="30"/>
          <w:highlight w:val="none"/>
        </w:rPr>
        <w:t>环境保护措施监督检查清单</w:t>
      </w:r>
      <w:bookmarkEnd w:id="13"/>
    </w:p>
    <w:tbl>
      <w:tblPr>
        <w:tblStyle w:val="21"/>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778"/>
        <w:gridCol w:w="623"/>
        <w:gridCol w:w="991"/>
        <w:gridCol w:w="1809"/>
        <w:gridCol w:w="1741"/>
        <w:gridCol w:w="1858"/>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93" w:hRule="atLeast"/>
          <w:jc w:val="center"/>
        </w:trPr>
        <w:tc>
          <w:tcPr>
            <w:tcW w:w="1778" w:type="dxa"/>
            <w:tcBorders>
              <w:tl2br w:val="single" w:color="auto" w:sz="4" w:space="0"/>
            </w:tcBorders>
            <w:noWrap w:val="0"/>
            <w:vAlign w:val="top"/>
          </w:tcPr>
          <w:p>
            <w:pPr>
              <w:adjustRightInd w:val="0"/>
              <w:snapToGrid w:val="0"/>
              <w:ind w:firstLine="84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内容</w:t>
            </w:r>
          </w:p>
          <w:p>
            <w:pPr>
              <w:adjustRightInd w:val="0"/>
              <w:snapToGrid w:val="0"/>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要素</w:t>
            </w:r>
          </w:p>
        </w:tc>
        <w:tc>
          <w:tcPr>
            <w:tcW w:w="1614" w:type="dxa"/>
            <w:gridSpan w:val="2"/>
            <w:noWrap w:val="0"/>
            <w:vAlign w:val="center"/>
          </w:tcPr>
          <w:p>
            <w:pPr>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排放口</w:t>
            </w:r>
            <w:r>
              <w:rPr>
                <w:rFonts w:hint="eastAsia" w:cs="Times New Roman"/>
                <w:color w:val="auto"/>
                <w:sz w:val="21"/>
                <w:szCs w:val="21"/>
                <w:highlight w:val="none"/>
                <w:lang w:eastAsia="zh-CN"/>
              </w:rPr>
              <w:t>（</w:t>
            </w:r>
            <w:r>
              <w:rPr>
                <w:rFonts w:hint="default" w:ascii="Times New Roman" w:hAnsi="Times New Roman" w:cs="Times New Roman"/>
                <w:color w:val="auto"/>
                <w:sz w:val="21"/>
                <w:szCs w:val="21"/>
                <w:highlight w:val="none"/>
              </w:rPr>
              <w:t>编号、</w:t>
            </w:r>
          </w:p>
          <w:p>
            <w:pPr>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名称</w:t>
            </w:r>
            <w:r>
              <w:rPr>
                <w:rFonts w:hint="eastAsia" w:cs="Times New Roman"/>
                <w:color w:val="auto"/>
                <w:sz w:val="21"/>
                <w:szCs w:val="21"/>
                <w:highlight w:val="none"/>
                <w:lang w:eastAsia="zh-CN"/>
              </w:rPr>
              <w:t>）</w:t>
            </w:r>
            <w:r>
              <w:rPr>
                <w:rFonts w:hint="default" w:ascii="Times New Roman" w:hAnsi="Times New Roman" w:cs="Times New Roman"/>
                <w:color w:val="auto"/>
                <w:sz w:val="21"/>
                <w:szCs w:val="21"/>
                <w:highlight w:val="none"/>
              </w:rPr>
              <w:t>/污染源</w:t>
            </w:r>
          </w:p>
        </w:tc>
        <w:tc>
          <w:tcPr>
            <w:tcW w:w="1809" w:type="dxa"/>
            <w:noWrap w:val="0"/>
            <w:vAlign w:val="center"/>
          </w:tcPr>
          <w:p>
            <w:pPr>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污染物项目</w:t>
            </w:r>
          </w:p>
        </w:tc>
        <w:tc>
          <w:tcPr>
            <w:tcW w:w="1741" w:type="dxa"/>
            <w:noWrap w:val="0"/>
            <w:vAlign w:val="center"/>
          </w:tcPr>
          <w:p>
            <w:pPr>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环境保护措施</w:t>
            </w:r>
          </w:p>
        </w:tc>
        <w:tc>
          <w:tcPr>
            <w:tcW w:w="1858" w:type="dxa"/>
            <w:noWrap w:val="0"/>
            <w:vAlign w:val="center"/>
          </w:tcPr>
          <w:p>
            <w:pPr>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执行标准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vMerge w:val="restart"/>
            <w:noWrap w:val="0"/>
            <w:vAlign w:val="center"/>
          </w:tcPr>
          <w:p>
            <w:pPr>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大气环境</w:t>
            </w:r>
          </w:p>
        </w:tc>
        <w:tc>
          <w:tcPr>
            <w:tcW w:w="1614" w:type="dxa"/>
            <w:gridSpan w:val="2"/>
            <w:noWrap w:val="0"/>
            <w:vAlign w:val="center"/>
          </w:tcPr>
          <w:p>
            <w:pPr>
              <w:adjustRightInd w:val="0"/>
              <w:snapToGrid w:val="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锅炉废气</w:t>
            </w:r>
            <w:r>
              <w:rPr>
                <w:rFonts w:hint="default" w:ascii="Times New Roman" w:hAnsi="Times New Roman" w:cs="Times New Roman"/>
                <w:color w:val="auto"/>
                <w:sz w:val="21"/>
                <w:szCs w:val="21"/>
                <w:highlight w:val="none"/>
                <w:lang w:val="en-US" w:eastAsia="zh-CN"/>
              </w:rPr>
              <w:t>排放口</w:t>
            </w:r>
          </w:p>
          <w:p>
            <w:pPr>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D</w:t>
            </w:r>
            <w:r>
              <w:rPr>
                <w:rFonts w:hint="eastAsia" w:cs="Times New Roman"/>
                <w:color w:val="auto"/>
                <w:sz w:val="21"/>
                <w:szCs w:val="21"/>
                <w:highlight w:val="none"/>
                <w:lang w:val="en-US" w:eastAsia="zh-CN"/>
              </w:rPr>
              <w:t>A</w:t>
            </w:r>
            <w:r>
              <w:rPr>
                <w:rFonts w:hint="default" w:ascii="Times New Roman" w:hAnsi="Times New Roman" w:cs="Times New Roman"/>
                <w:color w:val="auto"/>
                <w:sz w:val="21"/>
                <w:szCs w:val="21"/>
                <w:highlight w:val="none"/>
                <w:lang w:val="en-US" w:eastAsia="zh-CN"/>
              </w:rPr>
              <w:t>001</w:t>
            </w:r>
            <w:r>
              <w:rPr>
                <w:rFonts w:hint="eastAsia" w:cs="Times New Roman"/>
                <w:color w:val="auto"/>
                <w:sz w:val="21"/>
                <w:szCs w:val="21"/>
                <w:highlight w:val="none"/>
                <w:lang w:val="en-US" w:eastAsia="zh-CN"/>
              </w:rPr>
              <w:t>）</w:t>
            </w:r>
          </w:p>
        </w:tc>
        <w:tc>
          <w:tcPr>
            <w:tcW w:w="1809" w:type="dxa"/>
            <w:noWrap w:val="0"/>
            <w:vAlign w:val="center"/>
          </w:tcPr>
          <w:p>
            <w:pPr>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颗粒物、氮氧化物、二氧化硫、林格曼黑度</w:t>
            </w:r>
          </w:p>
        </w:tc>
        <w:tc>
          <w:tcPr>
            <w:tcW w:w="1741" w:type="dxa"/>
            <w:noWrap w:val="0"/>
            <w:vAlign w:val="center"/>
          </w:tcPr>
          <w:p>
            <w:pPr>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低氮燃烧技术+8m排气筒</w:t>
            </w:r>
          </w:p>
        </w:tc>
        <w:tc>
          <w:tcPr>
            <w:tcW w:w="1858" w:type="dxa"/>
            <w:noWrap w:val="0"/>
            <w:vAlign w:val="center"/>
          </w:tcPr>
          <w:p>
            <w:pPr>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bCs/>
                <w:color w:val="auto"/>
                <w:sz w:val="21"/>
                <w:szCs w:val="21"/>
                <w:highlight w:val="none"/>
                <w:lang w:val="en-US" w:eastAsia="zh-CN"/>
              </w:rPr>
              <w:t>《锅炉大气污染物排放标准》（GB13271-2014）</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vMerge w:val="continue"/>
            <w:noWrap w:val="0"/>
            <w:vAlign w:val="center"/>
          </w:tcPr>
          <w:p>
            <w:pPr>
              <w:adjustRightInd w:val="0"/>
              <w:snapToGrid w:val="0"/>
              <w:jc w:val="center"/>
              <w:rPr>
                <w:rFonts w:hint="default" w:ascii="Times New Roman" w:hAnsi="Times New Roman" w:cs="Times New Roman"/>
                <w:color w:val="auto"/>
                <w:sz w:val="21"/>
                <w:szCs w:val="21"/>
                <w:highlight w:val="none"/>
              </w:rPr>
            </w:pPr>
          </w:p>
        </w:tc>
        <w:tc>
          <w:tcPr>
            <w:tcW w:w="1614" w:type="dxa"/>
            <w:gridSpan w:val="2"/>
            <w:noWrap w:val="0"/>
            <w:vAlign w:val="center"/>
          </w:tcPr>
          <w:p>
            <w:pPr>
              <w:adjustRightInd w:val="0"/>
              <w:snapToGrid w:val="0"/>
              <w:jc w:val="center"/>
              <w:rPr>
                <w:rFonts w:hint="eastAsia"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瓶胚预热</w:t>
            </w:r>
            <w:r>
              <w:rPr>
                <w:rFonts w:hint="eastAsia" w:ascii="Times New Roman" w:hAnsi="Times New Roman" w:cs="Times New Roman"/>
                <w:color w:val="auto"/>
                <w:sz w:val="21"/>
                <w:szCs w:val="21"/>
                <w:highlight w:val="none"/>
                <w:lang w:val="en-US" w:eastAsia="zh-CN"/>
              </w:rPr>
              <w:t>废气</w:t>
            </w:r>
          </w:p>
          <w:p>
            <w:pPr>
              <w:adjustRightInd w:val="0"/>
              <w:snapToGrid w:val="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D</w:t>
            </w:r>
            <w:r>
              <w:rPr>
                <w:rFonts w:hint="eastAsia" w:cs="Times New Roman"/>
                <w:color w:val="auto"/>
                <w:sz w:val="21"/>
                <w:szCs w:val="21"/>
                <w:highlight w:val="none"/>
                <w:lang w:val="en-US" w:eastAsia="zh-CN"/>
              </w:rPr>
              <w:t>A</w:t>
            </w:r>
            <w:r>
              <w:rPr>
                <w:rFonts w:hint="eastAsia" w:ascii="Times New Roman" w:hAnsi="Times New Roman" w:cs="Times New Roman"/>
                <w:color w:val="auto"/>
                <w:sz w:val="21"/>
                <w:szCs w:val="21"/>
                <w:highlight w:val="none"/>
                <w:lang w:val="en-US" w:eastAsia="zh-CN"/>
              </w:rPr>
              <w:t>00</w:t>
            </w:r>
            <w:r>
              <w:rPr>
                <w:rFonts w:hint="eastAsia" w:cs="Times New Roman"/>
                <w:color w:val="auto"/>
                <w:sz w:val="21"/>
                <w:szCs w:val="21"/>
                <w:highlight w:val="none"/>
                <w:lang w:val="en-US" w:eastAsia="zh-CN"/>
              </w:rPr>
              <w:t>2）</w:t>
            </w:r>
          </w:p>
        </w:tc>
        <w:tc>
          <w:tcPr>
            <w:tcW w:w="1809" w:type="dxa"/>
            <w:noWrap w:val="0"/>
            <w:vAlign w:val="center"/>
          </w:tcPr>
          <w:p>
            <w:pPr>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非甲烷总烃</w:t>
            </w:r>
          </w:p>
        </w:tc>
        <w:tc>
          <w:tcPr>
            <w:tcW w:w="1741" w:type="dxa"/>
            <w:noWrap w:val="0"/>
            <w:vAlign w:val="center"/>
          </w:tcPr>
          <w:p>
            <w:pPr>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eastAsia" w:cs="Times New Roman"/>
                <w:color w:val="auto"/>
                <w:sz w:val="21"/>
                <w:szCs w:val="21"/>
                <w:highlight w:val="none"/>
                <w:lang w:val="en-US" w:eastAsia="zh-CN"/>
              </w:rPr>
              <w:t>二级活性炭吸附+15m排气筒</w:t>
            </w:r>
          </w:p>
        </w:tc>
        <w:tc>
          <w:tcPr>
            <w:tcW w:w="1858" w:type="dxa"/>
            <w:vMerge w:val="restart"/>
            <w:noWrap w:val="0"/>
            <w:vAlign w:val="center"/>
          </w:tcPr>
          <w:p>
            <w:pPr>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lang w:val="en-US" w:eastAsia="zh-CN"/>
              </w:rPr>
              <w:t>合成树脂工业污染物排放标准</w:t>
            </w:r>
            <w:r>
              <w:rPr>
                <w:rFonts w:hint="default" w:ascii="Times New Roman" w:hAnsi="Times New Roman" w:cs="Times New Roman"/>
                <w:color w:val="auto"/>
                <w:sz w:val="21"/>
                <w:szCs w:val="21"/>
                <w:highlight w:val="none"/>
                <w:lang w:eastAsia="zh-CN"/>
              </w:rPr>
              <w:t>》（GB31572-2015，含2024年修改单）</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vMerge w:val="continue"/>
            <w:noWrap w:val="0"/>
            <w:vAlign w:val="center"/>
          </w:tcPr>
          <w:p>
            <w:pPr>
              <w:adjustRightInd w:val="0"/>
              <w:snapToGrid w:val="0"/>
              <w:jc w:val="center"/>
              <w:rPr>
                <w:rFonts w:hint="default" w:ascii="Times New Roman" w:hAnsi="Times New Roman" w:cs="Times New Roman"/>
                <w:color w:val="auto"/>
                <w:sz w:val="21"/>
                <w:szCs w:val="21"/>
                <w:highlight w:val="none"/>
              </w:rPr>
            </w:pPr>
          </w:p>
        </w:tc>
        <w:tc>
          <w:tcPr>
            <w:tcW w:w="1614" w:type="dxa"/>
            <w:gridSpan w:val="2"/>
            <w:noWrap w:val="0"/>
            <w:vAlign w:val="center"/>
          </w:tcPr>
          <w:p>
            <w:pPr>
              <w:adjustRightInd w:val="0"/>
              <w:snapToGrid w:val="0"/>
              <w:jc w:val="center"/>
              <w:rPr>
                <w:rFonts w:hint="eastAsia" w:ascii="Times New Roman" w:hAnsi="Times New Roman" w:cs="Times New Roman"/>
                <w:color w:val="auto"/>
                <w:sz w:val="21"/>
                <w:szCs w:val="21"/>
                <w:highlight w:val="none"/>
                <w:lang w:val="en-US" w:eastAsia="zh-CN"/>
              </w:rPr>
            </w:pPr>
            <w:r>
              <w:rPr>
                <w:rFonts w:hint="eastAsia" w:ascii="Times New Roman" w:hAnsi="Times New Roman" w:cs="Times New Roman"/>
                <w:color w:val="auto"/>
                <w:sz w:val="21"/>
                <w:szCs w:val="21"/>
                <w:highlight w:val="none"/>
                <w:lang w:val="en-US" w:eastAsia="zh-CN"/>
              </w:rPr>
              <w:t>包装</w:t>
            </w:r>
            <w:r>
              <w:rPr>
                <w:rFonts w:hint="eastAsia" w:cs="Times New Roman"/>
                <w:color w:val="auto"/>
                <w:sz w:val="21"/>
                <w:szCs w:val="21"/>
                <w:highlight w:val="none"/>
                <w:lang w:val="en-US" w:eastAsia="zh-CN"/>
              </w:rPr>
              <w:t>缩膜</w:t>
            </w:r>
            <w:r>
              <w:rPr>
                <w:rFonts w:hint="eastAsia" w:ascii="Times New Roman" w:hAnsi="Times New Roman" w:cs="Times New Roman"/>
                <w:color w:val="auto"/>
                <w:sz w:val="21"/>
                <w:szCs w:val="21"/>
                <w:highlight w:val="none"/>
                <w:lang w:val="en-US" w:eastAsia="zh-CN"/>
              </w:rPr>
              <w:t>废气</w:t>
            </w:r>
          </w:p>
          <w:p>
            <w:pPr>
              <w:adjustRightInd w:val="0"/>
              <w:snapToGrid w:val="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w:t>
            </w:r>
            <w:r>
              <w:rPr>
                <w:rFonts w:hint="default" w:ascii="Times New Roman" w:hAnsi="Times New Roman" w:cs="Times New Roman"/>
                <w:color w:val="auto"/>
                <w:sz w:val="21"/>
                <w:szCs w:val="21"/>
                <w:highlight w:val="none"/>
                <w:lang w:val="en-US" w:eastAsia="zh-CN"/>
              </w:rPr>
              <w:t>D</w:t>
            </w:r>
            <w:r>
              <w:rPr>
                <w:rFonts w:hint="eastAsia" w:cs="Times New Roman"/>
                <w:color w:val="auto"/>
                <w:sz w:val="21"/>
                <w:szCs w:val="21"/>
                <w:highlight w:val="none"/>
                <w:lang w:val="en-US" w:eastAsia="zh-CN"/>
              </w:rPr>
              <w:t>A</w:t>
            </w:r>
            <w:r>
              <w:rPr>
                <w:rFonts w:hint="eastAsia" w:ascii="Times New Roman" w:hAnsi="Times New Roman" w:cs="Times New Roman"/>
                <w:color w:val="auto"/>
                <w:sz w:val="21"/>
                <w:szCs w:val="21"/>
                <w:highlight w:val="none"/>
                <w:lang w:val="en-US" w:eastAsia="zh-CN"/>
              </w:rPr>
              <w:t>00</w:t>
            </w:r>
            <w:r>
              <w:rPr>
                <w:rFonts w:hint="eastAsia" w:cs="Times New Roman"/>
                <w:color w:val="auto"/>
                <w:sz w:val="21"/>
                <w:szCs w:val="21"/>
                <w:highlight w:val="none"/>
                <w:lang w:val="en-US" w:eastAsia="zh-CN"/>
              </w:rPr>
              <w:t>3）</w:t>
            </w:r>
          </w:p>
        </w:tc>
        <w:tc>
          <w:tcPr>
            <w:tcW w:w="1809" w:type="dxa"/>
            <w:noWrap w:val="0"/>
            <w:vAlign w:val="center"/>
          </w:tcPr>
          <w:p>
            <w:pPr>
              <w:adjustRightInd w:val="0"/>
              <w:snapToGrid w:val="0"/>
              <w:jc w:val="center"/>
              <w:rPr>
                <w:rFonts w:hint="default" w:ascii="Times New Roman" w:hAnsi="Times New Roman" w:cs="Times New Roman"/>
                <w:color w:val="auto"/>
                <w:sz w:val="21"/>
                <w:szCs w:val="21"/>
                <w:highlight w:val="none"/>
              </w:rPr>
            </w:pPr>
            <w:r>
              <w:rPr>
                <w:rFonts w:hint="eastAsia" w:cs="Times New Roman"/>
                <w:color w:val="auto"/>
                <w:sz w:val="21"/>
                <w:szCs w:val="21"/>
                <w:highlight w:val="none"/>
                <w:lang w:val="en-US" w:eastAsia="zh-CN"/>
              </w:rPr>
              <w:t>非甲烷总烃</w:t>
            </w:r>
          </w:p>
        </w:tc>
        <w:tc>
          <w:tcPr>
            <w:tcW w:w="1741" w:type="dxa"/>
            <w:noWrap w:val="0"/>
            <w:vAlign w:val="center"/>
          </w:tcPr>
          <w:p>
            <w:pPr>
              <w:adjustRightInd w:val="0"/>
              <w:snapToGrid w:val="0"/>
              <w:jc w:val="center"/>
              <w:rPr>
                <w:rFonts w:hint="default" w:ascii="Times New Roman" w:hAnsi="Times New Roman" w:cs="Times New Roman"/>
                <w:color w:val="auto"/>
                <w:sz w:val="21"/>
                <w:szCs w:val="21"/>
                <w:highlight w:val="none"/>
              </w:rPr>
            </w:pPr>
            <w:r>
              <w:rPr>
                <w:rFonts w:hint="eastAsia" w:cs="Times New Roman"/>
                <w:color w:val="auto"/>
                <w:sz w:val="21"/>
                <w:szCs w:val="21"/>
                <w:highlight w:val="none"/>
                <w:lang w:val="en-US" w:eastAsia="zh-CN"/>
              </w:rPr>
              <w:t>二级活性炭吸附+15m排气筒</w:t>
            </w:r>
          </w:p>
        </w:tc>
        <w:tc>
          <w:tcPr>
            <w:tcW w:w="1858" w:type="dxa"/>
            <w:vMerge w:val="continue"/>
            <w:noWrap w:val="0"/>
            <w:vAlign w:val="center"/>
          </w:tcPr>
          <w:p>
            <w:pPr>
              <w:adjustRightInd w:val="0"/>
              <w:snapToGrid w:val="0"/>
              <w:jc w:val="center"/>
              <w:rPr>
                <w:rFonts w:hint="default" w:ascii="Times New Roman" w:hAnsi="Times New Roman" w:cs="Times New Roman"/>
                <w:color w:val="auto"/>
                <w:sz w:val="21"/>
                <w:szCs w:val="21"/>
                <w:highlight w:val="none"/>
              </w:rPr>
            </w:pP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vMerge w:val="continue"/>
            <w:noWrap w:val="0"/>
            <w:vAlign w:val="center"/>
          </w:tcPr>
          <w:p>
            <w:pPr>
              <w:adjustRightInd w:val="0"/>
              <w:snapToGrid w:val="0"/>
              <w:jc w:val="center"/>
              <w:rPr>
                <w:rFonts w:hint="default" w:ascii="Times New Roman" w:hAnsi="Times New Roman" w:cs="Times New Roman"/>
                <w:color w:val="auto"/>
                <w:sz w:val="21"/>
                <w:szCs w:val="21"/>
                <w:highlight w:val="none"/>
              </w:rPr>
            </w:pPr>
          </w:p>
        </w:tc>
        <w:tc>
          <w:tcPr>
            <w:tcW w:w="623" w:type="dxa"/>
            <w:vMerge w:val="restart"/>
            <w:noWrap w:val="0"/>
            <w:vAlign w:val="center"/>
          </w:tcPr>
          <w:p>
            <w:pPr>
              <w:adjustRightInd w:val="0"/>
              <w:snapToGrid w:val="0"/>
              <w:jc w:val="center"/>
              <w:rPr>
                <w:rFonts w:hint="default" w:ascii="Times New Roman" w:hAnsi="Times New Roman" w:cs="Times New Roman"/>
                <w:color w:val="auto"/>
                <w:sz w:val="21"/>
                <w:szCs w:val="21"/>
                <w:highlight w:val="none"/>
                <w:lang w:val="en-US" w:eastAsia="zh-CN"/>
              </w:rPr>
            </w:pPr>
            <w:r>
              <w:rPr>
                <w:rFonts w:hint="eastAsia" w:cs="Times New Roman"/>
                <w:color w:val="auto"/>
                <w:sz w:val="21"/>
                <w:szCs w:val="21"/>
                <w:highlight w:val="none"/>
                <w:lang w:val="en-US" w:eastAsia="zh-CN"/>
              </w:rPr>
              <w:t>无组织</w:t>
            </w:r>
          </w:p>
        </w:tc>
        <w:tc>
          <w:tcPr>
            <w:tcW w:w="991" w:type="dxa"/>
            <w:noWrap w:val="0"/>
            <w:vAlign w:val="center"/>
          </w:tcPr>
          <w:p>
            <w:pPr>
              <w:adjustRightInd w:val="0"/>
              <w:snapToGrid w:val="0"/>
              <w:jc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厂界</w:t>
            </w:r>
          </w:p>
        </w:tc>
        <w:tc>
          <w:tcPr>
            <w:tcW w:w="1809" w:type="dxa"/>
            <w:noWrap w:val="0"/>
            <w:vAlign w:val="center"/>
          </w:tcPr>
          <w:p>
            <w:pPr>
              <w:adjustRightInd w:val="0"/>
              <w:snapToGrid w:val="0"/>
              <w:jc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非甲烷总烃、臭气浓度</w:t>
            </w:r>
          </w:p>
        </w:tc>
        <w:tc>
          <w:tcPr>
            <w:tcW w:w="1741" w:type="dxa"/>
            <w:vMerge w:val="restart"/>
            <w:noWrap w:val="0"/>
            <w:vAlign w:val="center"/>
          </w:tcPr>
          <w:p>
            <w:pPr>
              <w:adjustRightInd w:val="0"/>
              <w:snapToGrid w:val="0"/>
              <w:jc w:val="center"/>
              <w:rPr>
                <w:rFonts w:hint="default" w:cs="Times New Roman"/>
                <w:color w:val="auto"/>
                <w:sz w:val="21"/>
                <w:szCs w:val="21"/>
                <w:highlight w:val="none"/>
                <w:lang w:val="en-US" w:eastAsia="zh-CN"/>
              </w:rPr>
            </w:pPr>
            <w:r>
              <w:rPr>
                <w:rFonts w:hint="eastAsia"/>
                <w:bCs/>
                <w:color w:val="auto"/>
                <w:spacing w:val="-10"/>
                <w:szCs w:val="21"/>
                <w:lang w:val="en-US" w:eastAsia="zh-CN"/>
              </w:rPr>
              <w:t>加强管理及收集、周边绿化，污水站周边及专用贮存点定期喷洒除臭剂</w:t>
            </w:r>
          </w:p>
        </w:tc>
        <w:tc>
          <w:tcPr>
            <w:tcW w:w="1858" w:type="dxa"/>
            <w:noWrap w:val="0"/>
            <w:vAlign w:val="center"/>
          </w:tcPr>
          <w:p>
            <w:pPr>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lang w:val="en-US" w:eastAsia="zh-CN"/>
              </w:rPr>
              <w:t>合成树脂工业污染物排放标准</w:t>
            </w:r>
            <w:r>
              <w:rPr>
                <w:rFonts w:hint="default" w:ascii="Times New Roman" w:hAnsi="Times New Roman" w:cs="Times New Roman"/>
                <w:color w:val="auto"/>
                <w:sz w:val="21"/>
                <w:szCs w:val="21"/>
                <w:highlight w:val="none"/>
                <w:lang w:eastAsia="zh-CN"/>
              </w:rPr>
              <w:t>》（GB31572-2015，含2024年修改单</w:t>
            </w:r>
            <w:r>
              <w:rPr>
                <w:rFonts w:hint="eastAsia" w:cs="Times New Roman"/>
                <w:color w:val="auto"/>
                <w:sz w:val="21"/>
                <w:szCs w:val="21"/>
                <w:highlight w:val="none"/>
                <w:lang w:eastAsia="zh-CN"/>
              </w:rPr>
              <w:t>；</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cs="Times New Roman"/>
                <w:color w:val="auto"/>
                <w:sz w:val="21"/>
                <w:szCs w:val="21"/>
                <w:highlight w:val="none"/>
                <w:lang w:val="en-US" w:eastAsia="zh-CN"/>
              </w:rPr>
              <w:t>恶臭污染物排放标准</w:t>
            </w:r>
            <w:r>
              <w:rPr>
                <w:rFonts w:hint="default" w:ascii="Times New Roman" w:hAnsi="Times New Roman" w:eastAsia="宋体" w:cs="Times New Roman"/>
                <w:color w:val="auto"/>
                <w:sz w:val="21"/>
                <w:szCs w:val="21"/>
                <w:highlight w:val="none"/>
                <w:lang w:eastAsia="zh-CN"/>
              </w:rPr>
              <w:t>》（GB</w:t>
            </w:r>
            <w:r>
              <w:rPr>
                <w:rFonts w:hint="default" w:ascii="Times New Roman" w:hAnsi="Times New Roman" w:cs="Times New Roman"/>
                <w:color w:val="auto"/>
                <w:sz w:val="21"/>
                <w:szCs w:val="21"/>
                <w:highlight w:val="none"/>
                <w:lang w:val="en-US" w:eastAsia="zh-CN"/>
              </w:rPr>
              <w:t>14554</w:t>
            </w:r>
            <w:r>
              <w:rPr>
                <w:rFonts w:hint="default" w:ascii="Times New Roman" w:hAnsi="Times New Roman" w:eastAsia="宋体" w:cs="Times New Roman"/>
                <w:color w:val="auto"/>
                <w:sz w:val="21"/>
                <w:szCs w:val="21"/>
                <w:highlight w:val="none"/>
                <w:lang w:eastAsia="zh-CN"/>
              </w:rPr>
              <w:t>-</w:t>
            </w:r>
            <w:r>
              <w:rPr>
                <w:rFonts w:hint="default" w:ascii="Times New Roman" w:hAnsi="Times New Roman" w:cs="Times New Roman"/>
                <w:color w:val="auto"/>
                <w:sz w:val="21"/>
                <w:szCs w:val="21"/>
                <w:highlight w:val="none"/>
                <w:lang w:val="en-US" w:eastAsia="zh-CN"/>
              </w:rPr>
              <w:t>93</w:t>
            </w:r>
            <w:r>
              <w:rPr>
                <w:rFonts w:hint="default" w:ascii="Times New Roman" w:hAnsi="Times New Roman" w:eastAsia="宋体" w:cs="Times New Roman"/>
                <w:color w:val="auto"/>
                <w:sz w:val="21"/>
                <w:szCs w:val="21"/>
                <w:highlight w:val="none"/>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vMerge w:val="continue"/>
            <w:noWrap w:val="0"/>
            <w:vAlign w:val="center"/>
          </w:tcPr>
          <w:p>
            <w:pPr>
              <w:adjustRightInd w:val="0"/>
              <w:snapToGrid w:val="0"/>
              <w:jc w:val="center"/>
              <w:rPr>
                <w:rFonts w:hint="default" w:ascii="Times New Roman" w:hAnsi="Times New Roman" w:cs="Times New Roman"/>
                <w:color w:val="auto"/>
                <w:sz w:val="21"/>
                <w:szCs w:val="21"/>
                <w:highlight w:val="none"/>
              </w:rPr>
            </w:pPr>
          </w:p>
        </w:tc>
        <w:tc>
          <w:tcPr>
            <w:tcW w:w="623" w:type="dxa"/>
            <w:vMerge w:val="continue"/>
            <w:noWrap w:val="0"/>
            <w:vAlign w:val="center"/>
          </w:tcPr>
          <w:p>
            <w:pPr>
              <w:adjustRightInd w:val="0"/>
              <w:snapToGrid w:val="0"/>
              <w:jc w:val="center"/>
              <w:rPr>
                <w:rFonts w:hint="default" w:cs="Times New Roman"/>
                <w:color w:val="auto"/>
                <w:sz w:val="21"/>
                <w:szCs w:val="21"/>
                <w:highlight w:val="none"/>
                <w:lang w:val="en-US" w:eastAsia="zh-CN"/>
              </w:rPr>
            </w:pPr>
          </w:p>
        </w:tc>
        <w:tc>
          <w:tcPr>
            <w:tcW w:w="991" w:type="dxa"/>
            <w:noWrap w:val="0"/>
            <w:vAlign w:val="center"/>
          </w:tcPr>
          <w:p>
            <w:pPr>
              <w:adjustRightInd w:val="0"/>
              <w:snapToGrid w:val="0"/>
              <w:jc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厂区内</w:t>
            </w:r>
          </w:p>
        </w:tc>
        <w:tc>
          <w:tcPr>
            <w:tcW w:w="1809" w:type="dxa"/>
            <w:noWrap w:val="0"/>
            <w:vAlign w:val="center"/>
          </w:tcPr>
          <w:p>
            <w:pPr>
              <w:adjustRightInd w:val="0"/>
              <w:snapToGrid w:val="0"/>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非甲烷总烃</w:t>
            </w:r>
          </w:p>
        </w:tc>
        <w:tc>
          <w:tcPr>
            <w:tcW w:w="1741" w:type="dxa"/>
            <w:vMerge w:val="continue"/>
            <w:noWrap w:val="0"/>
            <w:vAlign w:val="center"/>
          </w:tcPr>
          <w:p>
            <w:pPr>
              <w:adjustRightInd w:val="0"/>
              <w:snapToGrid w:val="0"/>
              <w:jc w:val="center"/>
              <w:rPr>
                <w:rFonts w:hint="eastAsia" w:cs="Times New Roman"/>
                <w:color w:val="auto"/>
                <w:sz w:val="21"/>
                <w:szCs w:val="21"/>
                <w:highlight w:val="none"/>
                <w:lang w:val="en-US" w:eastAsia="zh-CN"/>
              </w:rPr>
            </w:pPr>
          </w:p>
        </w:tc>
        <w:tc>
          <w:tcPr>
            <w:tcW w:w="1858" w:type="dxa"/>
            <w:noWrap w:val="0"/>
            <w:vAlign w:val="center"/>
          </w:tcPr>
          <w:p>
            <w:pPr>
              <w:adjustRightInd w:val="0"/>
              <w:snapToGrid w:val="0"/>
              <w:jc w:val="center"/>
              <w:rPr>
                <w:rFonts w:hint="default" w:ascii="Times New Roman" w:hAnsi="Times New Roman" w:cs="Times New Roman"/>
                <w:color w:val="auto"/>
                <w:sz w:val="21"/>
                <w:szCs w:val="21"/>
                <w:highlight w:val="none"/>
                <w:lang w:eastAsia="zh-CN"/>
              </w:rPr>
            </w:pP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lang w:val="en-US" w:eastAsia="zh-CN"/>
              </w:rPr>
              <w:t>挥发性有机物无组织排放控制标准</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lang w:val="en-US" w:eastAsia="zh-CN"/>
              </w:rPr>
              <w:t>GB38822-2019</w:t>
            </w:r>
            <w:r>
              <w:rPr>
                <w:rFonts w:hint="default" w:ascii="Times New Roman" w:hAnsi="Times New Roman" w:cs="Times New Roman"/>
                <w:color w:val="auto"/>
                <w:sz w:val="21"/>
                <w:szCs w:val="21"/>
                <w:highlight w:val="none"/>
                <w:lang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noWrap w:val="0"/>
            <w:vAlign w:val="center"/>
          </w:tcPr>
          <w:p>
            <w:pPr>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地表水环境</w:t>
            </w:r>
          </w:p>
        </w:tc>
        <w:tc>
          <w:tcPr>
            <w:tcW w:w="1614" w:type="dxa"/>
            <w:gridSpan w:val="2"/>
            <w:shd w:val="clear" w:color="auto" w:fill="auto"/>
            <w:noWrap w:val="0"/>
            <w:vAlign w:val="center"/>
          </w:tcPr>
          <w:p>
            <w:pPr>
              <w:ind w:left="8" w:leftChars="-3" w:hanging="14" w:hangingChars="7"/>
              <w:jc w:val="center"/>
              <w:rPr>
                <w:rFonts w:hint="eastAsia" w:cs="Times New Roman"/>
                <w:color w:val="auto"/>
                <w:sz w:val="21"/>
                <w:szCs w:val="21"/>
                <w:highlight w:val="none"/>
                <w:lang w:val="en-US" w:eastAsia="zh-CN"/>
              </w:rPr>
            </w:pPr>
            <w:r>
              <w:rPr>
                <w:rFonts w:hint="eastAsia" w:cs="Times New Roman"/>
                <w:color w:val="auto"/>
                <w:sz w:val="21"/>
                <w:szCs w:val="21"/>
                <w:highlight w:val="none"/>
                <w:lang w:val="en-US" w:eastAsia="zh-CN"/>
              </w:rPr>
              <w:t>DW001</w:t>
            </w:r>
          </w:p>
          <w:p>
            <w:pPr>
              <w:ind w:left="8" w:leftChars="-3" w:hanging="14" w:hangingChars="7"/>
              <w:jc w:val="center"/>
              <w:rPr>
                <w:rFonts w:hint="default" w:cs="Times New Roman"/>
                <w:color w:val="auto"/>
                <w:sz w:val="21"/>
                <w:szCs w:val="21"/>
                <w:highlight w:val="none"/>
                <w:lang w:val="en-US" w:eastAsia="zh-CN"/>
              </w:rPr>
            </w:pPr>
            <w:r>
              <w:rPr>
                <w:rFonts w:hint="eastAsia" w:cs="Times New Roman"/>
                <w:color w:val="auto"/>
                <w:sz w:val="21"/>
                <w:szCs w:val="21"/>
                <w:highlight w:val="none"/>
                <w:lang w:val="en-US" w:eastAsia="zh-CN"/>
              </w:rPr>
              <w:t>废水总排口</w:t>
            </w:r>
          </w:p>
        </w:tc>
        <w:tc>
          <w:tcPr>
            <w:tcW w:w="1809" w:type="dxa"/>
            <w:shd w:val="clear" w:color="auto" w:fill="auto"/>
            <w:noWrap w:val="0"/>
            <w:vAlign w:val="center"/>
          </w:tcPr>
          <w:p>
            <w:pPr>
              <w:jc w:val="center"/>
              <w:rPr>
                <w:rFonts w:hint="eastAsia" w:ascii="Times New Roman" w:hAnsi="Times New Roman" w:eastAsia="宋体" w:cs="Times New Roman"/>
                <w:color w:val="auto"/>
                <w:kern w:val="2"/>
                <w:sz w:val="21"/>
                <w:szCs w:val="21"/>
                <w:highlight w:val="none"/>
                <w:lang w:val="en-US" w:eastAsia="zh-CN" w:bidi="ar-SA"/>
              </w:rPr>
            </w:pPr>
            <w:r>
              <w:rPr>
                <w:rFonts w:hint="eastAsia" w:cs="Times New Roman"/>
                <w:b w:val="0"/>
                <w:bCs w:val="0"/>
                <w:color w:val="auto"/>
                <w:kern w:val="0"/>
                <w:sz w:val="21"/>
                <w:szCs w:val="21"/>
                <w:highlight w:val="none"/>
                <w:vertAlign w:val="baseline"/>
                <w:lang w:val="en-US" w:eastAsia="zh-CN"/>
              </w:rPr>
              <w:t>pH、COD、BOD</w:t>
            </w:r>
            <w:r>
              <w:rPr>
                <w:rFonts w:hint="eastAsia" w:cs="Times New Roman"/>
                <w:b w:val="0"/>
                <w:bCs w:val="0"/>
                <w:color w:val="auto"/>
                <w:kern w:val="0"/>
                <w:sz w:val="21"/>
                <w:szCs w:val="21"/>
                <w:highlight w:val="none"/>
                <w:vertAlign w:val="subscript"/>
                <w:lang w:val="en-US" w:eastAsia="zh-CN"/>
              </w:rPr>
              <w:t>5</w:t>
            </w:r>
            <w:r>
              <w:rPr>
                <w:rFonts w:hint="eastAsia" w:cs="Times New Roman"/>
                <w:b w:val="0"/>
                <w:bCs w:val="0"/>
                <w:color w:val="auto"/>
                <w:kern w:val="0"/>
                <w:sz w:val="21"/>
                <w:szCs w:val="21"/>
                <w:highlight w:val="none"/>
                <w:vertAlign w:val="baseline"/>
                <w:lang w:val="en-US" w:eastAsia="zh-CN"/>
              </w:rPr>
              <w:t>、氨氮、总氮、总磷、悬浮物、溶解性总固体、LAS</w:t>
            </w:r>
          </w:p>
        </w:tc>
        <w:tc>
          <w:tcPr>
            <w:tcW w:w="1741" w:type="dxa"/>
            <w:noWrap w:val="0"/>
            <w:vAlign w:val="center"/>
          </w:tcPr>
          <w:p>
            <w:pPr>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eastAsiaTheme="minorEastAsia"/>
                <w:color w:val="auto"/>
                <w:kern w:val="0"/>
                <w:sz w:val="21"/>
                <w:szCs w:val="21"/>
                <w:highlight w:val="none"/>
                <w:lang w:val="en-US" w:eastAsia="zh-CN" w:bidi="ar-SA"/>
              </w:rPr>
              <w:t>建设污水处理站一座，设计处理能力30</w:t>
            </w:r>
            <w:r>
              <w:rPr>
                <w:rFonts w:hint="default" w:ascii="Times New Roman" w:hAnsi="Times New Roman" w:cs="Times New Roman"/>
                <w:color w:val="auto"/>
                <w:sz w:val="21"/>
                <w:szCs w:val="21"/>
                <w:highlight w:val="none"/>
              </w:rPr>
              <w:t>m</w:t>
            </w:r>
            <w:r>
              <w:rPr>
                <w:rFonts w:hint="default" w:ascii="Times New Roman" w:hAnsi="Times New Roman" w:cs="Times New Roman"/>
                <w:color w:val="auto"/>
                <w:sz w:val="21"/>
                <w:szCs w:val="21"/>
                <w:highlight w:val="none"/>
                <w:vertAlign w:val="superscript"/>
              </w:rPr>
              <w:t>3</w:t>
            </w:r>
            <w:r>
              <w:rPr>
                <w:rFonts w:hint="default" w:ascii="Times New Roman" w:hAnsi="Times New Roman" w:cs="Times New Roman"/>
                <w:color w:val="auto"/>
                <w:sz w:val="21"/>
                <w:szCs w:val="21"/>
                <w:highlight w:val="none"/>
              </w:rPr>
              <w:t>/</w:t>
            </w:r>
            <w:r>
              <w:rPr>
                <w:rFonts w:hint="default" w:ascii="Times New Roman" w:hAnsi="Times New Roman" w:cs="Times New Roman"/>
                <w:color w:val="auto"/>
                <w:sz w:val="21"/>
                <w:szCs w:val="21"/>
                <w:highlight w:val="none"/>
                <w:lang w:val="en-US" w:eastAsia="zh-CN"/>
              </w:rPr>
              <w:t>d，处理工艺为</w:t>
            </w:r>
            <w:r>
              <w:rPr>
                <w:rFonts w:hint="default" w:ascii="Times New Roman" w:hAnsi="Times New Roman" w:cs="Times New Roman"/>
                <w:color w:val="auto"/>
                <w:highlight w:val="none"/>
                <w:lang w:val="en-US" w:eastAsia="zh-CN"/>
              </w:rPr>
              <w:t>“格栅-调节池-厌氧池-好氧池-二沉池-过滤池-清水池”，</w:t>
            </w:r>
            <w:r>
              <w:rPr>
                <w:rFonts w:hint="default" w:ascii="Times New Roman" w:hAnsi="Times New Roman" w:cs="Times New Roman"/>
                <w:color w:val="auto"/>
                <w:sz w:val="21"/>
                <w:szCs w:val="21"/>
                <w:highlight w:val="none"/>
                <w:lang w:val="en-US" w:eastAsia="zh-CN"/>
              </w:rPr>
              <w:t>原料清洗废水、洗瓶废水、CIP系统清洗废水</w:t>
            </w:r>
            <w:r>
              <w:rPr>
                <w:rFonts w:hint="eastAsia" w:ascii="Times New Roman" w:hAnsi="Times New Roman" w:cs="Times New Roman"/>
                <w:color w:val="auto"/>
                <w:sz w:val="21"/>
                <w:szCs w:val="21"/>
                <w:highlight w:val="none"/>
                <w:lang w:val="en-US" w:eastAsia="zh-CN"/>
              </w:rPr>
              <w:t>等生产废水经厂内污水站处理后，与</w:t>
            </w:r>
            <w:r>
              <w:rPr>
                <w:rFonts w:hint="eastAsia" w:cs="宋体"/>
                <w:color w:val="auto"/>
                <w:sz w:val="21"/>
                <w:szCs w:val="21"/>
                <w:highlight w:val="none"/>
                <w:lang w:val="en-US" w:eastAsia="zh-CN"/>
              </w:rPr>
              <w:t>纯水制备浓水、锅炉排污水及经化粪池预处理的生活污水一同排入园区下水管网，</w:t>
            </w:r>
            <w:r>
              <w:rPr>
                <w:rFonts w:hint="eastAsia" w:ascii="Times New Roman" w:hAnsi="Times New Roman" w:eastAsia="宋体" w:cs="Times New Roman"/>
                <w:b w:val="0"/>
                <w:bCs w:val="0"/>
                <w:color w:val="auto"/>
                <w:sz w:val="21"/>
                <w:szCs w:val="21"/>
                <w:highlight w:val="none"/>
                <w:lang w:val="en-US" w:eastAsia="zh-CN"/>
              </w:rPr>
              <w:t>最终</w:t>
            </w:r>
            <w:r>
              <w:rPr>
                <w:rFonts w:hint="eastAsia" w:ascii="Times New Roman" w:hAnsi="Times New Roman" w:eastAsia="宋体" w:cs="Times New Roman"/>
                <w:b w:val="0"/>
                <w:bCs w:val="0"/>
                <w:color w:val="auto"/>
                <w:sz w:val="21"/>
                <w:szCs w:val="21"/>
                <w:highlight w:val="none"/>
                <w:lang w:eastAsia="zh-CN"/>
              </w:rPr>
              <w:t>进入</w:t>
            </w:r>
            <w:r>
              <w:rPr>
                <w:rFonts w:hint="eastAsia"/>
                <w:b w:val="0"/>
                <w:bCs w:val="0"/>
                <w:color w:val="auto"/>
                <w:sz w:val="21"/>
                <w:szCs w:val="21"/>
                <w:highlight w:val="none"/>
                <w:lang w:eastAsia="zh-CN"/>
              </w:rPr>
              <w:t>库尔勒经济技术开发区工业废水处理回用厂</w:t>
            </w:r>
            <w:r>
              <w:rPr>
                <w:rFonts w:hint="eastAsia"/>
                <w:b w:val="0"/>
                <w:bCs w:val="0"/>
                <w:color w:val="auto"/>
                <w:sz w:val="21"/>
                <w:szCs w:val="21"/>
                <w:highlight w:val="none"/>
                <w:lang w:val="en-US" w:eastAsia="zh-CN"/>
              </w:rPr>
              <w:t>深度处理</w:t>
            </w:r>
            <w:r>
              <w:rPr>
                <w:rFonts w:hint="eastAsia" w:ascii="Times New Roman" w:hAnsi="Times New Roman" w:eastAsia="宋体" w:cs="Times New Roman"/>
                <w:b w:val="0"/>
                <w:bCs w:val="0"/>
                <w:color w:val="auto"/>
                <w:sz w:val="21"/>
                <w:szCs w:val="21"/>
                <w:highlight w:val="none"/>
                <w:lang w:eastAsia="zh-CN"/>
              </w:rPr>
              <w:t>。</w:t>
            </w:r>
          </w:p>
        </w:tc>
        <w:tc>
          <w:tcPr>
            <w:tcW w:w="1858" w:type="dxa"/>
            <w:noWrap w:val="0"/>
            <w:vAlign w:val="center"/>
          </w:tcPr>
          <w:p>
            <w:pPr>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w:t>
            </w:r>
            <w:r>
              <w:rPr>
                <w:rFonts w:hint="default" w:ascii="Times New Roman" w:hAnsi="Times New Roman" w:eastAsia="宋体" w:cs="Times New Roman"/>
                <w:color w:val="auto"/>
                <w:sz w:val="21"/>
                <w:szCs w:val="21"/>
                <w:highlight w:val="none"/>
                <w:lang w:val="en-US" w:eastAsia="zh-CN"/>
              </w:rPr>
              <w:t>污水综合排放标准》（GB8978-1996）三级标准</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noWrap w:val="0"/>
            <w:vAlign w:val="center"/>
          </w:tcPr>
          <w:p>
            <w:pPr>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声环境</w:t>
            </w:r>
          </w:p>
        </w:tc>
        <w:tc>
          <w:tcPr>
            <w:tcW w:w="1614" w:type="dxa"/>
            <w:gridSpan w:val="2"/>
            <w:noWrap w:val="0"/>
            <w:vAlign w:val="center"/>
          </w:tcPr>
          <w:p>
            <w:pPr>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设备运行、车辆噪声</w:t>
            </w:r>
          </w:p>
        </w:tc>
        <w:tc>
          <w:tcPr>
            <w:tcW w:w="1809" w:type="dxa"/>
            <w:noWrap w:val="0"/>
            <w:vAlign w:val="center"/>
          </w:tcPr>
          <w:p>
            <w:pPr>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生产运行噪声</w:t>
            </w:r>
          </w:p>
        </w:tc>
        <w:tc>
          <w:tcPr>
            <w:tcW w:w="1741" w:type="dxa"/>
            <w:noWrap w:val="0"/>
            <w:vAlign w:val="center"/>
          </w:tcPr>
          <w:p>
            <w:pPr>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减震、降噪和距离衰减</w:t>
            </w:r>
          </w:p>
        </w:tc>
        <w:tc>
          <w:tcPr>
            <w:tcW w:w="1858" w:type="dxa"/>
            <w:noWrap w:val="0"/>
            <w:vAlign w:val="center"/>
          </w:tcPr>
          <w:p>
            <w:pPr>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《工业企业厂界环境噪声排放标准》（GB12348-2008）中的3类标准值</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jc w:val="center"/>
        </w:trPr>
        <w:tc>
          <w:tcPr>
            <w:tcW w:w="1778" w:type="dxa"/>
            <w:noWrap w:val="0"/>
            <w:vAlign w:val="center"/>
          </w:tcPr>
          <w:p>
            <w:pPr>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电磁辐射</w:t>
            </w:r>
          </w:p>
        </w:tc>
        <w:tc>
          <w:tcPr>
            <w:tcW w:w="1614" w:type="dxa"/>
            <w:gridSpan w:val="2"/>
            <w:noWrap w:val="0"/>
            <w:vAlign w:val="center"/>
          </w:tcPr>
          <w:p>
            <w:pPr>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c>
          <w:tcPr>
            <w:tcW w:w="1809" w:type="dxa"/>
            <w:noWrap w:val="0"/>
            <w:vAlign w:val="center"/>
          </w:tcPr>
          <w:p>
            <w:pPr>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c>
          <w:tcPr>
            <w:tcW w:w="1741" w:type="dxa"/>
            <w:noWrap w:val="0"/>
            <w:vAlign w:val="center"/>
          </w:tcPr>
          <w:p>
            <w:pPr>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c>
          <w:tcPr>
            <w:tcW w:w="1858" w:type="dxa"/>
            <w:noWrap w:val="0"/>
            <w:vAlign w:val="center"/>
          </w:tcPr>
          <w:p>
            <w:pPr>
              <w:adjustRightInd w:val="0"/>
              <w:snapToGrid w:val="0"/>
              <w:jc w:val="center"/>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1778" w:type="dxa"/>
            <w:noWrap w:val="0"/>
            <w:vAlign w:val="center"/>
          </w:tcPr>
          <w:p>
            <w:pPr>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固体废物</w:t>
            </w:r>
          </w:p>
        </w:tc>
        <w:tc>
          <w:tcPr>
            <w:tcW w:w="7022" w:type="dxa"/>
            <w:gridSpan w:val="5"/>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jc w:val="both"/>
              <w:textAlignment w:val="auto"/>
              <w:rPr>
                <w:rFonts w:hint="default" w:ascii="Times New Roman" w:hAnsi="Times New Roman" w:eastAsia="宋体" w:cs="Times New Roman"/>
                <w:color w:val="auto"/>
                <w:sz w:val="21"/>
                <w:szCs w:val="21"/>
                <w:highlight w:val="none"/>
                <w:lang w:val="en-US" w:eastAsia="zh-CN"/>
              </w:rPr>
            </w:pPr>
            <w:r>
              <w:rPr>
                <w:rFonts w:hint="eastAsia" w:ascii="Times New Roman" w:hAnsi="Times New Roman" w:cs="Times New Roman" w:eastAsiaTheme="minorEastAsia"/>
                <w:color w:val="auto"/>
                <w:sz w:val="21"/>
                <w:szCs w:val="21"/>
                <w:highlight w:val="none"/>
                <w:lang w:val="en-US" w:eastAsia="zh-CN"/>
              </w:rPr>
              <w:t>生活垃圾定期交由环卫部门处置；废包装材料</w:t>
            </w:r>
            <w:r>
              <w:rPr>
                <w:rFonts w:hint="eastAsia" w:cs="Times New Roman" w:eastAsiaTheme="minorEastAsia"/>
                <w:color w:val="auto"/>
                <w:sz w:val="21"/>
                <w:szCs w:val="21"/>
                <w:highlight w:val="none"/>
                <w:lang w:val="en-US" w:eastAsia="zh-CN"/>
              </w:rPr>
              <w:t>、</w:t>
            </w:r>
            <w:r>
              <w:rPr>
                <w:rFonts w:hint="eastAsia" w:hAnsi="Times New Roman" w:cs="Times New Roman" w:eastAsiaTheme="minorEastAsia"/>
                <w:color w:val="auto"/>
                <w:sz w:val="21"/>
                <w:szCs w:val="21"/>
                <w:highlight w:val="none"/>
                <w:lang w:val="en-US" w:eastAsia="zh-CN"/>
              </w:rPr>
              <w:t>废塑封边角料</w:t>
            </w:r>
            <w:r>
              <w:rPr>
                <w:rFonts w:hint="eastAsia" w:cs="Times New Roman" w:eastAsiaTheme="minorEastAsia"/>
                <w:color w:val="auto"/>
                <w:sz w:val="21"/>
                <w:szCs w:val="21"/>
                <w:highlight w:val="none"/>
                <w:lang w:val="en-US" w:eastAsia="zh-CN"/>
              </w:rPr>
              <w:t>、污水站污泥</w:t>
            </w:r>
            <w:r>
              <w:rPr>
                <w:rFonts w:hint="eastAsia" w:ascii="Times New Roman" w:hAnsi="Times New Roman" w:cs="Times New Roman" w:eastAsiaTheme="minorEastAsia"/>
                <w:color w:val="auto"/>
                <w:sz w:val="21"/>
                <w:szCs w:val="21"/>
                <w:highlight w:val="none"/>
                <w:lang w:val="en-US" w:eastAsia="zh-CN"/>
              </w:rPr>
              <w:t>收集后定期外售至物资回收公司回收利用；</w:t>
            </w:r>
            <w:r>
              <w:rPr>
                <w:rFonts w:hint="eastAsia" w:cs="Times New Roman" w:eastAsiaTheme="minorEastAsia"/>
                <w:color w:val="auto"/>
                <w:sz w:val="21"/>
                <w:szCs w:val="21"/>
                <w:highlight w:val="none"/>
                <w:lang w:val="en-US" w:eastAsia="zh-CN"/>
              </w:rPr>
              <w:t>纯水制备</w:t>
            </w:r>
            <w:r>
              <w:rPr>
                <w:rFonts w:hint="eastAsia" w:hAnsi="Times New Roman" w:cs="Times New Roman" w:eastAsiaTheme="minorEastAsia"/>
                <w:color w:val="auto"/>
                <w:sz w:val="21"/>
                <w:szCs w:val="21"/>
                <w:highlight w:val="none"/>
                <w:lang w:val="en-US" w:eastAsia="zh-CN"/>
              </w:rPr>
              <w:t>产生的废过滤材料（含废石英砂、</w:t>
            </w:r>
            <w:r>
              <w:rPr>
                <w:rFonts w:hint="eastAsia" w:ascii="Times New Roman" w:hAnsi="Times New Roman" w:cs="Times New Roman" w:eastAsiaTheme="minorEastAsia"/>
                <w:color w:val="auto"/>
                <w:sz w:val="21"/>
                <w:szCs w:val="21"/>
                <w:highlight w:val="none"/>
                <w:lang w:val="en-US" w:eastAsia="zh-CN"/>
              </w:rPr>
              <w:t>废</w:t>
            </w:r>
            <w:r>
              <w:rPr>
                <w:rFonts w:hint="eastAsia" w:hAnsi="Times New Roman" w:cs="Times New Roman" w:eastAsiaTheme="minorEastAsia"/>
                <w:color w:val="auto"/>
                <w:sz w:val="21"/>
                <w:szCs w:val="21"/>
                <w:highlight w:val="none"/>
                <w:lang w:val="en-US" w:eastAsia="zh-CN"/>
              </w:rPr>
              <w:t>反</w:t>
            </w:r>
            <w:r>
              <w:rPr>
                <w:rFonts w:hint="eastAsia" w:ascii="Times New Roman" w:hAnsi="Times New Roman" w:cs="Times New Roman" w:eastAsiaTheme="minorEastAsia"/>
                <w:color w:val="auto"/>
                <w:sz w:val="21"/>
                <w:szCs w:val="21"/>
                <w:highlight w:val="none"/>
                <w:lang w:val="en-US" w:eastAsia="zh-CN"/>
              </w:rPr>
              <w:t>渗透膜、废活性炭、废滤</w:t>
            </w:r>
            <w:r>
              <w:rPr>
                <w:rFonts w:hint="eastAsia" w:hAnsi="Times New Roman" w:cs="Times New Roman" w:eastAsiaTheme="minorEastAsia"/>
                <w:color w:val="auto"/>
                <w:sz w:val="21"/>
                <w:szCs w:val="21"/>
                <w:highlight w:val="none"/>
                <w:lang w:val="en-US" w:eastAsia="zh-CN"/>
              </w:rPr>
              <w:t>袋</w:t>
            </w:r>
            <w:r>
              <w:rPr>
                <w:rFonts w:hint="eastAsia" w:ascii="Times New Roman" w:hAnsi="Times New Roman" w:cs="Times New Roman" w:eastAsiaTheme="minorEastAsia"/>
                <w:color w:val="auto"/>
                <w:sz w:val="21"/>
                <w:szCs w:val="21"/>
                <w:highlight w:val="none"/>
                <w:lang w:val="en-US" w:eastAsia="zh-CN"/>
              </w:rPr>
              <w:t>、废硅藻土</w:t>
            </w:r>
            <w:r>
              <w:rPr>
                <w:rFonts w:hint="eastAsia" w:hAnsi="Times New Roman" w:cs="Times New Roman" w:eastAsiaTheme="minorEastAsia"/>
                <w:color w:val="auto"/>
                <w:sz w:val="21"/>
                <w:szCs w:val="21"/>
                <w:highlight w:val="none"/>
                <w:lang w:val="en-US" w:eastAsia="zh-CN"/>
              </w:rPr>
              <w:t>等）</w:t>
            </w:r>
            <w:r>
              <w:rPr>
                <w:rFonts w:hint="eastAsia" w:cs="Times New Roman" w:eastAsiaTheme="minorEastAsia"/>
                <w:color w:val="auto"/>
                <w:sz w:val="21"/>
                <w:szCs w:val="21"/>
                <w:highlight w:val="none"/>
                <w:lang w:val="en-US" w:eastAsia="zh-CN"/>
              </w:rPr>
              <w:t>分类收集后定期交由设备厂家回收处置</w:t>
            </w:r>
            <w:r>
              <w:rPr>
                <w:rFonts w:hint="eastAsia" w:ascii="Times New Roman" w:hAnsi="Times New Roman" w:cs="Times New Roman" w:eastAsiaTheme="minorEastAsia"/>
                <w:color w:val="auto"/>
                <w:sz w:val="21"/>
                <w:szCs w:val="21"/>
                <w:highlight w:val="none"/>
                <w:lang w:val="en-US" w:eastAsia="zh-CN"/>
              </w:rPr>
              <w:t>；</w:t>
            </w:r>
            <w:r>
              <w:rPr>
                <w:rFonts w:hint="eastAsia" w:cs="Times New Roman" w:eastAsiaTheme="minorEastAsia"/>
                <w:color w:val="auto"/>
                <w:sz w:val="21"/>
                <w:szCs w:val="21"/>
                <w:highlight w:val="none"/>
                <w:lang w:val="en-US" w:eastAsia="zh-CN"/>
              </w:rPr>
              <w:t>坏果及果渣收集后贮存于专用贮存点密闭收集桶内，日产日清，</w:t>
            </w:r>
            <w:r>
              <w:rPr>
                <w:rFonts w:hint="default" w:ascii="Times New Roman" w:hAnsi="Times New Roman" w:eastAsia="宋体" w:cs="Times New Roman"/>
                <w:color w:val="auto"/>
                <w:highlight w:val="none"/>
                <w:lang w:val="en-US" w:eastAsia="zh-CN"/>
              </w:rPr>
              <w:t>交由物资回收公司回收利用</w:t>
            </w:r>
            <w:r>
              <w:rPr>
                <w:rFonts w:hint="eastAsia" w:ascii="Times New Roman" w:hAnsi="Times New Roman" w:eastAsia="宋体" w:cs="Times New Roman"/>
                <w:color w:val="auto"/>
                <w:highlight w:val="none"/>
                <w:lang w:val="en-US" w:eastAsia="zh-CN"/>
              </w:rPr>
              <w:t>；</w:t>
            </w:r>
            <w:r>
              <w:rPr>
                <w:rFonts w:hint="eastAsia" w:ascii="Times New Roman" w:hAnsi="Times New Roman" w:cs="Times New Roman" w:eastAsiaTheme="minorEastAsia"/>
                <w:color w:val="auto"/>
                <w:sz w:val="21"/>
                <w:szCs w:val="21"/>
                <w:highlight w:val="none"/>
                <w:lang w:val="en-US" w:eastAsia="zh-CN"/>
              </w:rPr>
              <w:t>废机油、废油桶以及废气处理产生的废活性炭暂存在厂内危废贮存点内，定期交由有资质单位进行</w:t>
            </w:r>
            <w:r>
              <w:rPr>
                <w:rFonts w:hint="eastAsia" w:hAnsi="Times New Roman" w:cs="Times New Roman" w:eastAsiaTheme="minorEastAsia"/>
                <w:color w:val="auto"/>
                <w:sz w:val="21"/>
                <w:szCs w:val="21"/>
                <w:highlight w:val="none"/>
                <w:lang w:val="en-US" w:eastAsia="zh-CN"/>
              </w:rPr>
              <w:t>处</w:t>
            </w:r>
            <w:r>
              <w:rPr>
                <w:rFonts w:hint="eastAsia" w:ascii="Times New Roman" w:hAnsi="Times New Roman" w:cs="Times New Roman" w:eastAsiaTheme="minorEastAsia"/>
                <w:color w:val="auto"/>
                <w:sz w:val="21"/>
                <w:szCs w:val="21"/>
                <w:highlight w:val="none"/>
                <w:lang w:val="en-US" w:eastAsia="zh-CN"/>
              </w:rPr>
              <w:t>置</w:t>
            </w:r>
            <w:r>
              <w:rPr>
                <w:rFonts w:hint="eastAsia" w:hAnsi="Times New Roman" w:cs="Times New Roman" w:eastAsiaTheme="minorEastAsia"/>
                <w:color w:val="auto"/>
                <w:sz w:val="21"/>
                <w:szCs w:val="21"/>
                <w:highlight w:val="none"/>
                <w:lang w:val="en-US" w:eastAsia="zh-CN"/>
              </w:rPr>
              <w:t>。</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639" w:hRule="atLeast"/>
          <w:jc w:val="center"/>
        </w:trPr>
        <w:tc>
          <w:tcPr>
            <w:tcW w:w="1778" w:type="dxa"/>
            <w:noWrap w:val="0"/>
            <w:vAlign w:val="center"/>
          </w:tcPr>
          <w:p>
            <w:pPr>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土壤及地下水</w:t>
            </w:r>
          </w:p>
          <w:p>
            <w:pPr>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污染防治措施</w:t>
            </w:r>
          </w:p>
        </w:tc>
        <w:tc>
          <w:tcPr>
            <w:tcW w:w="7022" w:type="dxa"/>
            <w:gridSpan w:val="5"/>
            <w:noWrap w:val="0"/>
            <w:vAlign w:val="center"/>
          </w:tcPr>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为确保项目生产运行不会对周围地下水、土壤产生污染，全厂地面根据《环境影响评价技术导则 地下水环境》（HJ610-2016）、《环境影响评价技术导则 土壤环境（试行）》（HJ964-2018）的相关要求，进行分区防渗处理。</w:t>
            </w:r>
          </w:p>
          <w:p>
            <w:pPr>
              <w:pStyle w:val="66"/>
              <w:keepNext w:val="0"/>
              <w:keepLines w:val="0"/>
              <w:pageBreakBefore w:val="0"/>
              <w:widowControl w:val="0"/>
              <w:kinsoku/>
              <w:wordWrap/>
              <w:overflowPunct/>
              <w:topLinePunct w:val="0"/>
              <w:bidi w:val="0"/>
              <w:snapToGrid/>
              <w:spacing w:line="240" w:lineRule="auto"/>
              <w:ind w:firstLine="420" w:firstLineChars="200"/>
              <w:jc w:val="left"/>
              <w:textAlignment w:val="auto"/>
              <w:rPr>
                <w:rFonts w:hint="eastAsia" w:ascii="Times New Roman" w:hAnsi="Times New Roman" w:eastAsia="宋体" w:cs="Times New Roman"/>
                <w:b w:val="0"/>
                <w:bCs/>
                <w:color w:val="auto"/>
                <w:kern w:val="2"/>
                <w:sz w:val="21"/>
                <w:szCs w:val="21"/>
                <w:highlight w:val="none"/>
                <w:lang w:val="en-US" w:eastAsia="zh-CN" w:bidi="ar-SA"/>
              </w:rPr>
            </w:pPr>
            <w:r>
              <w:rPr>
                <w:rFonts w:hint="eastAsia" w:ascii="Times New Roman" w:hAnsi="Times New Roman" w:eastAsia="宋体" w:cs="Times New Roman"/>
                <w:b w:val="0"/>
                <w:bCs/>
                <w:color w:val="auto"/>
                <w:kern w:val="2"/>
                <w:sz w:val="21"/>
                <w:szCs w:val="21"/>
                <w:highlight w:val="none"/>
                <w:lang w:val="en-US" w:eastAsia="zh-CN" w:bidi="ar-SA"/>
              </w:rPr>
              <w:t>1</w:t>
            </w:r>
            <w:r>
              <w:rPr>
                <w:rFonts w:hint="eastAsia" w:ascii="Times New Roman" w:eastAsia="宋体" w:cs="Times New Roman"/>
                <w:b w:val="0"/>
                <w:bCs/>
                <w:color w:val="auto"/>
                <w:kern w:val="2"/>
                <w:sz w:val="21"/>
                <w:szCs w:val="21"/>
                <w:highlight w:val="none"/>
                <w:lang w:val="en-US" w:eastAsia="zh-CN" w:bidi="ar-SA"/>
              </w:rPr>
              <w:t>、</w:t>
            </w:r>
            <w:r>
              <w:rPr>
                <w:rFonts w:hint="eastAsia" w:ascii="Times New Roman" w:hAnsi="Times New Roman" w:eastAsia="宋体" w:cs="Times New Roman"/>
                <w:b w:val="0"/>
                <w:bCs/>
                <w:color w:val="auto"/>
                <w:kern w:val="2"/>
                <w:sz w:val="21"/>
                <w:szCs w:val="21"/>
                <w:highlight w:val="none"/>
                <w:lang w:val="en-US" w:eastAsia="zh-CN" w:bidi="ar-SA"/>
              </w:rPr>
              <w:t>重点防渗区</w:t>
            </w:r>
          </w:p>
          <w:p>
            <w:pPr>
              <w:keepNext w:val="0"/>
              <w:keepLines w:val="0"/>
              <w:pageBreakBefore w:val="0"/>
              <w:widowControl w:val="0"/>
              <w:numPr>
                <w:ilvl w:val="0"/>
                <w:numId w:val="0"/>
              </w:numPr>
              <w:kinsoku/>
              <w:wordWrap/>
              <w:overflowPunct/>
              <w:topLinePunct w:val="0"/>
              <w:bidi w:val="0"/>
              <w:snapToGrid/>
              <w:spacing w:line="240" w:lineRule="auto"/>
              <w:ind w:firstLine="420" w:firstLineChars="200"/>
              <w:textAlignment w:val="auto"/>
              <w:rPr>
                <w:rFonts w:hint="default"/>
                <w:color w:val="auto"/>
                <w:sz w:val="21"/>
                <w:szCs w:val="21"/>
                <w:highlight w:val="none"/>
                <w:lang w:val="en-US" w:eastAsia="zh-CN"/>
              </w:rPr>
            </w:pPr>
            <w:r>
              <w:rPr>
                <w:rFonts w:hint="eastAsia" w:eastAsia="宋体" w:cs="Times New Roman"/>
                <w:b w:val="0"/>
                <w:bCs/>
                <w:color w:val="auto"/>
                <w:kern w:val="2"/>
                <w:sz w:val="21"/>
                <w:szCs w:val="21"/>
                <w:highlight w:val="none"/>
                <w:lang w:val="en-US" w:eastAsia="zh-CN" w:bidi="ar-SA"/>
              </w:rPr>
              <w:t>项目</w:t>
            </w:r>
            <w:r>
              <w:rPr>
                <w:rFonts w:hint="default" w:ascii="Times New Roman" w:hAnsi="Times New Roman" w:cs="Times New Roman" w:eastAsiaTheme="minorEastAsia"/>
                <w:bCs/>
                <w:color w:val="auto"/>
                <w:kern w:val="2"/>
                <w:sz w:val="21"/>
                <w:szCs w:val="21"/>
                <w:highlight w:val="none"/>
                <w:lang w:val="en-US" w:eastAsia="zh-CN" w:bidi="ar-SA"/>
              </w:rPr>
              <w:t>危废</w:t>
            </w:r>
            <w:r>
              <w:rPr>
                <w:rFonts w:hint="eastAsia" w:cs="Times New Roman" w:eastAsiaTheme="minorEastAsia"/>
                <w:bCs/>
                <w:color w:val="auto"/>
                <w:kern w:val="2"/>
                <w:sz w:val="21"/>
                <w:szCs w:val="21"/>
                <w:highlight w:val="none"/>
                <w:lang w:val="en-US" w:eastAsia="zh-CN" w:bidi="ar-SA"/>
              </w:rPr>
              <w:t>贮存点、污水处理站区域设</w:t>
            </w:r>
            <w:r>
              <w:rPr>
                <w:rFonts w:hint="default" w:ascii="Times New Roman" w:hAnsi="Times New Roman" w:cs="Times New Roman" w:eastAsiaTheme="minorEastAsia"/>
                <w:bCs/>
                <w:color w:val="auto"/>
                <w:kern w:val="2"/>
                <w:sz w:val="21"/>
                <w:szCs w:val="21"/>
                <w:highlight w:val="none"/>
                <w:lang w:val="en-US" w:eastAsia="zh-CN" w:bidi="ar-SA"/>
              </w:rPr>
              <w:t>为重点防渗区，防渗层为至少1m厚黏土层（渗透系数不大于10</w:t>
            </w:r>
            <w:r>
              <w:rPr>
                <w:rFonts w:hint="default" w:ascii="Times New Roman" w:hAnsi="Times New Roman" w:cs="Times New Roman" w:eastAsiaTheme="minorEastAsia"/>
                <w:bCs/>
                <w:color w:val="auto"/>
                <w:kern w:val="2"/>
                <w:sz w:val="21"/>
                <w:szCs w:val="21"/>
                <w:highlight w:val="none"/>
                <w:vertAlign w:val="superscript"/>
                <w:lang w:val="en-US" w:eastAsia="zh-CN" w:bidi="ar-SA"/>
              </w:rPr>
              <w:t>-7</w:t>
            </w:r>
            <w:r>
              <w:rPr>
                <w:rFonts w:hint="default" w:ascii="Times New Roman" w:hAnsi="Times New Roman" w:cs="Times New Roman" w:eastAsiaTheme="minorEastAsia"/>
                <w:bCs/>
                <w:color w:val="auto"/>
                <w:kern w:val="2"/>
                <w:sz w:val="21"/>
                <w:szCs w:val="21"/>
                <w:highlight w:val="none"/>
                <w:lang w:val="en-US" w:eastAsia="zh-CN" w:bidi="ar-SA"/>
              </w:rPr>
              <w:t>cm/s），或至少2mm厚高密度聚乙烯膜等人工防渗材料（渗透系数不大于10</w:t>
            </w:r>
            <w:r>
              <w:rPr>
                <w:rFonts w:hint="default" w:ascii="Times New Roman" w:hAnsi="Times New Roman" w:cs="Times New Roman" w:eastAsiaTheme="minorEastAsia"/>
                <w:bCs/>
                <w:color w:val="auto"/>
                <w:kern w:val="2"/>
                <w:sz w:val="21"/>
                <w:szCs w:val="21"/>
                <w:highlight w:val="none"/>
                <w:vertAlign w:val="superscript"/>
                <w:lang w:val="en-US" w:eastAsia="zh-CN" w:bidi="ar-SA"/>
              </w:rPr>
              <w:t>-10</w:t>
            </w:r>
            <w:r>
              <w:rPr>
                <w:rFonts w:hint="default" w:ascii="Times New Roman" w:hAnsi="Times New Roman" w:cs="Times New Roman" w:eastAsiaTheme="minorEastAsia"/>
                <w:bCs/>
                <w:color w:val="auto"/>
                <w:kern w:val="2"/>
                <w:sz w:val="21"/>
                <w:szCs w:val="21"/>
                <w:highlight w:val="none"/>
                <w:lang w:val="en-US" w:eastAsia="zh-CN" w:bidi="ar-SA"/>
              </w:rPr>
              <w:t>cm/s），或其他防渗性能等效的材料。</w:t>
            </w:r>
          </w:p>
          <w:p>
            <w:pPr>
              <w:pStyle w:val="66"/>
              <w:keepNext w:val="0"/>
              <w:keepLines w:val="0"/>
              <w:pageBreakBefore w:val="0"/>
              <w:widowControl w:val="0"/>
              <w:kinsoku/>
              <w:wordWrap/>
              <w:overflowPunct/>
              <w:topLinePunct w:val="0"/>
              <w:bidi w:val="0"/>
              <w:snapToGrid/>
              <w:spacing w:line="240" w:lineRule="auto"/>
              <w:ind w:firstLine="420" w:firstLineChars="200"/>
              <w:jc w:val="left"/>
              <w:textAlignment w:val="auto"/>
              <w:rPr>
                <w:rFonts w:hint="default" w:ascii="Times New Roman" w:hAnsi="Times New Roman" w:eastAsia="宋体" w:cs="Times New Roman"/>
                <w:b w:val="0"/>
                <w:bCs/>
                <w:color w:val="auto"/>
                <w:kern w:val="2"/>
                <w:sz w:val="21"/>
                <w:szCs w:val="21"/>
                <w:highlight w:val="none"/>
                <w:lang w:val="en-US" w:eastAsia="zh-CN" w:bidi="ar-SA"/>
              </w:rPr>
            </w:pPr>
            <w:r>
              <w:rPr>
                <w:rFonts w:hint="eastAsia" w:ascii="Times New Roman" w:hAnsi="Times New Roman" w:eastAsia="宋体" w:cs="Times New Roman"/>
                <w:b w:val="0"/>
                <w:bCs/>
                <w:color w:val="auto"/>
                <w:kern w:val="2"/>
                <w:sz w:val="21"/>
                <w:szCs w:val="21"/>
                <w:highlight w:val="none"/>
                <w:lang w:val="en-US" w:eastAsia="zh-CN" w:bidi="ar-SA"/>
              </w:rPr>
              <w:t>2</w:t>
            </w:r>
            <w:r>
              <w:rPr>
                <w:rFonts w:hint="default" w:ascii="Times New Roman" w:hAnsi="Times New Roman" w:eastAsia="宋体" w:cs="Times New Roman"/>
                <w:b w:val="0"/>
                <w:bCs/>
                <w:color w:val="auto"/>
                <w:kern w:val="2"/>
                <w:sz w:val="21"/>
                <w:szCs w:val="21"/>
                <w:highlight w:val="none"/>
                <w:lang w:val="en-US" w:eastAsia="zh-CN" w:bidi="ar-SA"/>
              </w:rPr>
              <w:t>、一般防渗区</w:t>
            </w:r>
          </w:p>
          <w:p>
            <w:pPr>
              <w:pStyle w:val="66"/>
              <w:keepNext w:val="0"/>
              <w:keepLines w:val="0"/>
              <w:pageBreakBefore w:val="0"/>
              <w:widowControl w:val="0"/>
              <w:kinsoku/>
              <w:wordWrap/>
              <w:overflowPunct/>
              <w:topLinePunct w:val="0"/>
              <w:bidi w:val="0"/>
              <w:snapToGrid/>
              <w:spacing w:line="240" w:lineRule="auto"/>
              <w:ind w:firstLine="480"/>
              <w:jc w:val="left"/>
              <w:textAlignment w:val="auto"/>
              <w:rPr>
                <w:rFonts w:hint="default" w:ascii="Times New Roman" w:hAnsi="Times New Roman" w:cs="Times New Roman"/>
                <w:b w:val="0"/>
                <w:bCs/>
                <w:color w:val="auto"/>
                <w:kern w:val="2"/>
                <w:sz w:val="21"/>
                <w:szCs w:val="21"/>
                <w:highlight w:val="none"/>
                <w:lang w:val="en-US" w:eastAsia="zh-CN"/>
              </w:rPr>
            </w:pPr>
            <w:r>
              <w:rPr>
                <w:rFonts w:hint="eastAsia" w:ascii="Times New Roman" w:hAnsi="Times New Roman" w:eastAsia="宋体" w:cs="Times New Roman"/>
                <w:b w:val="0"/>
                <w:bCs/>
                <w:color w:val="auto"/>
                <w:kern w:val="2"/>
                <w:sz w:val="21"/>
                <w:szCs w:val="21"/>
                <w:highlight w:val="none"/>
                <w:lang w:val="en-US" w:eastAsia="zh-CN" w:bidi="ar-SA"/>
              </w:rPr>
              <w:t>项目生产车间</w:t>
            </w:r>
            <w:r>
              <w:rPr>
                <w:rFonts w:hint="eastAsia" w:ascii="Times New Roman" w:eastAsia="宋体" w:cs="Times New Roman"/>
                <w:b w:val="0"/>
                <w:bCs/>
                <w:color w:val="auto"/>
                <w:kern w:val="2"/>
                <w:sz w:val="21"/>
                <w:szCs w:val="21"/>
                <w:highlight w:val="none"/>
                <w:lang w:val="en-US" w:eastAsia="zh-CN" w:bidi="ar-SA"/>
              </w:rPr>
              <w:t>、一般固废暂存间</w:t>
            </w:r>
            <w:r>
              <w:rPr>
                <w:rFonts w:hint="eastAsia" w:ascii="Times New Roman" w:cs="Times New Roman"/>
                <w:b w:val="0"/>
                <w:bCs/>
                <w:color w:val="auto"/>
                <w:kern w:val="2"/>
                <w:sz w:val="21"/>
                <w:szCs w:val="21"/>
                <w:highlight w:val="none"/>
                <w:lang w:val="en-US" w:eastAsia="zh-CN" w:bidi="ar-SA"/>
              </w:rPr>
              <w:t>、专用贮存点</w:t>
            </w:r>
            <w:r>
              <w:rPr>
                <w:rFonts w:hint="eastAsia" w:ascii="Times New Roman" w:hAnsi="Times New Roman" w:eastAsia="宋体" w:cs="Times New Roman"/>
                <w:b w:val="0"/>
                <w:bCs/>
                <w:color w:val="auto"/>
                <w:kern w:val="2"/>
                <w:sz w:val="21"/>
                <w:szCs w:val="21"/>
                <w:highlight w:val="none"/>
                <w:lang w:val="en-US" w:eastAsia="zh-CN" w:bidi="ar-SA"/>
              </w:rPr>
              <w:t>作</w:t>
            </w:r>
            <w:r>
              <w:rPr>
                <w:rFonts w:hint="eastAsia" w:ascii="Times New Roman" w:hAnsi="Times New Roman" w:cs="Times New Roman"/>
                <w:b w:val="0"/>
                <w:bCs/>
                <w:color w:val="auto"/>
                <w:kern w:val="2"/>
                <w:sz w:val="21"/>
                <w:szCs w:val="21"/>
                <w:highlight w:val="none"/>
                <w:lang w:eastAsia="zh-CN"/>
              </w:rPr>
              <w:t>为一般防渗区，以混凝土浇筑底板，并设有防渗层，渗透系数</w:t>
            </w:r>
            <w:r>
              <w:rPr>
                <w:rFonts w:hint="default" w:ascii="Times New Roman" w:hAnsi="Times New Roman" w:cs="Times New Roman"/>
                <w:b w:val="0"/>
                <w:bCs/>
                <w:color w:val="auto"/>
                <w:kern w:val="2"/>
                <w:sz w:val="21"/>
                <w:szCs w:val="21"/>
                <w:highlight w:val="none"/>
                <w:lang w:eastAsia="zh-CN"/>
              </w:rPr>
              <w:t>≤</w:t>
            </w:r>
            <w:r>
              <w:rPr>
                <w:rFonts w:hint="eastAsia" w:ascii="Times New Roman" w:hAnsi="Times New Roman" w:cs="Times New Roman"/>
                <w:b w:val="0"/>
                <w:bCs/>
                <w:color w:val="auto"/>
                <w:kern w:val="2"/>
                <w:sz w:val="21"/>
                <w:szCs w:val="21"/>
                <w:highlight w:val="none"/>
                <w:lang w:val="en-US" w:eastAsia="zh-CN"/>
              </w:rPr>
              <w:t>10</w:t>
            </w:r>
            <w:r>
              <w:rPr>
                <w:rFonts w:hint="eastAsia" w:ascii="Times New Roman" w:hAnsi="Times New Roman" w:cs="Times New Roman"/>
                <w:b w:val="0"/>
                <w:bCs/>
                <w:color w:val="auto"/>
                <w:kern w:val="2"/>
                <w:sz w:val="21"/>
                <w:szCs w:val="21"/>
                <w:highlight w:val="none"/>
                <w:vertAlign w:val="superscript"/>
                <w:lang w:val="en-US" w:eastAsia="zh-CN"/>
              </w:rPr>
              <w:t>-7</w:t>
            </w:r>
            <w:r>
              <w:rPr>
                <w:rFonts w:hint="eastAsia" w:ascii="Times New Roman" w:hAnsi="Times New Roman" w:cs="Times New Roman"/>
                <w:b w:val="0"/>
                <w:bCs/>
                <w:color w:val="auto"/>
                <w:kern w:val="2"/>
                <w:sz w:val="21"/>
                <w:szCs w:val="21"/>
                <w:highlight w:val="none"/>
                <w:lang w:val="en-US" w:eastAsia="zh-CN"/>
              </w:rPr>
              <w:t>cm/s，可满足一般防渗要求。</w:t>
            </w:r>
          </w:p>
          <w:p>
            <w:pPr>
              <w:pStyle w:val="66"/>
              <w:keepNext w:val="0"/>
              <w:keepLines w:val="0"/>
              <w:pageBreakBefore w:val="0"/>
              <w:widowControl w:val="0"/>
              <w:kinsoku/>
              <w:wordWrap/>
              <w:overflowPunct/>
              <w:topLinePunct w:val="0"/>
              <w:bidi w:val="0"/>
              <w:snapToGrid/>
              <w:spacing w:line="240" w:lineRule="auto"/>
              <w:ind w:firstLine="480"/>
              <w:jc w:val="left"/>
              <w:textAlignment w:val="auto"/>
              <w:rPr>
                <w:rFonts w:hint="eastAsia" w:ascii="Times New Roman" w:hAnsi="Times New Roman" w:cs="Times New Roman"/>
                <w:b w:val="0"/>
                <w:bCs/>
                <w:color w:val="auto"/>
                <w:sz w:val="21"/>
                <w:szCs w:val="21"/>
                <w:highlight w:val="none"/>
                <w:lang w:val="en-US" w:eastAsia="zh-CN"/>
              </w:rPr>
            </w:pPr>
            <w:r>
              <w:rPr>
                <w:rFonts w:hint="eastAsia" w:ascii="Times New Roman" w:hAnsi="Times New Roman" w:cs="Times New Roman"/>
                <w:b w:val="0"/>
                <w:bCs/>
                <w:color w:val="auto"/>
                <w:sz w:val="21"/>
                <w:szCs w:val="21"/>
                <w:highlight w:val="none"/>
                <w:lang w:val="en-US" w:eastAsia="zh-CN"/>
              </w:rPr>
              <w:t>3、简单防渗区</w:t>
            </w:r>
          </w:p>
          <w:p>
            <w:pPr>
              <w:pStyle w:val="66"/>
              <w:keepNext w:val="0"/>
              <w:keepLines w:val="0"/>
              <w:pageBreakBefore w:val="0"/>
              <w:widowControl w:val="0"/>
              <w:kinsoku/>
              <w:wordWrap/>
              <w:overflowPunct/>
              <w:topLinePunct w:val="0"/>
              <w:bidi w:val="0"/>
              <w:snapToGrid/>
              <w:spacing w:line="240" w:lineRule="auto"/>
              <w:ind w:firstLine="480"/>
              <w:jc w:val="left"/>
              <w:textAlignment w:val="auto"/>
              <w:rPr>
                <w:rFonts w:hint="default" w:ascii="Times New Roman" w:hAnsi="Times New Roman" w:cs="Times New Roman"/>
                <w:b w:val="0"/>
                <w:bCs/>
                <w:color w:val="auto"/>
                <w:kern w:val="2"/>
                <w:sz w:val="21"/>
                <w:szCs w:val="21"/>
                <w:highlight w:val="none"/>
              </w:rPr>
            </w:pPr>
            <w:r>
              <w:rPr>
                <w:rFonts w:hint="default" w:ascii="Times New Roman" w:hAnsi="Times New Roman" w:cs="Times New Roman"/>
                <w:b w:val="0"/>
                <w:bCs/>
                <w:color w:val="auto"/>
                <w:sz w:val="21"/>
                <w:szCs w:val="21"/>
                <w:highlight w:val="none"/>
                <w:lang w:eastAsia="zh-CN"/>
              </w:rPr>
              <w:t>项目</w:t>
            </w:r>
            <w:r>
              <w:rPr>
                <w:rFonts w:hint="eastAsia" w:ascii="Times New Roman" w:cs="Times New Roman"/>
                <w:b w:val="0"/>
                <w:bCs/>
                <w:color w:val="auto"/>
                <w:sz w:val="21"/>
                <w:szCs w:val="21"/>
                <w:highlight w:val="none"/>
                <w:lang w:eastAsia="zh-CN"/>
              </w:rPr>
              <w:t>区厂区通道、办公生活区、</w:t>
            </w:r>
            <w:r>
              <w:rPr>
                <w:rFonts w:hint="eastAsia" w:ascii="Times New Roman" w:cs="Times New Roman"/>
                <w:b w:val="0"/>
                <w:bCs/>
                <w:color w:val="auto"/>
                <w:sz w:val="21"/>
                <w:szCs w:val="21"/>
                <w:highlight w:val="none"/>
                <w:lang w:val="en-US" w:eastAsia="zh-CN"/>
              </w:rPr>
              <w:t>门卫室</w:t>
            </w:r>
            <w:r>
              <w:rPr>
                <w:rFonts w:hint="eastAsia" w:ascii="Times New Roman" w:cs="Times New Roman"/>
                <w:b w:val="0"/>
                <w:bCs/>
                <w:color w:val="auto"/>
                <w:sz w:val="21"/>
                <w:szCs w:val="21"/>
                <w:highlight w:val="none"/>
                <w:lang w:eastAsia="zh-CN"/>
              </w:rPr>
              <w:t>等其他区域</w:t>
            </w:r>
            <w:r>
              <w:rPr>
                <w:rFonts w:hint="default" w:ascii="Times New Roman" w:hAnsi="Times New Roman" w:cs="Times New Roman"/>
                <w:b w:val="0"/>
                <w:bCs/>
                <w:color w:val="auto"/>
                <w:sz w:val="21"/>
                <w:szCs w:val="21"/>
                <w:highlight w:val="none"/>
              </w:rPr>
              <w:t>为简单防渗区。</w:t>
            </w:r>
            <w:r>
              <w:rPr>
                <w:rFonts w:hint="default" w:ascii="Times New Roman" w:hAnsi="Times New Roman" w:cs="Times New Roman"/>
                <w:b w:val="0"/>
                <w:bCs/>
                <w:color w:val="auto"/>
                <w:sz w:val="21"/>
                <w:szCs w:val="21"/>
                <w:highlight w:val="none"/>
                <w:lang w:eastAsia="zh-CN"/>
              </w:rPr>
              <w:t>地面均为</w:t>
            </w:r>
            <w:r>
              <w:rPr>
                <w:rFonts w:hint="default" w:ascii="Times New Roman" w:hAnsi="Times New Roman" w:cs="Times New Roman"/>
                <w:b w:val="0"/>
                <w:bCs/>
                <w:color w:val="auto"/>
                <w:sz w:val="21"/>
                <w:szCs w:val="21"/>
                <w:highlight w:val="none"/>
              </w:rPr>
              <w:t>混凝土</w:t>
            </w:r>
            <w:r>
              <w:rPr>
                <w:rFonts w:hint="eastAsia" w:ascii="Times New Roman" w:hAnsi="Times New Roman" w:cs="Times New Roman"/>
                <w:b w:val="0"/>
                <w:bCs/>
                <w:color w:val="auto"/>
                <w:sz w:val="21"/>
                <w:szCs w:val="21"/>
                <w:highlight w:val="none"/>
                <w:lang w:eastAsia="zh-CN"/>
              </w:rPr>
              <w:t>浇筑</w:t>
            </w:r>
            <w:r>
              <w:rPr>
                <w:rFonts w:hint="default" w:ascii="Times New Roman" w:hAnsi="Times New Roman" w:cs="Times New Roman"/>
                <w:b w:val="0"/>
                <w:bCs/>
                <w:color w:val="auto"/>
                <w:sz w:val="21"/>
                <w:szCs w:val="21"/>
                <w:highlight w:val="none"/>
              </w:rPr>
              <w:t>底板，可达到一般地面硬化要求。</w:t>
            </w:r>
          </w:p>
          <w:p>
            <w:pPr>
              <w:keepNext w:val="0"/>
              <w:keepLines w:val="0"/>
              <w:pageBreakBefore w:val="0"/>
              <w:widowControl w:val="0"/>
              <w:kinsoku/>
              <w:wordWrap/>
              <w:overflowPunct/>
              <w:topLinePunct w:val="0"/>
              <w:autoSpaceDE/>
              <w:autoSpaceDN/>
              <w:bidi w:val="0"/>
              <w:adjustRightInd w:val="0"/>
              <w:snapToGrid w:val="0"/>
              <w:spacing w:line="240" w:lineRule="auto"/>
              <w:ind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本项目采取分区防控措施后，本项目可以杜绝地下水、土壤污染途径，不会对周围地下水、土壤环境造成影响。</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276" w:hRule="atLeast"/>
          <w:jc w:val="center"/>
        </w:trPr>
        <w:tc>
          <w:tcPr>
            <w:tcW w:w="1778" w:type="dxa"/>
            <w:noWrap w:val="0"/>
            <w:vAlign w:val="center"/>
          </w:tcPr>
          <w:p>
            <w:pPr>
              <w:adjustRightInd w:val="0"/>
              <w:snapToGrid w:val="0"/>
              <w:jc w:val="center"/>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生态保护措施</w:t>
            </w:r>
          </w:p>
        </w:tc>
        <w:tc>
          <w:tcPr>
            <w:tcW w:w="7022" w:type="dxa"/>
            <w:gridSpan w:val="5"/>
            <w:noWrap w:val="0"/>
            <w:vAlign w:val="center"/>
          </w:tcPr>
          <w:p>
            <w:pPr>
              <w:adjustRightInd w:val="0"/>
              <w:snapToGrid w:val="0"/>
              <w:ind w:firstLine="420" w:firstLineChars="200"/>
              <w:jc w:val="both"/>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lang w:val="en-US" w:eastAsia="zh-CN"/>
              </w:rPr>
              <w:t>加强厂区内及厂界植树绿化防护，改善厂区及厂界生态环境，防治水土流失，防沙治沙，生态环境可得到相应的恢复。</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2769" w:hRule="atLeast"/>
          <w:jc w:val="center"/>
        </w:trPr>
        <w:tc>
          <w:tcPr>
            <w:tcW w:w="1778" w:type="dxa"/>
            <w:noWrap w:val="0"/>
            <w:vAlign w:val="center"/>
          </w:tcPr>
          <w:p>
            <w:pPr>
              <w:adjustRightInd w:val="0"/>
              <w:snapToGrid w:val="0"/>
              <w:jc w:val="center"/>
              <w:rPr>
                <w:rFonts w:hint="default" w:ascii="Times New Roman" w:hAnsi="Times New Roman" w:cs="Times New Roman"/>
                <w:color w:val="auto"/>
                <w:spacing w:val="-8"/>
                <w:sz w:val="21"/>
                <w:szCs w:val="21"/>
                <w:highlight w:val="none"/>
              </w:rPr>
            </w:pPr>
            <w:r>
              <w:rPr>
                <w:rFonts w:hint="default" w:ascii="Times New Roman" w:hAnsi="Times New Roman" w:cs="Times New Roman"/>
                <w:color w:val="auto"/>
                <w:spacing w:val="-8"/>
                <w:sz w:val="21"/>
                <w:szCs w:val="21"/>
                <w:highlight w:val="none"/>
              </w:rPr>
              <w:t>环境风险</w:t>
            </w:r>
          </w:p>
          <w:p>
            <w:pPr>
              <w:adjustRightInd w:val="0"/>
              <w:snapToGrid w:val="0"/>
              <w:jc w:val="center"/>
              <w:rPr>
                <w:rFonts w:hint="default" w:ascii="Times New Roman" w:hAnsi="Times New Roman" w:cs="Times New Roman"/>
                <w:color w:val="auto"/>
                <w:spacing w:val="-8"/>
                <w:sz w:val="21"/>
                <w:szCs w:val="21"/>
                <w:highlight w:val="none"/>
              </w:rPr>
            </w:pPr>
            <w:r>
              <w:rPr>
                <w:rFonts w:hint="default" w:ascii="Times New Roman" w:hAnsi="Times New Roman" w:cs="Times New Roman"/>
                <w:color w:val="auto"/>
                <w:spacing w:val="-8"/>
                <w:sz w:val="21"/>
                <w:szCs w:val="21"/>
                <w:highlight w:val="none"/>
              </w:rPr>
              <w:t>防范措施</w:t>
            </w:r>
          </w:p>
        </w:tc>
        <w:tc>
          <w:tcPr>
            <w:tcW w:w="7022" w:type="dxa"/>
            <w:gridSpan w:val="5"/>
            <w:noWrap w:val="0"/>
            <w:vAlign w:val="center"/>
          </w:tcPr>
          <w:p>
            <w:pPr>
              <w:keepNext w:val="0"/>
              <w:keepLines w:val="0"/>
              <w:pageBreakBefore w:val="0"/>
              <w:widowControl w:val="0"/>
              <w:kinsoku/>
              <w:wordWrap/>
              <w:overflowPunct/>
              <w:topLinePunct w:val="0"/>
              <w:autoSpaceDE/>
              <w:autoSpaceDN/>
              <w:bidi w:val="0"/>
              <w:adjustRightInd w:val="0"/>
              <w:snapToGrid w:val="0"/>
              <w:ind w:firstLine="420" w:firstLineChars="200"/>
              <w:jc w:val="left"/>
              <w:textAlignment w:val="auto"/>
              <w:rPr>
                <w:rFonts w:hint="default" w:ascii="Times New Roman" w:hAnsi="Times New Roman"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（1）加强对生产设备及环保设备的维护，保证设备正常运行，降低事故危害。</w:t>
            </w:r>
          </w:p>
          <w:p>
            <w:pPr>
              <w:keepNext w:val="0"/>
              <w:keepLines w:val="0"/>
              <w:pageBreakBefore w:val="0"/>
              <w:widowControl w:val="0"/>
              <w:kinsoku/>
              <w:wordWrap/>
              <w:overflowPunct/>
              <w:topLinePunct w:val="0"/>
              <w:autoSpaceDE/>
              <w:autoSpaceDN/>
              <w:bidi w:val="0"/>
              <w:adjustRightInd w:val="0"/>
              <w:snapToGrid w:val="0"/>
              <w:ind w:firstLine="420" w:firstLineChars="200"/>
              <w:jc w:val="left"/>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cs="Times New Roman"/>
                <w:color w:val="auto"/>
                <w:sz w:val="21"/>
                <w:szCs w:val="21"/>
                <w:highlight w:val="none"/>
                <w:lang w:val="en-US" w:eastAsia="zh-CN"/>
              </w:rPr>
              <w:t>（2）加强巡视检查，发现问题及时处理；做好防火工作，完善消防设施和监控。</w:t>
            </w:r>
          </w:p>
          <w:p>
            <w:pPr>
              <w:keepNext w:val="0"/>
              <w:keepLines w:val="0"/>
              <w:pageBreakBefore w:val="0"/>
              <w:widowControl w:val="0"/>
              <w:kinsoku/>
              <w:wordWrap/>
              <w:overflowPunct/>
              <w:topLinePunct w:val="0"/>
              <w:autoSpaceDE/>
              <w:autoSpaceDN/>
              <w:bidi w:val="0"/>
              <w:adjustRightInd w:val="0"/>
              <w:snapToGrid w:val="0"/>
              <w:ind w:firstLine="420" w:firstLineChars="200"/>
              <w:jc w:val="left"/>
              <w:textAlignment w:val="auto"/>
              <w:rPr>
                <w:rFonts w:hint="default" w:ascii="Times New Roman" w:hAnsi="Times New Roman" w:eastAsia="宋体" w:cs="Times New Roman"/>
                <w:color w:val="auto"/>
                <w:sz w:val="21"/>
                <w:szCs w:val="21"/>
                <w:highlight w:val="none"/>
                <w:lang w:val="en-US" w:eastAsia="zh-CN"/>
              </w:rPr>
            </w:pPr>
            <w:r>
              <w:rPr>
                <w:rFonts w:hint="default" w:ascii="Times New Roman" w:hAnsi="Times New Roman" w:eastAsia="宋体" w:cs="Times New Roman"/>
                <w:color w:val="auto"/>
                <w:sz w:val="21"/>
                <w:szCs w:val="21"/>
                <w:highlight w:val="none"/>
                <w:lang w:val="en-US" w:eastAsia="zh-CN"/>
              </w:rPr>
              <w:t>（3）生产区域应进行一般防渗处理，杜绝因出现“跑、冒、滴、漏”等问题造成土壤和地下水污染；</w:t>
            </w:r>
          </w:p>
          <w:p>
            <w:pPr>
              <w:keepNext w:val="0"/>
              <w:keepLines w:val="0"/>
              <w:pageBreakBefore w:val="0"/>
              <w:widowControl w:val="0"/>
              <w:kinsoku/>
              <w:wordWrap/>
              <w:overflowPunct/>
              <w:topLinePunct w:val="0"/>
              <w:autoSpaceDE/>
              <w:autoSpaceDN/>
              <w:bidi w:val="0"/>
              <w:adjustRightInd w:val="0"/>
              <w:snapToGrid w:val="0"/>
              <w:ind w:firstLine="420" w:firstLineChars="200"/>
              <w:jc w:val="left"/>
              <w:textAlignment w:val="auto"/>
              <w:rPr>
                <w:rFonts w:hint="default" w:ascii="Times New Roman" w:hAnsi="Times New Roman" w:cs="Times New Roman"/>
                <w:color w:val="auto"/>
                <w:sz w:val="21"/>
                <w:szCs w:val="21"/>
                <w:highlight w:val="none"/>
              </w:rPr>
            </w:pPr>
            <w:r>
              <w:rPr>
                <w:rFonts w:hint="default" w:ascii="Times New Roman" w:hAnsi="Times New Roman" w:eastAsia="宋体" w:cs="Times New Roman"/>
                <w:color w:val="auto"/>
                <w:sz w:val="21"/>
                <w:szCs w:val="21"/>
                <w:highlight w:val="none"/>
                <w:lang w:val="en-US" w:eastAsia="zh-CN"/>
              </w:rPr>
              <w:t>（4）规范操作流程，加强环境管理，加强员工的责任心和主观能动性建立一套完善的安全管理制度，执行工业安全卫生、劳动保护、环保、消防等相关规定。</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412" w:hRule="atLeast"/>
          <w:jc w:val="center"/>
        </w:trPr>
        <w:tc>
          <w:tcPr>
            <w:tcW w:w="1778" w:type="dxa"/>
            <w:noWrap w:val="0"/>
            <w:vAlign w:val="center"/>
          </w:tcPr>
          <w:p>
            <w:pPr>
              <w:adjustRightInd w:val="0"/>
              <w:snapToGrid w:val="0"/>
              <w:jc w:val="center"/>
              <w:rPr>
                <w:rFonts w:hint="default" w:ascii="Times New Roman" w:hAnsi="Times New Roman" w:cs="Times New Roman"/>
                <w:color w:val="auto"/>
                <w:spacing w:val="-8"/>
                <w:sz w:val="21"/>
                <w:szCs w:val="21"/>
                <w:highlight w:val="none"/>
              </w:rPr>
            </w:pPr>
            <w:r>
              <w:rPr>
                <w:rFonts w:hint="default" w:ascii="Times New Roman" w:hAnsi="Times New Roman" w:cs="Times New Roman"/>
                <w:color w:val="auto"/>
                <w:spacing w:val="-8"/>
                <w:sz w:val="21"/>
                <w:szCs w:val="21"/>
                <w:highlight w:val="none"/>
              </w:rPr>
              <w:t>其他环境</w:t>
            </w:r>
          </w:p>
          <w:p>
            <w:pPr>
              <w:adjustRightInd w:val="0"/>
              <w:snapToGrid w:val="0"/>
              <w:jc w:val="center"/>
              <w:rPr>
                <w:rFonts w:hint="default" w:ascii="Times New Roman" w:hAnsi="Times New Roman" w:cs="Times New Roman"/>
                <w:color w:val="auto"/>
                <w:spacing w:val="-8"/>
                <w:sz w:val="21"/>
                <w:szCs w:val="21"/>
                <w:highlight w:val="none"/>
              </w:rPr>
            </w:pPr>
            <w:r>
              <w:rPr>
                <w:rFonts w:hint="default" w:ascii="Times New Roman" w:hAnsi="Times New Roman" w:cs="Times New Roman"/>
                <w:color w:val="auto"/>
                <w:spacing w:val="-8"/>
                <w:sz w:val="21"/>
                <w:szCs w:val="21"/>
                <w:highlight w:val="none"/>
              </w:rPr>
              <w:t>管理要求</w:t>
            </w:r>
          </w:p>
        </w:tc>
        <w:tc>
          <w:tcPr>
            <w:tcW w:w="7022" w:type="dxa"/>
            <w:gridSpan w:val="5"/>
            <w:noWrap w:val="0"/>
            <w:vAlign w:val="center"/>
          </w:tcPr>
          <w:p>
            <w:pPr>
              <w:keepNext w:val="0"/>
              <w:keepLines w:val="0"/>
              <w:pageBreakBefore w:val="0"/>
              <w:widowControl w:val="0"/>
              <w:kinsoku/>
              <w:wordWrap/>
              <w:overflowPunct/>
              <w:topLinePunct w:val="0"/>
              <w:autoSpaceDE/>
              <w:autoSpaceDN/>
              <w:bidi w:val="0"/>
              <w:ind w:firstLine="420" w:firstLineChars="20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①建设单位应设置环保管理人员，负责厂区环保工作日常事务。环保管理人员应做到有职、有权、有责，</w:t>
            </w:r>
            <w:r>
              <w:rPr>
                <w:rFonts w:hint="default" w:ascii="Times New Roman" w:hAnsi="Times New Roman" w:cs="Times New Roman"/>
                <w:color w:val="auto"/>
                <w:sz w:val="21"/>
                <w:szCs w:val="21"/>
                <w:highlight w:val="none"/>
                <w:lang w:eastAsia="zh-CN"/>
              </w:rPr>
              <w:t>切</w:t>
            </w:r>
            <w:r>
              <w:rPr>
                <w:rFonts w:hint="default" w:ascii="Times New Roman" w:hAnsi="Times New Roman" w:cs="Times New Roman"/>
                <w:color w:val="auto"/>
                <w:sz w:val="21"/>
                <w:szCs w:val="21"/>
                <w:highlight w:val="none"/>
              </w:rPr>
              <w:t>实担负起环境保护管理及监督责任。该人员除对项目负责外，也应与地方环境保护管理部门加强联系，使项目环保工作纳入地方环境管理工作系统。</w:t>
            </w:r>
          </w:p>
          <w:p>
            <w:pPr>
              <w:keepNext w:val="0"/>
              <w:keepLines w:val="0"/>
              <w:pageBreakBefore w:val="0"/>
              <w:widowControl w:val="0"/>
              <w:kinsoku/>
              <w:wordWrap/>
              <w:overflowPunct/>
              <w:topLinePunct w:val="0"/>
              <w:autoSpaceDE/>
              <w:autoSpaceDN/>
              <w:bidi w:val="0"/>
              <w:ind w:firstLine="420" w:firstLineChars="20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②严格遵照国家和地方有关环境保护的方针、政策、法规、条例，如《中华人</w:t>
            </w:r>
            <w:r>
              <w:rPr>
                <w:rFonts w:hint="default" w:ascii="Times New Roman" w:hAnsi="Times New Roman" w:cs="Times New Roman"/>
                <w:color w:val="auto"/>
                <w:sz w:val="21"/>
                <w:szCs w:val="21"/>
                <w:highlight w:val="none"/>
                <w:lang w:eastAsia="zh-CN"/>
              </w:rPr>
              <w:t>民</w:t>
            </w:r>
            <w:r>
              <w:rPr>
                <w:rFonts w:hint="default" w:ascii="Times New Roman" w:hAnsi="Times New Roman" w:cs="Times New Roman"/>
                <w:color w:val="auto"/>
                <w:sz w:val="21"/>
                <w:szCs w:val="21"/>
                <w:highlight w:val="none"/>
              </w:rPr>
              <w:t>共和国环境保护法</w:t>
            </w:r>
            <w:r>
              <w:rPr>
                <w:rFonts w:hint="default" w:ascii="Times New Roman" w:hAnsi="Times New Roman" w:cs="Times New Roman"/>
                <w:color w:val="auto"/>
                <w:sz w:val="21"/>
                <w:szCs w:val="21"/>
                <w:highlight w:val="none"/>
                <w:lang w:eastAsia="zh-CN"/>
              </w:rPr>
              <w:t>》《</w:t>
            </w:r>
            <w:r>
              <w:rPr>
                <w:rFonts w:hint="default" w:ascii="Times New Roman" w:hAnsi="Times New Roman" w:cs="Times New Roman"/>
                <w:color w:val="auto"/>
                <w:sz w:val="21"/>
                <w:szCs w:val="21"/>
                <w:highlight w:val="none"/>
              </w:rPr>
              <w:t>全国生态环境保护纲要》等，结合企业的实际情况，确定环境保护控制目标，制定环境保护发展规划和年度实施计划，建立环境保护制度，并组织、监督实施。</w:t>
            </w:r>
          </w:p>
          <w:p>
            <w:pPr>
              <w:keepNext w:val="0"/>
              <w:keepLines w:val="0"/>
              <w:pageBreakBefore w:val="0"/>
              <w:widowControl w:val="0"/>
              <w:kinsoku/>
              <w:wordWrap/>
              <w:overflowPunct/>
              <w:topLinePunct w:val="0"/>
              <w:autoSpaceDE/>
              <w:autoSpaceDN/>
              <w:bidi w:val="0"/>
              <w:ind w:firstLine="420" w:firstLineChars="200"/>
              <w:textAlignment w:val="auto"/>
              <w:rPr>
                <w:rFonts w:hint="default" w:ascii="Times New Roman" w:hAnsi="Times New Roman" w:cs="Times New Roman"/>
                <w:color w:val="auto"/>
                <w:sz w:val="21"/>
                <w:szCs w:val="21"/>
                <w:highlight w:val="none"/>
              </w:rPr>
            </w:pPr>
            <w:r>
              <w:rPr>
                <w:rFonts w:hint="default" w:ascii="Times New Roman" w:hAnsi="Times New Roman" w:cs="Times New Roman"/>
                <w:color w:val="auto"/>
                <w:sz w:val="21"/>
                <w:szCs w:val="21"/>
                <w:highlight w:val="none"/>
              </w:rPr>
              <w:t>③安排组织员工的环保教育、培训和考核，提高员工的环保意识和环境</w:t>
            </w:r>
            <w:r>
              <w:rPr>
                <w:rFonts w:hint="eastAsia" w:cs="Times New Roman"/>
                <w:color w:val="auto"/>
                <w:sz w:val="21"/>
                <w:szCs w:val="21"/>
                <w:highlight w:val="none"/>
                <w:lang w:eastAsia="zh-CN"/>
              </w:rPr>
              <w:t>法治观念</w:t>
            </w:r>
            <w:r>
              <w:rPr>
                <w:rFonts w:hint="default" w:ascii="Times New Roman" w:hAnsi="Times New Roman" w:cs="Times New Roman"/>
                <w:color w:val="auto"/>
                <w:sz w:val="21"/>
                <w:szCs w:val="21"/>
                <w:highlight w:val="none"/>
              </w:rPr>
              <w:t>；推广并应用先进的环境保护管理经验和污染治理技术，提高环保管理人员业务水平。</w:t>
            </w:r>
          </w:p>
          <w:p>
            <w:pPr>
              <w:keepNext w:val="0"/>
              <w:keepLines w:val="0"/>
              <w:pageBreakBefore w:val="0"/>
              <w:widowControl w:val="0"/>
              <w:kinsoku/>
              <w:wordWrap/>
              <w:overflowPunct/>
              <w:topLinePunct w:val="0"/>
              <w:autoSpaceDE/>
              <w:autoSpaceDN/>
              <w:bidi w:val="0"/>
              <w:ind w:firstLine="420" w:firstLineChars="200"/>
              <w:textAlignment w:val="auto"/>
              <w:rPr>
                <w:rFonts w:hint="default" w:ascii="Times New Roman" w:hAnsi="Times New Roman" w:eastAsia="宋体" w:cs="Times New Roman"/>
                <w:color w:val="auto"/>
                <w:sz w:val="21"/>
                <w:szCs w:val="21"/>
                <w:highlight w:val="none"/>
              </w:rPr>
            </w:pPr>
            <w:r>
              <w:rPr>
                <w:rFonts w:hint="default" w:ascii="Times New Roman" w:hAnsi="Times New Roman" w:eastAsia="宋体" w:cs="Times New Roman"/>
                <w:color w:val="auto"/>
                <w:sz w:val="21"/>
                <w:szCs w:val="21"/>
                <w:highlight w:val="none"/>
              </w:rPr>
              <w:t>④组织与领导项目的环境监测和统计工作，掌握污染源动态。</w:t>
            </w:r>
          </w:p>
          <w:p>
            <w:pPr>
              <w:keepNext w:val="0"/>
              <w:keepLines w:val="0"/>
              <w:pageBreakBefore w:val="0"/>
              <w:widowControl w:val="0"/>
              <w:kinsoku/>
              <w:wordWrap/>
              <w:overflowPunct/>
              <w:topLinePunct w:val="0"/>
              <w:autoSpaceDE/>
              <w:autoSpaceDN/>
              <w:bidi w:val="0"/>
              <w:ind w:firstLine="420" w:firstLineChars="200"/>
              <w:textAlignment w:val="auto"/>
              <w:rPr>
                <w:rFonts w:hint="default" w:ascii="Times New Roman" w:hAnsi="Times New Roman" w:cs="Times New Roman"/>
                <w:color w:val="auto"/>
                <w:sz w:val="21"/>
                <w:szCs w:val="21"/>
                <w:highlight w:val="none"/>
              </w:rPr>
            </w:pPr>
            <w:r>
              <w:rPr>
                <w:rFonts w:hint="default" w:ascii="Times New Roman" w:hAnsi="Times New Roman" w:eastAsia="宋体" w:cs="Times New Roman"/>
                <w:color w:val="auto"/>
                <w:sz w:val="21"/>
                <w:szCs w:val="21"/>
                <w:highlight w:val="none"/>
              </w:rPr>
              <w:t>⑤监督、检查环保设施、设备的运行及维护，建立环保设施运行档案。</w:t>
            </w:r>
          </w:p>
        </w:tc>
      </w:tr>
    </w:tbl>
    <w:p>
      <w:pPr>
        <w:pStyle w:val="18"/>
        <w:jc w:val="center"/>
        <w:outlineLvl w:val="0"/>
        <w:rPr>
          <w:rFonts w:ascii="黑体" w:hAnsi="黑体" w:eastAsia="黑体"/>
          <w:snapToGrid w:val="0"/>
          <w:color w:val="auto"/>
          <w:sz w:val="30"/>
          <w:szCs w:val="30"/>
          <w:highlight w:val="none"/>
        </w:rPr>
      </w:pPr>
      <w:r>
        <w:rPr>
          <w:snapToGrid w:val="0"/>
          <w:color w:val="auto"/>
          <w:highlight w:val="none"/>
        </w:rPr>
        <w:br w:type="page"/>
      </w:r>
      <w:r>
        <w:rPr>
          <w:rFonts w:hint="eastAsia" w:ascii="黑体" w:hAnsi="黑体" w:eastAsia="黑体"/>
          <w:snapToGrid w:val="0"/>
          <w:color w:val="auto"/>
          <w:sz w:val="30"/>
          <w:szCs w:val="30"/>
          <w:highlight w:val="none"/>
        </w:rPr>
        <w:t>六、结论</w:t>
      </w:r>
    </w:p>
    <w:tbl>
      <w:tblPr>
        <w:tblStyle w:val="21"/>
        <w:tblW w:w="0" w:type="auto"/>
        <w:jc w:val="center"/>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8865"/>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11991" w:hRule="atLeast"/>
          <w:jc w:val="center"/>
        </w:trPr>
        <w:tc>
          <w:tcPr>
            <w:tcW w:w="8865" w:type="dxa"/>
            <w:noWrap w:val="0"/>
            <w:vAlign w:val="center"/>
          </w:tcPr>
          <w:p>
            <w:pPr>
              <w:keepNext w:val="0"/>
              <w:keepLines w:val="0"/>
              <w:pageBreakBefore w:val="0"/>
              <w:widowControl w:val="0"/>
              <w:kinsoku/>
              <w:wordWrap/>
              <w:overflowPunct/>
              <w:topLinePunct w:val="0"/>
              <w:autoSpaceDE/>
              <w:autoSpaceDN/>
              <w:bidi w:val="0"/>
              <w:adjustRightInd/>
              <w:snapToGrid/>
              <w:spacing w:line="360" w:lineRule="auto"/>
              <w:ind w:firstLine="420" w:firstLineChars="200"/>
              <w:jc w:val="both"/>
              <w:textAlignment w:val="auto"/>
              <w:rPr>
                <w:rFonts w:ascii="宋体" w:cs="宋体"/>
                <w:color w:val="auto"/>
                <w:sz w:val="24"/>
                <w:highlight w:val="none"/>
              </w:rPr>
            </w:pPr>
            <w:r>
              <w:rPr>
                <w:rFonts w:hint="eastAsia"/>
                <w:color w:val="auto"/>
                <w:sz w:val="21"/>
                <w:szCs w:val="21"/>
                <w:highlight w:val="none"/>
              </w:rPr>
              <w:t>根据上述分析，本项目建成后对周围环境造成废水</w:t>
            </w:r>
            <w:r>
              <w:rPr>
                <w:rFonts w:hint="eastAsia"/>
                <w:color w:val="auto"/>
                <w:sz w:val="21"/>
                <w:szCs w:val="21"/>
                <w:highlight w:val="none"/>
                <w:lang w:val="en-US" w:eastAsia="zh-CN"/>
              </w:rPr>
              <w:t>和</w:t>
            </w:r>
            <w:r>
              <w:rPr>
                <w:rFonts w:hint="eastAsia"/>
                <w:color w:val="auto"/>
                <w:sz w:val="21"/>
                <w:szCs w:val="21"/>
                <w:highlight w:val="none"/>
              </w:rPr>
              <w:t>噪声污染较小，建设单位若能在建成后切实落实本环评提出的各项环境污染防治措施，落实“三同时”制度，加强环境管理，确保污染物达标排放，则本项目建成投入使用后，对环境的影响是可以接受的。建设单位须严格遵守环保“三同时”制度，各项治理措施需自主验收合格后方可正式投入使用，在此前提下，本项目是可行的。</w:t>
            </w:r>
          </w:p>
        </w:tc>
      </w:tr>
    </w:tbl>
    <w:p>
      <w:pPr>
        <w:rPr>
          <w:rFonts w:ascii="宋体"/>
          <w:color w:val="auto"/>
          <w:highlight w:val="none"/>
        </w:rPr>
        <w:sectPr>
          <w:pgSz w:w="11906" w:h="16838"/>
          <w:pgMar w:top="1701" w:right="1531" w:bottom="1701" w:left="1531" w:header="851" w:footer="851" w:gutter="0"/>
          <w:cols w:space="720" w:num="1"/>
          <w:docGrid w:linePitch="312" w:charSpace="0"/>
        </w:sectPr>
      </w:pPr>
    </w:p>
    <w:p>
      <w:pPr>
        <w:pStyle w:val="18"/>
        <w:adjustRightInd w:val="0"/>
        <w:snapToGrid w:val="0"/>
        <w:spacing w:before="0" w:beforeAutospacing="0" w:after="0" w:afterAutospacing="0" w:line="240" w:lineRule="auto"/>
        <w:outlineLvl w:val="0"/>
        <w:rPr>
          <w:rFonts w:ascii="黑体" w:hAnsi="黑体" w:eastAsia="黑体"/>
          <w:snapToGrid w:val="0"/>
          <w:color w:val="auto"/>
          <w:sz w:val="32"/>
          <w:szCs w:val="32"/>
          <w:highlight w:val="none"/>
        </w:rPr>
      </w:pPr>
      <w:r>
        <w:rPr>
          <w:rFonts w:hint="eastAsia" w:ascii="黑体" w:hAnsi="黑体" w:eastAsia="黑体"/>
          <w:snapToGrid w:val="0"/>
          <w:color w:val="auto"/>
          <w:sz w:val="32"/>
          <w:szCs w:val="32"/>
          <w:highlight w:val="none"/>
        </w:rPr>
        <w:t>附表</w:t>
      </w:r>
    </w:p>
    <w:p>
      <w:pPr>
        <w:pStyle w:val="18"/>
        <w:adjustRightInd w:val="0"/>
        <w:snapToGrid w:val="0"/>
        <w:spacing w:before="0" w:beforeAutospacing="0" w:after="0" w:afterAutospacing="0" w:line="240" w:lineRule="auto"/>
        <w:jc w:val="center"/>
        <w:outlineLvl w:val="0"/>
        <w:rPr>
          <w:rFonts w:hint="eastAsia" w:ascii="方正小标宋_GBK" w:hAnsi="黑体" w:eastAsia="方正小标宋_GBK"/>
          <w:snapToGrid w:val="0"/>
          <w:color w:val="auto"/>
          <w:sz w:val="38"/>
          <w:szCs w:val="38"/>
          <w:highlight w:val="none"/>
        </w:rPr>
      </w:pPr>
      <w:r>
        <w:rPr>
          <w:rFonts w:hint="eastAsia" w:ascii="方正小标宋_GBK" w:hAnsi="黑体" w:eastAsia="方正小标宋_GBK"/>
          <w:snapToGrid w:val="0"/>
          <w:color w:val="auto"/>
          <w:sz w:val="38"/>
          <w:szCs w:val="38"/>
          <w:highlight w:val="none"/>
        </w:rPr>
        <w:t>建设项目污染物排放量汇总表</w:t>
      </w:r>
    </w:p>
    <w:tbl>
      <w:tblPr>
        <w:tblStyle w:val="21"/>
        <w:tblW w:w="13788" w:type="dxa"/>
        <w:tblInd w:w="0" w:type="dxa"/>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Layout w:type="fixed"/>
        <w:tblCellMar>
          <w:top w:w="0" w:type="dxa"/>
          <w:left w:w="108" w:type="dxa"/>
          <w:bottom w:w="0" w:type="dxa"/>
          <w:right w:w="108" w:type="dxa"/>
        </w:tblCellMar>
      </w:tblPr>
      <w:tblGrid>
        <w:gridCol w:w="1481"/>
        <w:gridCol w:w="1884"/>
        <w:gridCol w:w="1472"/>
        <w:gridCol w:w="1145"/>
        <w:gridCol w:w="1701"/>
        <w:gridCol w:w="1559"/>
        <w:gridCol w:w="1761"/>
        <w:gridCol w:w="1656"/>
        <w:gridCol w:w="1129"/>
      </w:tblGrid>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794" w:hRule="atLeast"/>
        </w:trPr>
        <w:tc>
          <w:tcPr>
            <w:tcW w:w="1481" w:type="dxa"/>
            <w:tcBorders>
              <w:tl2br w:val="single" w:color="auto" w:sz="4" w:space="0"/>
            </w:tcBorders>
            <w:noWrap w:val="0"/>
            <w:tcMar>
              <w:left w:w="28" w:type="dxa"/>
              <w:right w:w="28" w:type="dxa"/>
            </w:tcMar>
            <w:vAlign w:val="center"/>
          </w:tcPr>
          <w:p>
            <w:pPr>
              <w:pStyle w:val="48"/>
              <w:spacing w:beforeLines="0" w:afterLines="0" w:line="240" w:lineRule="auto"/>
              <w:jc w:val="right"/>
              <w:rPr>
                <w:rFonts w:hint="eastAsia" w:ascii="黑体" w:hAnsi="黑体" w:eastAsia="黑体" w:cs="宋体"/>
                <w:snapToGrid w:val="0"/>
                <w:color w:val="auto"/>
                <w:spacing w:val="-6"/>
                <w:kern w:val="21"/>
                <w:szCs w:val="21"/>
                <w:highlight w:val="none"/>
              </w:rPr>
            </w:pPr>
            <w:r>
              <w:rPr>
                <w:rFonts w:hint="eastAsia" w:ascii="黑体" w:hAnsi="黑体" w:eastAsia="黑体" w:cs="宋体"/>
                <w:snapToGrid w:val="0"/>
                <w:color w:val="auto"/>
                <w:spacing w:val="-6"/>
                <w:kern w:val="21"/>
                <w:szCs w:val="21"/>
                <w:highlight w:val="none"/>
              </w:rPr>
              <w:t>项目</w:t>
            </w:r>
          </w:p>
          <w:p>
            <w:pPr>
              <w:pStyle w:val="48"/>
              <w:spacing w:beforeLines="0" w:afterLines="0" w:line="240" w:lineRule="auto"/>
              <w:jc w:val="left"/>
              <w:rPr>
                <w:rFonts w:hint="eastAsia" w:ascii="黑体" w:hAnsi="黑体" w:eastAsia="黑体" w:cs="宋体"/>
                <w:snapToGrid w:val="0"/>
                <w:color w:val="auto"/>
                <w:spacing w:val="-6"/>
                <w:kern w:val="21"/>
                <w:szCs w:val="21"/>
                <w:highlight w:val="none"/>
              </w:rPr>
            </w:pPr>
            <w:r>
              <w:rPr>
                <w:rFonts w:hint="eastAsia" w:ascii="黑体" w:hAnsi="黑体" w:eastAsia="黑体" w:cs="宋体"/>
                <w:snapToGrid w:val="0"/>
                <w:color w:val="auto"/>
                <w:spacing w:val="-6"/>
                <w:kern w:val="21"/>
                <w:szCs w:val="21"/>
                <w:highlight w:val="none"/>
              </w:rPr>
              <w:t>分类</w:t>
            </w:r>
          </w:p>
        </w:tc>
        <w:tc>
          <w:tcPr>
            <w:tcW w:w="1884" w:type="dxa"/>
            <w:noWrap w:val="0"/>
            <w:tcMar>
              <w:left w:w="28" w:type="dxa"/>
              <w:right w:w="28" w:type="dxa"/>
            </w:tcMar>
            <w:vAlign w:val="center"/>
          </w:tcPr>
          <w:p>
            <w:pPr>
              <w:pStyle w:val="48"/>
              <w:spacing w:beforeLines="0" w:afterLines="0" w:line="240" w:lineRule="auto"/>
              <w:rPr>
                <w:rFonts w:hint="eastAsia" w:ascii="黑体" w:hAnsi="黑体" w:eastAsia="黑体" w:cs="宋体"/>
                <w:snapToGrid w:val="0"/>
                <w:color w:val="auto"/>
                <w:spacing w:val="-6"/>
                <w:kern w:val="21"/>
                <w:szCs w:val="21"/>
                <w:highlight w:val="none"/>
              </w:rPr>
            </w:pPr>
            <w:r>
              <w:rPr>
                <w:rFonts w:hint="eastAsia" w:ascii="黑体" w:hAnsi="黑体" w:eastAsia="黑体" w:cs="宋体"/>
                <w:snapToGrid w:val="0"/>
                <w:color w:val="auto"/>
                <w:spacing w:val="-6"/>
                <w:kern w:val="21"/>
                <w:szCs w:val="21"/>
                <w:highlight w:val="none"/>
              </w:rPr>
              <w:t>污染物名称</w:t>
            </w:r>
          </w:p>
        </w:tc>
        <w:tc>
          <w:tcPr>
            <w:tcW w:w="1472" w:type="dxa"/>
            <w:noWrap w:val="0"/>
            <w:tcMar>
              <w:left w:w="28" w:type="dxa"/>
              <w:right w:w="28" w:type="dxa"/>
            </w:tcMar>
            <w:vAlign w:val="center"/>
          </w:tcPr>
          <w:p>
            <w:pPr>
              <w:pStyle w:val="48"/>
              <w:spacing w:beforeLines="0" w:afterLines="0" w:line="240" w:lineRule="auto"/>
              <w:rPr>
                <w:rFonts w:hint="eastAsia" w:ascii="黑体" w:hAnsi="黑体" w:eastAsia="黑体"/>
                <w:snapToGrid w:val="0"/>
                <w:color w:val="auto"/>
                <w:spacing w:val="-6"/>
                <w:kern w:val="21"/>
                <w:szCs w:val="21"/>
                <w:highlight w:val="none"/>
              </w:rPr>
            </w:pPr>
            <w:r>
              <w:rPr>
                <w:rFonts w:ascii="黑体" w:hAnsi="黑体" w:eastAsia="黑体"/>
                <w:snapToGrid w:val="0"/>
                <w:color w:val="auto"/>
                <w:spacing w:val="-6"/>
                <w:kern w:val="21"/>
                <w:szCs w:val="21"/>
                <w:highlight w:val="none"/>
              </w:rPr>
              <w:t>现有工程</w:t>
            </w:r>
          </w:p>
          <w:p>
            <w:pPr>
              <w:pStyle w:val="48"/>
              <w:spacing w:beforeLines="0" w:afterLines="0" w:line="240" w:lineRule="auto"/>
              <w:rPr>
                <w:rFonts w:ascii="黑体" w:hAnsi="黑体" w:eastAsia="黑体"/>
                <w:snapToGrid w:val="0"/>
                <w:color w:val="auto"/>
                <w:spacing w:val="-6"/>
                <w:kern w:val="21"/>
                <w:szCs w:val="21"/>
                <w:highlight w:val="none"/>
              </w:rPr>
            </w:pPr>
            <w:r>
              <w:rPr>
                <w:rFonts w:ascii="黑体" w:hAnsi="黑体" w:eastAsia="黑体"/>
                <w:snapToGrid w:val="0"/>
                <w:color w:val="auto"/>
                <w:spacing w:val="-6"/>
                <w:kern w:val="21"/>
                <w:szCs w:val="21"/>
                <w:highlight w:val="none"/>
              </w:rPr>
              <w:t>排放量（固</w:t>
            </w:r>
            <w:r>
              <w:rPr>
                <w:rFonts w:hint="eastAsia" w:ascii="黑体" w:hAnsi="黑体" w:eastAsia="黑体"/>
                <w:snapToGrid w:val="0"/>
                <w:color w:val="auto"/>
                <w:spacing w:val="-6"/>
                <w:kern w:val="21"/>
                <w:szCs w:val="21"/>
                <w:highlight w:val="none"/>
              </w:rPr>
              <w:t>体</w:t>
            </w:r>
            <w:r>
              <w:rPr>
                <w:rFonts w:ascii="黑体" w:hAnsi="黑体" w:eastAsia="黑体"/>
                <w:snapToGrid w:val="0"/>
                <w:color w:val="auto"/>
                <w:spacing w:val="-6"/>
                <w:kern w:val="21"/>
                <w:szCs w:val="21"/>
                <w:highlight w:val="none"/>
              </w:rPr>
              <w:t>废</w:t>
            </w:r>
            <w:r>
              <w:rPr>
                <w:rFonts w:hint="eastAsia" w:ascii="黑体" w:hAnsi="黑体" w:eastAsia="黑体"/>
                <w:snapToGrid w:val="0"/>
                <w:color w:val="auto"/>
                <w:spacing w:val="-6"/>
                <w:kern w:val="21"/>
                <w:szCs w:val="21"/>
                <w:highlight w:val="none"/>
              </w:rPr>
              <w:t>物</w:t>
            </w:r>
            <w:r>
              <w:rPr>
                <w:rFonts w:ascii="黑体" w:hAnsi="黑体" w:eastAsia="黑体"/>
                <w:snapToGrid w:val="0"/>
                <w:color w:val="auto"/>
                <w:spacing w:val="-6"/>
                <w:kern w:val="21"/>
                <w:szCs w:val="21"/>
                <w:highlight w:val="none"/>
              </w:rPr>
              <w:t>产生量）</w:t>
            </w:r>
            <w:r>
              <w:rPr>
                <w:rFonts w:ascii="黑体" w:hAnsi="黑体" w:eastAsia="黑体"/>
                <w:snapToGrid w:val="0"/>
                <w:color w:val="auto"/>
                <w:spacing w:val="-6"/>
                <w:kern w:val="21"/>
                <w:szCs w:val="21"/>
                <w:highlight w:val="none"/>
              </w:rPr>
              <w:fldChar w:fldCharType="begin"/>
            </w:r>
            <w:r>
              <w:rPr>
                <w:rFonts w:ascii="黑体" w:hAnsi="黑体" w:eastAsia="黑体"/>
                <w:snapToGrid w:val="0"/>
                <w:color w:val="auto"/>
                <w:spacing w:val="-6"/>
                <w:kern w:val="21"/>
                <w:szCs w:val="21"/>
                <w:highlight w:val="none"/>
              </w:rPr>
              <w:instrText xml:space="preserve"> = 1 \* GB3 \* MERGEFORMAT </w:instrText>
            </w:r>
            <w:r>
              <w:rPr>
                <w:rFonts w:ascii="黑体" w:hAnsi="黑体" w:eastAsia="黑体"/>
                <w:snapToGrid w:val="0"/>
                <w:color w:val="auto"/>
                <w:spacing w:val="-6"/>
                <w:kern w:val="21"/>
                <w:szCs w:val="21"/>
                <w:highlight w:val="none"/>
              </w:rPr>
              <w:fldChar w:fldCharType="separate"/>
            </w:r>
            <w:r>
              <w:rPr>
                <w:rFonts w:hint="eastAsia" w:ascii="黑体" w:hAnsi="黑体" w:eastAsia="黑体" w:cs="宋体"/>
                <w:color w:val="auto"/>
                <w:kern w:val="2"/>
                <w:szCs w:val="21"/>
                <w:highlight w:val="none"/>
              </w:rPr>
              <w:t>①</w:t>
            </w:r>
            <w:r>
              <w:rPr>
                <w:rFonts w:ascii="黑体" w:hAnsi="黑体" w:eastAsia="黑体"/>
                <w:snapToGrid w:val="0"/>
                <w:color w:val="auto"/>
                <w:spacing w:val="-6"/>
                <w:kern w:val="21"/>
                <w:szCs w:val="21"/>
                <w:highlight w:val="none"/>
              </w:rPr>
              <w:fldChar w:fldCharType="end"/>
            </w:r>
          </w:p>
        </w:tc>
        <w:tc>
          <w:tcPr>
            <w:tcW w:w="1145" w:type="dxa"/>
            <w:noWrap w:val="0"/>
            <w:tcMar>
              <w:left w:w="28" w:type="dxa"/>
              <w:right w:w="28" w:type="dxa"/>
            </w:tcMar>
            <w:vAlign w:val="center"/>
          </w:tcPr>
          <w:p>
            <w:pPr>
              <w:pStyle w:val="48"/>
              <w:spacing w:beforeLines="0" w:afterLines="0" w:line="240" w:lineRule="auto"/>
              <w:rPr>
                <w:rFonts w:ascii="黑体" w:hAnsi="黑体" w:eastAsia="黑体"/>
                <w:snapToGrid w:val="0"/>
                <w:color w:val="auto"/>
                <w:spacing w:val="-6"/>
                <w:kern w:val="21"/>
                <w:szCs w:val="21"/>
                <w:highlight w:val="none"/>
              </w:rPr>
            </w:pPr>
            <w:r>
              <w:rPr>
                <w:rFonts w:ascii="黑体" w:hAnsi="黑体" w:eastAsia="黑体"/>
                <w:snapToGrid w:val="0"/>
                <w:color w:val="auto"/>
                <w:spacing w:val="-6"/>
                <w:kern w:val="21"/>
                <w:szCs w:val="21"/>
                <w:highlight w:val="none"/>
              </w:rPr>
              <w:t>现有工程</w:t>
            </w:r>
          </w:p>
          <w:p>
            <w:pPr>
              <w:pStyle w:val="48"/>
              <w:spacing w:beforeLines="0" w:afterLines="0" w:line="240" w:lineRule="auto"/>
              <w:rPr>
                <w:rFonts w:ascii="黑体" w:hAnsi="黑体" w:eastAsia="黑体"/>
                <w:snapToGrid w:val="0"/>
                <w:color w:val="auto"/>
                <w:spacing w:val="-6"/>
                <w:kern w:val="21"/>
                <w:szCs w:val="21"/>
                <w:highlight w:val="none"/>
              </w:rPr>
            </w:pPr>
            <w:r>
              <w:rPr>
                <w:rFonts w:ascii="黑体" w:hAnsi="黑体" w:eastAsia="黑体"/>
                <w:snapToGrid w:val="0"/>
                <w:color w:val="auto"/>
                <w:spacing w:val="-6"/>
                <w:kern w:val="21"/>
                <w:szCs w:val="21"/>
                <w:highlight w:val="none"/>
              </w:rPr>
              <w:t>许可排放量</w:t>
            </w:r>
          </w:p>
          <w:p>
            <w:pPr>
              <w:pStyle w:val="48"/>
              <w:spacing w:beforeLines="0" w:afterLines="0"/>
              <w:rPr>
                <w:rFonts w:ascii="黑体" w:hAnsi="黑体" w:eastAsia="黑体"/>
                <w:snapToGrid w:val="0"/>
                <w:color w:val="auto"/>
                <w:spacing w:val="-6"/>
                <w:kern w:val="21"/>
                <w:szCs w:val="21"/>
                <w:highlight w:val="none"/>
              </w:rPr>
            </w:pPr>
            <w:r>
              <w:rPr>
                <w:rFonts w:ascii="黑体" w:hAnsi="黑体" w:eastAsia="黑体"/>
                <w:snapToGrid w:val="0"/>
                <w:color w:val="auto"/>
                <w:spacing w:val="-6"/>
                <w:kern w:val="21"/>
                <w:szCs w:val="21"/>
                <w:highlight w:val="none"/>
              </w:rPr>
              <w:fldChar w:fldCharType="begin"/>
            </w:r>
            <w:r>
              <w:rPr>
                <w:rFonts w:ascii="黑体" w:hAnsi="黑体" w:eastAsia="黑体"/>
                <w:snapToGrid w:val="0"/>
                <w:color w:val="auto"/>
                <w:spacing w:val="-6"/>
                <w:kern w:val="21"/>
                <w:szCs w:val="21"/>
                <w:highlight w:val="none"/>
              </w:rPr>
              <w:instrText xml:space="preserve"> = 2 \* GB3 \* MERGEFORMAT </w:instrText>
            </w:r>
            <w:r>
              <w:rPr>
                <w:rFonts w:ascii="黑体" w:hAnsi="黑体" w:eastAsia="黑体"/>
                <w:snapToGrid w:val="0"/>
                <w:color w:val="auto"/>
                <w:spacing w:val="-6"/>
                <w:kern w:val="21"/>
                <w:szCs w:val="21"/>
                <w:highlight w:val="none"/>
              </w:rPr>
              <w:fldChar w:fldCharType="separate"/>
            </w:r>
            <w:r>
              <w:rPr>
                <w:rFonts w:hint="eastAsia" w:ascii="黑体" w:hAnsi="黑体" w:eastAsia="黑体" w:cs="宋体"/>
                <w:snapToGrid w:val="0"/>
                <w:color w:val="auto"/>
                <w:spacing w:val="-6"/>
                <w:kern w:val="21"/>
                <w:szCs w:val="21"/>
                <w:highlight w:val="none"/>
              </w:rPr>
              <w:t>②</w:t>
            </w:r>
            <w:r>
              <w:rPr>
                <w:rFonts w:ascii="黑体" w:hAnsi="黑体" w:eastAsia="黑体"/>
                <w:snapToGrid w:val="0"/>
                <w:color w:val="auto"/>
                <w:spacing w:val="-6"/>
                <w:kern w:val="21"/>
                <w:szCs w:val="21"/>
                <w:highlight w:val="none"/>
              </w:rPr>
              <w:fldChar w:fldCharType="end"/>
            </w:r>
          </w:p>
        </w:tc>
        <w:tc>
          <w:tcPr>
            <w:tcW w:w="1701" w:type="dxa"/>
            <w:noWrap w:val="0"/>
            <w:tcMar>
              <w:left w:w="28" w:type="dxa"/>
              <w:right w:w="28" w:type="dxa"/>
            </w:tcMar>
            <w:vAlign w:val="center"/>
          </w:tcPr>
          <w:p>
            <w:pPr>
              <w:pStyle w:val="48"/>
              <w:spacing w:beforeLines="0" w:afterLines="0" w:line="240" w:lineRule="auto"/>
              <w:rPr>
                <w:rFonts w:hint="eastAsia" w:ascii="黑体" w:hAnsi="黑体" w:eastAsia="黑体"/>
                <w:snapToGrid w:val="0"/>
                <w:color w:val="auto"/>
                <w:spacing w:val="-6"/>
                <w:kern w:val="21"/>
                <w:szCs w:val="21"/>
                <w:highlight w:val="none"/>
              </w:rPr>
            </w:pPr>
            <w:r>
              <w:rPr>
                <w:rFonts w:ascii="黑体" w:hAnsi="黑体" w:eastAsia="黑体"/>
                <w:snapToGrid w:val="0"/>
                <w:color w:val="auto"/>
                <w:spacing w:val="-6"/>
                <w:kern w:val="21"/>
                <w:szCs w:val="21"/>
                <w:highlight w:val="none"/>
              </w:rPr>
              <w:t>在建工程</w:t>
            </w:r>
          </w:p>
          <w:p>
            <w:pPr>
              <w:pStyle w:val="48"/>
              <w:spacing w:beforeLines="0" w:afterLines="0" w:line="240" w:lineRule="auto"/>
              <w:rPr>
                <w:rFonts w:ascii="黑体" w:hAnsi="黑体" w:eastAsia="黑体"/>
                <w:snapToGrid w:val="0"/>
                <w:color w:val="auto"/>
                <w:spacing w:val="-6"/>
                <w:kern w:val="21"/>
                <w:szCs w:val="21"/>
                <w:highlight w:val="none"/>
              </w:rPr>
            </w:pPr>
            <w:r>
              <w:rPr>
                <w:rFonts w:ascii="黑体" w:hAnsi="黑体" w:eastAsia="黑体"/>
                <w:snapToGrid w:val="0"/>
                <w:color w:val="auto"/>
                <w:spacing w:val="-6"/>
                <w:kern w:val="21"/>
                <w:szCs w:val="21"/>
                <w:highlight w:val="none"/>
              </w:rPr>
              <w:t>排放量（固</w:t>
            </w:r>
            <w:r>
              <w:rPr>
                <w:rFonts w:hint="eastAsia" w:ascii="黑体" w:hAnsi="黑体" w:eastAsia="黑体"/>
                <w:snapToGrid w:val="0"/>
                <w:color w:val="auto"/>
                <w:spacing w:val="-6"/>
                <w:kern w:val="21"/>
                <w:szCs w:val="21"/>
                <w:highlight w:val="none"/>
              </w:rPr>
              <w:t>体</w:t>
            </w:r>
            <w:r>
              <w:rPr>
                <w:rFonts w:ascii="黑体" w:hAnsi="黑体" w:eastAsia="黑体"/>
                <w:snapToGrid w:val="0"/>
                <w:color w:val="auto"/>
                <w:spacing w:val="-6"/>
                <w:kern w:val="21"/>
                <w:szCs w:val="21"/>
                <w:highlight w:val="none"/>
              </w:rPr>
              <w:t>废</w:t>
            </w:r>
            <w:r>
              <w:rPr>
                <w:rFonts w:hint="eastAsia" w:ascii="黑体" w:hAnsi="黑体" w:eastAsia="黑体"/>
                <w:snapToGrid w:val="0"/>
                <w:color w:val="auto"/>
                <w:spacing w:val="-6"/>
                <w:kern w:val="21"/>
                <w:szCs w:val="21"/>
                <w:highlight w:val="none"/>
              </w:rPr>
              <w:t>物</w:t>
            </w:r>
            <w:r>
              <w:rPr>
                <w:rFonts w:ascii="黑体" w:hAnsi="黑体" w:eastAsia="黑体"/>
                <w:snapToGrid w:val="0"/>
                <w:color w:val="auto"/>
                <w:spacing w:val="-6"/>
                <w:kern w:val="21"/>
                <w:szCs w:val="21"/>
                <w:highlight w:val="none"/>
              </w:rPr>
              <w:t>产生量）</w:t>
            </w:r>
            <w:r>
              <w:rPr>
                <w:rFonts w:ascii="黑体" w:hAnsi="黑体" w:eastAsia="黑体"/>
                <w:snapToGrid w:val="0"/>
                <w:color w:val="auto"/>
                <w:spacing w:val="-6"/>
                <w:kern w:val="21"/>
                <w:szCs w:val="21"/>
                <w:highlight w:val="none"/>
              </w:rPr>
              <w:fldChar w:fldCharType="begin"/>
            </w:r>
            <w:r>
              <w:rPr>
                <w:rFonts w:ascii="黑体" w:hAnsi="黑体" w:eastAsia="黑体"/>
                <w:snapToGrid w:val="0"/>
                <w:color w:val="auto"/>
                <w:spacing w:val="-6"/>
                <w:kern w:val="21"/>
                <w:szCs w:val="21"/>
                <w:highlight w:val="none"/>
              </w:rPr>
              <w:instrText xml:space="preserve"> = 3 \* GB3 \* MERGEFORMAT </w:instrText>
            </w:r>
            <w:r>
              <w:rPr>
                <w:rFonts w:ascii="黑体" w:hAnsi="黑体" w:eastAsia="黑体"/>
                <w:snapToGrid w:val="0"/>
                <w:color w:val="auto"/>
                <w:spacing w:val="-6"/>
                <w:kern w:val="21"/>
                <w:szCs w:val="21"/>
                <w:highlight w:val="none"/>
              </w:rPr>
              <w:fldChar w:fldCharType="separate"/>
            </w:r>
            <w:r>
              <w:rPr>
                <w:rFonts w:hint="eastAsia" w:ascii="黑体" w:hAnsi="黑体" w:eastAsia="黑体" w:cs="宋体"/>
                <w:color w:val="auto"/>
                <w:kern w:val="2"/>
                <w:szCs w:val="21"/>
                <w:highlight w:val="none"/>
              </w:rPr>
              <w:t>③</w:t>
            </w:r>
            <w:r>
              <w:rPr>
                <w:rFonts w:ascii="黑体" w:hAnsi="黑体" w:eastAsia="黑体"/>
                <w:snapToGrid w:val="0"/>
                <w:color w:val="auto"/>
                <w:spacing w:val="-6"/>
                <w:kern w:val="21"/>
                <w:szCs w:val="21"/>
                <w:highlight w:val="none"/>
              </w:rPr>
              <w:fldChar w:fldCharType="end"/>
            </w:r>
          </w:p>
        </w:tc>
        <w:tc>
          <w:tcPr>
            <w:tcW w:w="1559" w:type="dxa"/>
            <w:noWrap w:val="0"/>
            <w:tcMar>
              <w:left w:w="28" w:type="dxa"/>
              <w:right w:w="28" w:type="dxa"/>
            </w:tcMar>
            <w:vAlign w:val="center"/>
          </w:tcPr>
          <w:p>
            <w:pPr>
              <w:pStyle w:val="48"/>
              <w:spacing w:beforeLines="0" w:afterLines="0" w:line="240" w:lineRule="auto"/>
              <w:rPr>
                <w:rFonts w:hint="eastAsia" w:ascii="黑体" w:hAnsi="黑体" w:eastAsia="黑体"/>
                <w:snapToGrid w:val="0"/>
                <w:color w:val="auto"/>
                <w:spacing w:val="-6"/>
                <w:kern w:val="21"/>
                <w:szCs w:val="21"/>
                <w:highlight w:val="none"/>
              </w:rPr>
            </w:pPr>
            <w:r>
              <w:rPr>
                <w:rFonts w:ascii="黑体" w:hAnsi="黑体" w:eastAsia="黑体"/>
                <w:snapToGrid w:val="0"/>
                <w:color w:val="auto"/>
                <w:spacing w:val="-6"/>
                <w:kern w:val="21"/>
                <w:szCs w:val="21"/>
                <w:highlight w:val="none"/>
              </w:rPr>
              <w:t>本项目</w:t>
            </w:r>
          </w:p>
          <w:p>
            <w:pPr>
              <w:pStyle w:val="48"/>
              <w:spacing w:beforeLines="0" w:afterLines="0" w:line="240" w:lineRule="auto"/>
              <w:rPr>
                <w:rFonts w:ascii="黑体" w:hAnsi="黑体" w:eastAsia="黑体"/>
                <w:snapToGrid w:val="0"/>
                <w:color w:val="auto"/>
                <w:spacing w:val="-6"/>
                <w:kern w:val="21"/>
                <w:szCs w:val="21"/>
                <w:highlight w:val="none"/>
              </w:rPr>
            </w:pPr>
            <w:r>
              <w:rPr>
                <w:rFonts w:ascii="黑体" w:hAnsi="黑体" w:eastAsia="黑体"/>
                <w:snapToGrid w:val="0"/>
                <w:color w:val="auto"/>
                <w:spacing w:val="-6"/>
                <w:kern w:val="21"/>
                <w:szCs w:val="21"/>
                <w:highlight w:val="none"/>
              </w:rPr>
              <w:t>排放量（固</w:t>
            </w:r>
            <w:r>
              <w:rPr>
                <w:rFonts w:hint="eastAsia" w:ascii="黑体" w:hAnsi="黑体" w:eastAsia="黑体"/>
                <w:snapToGrid w:val="0"/>
                <w:color w:val="auto"/>
                <w:spacing w:val="-6"/>
                <w:kern w:val="21"/>
                <w:szCs w:val="21"/>
                <w:highlight w:val="none"/>
              </w:rPr>
              <w:t>体</w:t>
            </w:r>
            <w:r>
              <w:rPr>
                <w:rFonts w:ascii="黑体" w:hAnsi="黑体" w:eastAsia="黑体"/>
                <w:snapToGrid w:val="0"/>
                <w:color w:val="auto"/>
                <w:spacing w:val="-6"/>
                <w:kern w:val="21"/>
                <w:szCs w:val="21"/>
                <w:highlight w:val="none"/>
              </w:rPr>
              <w:t>废</w:t>
            </w:r>
            <w:r>
              <w:rPr>
                <w:rFonts w:hint="eastAsia" w:ascii="黑体" w:hAnsi="黑体" w:eastAsia="黑体"/>
                <w:snapToGrid w:val="0"/>
                <w:color w:val="auto"/>
                <w:spacing w:val="-6"/>
                <w:kern w:val="21"/>
                <w:szCs w:val="21"/>
                <w:highlight w:val="none"/>
              </w:rPr>
              <w:t>物</w:t>
            </w:r>
            <w:r>
              <w:rPr>
                <w:rFonts w:ascii="黑体" w:hAnsi="黑体" w:eastAsia="黑体"/>
                <w:snapToGrid w:val="0"/>
                <w:color w:val="auto"/>
                <w:spacing w:val="-6"/>
                <w:kern w:val="21"/>
                <w:szCs w:val="21"/>
                <w:highlight w:val="none"/>
              </w:rPr>
              <w:t>产生量）</w:t>
            </w:r>
            <w:r>
              <w:rPr>
                <w:rFonts w:ascii="黑体" w:hAnsi="黑体" w:eastAsia="黑体"/>
                <w:snapToGrid w:val="0"/>
                <w:color w:val="auto"/>
                <w:spacing w:val="-6"/>
                <w:kern w:val="21"/>
                <w:szCs w:val="21"/>
                <w:highlight w:val="none"/>
              </w:rPr>
              <w:fldChar w:fldCharType="begin"/>
            </w:r>
            <w:r>
              <w:rPr>
                <w:rFonts w:ascii="黑体" w:hAnsi="黑体" w:eastAsia="黑体"/>
                <w:snapToGrid w:val="0"/>
                <w:color w:val="auto"/>
                <w:spacing w:val="-6"/>
                <w:kern w:val="21"/>
                <w:szCs w:val="21"/>
                <w:highlight w:val="none"/>
              </w:rPr>
              <w:instrText xml:space="preserve"> = 4 \* GB3 \* MERGEFORMAT </w:instrText>
            </w:r>
            <w:r>
              <w:rPr>
                <w:rFonts w:ascii="黑体" w:hAnsi="黑体" w:eastAsia="黑体"/>
                <w:snapToGrid w:val="0"/>
                <w:color w:val="auto"/>
                <w:spacing w:val="-6"/>
                <w:kern w:val="21"/>
                <w:szCs w:val="21"/>
                <w:highlight w:val="none"/>
              </w:rPr>
              <w:fldChar w:fldCharType="separate"/>
            </w:r>
            <w:r>
              <w:rPr>
                <w:rFonts w:hint="eastAsia" w:ascii="黑体" w:hAnsi="黑体" w:eastAsia="黑体" w:cs="宋体"/>
                <w:color w:val="auto"/>
                <w:kern w:val="2"/>
                <w:szCs w:val="21"/>
                <w:highlight w:val="none"/>
              </w:rPr>
              <w:t>④</w:t>
            </w:r>
            <w:r>
              <w:rPr>
                <w:rFonts w:ascii="黑体" w:hAnsi="黑体" w:eastAsia="黑体"/>
                <w:snapToGrid w:val="0"/>
                <w:color w:val="auto"/>
                <w:spacing w:val="-6"/>
                <w:kern w:val="21"/>
                <w:szCs w:val="21"/>
                <w:highlight w:val="none"/>
              </w:rPr>
              <w:fldChar w:fldCharType="end"/>
            </w:r>
          </w:p>
        </w:tc>
        <w:tc>
          <w:tcPr>
            <w:tcW w:w="1761" w:type="dxa"/>
            <w:noWrap w:val="0"/>
            <w:tcMar>
              <w:left w:w="28" w:type="dxa"/>
              <w:right w:w="28" w:type="dxa"/>
            </w:tcMar>
            <w:vAlign w:val="center"/>
          </w:tcPr>
          <w:p>
            <w:pPr>
              <w:pStyle w:val="48"/>
              <w:spacing w:beforeLines="0" w:afterLines="0" w:line="240" w:lineRule="auto"/>
              <w:rPr>
                <w:rFonts w:hint="eastAsia" w:ascii="黑体" w:hAnsi="黑体" w:eastAsia="黑体"/>
                <w:snapToGrid w:val="0"/>
                <w:color w:val="auto"/>
                <w:spacing w:val="-16"/>
                <w:kern w:val="21"/>
                <w:szCs w:val="21"/>
                <w:highlight w:val="none"/>
              </w:rPr>
            </w:pPr>
            <w:r>
              <w:rPr>
                <w:rFonts w:ascii="黑体" w:hAnsi="黑体" w:eastAsia="黑体"/>
                <w:snapToGrid w:val="0"/>
                <w:color w:val="auto"/>
                <w:spacing w:val="-16"/>
                <w:kern w:val="21"/>
                <w:szCs w:val="21"/>
                <w:highlight w:val="none"/>
              </w:rPr>
              <w:t>以新带老削减量</w:t>
            </w:r>
          </w:p>
          <w:p>
            <w:pPr>
              <w:pStyle w:val="48"/>
              <w:spacing w:beforeLines="0" w:afterLines="0" w:line="240" w:lineRule="auto"/>
              <w:rPr>
                <w:rFonts w:ascii="黑体" w:hAnsi="黑体" w:eastAsia="黑体"/>
                <w:snapToGrid w:val="0"/>
                <w:color w:val="auto"/>
                <w:spacing w:val="-16"/>
                <w:kern w:val="21"/>
                <w:szCs w:val="21"/>
                <w:highlight w:val="none"/>
              </w:rPr>
            </w:pPr>
            <w:r>
              <w:rPr>
                <w:rFonts w:ascii="黑体" w:hAnsi="黑体" w:eastAsia="黑体"/>
                <w:snapToGrid w:val="0"/>
                <w:color w:val="auto"/>
                <w:spacing w:val="-16"/>
                <w:kern w:val="21"/>
                <w:szCs w:val="21"/>
                <w:highlight w:val="none"/>
              </w:rPr>
              <w:t>（新建项目不填）</w:t>
            </w:r>
            <w:r>
              <w:rPr>
                <w:rFonts w:ascii="黑体" w:hAnsi="黑体" w:eastAsia="黑体"/>
                <w:snapToGrid w:val="0"/>
                <w:color w:val="auto"/>
                <w:spacing w:val="-16"/>
                <w:kern w:val="21"/>
                <w:szCs w:val="21"/>
                <w:highlight w:val="none"/>
              </w:rPr>
              <w:fldChar w:fldCharType="begin"/>
            </w:r>
            <w:r>
              <w:rPr>
                <w:rFonts w:ascii="黑体" w:hAnsi="黑体" w:eastAsia="黑体"/>
                <w:snapToGrid w:val="0"/>
                <w:color w:val="auto"/>
                <w:spacing w:val="-16"/>
                <w:kern w:val="21"/>
                <w:szCs w:val="21"/>
                <w:highlight w:val="none"/>
              </w:rPr>
              <w:instrText xml:space="preserve"> = 5 \* GB3 \* MERGEFORMAT </w:instrText>
            </w:r>
            <w:r>
              <w:rPr>
                <w:rFonts w:ascii="黑体" w:hAnsi="黑体" w:eastAsia="黑体"/>
                <w:snapToGrid w:val="0"/>
                <w:color w:val="auto"/>
                <w:spacing w:val="-16"/>
                <w:kern w:val="21"/>
                <w:szCs w:val="21"/>
                <w:highlight w:val="none"/>
              </w:rPr>
              <w:fldChar w:fldCharType="separate"/>
            </w:r>
            <w:r>
              <w:rPr>
                <w:rFonts w:hint="eastAsia" w:ascii="黑体" w:hAnsi="黑体" w:eastAsia="黑体" w:cs="宋体"/>
                <w:color w:val="auto"/>
                <w:kern w:val="2"/>
                <w:szCs w:val="21"/>
                <w:highlight w:val="none"/>
              </w:rPr>
              <w:t>⑤</w:t>
            </w:r>
            <w:r>
              <w:rPr>
                <w:rFonts w:ascii="黑体" w:hAnsi="黑体" w:eastAsia="黑体"/>
                <w:snapToGrid w:val="0"/>
                <w:color w:val="auto"/>
                <w:spacing w:val="-16"/>
                <w:kern w:val="21"/>
                <w:szCs w:val="21"/>
                <w:highlight w:val="none"/>
              </w:rPr>
              <w:fldChar w:fldCharType="end"/>
            </w:r>
          </w:p>
        </w:tc>
        <w:tc>
          <w:tcPr>
            <w:tcW w:w="1656" w:type="dxa"/>
            <w:noWrap w:val="0"/>
            <w:tcMar>
              <w:left w:w="28" w:type="dxa"/>
              <w:right w:w="28" w:type="dxa"/>
            </w:tcMar>
            <w:vAlign w:val="center"/>
          </w:tcPr>
          <w:p>
            <w:pPr>
              <w:pStyle w:val="48"/>
              <w:spacing w:beforeLines="0" w:afterLines="0" w:line="240" w:lineRule="auto"/>
              <w:rPr>
                <w:rFonts w:hint="eastAsia" w:ascii="黑体" w:hAnsi="黑体" w:eastAsia="黑体"/>
                <w:snapToGrid w:val="0"/>
                <w:color w:val="auto"/>
                <w:spacing w:val="-16"/>
                <w:kern w:val="21"/>
                <w:szCs w:val="21"/>
                <w:highlight w:val="none"/>
              </w:rPr>
            </w:pPr>
            <w:r>
              <w:rPr>
                <w:rFonts w:ascii="黑体" w:hAnsi="黑体" w:eastAsia="黑体"/>
                <w:snapToGrid w:val="0"/>
                <w:color w:val="auto"/>
                <w:spacing w:val="-16"/>
                <w:kern w:val="21"/>
                <w:szCs w:val="21"/>
                <w:highlight w:val="none"/>
              </w:rPr>
              <w:t>本项目建成后</w:t>
            </w:r>
          </w:p>
          <w:p>
            <w:pPr>
              <w:pStyle w:val="48"/>
              <w:spacing w:beforeLines="0" w:afterLines="0" w:line="240" w:lineRule="auto"/>
              <w:rPr>
                <w:rFonts w:ascii="黑体" w:hAnsi="黑体" w:eastAsia="黑体"/>
                <w:snapToGrid w:val="0"/>
                <w:color w:val="auto"/>
                <w:spacing w:val="-16"/>
                <w:kern w:val="21"/>
                <w:szCs w:val="21"/>
                <w:highlight w:val="none"/>
              </w:rPr>
            </w:pPr>
            <w:r>
              <w:rPr>
                <w:rFonts w:hint="eastAsia" w:ascii="黑体" w:hAnsi="黑体" w:eastAsia="黑体"/>
                <w:snapToGrid w:val="0"/>
                <w:color w:val="auto"/>
                <w:spacing w:val="-16"/>
                <w:kern w:val="21"/>
                <w:szCs w:val="21"/>
                <w:highlight w:val="none"/>
              </w:rPr>
              <w:t>全厂</w:t>
            </w:r>
            <w:r>
              <w:rPr>
                <w:rFonts w:ascii="黑体" w:hAnsi="黑体" w:eastAsia="黑体"/>
                <w:snapToGrid w:val="0"/>
                <w:color w:val="auto"/>
                <w:spacing w:val="-16"/>
                <w:kern w:val="21"/>
                <w:szCs w:val="21"/>
                <w:highlight w:val="none"/>
              </w:rPr>
              <w:t>排放量（固</w:t>
            </w:r>
            <w:r>
              <w:rPr>
                <w:rFonts w:hint="eastAsia" w:ascii="黑体" w:hAnsi="黑体" w:eastAsia="黑体"/>
                <w:snapToGrid w:val="0"/>
                <w:color w:val="auto"/>
                <w:spacing w:val="-16"/>
                <w:kern w:val="21"/>
                <w:szCs w:val="21"/>
                <w:highlight w:val="none"/>
              </w:rPr>
              <w:t>体</w:t>
            </w:r>
            <w:r>
              <w:rPr>
                <w:rFonts w:ascii="黑体" w:hAnsi="黑体" w:eastAsia="黑体"/>
                <w:snapToGrid w:val="0"/>
                <w:color w:val="auto"/>
                <w:spacing w:val="-16"/>
                <w:kern w:val="21"/>
                <w:szCs w:val="21"/>
                <w:highlight w:val="none"/>
              </w:rPr>
              <w:t>废</w:t>
            </w:r>
            <w:r>
              <w:rPr>
                <w:rFonts w:hint="eastAsia" w:ascii="黑体" w:hAnsi="黑体" w:eastAsia="黑体"/>
                <w:snapToGrid w:val="0"/>
                <w:color w:val="auto"/>
                <w:spacing w:val="-16"/>
                <w:kern w:val="21"/>
                <w:szCs w:val="21"/>
                <w:highlight w:val="none"/>
              </w:rPr>
              <w:t>物</w:t>
            </w:r>
            <w:r>
              <w:rPr>
                <w:rFonts w:ascii="黑体" w:hAnsi="黑体" w:eastAsia="黑体"/>
                <w:snapToGrid w:val="0"/>
                <w:color w:val="auto"/>
                <w:spacing w:val="-16"/>
                <w:kern w:val="21"/>
                <w:szCs w:val="21"/>
                <w:highlight w:val="none"/>
              </w:rPr>
              <w:t>产生量）</w:t>
            </w:r>
            <w:r>
              <w:rPr>
                <w:rFonts w:ascii="黑体" w:hAnsi="黑体" w:eastAsia="黑体"/>
                <w:snapToGrid w:val="0"/>
                <w:color w:val="auto"/>
                <w:spacing w:val="-16"/>
                <w:kern w:val="21"/>
                <w:szCs w:val="21"/>
                <w:highlight w:val="none"/>
              </w:rPr>
              <w:fldChar w:fldCharType="begin"/>
            </w:r>
            <w:r>
              <w:rPr>
                <w:rFonts w:ascii="黑体" w:hAnsi="黑体" w:eastAsia="黑体"/>
                <w:snapToGrid w:val="0"/>
                <w:color w:val="auto"/>
                <w:spacing w:val="-16"/>
                <w:kern w:val="21"/>
                <w:szCs w:val="21"/>
                <w:highlight w:val="none"/>
              </w:rPr>
              <w:instrText xml:space="preserve"> = 6 \* GB3 \* MERGEFORMAT </w:instrText>
            </w:r>
            <w:r>
              <w:rPr>
                <w:rFonts w:ascii="黑体" w:hAnsi="黑体" w:eastAsia="黑体"/>
                <w:snapToGrid w:val="0"/>
                <w:color w:val="auto"/>
                <w:spacing w:val="-16"/>
                <w:kern w:val="21"/>
                <w:szCs w:val="21"/>
                <w:highlight w:val="none"/>
              </w:rPr>
              <w:fldChar w:fldCharType="separate"/>
            </w:r>
            <w:r>
              <w:rPr>
                <w:rFonts w:hint="eastAsia" w:ascii="黑体" w:hAnsi="黑体" w:eastAsia="黑体" w:cs="宋体"/>
                <w:color w:val="auto"/>
                <w:kern w:val="2"/>
                <w:szCs w:val="21"/>
                <w:highlight w:val="none"/>
              </w:rPr>
              <w:t>⑥</w:t>
            </w:r>
            <w:r>
              <w:rPr>
                <w:rFonts w:ascii="黑体" w:hAnsi="黑体" w:eastAsia="黑体"/>
                <w:snapToGrid w:val="0"/>
                <w:color w:val="auto"/>
                <w:spacing w:val="-16"/>
                <w:kern w:val="21"/>
                <w:szCs w:val="21"/>
                <w:highlight w:val="none"/>
              </w:rPr>
              <w:fldChar w:fldCharType="end"/>
            </w:r>
          </w:p>
        </w:tc>
        <w:tc>
          <w:tcPr>
            <w:tcW w:w="1129" w:type="dxa"/>
            <w:noWrap w:val="0"/>
            <w:tcMar>
              <w:left w:w="28" w:type="dxa"/>
              <w:right w:w="28" w:type="dxa"/>
            </w:tcMar>
            <w:vAlign w:val="center"/>
          </w:tcPr>
          <w:p>
            <w:pPr>
              <w:pStyle w:val="48"/>
              <w:spacing w:beforeLines="0" w:afterLines="0" w:line="240" w:lineRule="auto"/>
              <w:rPr>
                <w:rFonts w:ascii="黑体" w:hAnsi="黑体" w:eastAsia="黑体"/>
                <w:snapToGrid w:val="0"/>
                <w:color w:val="auto"/>
                <w:spacing w:val="-6"/>
                <w:kern w:val="21"/>
                <w:szCs w:val="21"/>
                <w:highlight w:val="none"/>
              </w:rPr>
            </w:pPr>
            <w:r>
              <w:rPr>
                <w:rFonts w:ascii="黑体" w:hAnsi="黑体" w:eastAsia="黑体"/>
                <w:snapToGrid w:val="0"/>
                <w:color w:val="auto"/>
                <w:spacing w:val="-6"/>
                <w:kern w:val="21"/>
                <w:szCs w:val="21"/>
                <w:highlight w:val="none"/>
              </w:rPr>
              <w:t>变化量</w:t>
            </w:r>
          </w:p>
          <w:p>
            <w:pPr>
              <w:pStyle w:val="48"/>
              <w:spacing w:beforeLines="0" w:afterLines="0" w:line="240" w:lineRule="auto"/>
              <w:rPr>
                <w:rFonts w:ascii="黑体" w:hAnsi="黑体" w:eastAsia="黑体"/>
                <w:snapToGrid w:val="0"/>
                <w:color w:val="auto"/>
                <w:spacing w:val="-6"/>
                <w:kern w:val="21"/>
                <w:szCs w:val="21"/>
                <w:highlight w:val="none"/>
              </w:rPr>
            </w:pPr>
            <w:r>
              <w:rPr>
                <w:rFonts w:ascii="黑体" w:hAnsi="黑体" w:eastAsia="黑体"/>
                <w:snapToGrid w:val="0"/>
                <w:color w:val="auto"/>
                <w:spacing w:val="-6"/>
                <w:kern w:val="21"/>
                <w:szCs w:val="21"/>
                <w:highlight w:val="none"/>
              </w:rPr>
              <w:fldChar w:fldCharType="begin"/>
            </w:r>
            <w:r>
              <w:rPr>
                <w:rFonts w:ascii="黑体" w:hAnsi="黑体" w:eastAsia="黑体"/>
                <w:snapToGrid w:val="0"/>
                <w:color w:val="auto"/>
                <w:spacing w:val="-6"/>
                <w:kern w:val="21"/>
                <w:szCs w:val="21"/>
                <w:highlight w:val="none"/>
              </w:rPr>
              <w:instrText xml:space="preserve"> = 7 \* GB3 \* MERGEFORMAT </w:instrText>
            </w:r>
            <w:r>
              <w:rPr>
                <w:rFonts w:ascii="黑体" w:hAnsi="黑体" w:eastAsia="黑体"/>
                <w:snapToGrid w:val="0"/>
                <w:color w:val="auto"/>
                <w:spacing w:val="-6"/>
                <w:kern w:val="21"/>
                <w:szCs w:val="21"/>
                <w:highlight w:val="none"/>
              </w:rPr>
              <w:fldChar w:fldCharType="separate"/>
            </w:r>
            <w:r>
              <w:rPr>
                <w:rFonts w:hint="eastAsia" w:ascii="黑体" w:hAnsi="黑体" w:eastAsia="黑体" w:cs="宋体"/>
                <w:color w:val="auto"/>
                <w:kern w:val="2"/>
                <w:szCs w:val="21"/>
                <w:highlight w:val="none"/>
              </w:rPr>
              <w:t>⑦</w:t>
            </w:r>
            <w:r>
              <w:rPr>
                <w:rFonts w:ascii="黑体" w:hAnsi="黑体" w:eastAsia="黑体"/>
                <w:snapToGrid w:val="0"/>
                <w:color w:val="auto"/>
                <w:spacing w:val="-6"/>
                <w:kern w:val="21"/>
                <w:szCs w:val="21"/>
                <w:highlight w:val="none"/>
              </w:rPr>
              <w:fldChar w:fldCharType="end"/>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9" w:hRule="atLeast"/>
        </w:trPr>
        <w:tc>
          <w:tcPr>
            <w:tcW w:w="1481" w:type="dxa"/>
            <w:vMerge w:val="restart"/>
            <w:noWrap w:val="0"/>
            <w:vAlign w:val="center"/>
          </w:tcPr>
          <w:p>
            <w:pPr>
              <w:pStyle w:val="48"/>
              <w:spacing w:beforeLines="0" w:afterLines="0" w:line="240" w:lineRule="auto"/>
              <w:rPr>
                <w:rFonts w:hint="eastAsia" w:hAnsi="宋体" w:cs="宋体"/>
                <w:snapToGrid w:val="0"/>
                <w:color w:val="auto"/>
                <w:kern w:val="21"/>
                <w:szCs w:val="21"/>
                <w:highlight w:val="none"/>
              </w:rPr>
            </w:pPr>
            <w:r>
              <w:rPr>
                <w:rFonts w:hint="eastAsia" w:hAnsi="宋体" w:cs="宋体"/>
                <w:snapToGrid w:val="0"/>
                <w:color w:val="auto"/>
                <w:kern w:val="21"/>
                <w:szCs w:val="21"/>
                <w:highlight w:val="none"/>
              </w:rPr>
              <w:t>废气</w:t>
            </w:r>
          </w:p>
        </w:tc>
        <w:tc>
          <w:tcPr>
            <w:tcW w:w="1884" w:type="dxa"/>
            <w:noWrap w:val="0"/>
            <w:vAlign w:val="center"/>
          </w:tcPr>
          <w:p>
            <w:pPr>
              <w:pStyle w:val="48"/>
              <w:spacing w:beforeLines="0" w:afterLines="0" w:line="240" w:lineRule="auto"/>
              <w:rPr>
                <w:rFonts w:hint="eastAsia" w:hAnsi="宋体" w:eastAsia="宋体" w:cs="宋体"/>
                <w:snapToGrid w:val="0"/>
                <w:color w:val="auto"/>
                <w:kern w:val="21"/>
                <w:szCs w:val="21"/>
                <w:highlight w:val="none"/>
                <w:lang w:val="en-US" w:eastAsia="zh-CN"/>
              </w:rPr>
            </w:pPr>
            <w:r>
              <w:rPr>
                <w:rFonts w:hint="eastAsia" w:hAnsi="宋体" w:cs="宋体"/>
                <w:snapToGrid w:val="0"/>
                <w:color w:val="auto"/>
                <w:kern w:val="21"/>
                <w:szCs w:val="21"/>
                <w:highlight w:val="none"/>
                <w:lang w:val="en-US" w:eastAsia="zh-CN"/>
              </w:rPr>
              <w:t>颗粒物</w:t>
            </w:r>
          </w:p>
        </w:tc>
        <w:tc>
          <w:tcPr>
            <w:tcW w:w="1472" w:type="dxa"/>
            <w:noWrap w:val="0"/>
            <w:vAlign w:val="center"/>
          </w:tcPr>
          <w:p>
            <w:pPr>
              <w:pStyle w:val="48"/>
              <w:spacing w:beforeLines="0" w:afterLines="0" w:line="240" w:lineRule="auto"/>
              <w:rPr>
                <w:rFonts w:hint="eastAsia" w:hAnsi="宋体" w:eastAsia="宋体" w:cs="宋体"/>
                <w:snapToGrid w:val="0"/>
                <w:color w:val="auto"/>
                <w:kern w:val="21"/>
                <w:szCs w:val="21"/>
                <w:highlight w:val="none"/>
                <w:lang w:val="en-US" w:eastAsia="zh-CN"/>
              </w:rPr>
            </w:pPr>
            <w:r>
              <w:rPr>
                <w:rFonts w:hint="eastAsia" w:hAnsi="宋体" w:cs="宋体"/>
                <w:snapToGrid w:val="0"/>
                <w:color w:val="auto"/>
                <w:kern w:val="21"/>
                <w:szCs w:val="21"/>
                <w:highlight w:val="none"/>
                <w:lang w:val="en-US" w:eastAsia="zh-CN"/>
              </w:rPr>
              <w:t>/</w:t>
            </w:r>
          </w:p>
        </w:tc>
        <w:tc>
          <w:tcPr>
            <w:tcW w:w="1145" w:type="dxa"/>
            <w:noWrap w:val="0"/>
            <w:vAlign w:val="center"/>
          </w:tcPr>
          <w:p>
            <w:pPr>
              <w:pStyle w:val="48"/>
              <w:spacing w:beforeLines="0" w:afterLines="0" w:line="240" w:lineRule="auto"/>
              <w:rPr>
                <w:rFonts w:hAnsi="宋体" w:cs="宋体"/>
                <w:snapToGrid w:val="0"/>
                <w:color w:val="auto"/>
                <w:kern w:val="21"/>
                <w:szCs w:val="21"/>
                <w:highlight w:val="none"/>
              </w:rPr>
            </w:pPr>
            <w:r>
              <w:rPr>
                <w:rFonts w:hint="eastAsia" w:hAnsi="宋体" w:cs="宋体"/>
                <w:snapToGrid w:val="0"/>
                <w:color w:val="auto"/>
                <w:kern w:val="21"/>
                <w:szCs w:val="21"/>
                <w:highlight w:val="none"/>
                <w:lang w:val="en-US" w:eastAsia="zh-CN"/>
              </w:rPr>
              <w:t>/</w:t>
            </w:r>
          </w:p>
        </w:tc>
        <w:tc>
          <w:tcPr>
            <w:tcW w:w="1701" w:type="dxa"/>
            <w:noWrap w:val="0"/>
            <w:vAlign w:val="center"/>
          </w:tcPr>
          <w:p>
            <w:pPr>
              <w:pStyle w:val="48"/>
              <w:spacing w:beforeLines="0" w:afterLines="0" w:line="240" w:lineRule="auto"/>
              <w:rPr>
                <w:rFonts w:hAnsi="宋体" w:cs="宋体"/>
                <w:snapToGrid w:val="0"/>
                <w:color w:val="auto"/>
                <w:kern w:val="21"/>
                <w:szCs w:val="21"/>
                <w:highlight w:val="none"/>
              </w:rPr>
            </w:pPr>
            <w:r>
              <w:rPr>
                <w:rFonts w:hint="eastAsia" w:hAnsi="宋体" w:cs="宋体"/>
                <w:snapToGrid w:val="0"/>
                <w:color w:val="auto"/>
                <w:kern w:val="21"/>
                <w:szCs w:val="21"/>
                <w:highlight w:val="none"/>
                <w:lang w:val="en-US" w:eastAsia="zh-CN"/>
              </w:rPr>
              <w:t>/</w:t>
            </w:r>
          </w:p>
        </w:tc>
        <w:tc>
          <w:tcPr>
            <w:tcW w:w="1559" w:type="dxa"/>
            <w:noWrap w:val="0"/>
            <w:vAlign w:val="center"/>
          </w:tcPr>
          <w:p>
            <w:pPr>
              <w:pStyle w:val="65"/>
              <w:bidi w:val="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0.24</w:t>
            </w:r>
            <w:r>
              <w:rPr>
                <w:rFonts w:hint="eastAsia" w:ascii="Times New Roman" w:hAnsi="Times New Roman" w:eastAsia="宋体" w:cs="Times New Roman"/>
                <w:color w:val="auto"/>
                <w:highlight w:val="none"/>
                <w:lang w:val="en-US" w:eastAsia="zh-CN"/>
              </w:rPr>
              <w:t>t/a</w:t>
            </w:r>
          </w:p>
        </w:tc>
        <w:tc>
          <w:tcPr>
            <w:tcW w:w="1761" w:type="dxa"/>
            <w:noWrap w:val="0"/>
            <w:vAlign w:val="center"/>
          </w:tcPr>
          <w:p>
            <w:pPr>
              <w:pStyle w:val="48"/>
              <w:spacing w:beforeLines="0" w:afterLines="0" w:line="240" w:lineRule="auto"/>
              <w:rPr>
                <w:rFonts w:hAnsi="宋体" w:cs="宋体"/>
                <w:snapToGrid w:val="0"/>
                <w:color w:val="auto"/>
                <w:kern w:val="21"/>
                <w:szCs w:val="21"/>
                <w:highlight w:val="none"/>
              </w:rPr>
            </w:pPr>
            <w:r>
              <w:rPr>
                <w:rFonts w:hint="eastAsia" w:hAnsi="宋体" w:cs="宋体"/>
                <w:snapToGrid w:val="0"/>
                <w:color w:val="auto"/>
                <w:kern w:val="21"/>
                <w:szCs w:val="21"/>
                <w:highlight w:val="none"/>
                <w:lang w:val="en-US" w:eastAsia="zh-CN"/>
              </w:rPr>
              <w:t>/</w:t>
            </w:r>
          </w:p>
        </w:tc>
        <w:tc>
          <w:tcPr>
            <w:tcW w:w="1656" w:type="dxa"/>
            <w:noWrap w:val="0"/>
            <w:vAlign w:val="center"/>
          </w:tcPr>
          <w:p>
            <w:pPr>
              <w:pStyle w:val="65"/>
              <w:bidi w:val="0"/>
              <w:jc w:val="center"/>
              <w:rPr>
                <w:rFonts w:hAnsi="宋体" w:cs="宋体"/>
                <w:snapToGrid w:val="0"/>
                <w:color w:val="auto"/>
                <w:kern w:val="21"/>
                <w:szCs w:val="21"/>
                <w:highlight w:val="none"/>
              </w:rPr>
            </w:pPr>
            <w:r>
              <w:rPr>
                <w:rFonts w:hint="eastAsia" w:cs="Times New Roman"/>
                <w:color w:val="auto"/>
                <w:highlight w:val="none"/>
                <w:lang w:val="en-US" w:eastAsia="zh-CN"/>
              </w:rPr>
              <w:t>0.24</w:t>
            </w:r>
            <w:r>
              <w:rPr>
                <w:rFonts w:hint="eastAsia" w:ascii="Times New Roman" w:hAnsi="Times New Roman" w:eastAsia="宋体" w:cs="Times New Roman"/>
                <w:color w:val="auto"/>
                <w:highlight w:val="none"/>
                <w:lang w:val="en-US" w:eastAsia="zh-CN"/>
              </w:rPr>
              <w:t>t/a</w:t>
            </w:r>
          </w:p>
        </w:tc>
        <w:tc>
          <w:tcPr>
            <w:tcW w:w="1129" w:type="dxa"/>
            <w:noWrap w:val="0"/>
            <w:vAlign w:val="center"/>
          </w:tcPr>
          <w:p>
            <w:pPr>
              <w:pStyle w:val="65"/>
              <w:bidi w:val="0"/>
              <w:jc w:val="center"/>
              <w:rPr>
                <w:rFonts w:hAnsi="宋体" w:cs="宋体"/>
                <w:snapToGrid w:val="0"/>
                <w:color w:val="auto"/>
                <w:kern w:val="21"/>
                <w:szCs w:val="21"/>
                <w:highlight w:val="none"/>
              </w:rPr>
            </w:pPr>
            <w:r>
              <w:rPr>
                <w:rFonts w:hint="eastAsia" w:cs="Times New Roman"/>
                <w:color w:val="auto"/>
                <w:highlight w:val="none"/>
                <w:lang w:val="en-US" w:eastAsia="zh-CN"/>
              </w:rPr>
              <w:t>+0.24</w:t>
            </w:r>
            <w:r>
              <w:rPr>
                <w:rFonts w:hint="eastAsia" w:ascii="Times New Roman" w:hAnsi="Times New Roman" w:eastAsia="宋体" w:cs="Times New Roman"/>
                <w:color w:val="auto"/>
                <w:highlight w:val="none"/>
                <w:lang w:val="en-US" w:eastAsia="zh-CN"/>
              </w:rPr>
              <w:t>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25" w:hRule="atLeast"/>
        </w:trPr>
        <w:tc>
          <w:tcPr>
            <w:tcW w:w="1481" w:type="dxa"/>
            <w:vMerge w:val="continue"/>
            <w:noWrap w:val="0"/>
            <w:vAlign w:val="center"/>
          </w:tcPr>
          <w:p>
            <w:pPr>
              <w:pStyle w:val="48"/>
              <w:spacing w:beforeLines="0" w:afterLines="0" w:line="240" w:lineRule="auto"/>
              <w:rPr>
                <w:rFonts w:hint="eastAsia" w:hAnsi="宋体" w:cs="宋体"/>
                <w:snapToGrid w:val="0"/>
                <w:color w:val="auto"/>
                <w:kern w:val="21"/>
                <w:szCs w:val="21"/>
                <w:highlight w:val="none"/>
              </w:rPr>
            </w:pPr>
          </w:p>
        </w:tc>
        <w:tc>
          <w:tcPr>
            <w:tcW w:w="1884" w:type="dxa"/>
            <w:noWrap w:val="0"/>
            <w:vAlign w:val="center"/>
          </w:tcPr>
          <w:p>
            <w:pPr>
              <w:pStyle w:val="48"/>
              <w:spacing w:beforeLines="0" w:afterLines="0" w:line="240" w:lineRule="auto"/>
              <w:rPr>
                <w:rFonts w:hint="eastAsia" w:hAnsi="宋体" w:eastAsia="宋体" w:cs="宋体"/>
                <w:snapToGrid w:val="0"/>
                <w:color w:val="auto"/>
                <w:kern w:val="21"/>
                <w:szCs w:val="21"/>
                <w:highlight w:val="none"/>
                <w:lang w:val="en-US" w:eastAsia="zh-CN"/>
              </w:rPr>
            </w:pPr>
            <w:r>
              <w:rPr>
                <w:rFonts w:hint="eastAsia" w:hAnsi="宋体" w:cs="宋体"/>
                <w:snapToGrid w:val="0"/>
                <w:color w:val="auto"/>
                <w:kern w:val="21"/>
                <w:szCs w:val="21"/>
                <w:highlight w:val="none"/>
                <w:lang w:val="en-US" w:eastAsia="zh-CN"/>
              </w:rPr>
              <w:t>二氧化硫</w:t>
            </w:r>
          </w:p>
        </w:tc>
        <w:tc>
          <w:tcPr>
            <w:tcW w:w="1472" w:type="dxa"/>
            <w:noWrap w:val="0"/>
            <w:vAlign w:val="center"/>
          </w:tcPr>
          <w:p>
            <w:pPr>
              <w:pStyle w:val="48"/>
              <w:spacing w:beforeLines="0" w:afterLines="0" w:line="240" w:lineRule="auto"/>
              <w:rPr>
                <w:rFonts w:hint="eastAsia" w:hAnsi="宋体" w:eastAsia="宋体" w:cs="宋体"/>
                <w:snapToGrid w:val="0"/>
                <w:color w:val="auto"/>
                <w:kern w:val="21"/>
                <w:szCs w:val="21"/>
                <w:highlight w:val="none"/>
                <w:lang w:val="en-US" w:eastAsia="zh-CN"/>
              </w:rPr>
            </w:pPr>
            <w:r>
              <w:rPr>
                <w:rFonts w:hint="eastAsia" w:hAnsi="宋体" w:cs="宋体"/>
                <w:snapToGrid w:val="0"/>
                <w:color w:val="auto"/>
                <w:kern w:val="21"/>
                <w:szCs w:val="21"/>
                <w:highlight w:val="none"/>
                <w:lang w:val="en-US" w:eastAsia="zh-CN"/>
              </w:rPr>
              <w:t>/</w:t>
            </w:r>
          </w:p>
        </w:tc>
        <w:tc>
          <w:tcPr>
            <w:tcW w:w="1145" w:type="dxa"/>
            <w:noWrap w:val="0"/>
            <w:vAlign w:val="center"/>
          </w:tcPr>
          <w:p>
            <w:pPr>
              <w:pStyle w:val="48"/>
              <w:spacing w:beforeLines="0" w:afterLines="0" w:line="240" w:lineRule="auto"/>
              <w:rPr>
                <w:rFonts w:hAnsi="宋体" w:cs="宋体"/>
                <w:snapToGrid w:val="0"/>
                <w:color w:val="auto"/>
                <w:kern w:val="21"/>
                <w:szCs w:val="21"/>
                <w:highlight w:val="none"/>
              </w:rPr>
            </w:pPr>
            <w:r>
              <w:rPr>
                <w:rFonts w:hint="eastAsia" w:hAnsi="宋体" w:cs="宋体"/>
                <w:snapToGrid w:val="0"/>
                <w:color w:val="auto"/>
                <w:kern w:val="21"/>
                <w:szCs w:val="21"/>
                <w:highlight w:val="none"/>
                <w:lang w:val="en-US" w:eastAsia="zh-CN"/>
              </w:rPr>
              <w:t>/</w:t>
            </w:r>
          </w:p>
        </w:tc>
        <w:tc>
          <w:tcPr>
            <w:tcW w:w="1701" w:type="dxa"/>
            <w:noWrap w:val="0"/>
            <w:vAlign w:val="center"/>
          </w:tcPr>
          <w:p>
            <w:pPr>
              <w:pStyle w:val="48"/>
              <w:spacing w:beforeLines="0" w:afterLines="0" w:line="240" w:lineRule="auto"/>
              <w:rPr>
                <w:rFonts w:hAnsi="宋体" w:cs="宋体"/>
                <w:snapToGrid w:val="0"/>
                <w:color w:val="auto"/>
                <w:kern w:val="21"/>
                <w:szCs w:val="21"/>
                <w:highlight w:val="none"/>
              </w:rPr>
            </w:pPr>
            <w:r>
              <w:rPr>
                <w:rFonts w:hint="eastAsia" w:hAnsi="宋体" w:cs="宋体"/>
                <w:snapToGrid w:val="0"/>
                <w:color w:val="auto"/>
                <w:kern w:val="21"/>
                <w:szCs w:val="21"/>
                <w:highlight w:val="none"/>
                <w:lang w:val="en-US" w:eastAsia="zh-CN"/>
              </w:rPr>
              <w:t>/</w:t>
            </w:r>
          </w:p>
        </w:tc>
        <w:tc>
          <w:tcPr>
            <w:tcW w:w="1559" w:type="dxa"/>
            <w:noWrap w:val="0"/>
            <w:vAlign w:val="center"/>
          </w:tcPr>
          <w:p>
            <w:pPr>
              <w:pStyle w:val="65"/>
              <w:bidi w:val="0"/>
              <w:jc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0.003</w:t>
            </w:r>
            <w:r>
              <w:rPr>
                <w:rFonts w:hint="eastAsia" w:ascii="Times New Roman" w:hAnsi="Times New Roman" w:eastAsia="宋体" w:cs="Times New Roman"/>
                <w:color w:val="auto"/>
                <w:highlight w:val="none"/>
                <w:lang w:val="en-US" w:eastAsia="zh-CN"/>
              </w:rPr>
              <w:t>t/a</w:t>
            </w:r>
          </w:p>
        </w:tc>
        <w:tc>
          <w:tcPr>
            <w:tcW w:w="1761" w:type="dxa"/>
            <w:noWrap w:val="0"/>
            <w:vAlign w:val="center"/>
          </w:tcPr>
          <w:p>
            <w:pPr>
              <w:pStyle w:val="48"/>
              <w:spacing w:beforeLines="0" w:afterLines="0" w:line="240" w:lineRule="auto"/>
              <w:rPr>
                <w:rFonts w:hAnsi="宋体" w:cs="宋体"/>
                <w:snapToGrid w:val="0"/>
                <w:color w:val="auto"/>
                <w:kern w:val="21"/>
                <w:szCs w:val="21"/>
                <w:highlight w:val="none"/>
              </w:rPr>
            </w:pPr>
            <w:r>
              <w:rPr>
                <w:rFonts w:hint="eastAsia" w:hAnsi="宋体" w:cs="宋体"/>
                <w:snapToGrid w:val="0"/>
                <w:color w:val="auto"/>
                <w:kern w:val="21"/>
                <w:szCs w:val="21"/>
                <w:highlight w:val="none"/>
                <w:lang w:val="en-US" w:eastAsia="zh-CN"/>
              </w:rPr>
              <w:t>/</w:t>
            </w:r>
          </w:p>
        </w:tc>
        <w:tc>
          <w:tcPr>
            <w:tcW w:w="1656" w:type="dxa"/>
            <w:noWrap w:val="0"/>
            <w:vAlign w:val="center"/>
          </w:tcPr>
          <w:p>
            <w:pPr>
              <w:pStyle w:val="65"/>
              <w:bidi w:val="0"/>
              <w:jc w:val="center"/>
              <w:rPr>
                <w:rFonts w:hAnsi="宋体" w:cs="宋体"/>
                <w:snapToGrid w:val="0"/>
                <w:color w:val="auto"/>
                <w:kern w:val="21"/>
                <w:szCs w:val="21"/>
                <w:highlight w:val="none"/>
              </w:rPr>
            </w:pPr>
            <w:r>
              <w:rPr>
                <w:rFonts w:hint="eastAsia" w:cs="Times New Roman"/>
                <w:color w:val="auto"/>
                <w:highlight w:val="none"/>
                <w:lang w:val="en-US" w:eastAsia="zh-CN"/>
              </w:rPr>
              <w:t>0.003</w:t>
            </w:r>
            <w:r>
              <w:rPr>
                <w:rFonts w:hint="eastAsia" w:ascii="Times New Roman" w:hAnsi="Times New Roman" w:eastAsia="宋体" w:cs="Times New Roman"/>
                <w:color w:val="auto"/>
                <w:highlight w:val="none"/>
                <w:lang w:val="en-US" w:eastAsia="zh-CN"/>
              </w:rPr>
              <w:t>t/a</w:t>
            </w:r>
          </w:p>
        </w:tc>
        <w:tc>
          <w:tcPr>
            <w:tcW w:w="1129" w:type="dxa"/>
            <w:noWrap w:val="0"/>
            <w:vAlign w:val="center"/>
          </w:tcPr>
          <w:p>
            <w:pPr>
              <w:pStyle w:val="65"/>
              <w:bidi w:val="0"/>
              <w:jc w:val="center"/>
              <w:rPr>
                <w:rFonts w:hAnsi="宋体" w:cs="宋体"/>
                <w:snapToGrid w:val="0"/>
                <w:color w:val="auto"/>
                <w:kern w:val="21"/>
                <w:szCs w:val="21"/>
                <w:highlight w:val="none"/>
              </w:rPr>
            </w:pPr>
            <w:r>
              <w:rPr>
                <w:rFonts w:hint="eastAsia" w:cs="Times New Roman"/>
                <w:color w:val="auto"/>
                <w:highlight w:val="none"/>
                <w:lang w:val="en-US" w:eastAsia="zh-CN"/>
              </w:rPr>
              <w:t>+0.003</w:t>
            </w:r>
            <w:r>
              <w:rPr>
                <w:rFonts w:hint="eastAsia" w:ascii="Times New Roman" w:hAnsi="Times New Roman" w:eastAsia="宋体" w:cs="Times New Roman"/>
                <w:color w:val="auto"/>
                <w:highlight w:val="none"/>
                <w:lang w:val="en-US" w:eastAsia="zh-CN"/>
              </w:rPr>
              <w:t>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481" w:type="dxa"/>
            <w:vMerge w:val="continue"/>
            <w:noWrap w:val="0"/>
            <w:vAlign w:val="center"/>
          </w:tcPr>
          <w:p>
            <w:pPr>
              <w:pStyle w:val="48"/>
              <w:spacing w:beforeLines="0" w:afterLines="0" w:line="240" w:lineRule="auto"/>
              <w:rPr>
                <w:rFonts w:hint="eastAsia" w:hAnsi="宋体" w:cs="宋体"/>
                <w:snapToGrid w:val="0"/>
                <w:color w:val="auto"/>
                <w:kern w:val="21"/>
                <w:szCs w:val="21"/>
                <w:highlight w:val="none"/>
              </w:rPr>
            </w:pPr>
          </w:p>
        </w:tc>
        <w:tc>
          <w:tcPr>
            <w:tcW w:w="1884" w:type="dxa"/>
            <w:noWrap w:val="0"/>
            <w:vAlign w:val="center"/>
          </w:tcPr>
          <w:p>
            <w:pPr>
              <w:pStyle w:val="48"/>
              <w:spacing w:beforeLines="0" w:afterLines="0" w:line="240" w:lineRule="auto"/>
              <w:rPr>
                <w:rFonts w:hint="eastAsia" w:hAnsi="宋体" w:eastAsia="宋体" w:cs="宋体"/>
                <w:snapToGrid w:val="0"/>
                <w:color w:val="auto"/>
                <w:kern w:val="21"/>
                <w:szCs w:val="21"/>
                <w:highlight w:val="none"/>
                <w:lang w:val="en-US" w:eastAsia="zh-CN"/>
              </w:rPr>
            </w:pPr>
            <w:r>
              <w:rPr>
                <w:rFonts w:hint="eastAsia" w:hAnsi="宋体" w:cs="宋体"/>
                <w:snapToGrid w:val="0"/>
                <w:color w:val="auto"/>
                <w:kern w:val="21"/>
                <w:szCs w:val="21"/>
                <w:highlight w:val="none"/>
                <w:lang w:val="en-US" w:eastAsia="zh-CN"/>
              </w:rPr>
              <w:t>氮氧化物</w:t>
            </w:r>
          </w:p>
        </w:tc>
        <w:tc>
          <w:tcPr>
            <w:tcW w:w="1472" w:type="dxa"/>
            <w:noWrap w:val="0"/>
            <w:vAlign w:val="center"/>
          </w:tcPr>
          <w:p>
            <w:pPr>
              <w:pStyle w:val="48"/>
              <w:spacing w:beforeLines="0" w:afterLines="0" w:line="240" w:lineRule="auto"/>
              <w:rPr>
                <w:rFonts w:hint="eastAsia" w:hAnsi="宋体" w:eastAsia="宋体" w:cs="宋体"/>
                <w:snapToGrid w:val="0"/>
                <w:color w:val="auto"/>
                <w:kern w:val="21"/>
                <w:szCs w:val="21"/>
                <w:highlight w:val="none"/>
                <w:lang w:val="en-US" w:eastAsia="zh-CN"/>
              </w:rPr>
            </w:pPr>
            <w:r>
              <w:rPr>
                <w:rFonts w:hint="eastAsia" w:hAnsi="宋体" w:cs="宋体"/>
                <w:snapToGrid w:val="0"/>
                <w:color w:val="auto"/>
                <w:kern w:val="21"/>
                <w:szCs w:val="21"/>
                <w:highlight w:val="none"/>
                <w:lang w:val="en-US" w:eastAsia="zh-CN"/>
              </w:rPr>
              <w:t>/</w:t>
            </w:r>
          </w:p>
        </w:tc>
        <w:tc>
          <w:tcPr>
            <w:tcW w:w="1145" w:type="dxa"/>
            <w:noWrap w:val="0"/>
            <w:vAlign w:val="center"/>
          </w:tcPr>
          <w:p>
            <w:pPr>
              <w:pStyle w:val="48"/>
              <w:spacing w:beforeLines="0" w:afterLines="0" w:line="240" w:lineRule="auto"/>
              <w:rPr>
                <w:rFonts w:hAnsi="宋体" w:cs="宋体"/>
                <w:snapToGrid w:val="0"/>
                <w:color w:val="auto"/>
                <w:kern w:val="21"/>
                <w:szCs w:val="21"/>
                <w:highlight w:val="none"/>
              </w:rPr>
            </w:pPr>
            <w:r>
              <w:rPr>
                <w:rFonts w:hint="eastAsia" w:hAnsi="宋体" w:cs="宋体"/>
                <w:snapToGrid w:val="0"/>
                <w:color w:val="auto"/>
                <w:kern w:val="21"/>
                <w:szCs w:val="21"/>
                <w:highlight w:val="none"/>
                <w:lang w:val="en-US" w:eastAsia="zh-CN"/>
              </w:rPr>
              <w:t>/</w:t>
            </w:r>
          </w:p>
        </w:tc>
        <w:tc>
          <w:tcPr>
            <w:tcW w:w="1701" w:type="dxa"/>
            <w:noWrap w:val="0"/>
            <w:vAlign w:val="center"/>
          </w:tcPr>
          <w:p>
            <w:pPr>
              <w:pStyle w:val="48"/>
              <w:spacing w:beforeLines="0" w:afterLines="0" w:line="240" w:lineRule="auto"/>
              <w:rPr>
                <w:rFonts w:hAnsi="宋体" w:cs="宋体"/>
                <w:snapToGrid w:val="0"/>
                <w:color w:val="auto"/>
                <w:kern w:val="21"/>
                <w:szCs w:val="21"/>
                <w:highlight w:val="none"/>
              </w:rPr>
            </w:pPr>
            <w:r>
              <w:rPr>
                <w:rFonts w:hint="eastAsia" w:hAnsi="宋体" w:cs="宋体"/>
                <w:snapToGrid w:val="0"/>
                <w:color w:val="auto"/>
                <w:kern w:val="21"/>
                <w:szCs w:val="21"/>
                <w:highlight w:val="none"/>
                <w:lang w:val="en-US" w:eastAsia="zh-CN"/>
              </w:rPr>
              <w:t>/</w:t>
            </w:r>
          </w:p>
        </w:tc>
        <w:tc>
          <w:tcPr>
            <w:tcW w:w="1559" w:type="dxa"/>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highlight w:val="none"/>
                <w:lang w:val="en-US" w:eastAsia="zh-CN"/>
              </w:rPr>
            </w:pPr>
            <w:r>
              <w:rPr>
                <w:rFonts w:hint="eastAsia" w:cs="Times New Roman"/>
                <w:color w:val="auto"/>
                <w:highlight w:val="none"/>
                <w:lang w:val="en-US" w:eastAsia="zh-CN"/>
              </w:rPr>
              <w:t>1.0456</w:t>
            </w:r>
            <w:r>
              <w:rPr>
                <w:rFonts w:hint="eastAsia" w:ascii="Times New Roman" w:hAnsi="Times New Roman" w:eastAsia="宋体" w:cs="Times New Roman"/>
                <w:color w:val="auto"/>
                <w:highlight w:val="none"/>
                <w:lang w:val="en-US" w:eastAsia="zh-CN"/>
              </w:rPr>
              <w:t>t/a</w:t>
            </w:r>
          </w:p>
        </w:tc>
        <w:tc>
          <w:tcPr>
            <w:tcW w:w="1761" w:type="dxa"/>
            <w:noWrap w:val="0"/>
            <w:vAlign w:val="center"/>
          </w:tcPr>
          <w:p>
            <w:pPr>
              <w:pStyle w:val="48"/>
              <w:spacing w:beforeLines="0" w:afterLines="0" w:line="240" w:lineRule="auto"/>
              <w:rPr>
                <w:rFonts w:hAnsi="宋体" w:cs="宋体"/>
                <w:snapToGrid w:val="0"/>
                <w:color w:val="auto"/>
                <w:kern w:val="21"/>
                <w:szCs w:val="21"/>
                <w:highlight w:val="none"/>
              </w:rPr>
            </w:pPr>
            <w:r>
              <w:rPr>
                <w:rFonts w:hint="eastAsia" w:hAnsi="宋体" w:cs="宋体"/>
                <w:snapToGrid w:val="0"/>
                <w:color w:val="auto"/>
                <w:kern w:val="21"/>
                <w:szCs w:val="21"/>
                <w:highlight w:val="none"/>
                <w:lang w:val="en-US" w:eastAsia="zh-CN"/>
              </w:rPr>
              <w:t>/</w:t>
            </w:r>
          </w:p>
        </w:tc>
        <w:tc>
          <w:tcPr>
            <w:tcW w:w="1656" w:type="dxa"/>
            <w:noWrap w:val="0"/>
            <w:vAlign w:val="center"/>
          </w:tcPr>
          <w:p>
            <w:pPr>
              <w:keepNext w:val="0"/>
              <w:keepLines w:val="0"/>
              <w:widowControl/>
              <w:suppressLineNumbers w:val="0"/>
              <w:jc w:val="center"/>
              <w:textAlignment w:val="center"/>
              <w:rPr>
                <w:rFonts w:hAnsi="宋体" w:cs="宋体"/>
                <w:snapToGrid w:val="0"/>
                <w:color w:val="auto"/>
                <w:kern w:val="21"/>
                <w:szCs w:val="21"/>
                <w:highlight w:val="none"/>
              </w:rPr>
            </w:pPr>
            <w:r>
              <w:rPr>
                <w:rFonts w:hint="eastAsia" w:cs="Times New Roman"/>
                <w:color w:val="auto"/>
                <w:highlight w:val="none"/>
                <w:lang w:val="en-US" w:eastAsia="zh-CN"/>
              </w:rPr>
              <w:t>1.0456</w:t>
            </w:r>
            <w:r>
              <w:rPr>
                <w:rFonts w:hint="eastAsia" w:ascii="Times New Roman" w:hAnsi="Times New Roman" w:eastAsia="宋体" w:cs="Times New Roman"/>
                <w:color w:val="auto"/>
                <w:highlight w:val="none"/>
                <w:lang w:val="en-US" w:eastAsia="zh-CN"/>
              </w:rPr>
              <w:t>t/a</w:t>
            </w:r>
          </w:p>
        </w:tc>
        <w:tc>
          <w:tcPr>
            <w:tcW w:w="1129" w:type="dxa"/>
            <w:noWrap w:val="0"/>
            <w:vAlign w:val="center"/>
          </w:tcPr>
          <w:p>
            <w:pPr>
              <w:keepNext w:val="0"/>
              <w:keepLines w:val="0"/>
              <w:widowControl/>
              <w:suppressLineNumbers w:val="0"/>
              <w:jc w:val="center"/>
              <w:textAlignment w:val="center"/>
              <w:rPr>
                <w:rFonts w:hAnsi="宋体" w:cs="宋体"/>
                <w:snapToGrid w:val="0"/>
                <w:color w:val="auto"/>
                <w:kern w:val="21"/>
                <w:szCs w:val="21"/>
                <w:highlight w:val="none"/>
              </w:rPr>
            </w:pPr>
            <w:r>
              <w:rPr>
                <w:rFonts w:hint="eastAsia" w:cs="Times New Roman"/>
                <w:color w:val="auto"/>
                <w:highlight w:val="none"/>
                <w:lang w:val="en-US" w:eastAsia="zh-CN"/>
              </w:rPr>
              <w:t>+1.0456</w:t>
            </w:r>
            <w:r>
              <w:rPr>
                <w:rFonts w:hint="eastAsia" w:ascii="Times New Roman" w:hAnsi="Times New Roman" w:eastAsia="宋体" w:cs="Times New Roman"/>
                <w:color w:val="auto"/>
                <w:highlight w:val="none"/>
                <w:lang w:val="en-US" w:eastAsia="zh-CN"/>
              </w:rPr>
              <w:t>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60" w:hRule="atLeast"/>
        </w:trPr>
        <w:tc>
          <w:tcPr>
            <w:tcW w:w="1481" w:type="dxa"/>
            <w:vMerge w:val="continue"/>
            <w:noWrap w:val="0"/>
            <w:vAlign w:val="center"/>
          </w:tcPr>
          <w:p>
            <w:pPr>
              <w:pStyle w:val="48"/>
              <w:spacing w:beforeLines="0" w:afterLines="0" w:line="240" w:lineRule="auto"/>
              <w:rPr>
                <w:rFonts w:hint="eastAsia" w:hAnsi="宋体" w:cs="宋体"/>
                <w:snapToGrid w:val="0"/>
                <w:color w:val="auto"/>
                <w:kern w:val="21"/>
                <w:szCs w:val="21"/>
                <w:highlight w:val="none"/>
              </w:rPr>
            </w:pPr>
          </w:p>
        </w:tc>
        <w:tc>
          <w:tcPr>
            <w:tcW w:w="1884" w:type="dxa"/>
            <w:noWrap w:val="0"/>
            <w:vAlign w:val="center"/>
          </w:tcPr>
          <w:p>
            <w:pPr>
              <w:pStyle w:val="48"/>
              <w:spacing w:beforeLines="0" w:afterLines="0" w:line="240" w:lineRule="auto"/>
              <w:rPr>
                <w:rFonts w:hint="default" w:hAnsi="宋体" w:cs="宋体"/>
                <w:snapToGrid w:val="0"/>
                <w:color w:val="auto"/>
                <w:kern w:val="21"/>
                <w:szCs w:val="21"/>
                <w:highlight w:val="none"/>
                <w:lang w:val="en-US" w:eastAsia="zh-CN"/>
              </w:rPr>
            </w:pPr>
            <w:r>
              <w:rPr>
                <w:rFonts w:hint="eastAsia" w:hAnsi="宋体" w:cs="宋体"/>
                <w:snapToGrid w:val="0"/>
                <w:color w:val="auto"/>
                <w:kern w:val="21"/>
                <w:szCs w:val="21"/>
                <w:highlight w:val="none"/>
                <w:lang w:val="en-US" w:eastAsia="zh-CN"/>
              </w:rPr>
              <w:t>非甲烷总烃</w:t>
            </w:r>
          </w:p>
        </w:tc>
        <w:tc>
          <w:tcPr>
            <w:tcW w:w="1472" w:type="dxa"/>
            <w:noWrap w:val="0"/>
            <w:vAlign w:val="center"/>
          </w:tcPr>
          <w:p>
            <w:pPr>
              <w:pStyle w:val="48"/>
              <w:spacing w:beforeLines="0" w:afterLines="0" w:line="240" w:lineRule="auto"/>
              <w:rPr>
                <w:rFonts w:hint="default" w:hAnsi="宋体" w:cs="宋体"/>
                <w:snapToGrid w:val="0"/>
                <w:color w:val="auto"/>
                <w:kern w:val="21"/>
                <w:szCs w:val="21"/>
                <w:highlight w:val="none"/>
                <w:lang w:val="en-US" w:eastAsia="zh-CN"/>
              </w:rPr>
            </w:pPr>
            <w:r>
              <w:rPr>
                <w:rFonts w:hint="eastAsia" w:hAnsi="宋体" w:cs="宋体"/>
                <w:snapToGrid w:val="0"/>
                <w:color w:val="auto"/>
                <w:kern w:val="21"/>
                <w:szCs w:val="21"/>
                <w:highlight w:val="none"/>
                <w:lang w:val="en-US" w:eastAsia="zh-CN"/>
              </w:rPr>
              <w:t>/</w:t>
            </w:r>
          </w:p>
        </w:tc>
        <w:tc>
          <w:tcPr>
            <w:tcW w:w="1145" w:type="dxa"/>
            <w:noWrap w:val="0"/>
            <w:vAlign w:val="center"/>
          </w:tcPr>
          <w:p>
            <w:pPr>
              <w:pStyle w:val="48"/>
              <w:spacing w:beforeLines="0" w:afterLines="0" w:line="240" w:lineRule="auto"/>
              <w:rPr>
                <w:rFonts w:hint="default" w:hAnsi="宋体" w:cs="宋体"/>
                <w:snapToGrid w:val="0"/>
                <w:color w:val="auto"/>
                <w:kern w:val="21"/>
                <w:szCs w:val="21"/>
                <w:highlight w:val="none"/>
                <w:lang w:val="en-US" w:eastAsia="zh-CN"/>
              </w:rPr>
            </w:pPr>
            <w:r>
              <w:rPr>
                <w:rFonts w:hint="eastAsia" w:hAnsi="宋体" w:cs="宋体"/>
                <w:snapToGrid w:val="0"/>
                <w:color w:val="auto"/>
                <w:kern w:val="21"/>
                <w:szCs w:val="21"/>
                <w:highlight w:val="none"/>
                <w:lang w:val="en-US" w:eastAsia="zh-CN"/>
              </w:rPr>
              <w:t>/</w:t>
            </w:r>
          </w:p>
        </w:tc>
        <w:tc>
          <w:tcPr>
            <w:tcW w:w="1701" w:type="dxa"/>
            <w:noWrap w:val="0"/>
            <w:vAlign w:val="center"/>
          </w:tcPr>
          <w:p>
            <w:pPr>
              <w:pStyle w:val="48"/>
              <w:spacing w:beforeLines="0" w:afterLines="0" w:line="240" w:lineRule="auto"/>
              <w:rPr>
                <w:rFonts w:hint="default" w:hAnsi="宋体" w:cs="宋体"/>
                <w:snapToGrid w:val="0"/>
                <w:color w:val="auto"/>
                <w:kern w:val="21"/>
                <w:szCs w:val="21"/>
                <w:highlight w:val="none"/>
                <w:lang w:val="en-US" w:eastAsia="zh-CN"/>
              </w:rPr>
            </w:pPr>
            <w:r>
              <w:rPr>
                <w:rFonts w:hint="eastAsia" w:hAnsi="宋体" w:cs="宋体"/>
                <w:snapToGrid w:val="0"/>
                <w:color w:val="auto"/>
                <w:kern w:val="21"/>
                <w:szCs w:val="21"/>
                <w:highlight w:val="none"/>
                <w:lang w:val="en-US" w:eastAsia="zh-CN"/>
              </w:rPr>
              <w:t>/</w:t>
            </w:r>
          </w:p>
        </w:tc>
        <w:tc>
          <w:tcPr>
            <w:tcW w:w="1559"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1.1006</w:t>
            </w:r>
            <w:r>
              <w:rPr>
                <w:rFonts w:hint="eastAsia" w:ascii="Times New Roman" w:hAnsi="Times New Roman" w:eastAsia="宋体" w:cs="Times New Roman"/>
                <w:color w:val="auto"/>
                <w:highlight w:val="none"/>
                <w:lang w:val="en-US" w:eastAsia="zh-CN"/>
              </w:rPr>
              <w:t>t/a</w:t>
            </w:r>
          </w:p>
        </w:tc>
        <w:tc>
          <w:tcPr>
            <w:tcW w:w="1761" w:type="dxa"/>
            <w:noWrap w:val="0"/>
            <w:vAlign w:val="center"/>
          </w:tcPr>
          <w:p>
            <w:pPr>
              <w:pStyle w:val="48"/>
              <w:spacing w:beforeLines="0" w:afterLines="0" w:line="240" w:lineRule="auto"/>
              <w:rPr>
                <w:rFonts w:hint="default" w:hAnsi="宋体" w:cs="宋体"/>
                <w:snapToGrid w:val="0"/>
                <w:color w:val="auto"/>
                <w:kern w:val="21"/>
                <w:szCs w:val="21"/>
                <w:highlight w:val="none"/>
                <w:lang w:val="en-US" w:eastAsia="zh-CN"/>
              </w:rPr>
            </w:pPr>
            <w:r>
              <w:rPr>
                <w:rFonts w:hint="eastAsia" w:hAnsi="宋体" w:cs="宋体"/>
                <w:snapToGrid w:val="0"/>
                <w:color w:val="auto"/>
                <w:kern w:val="21"/>
                <w:szCs w:val="21"/>
                <w:highlight w:val="none"/>
                <w:lang w:val="en-US" w:eastAsia="zh-CN"/>
              </w:rPr>
              <w:t>/</w:t>
            </w:r>
          </w:p>
        </w:tc>
        <w:tc>
          <w:tcPr>
            <w:tcW w:w="1656" w:type="dxa"/>
            <w:noWrap w:val="0"/>
            <w:vAlign w:val="center"/>
          </w:tcPr>
          <w:p>
            <w:pPr>
              <w:keepNext w:val="0"/>
              <w:keepLines w:val="0"/>
              <w:widowControl/>
              <w:suppressLineNumbers w:val="0"/>
              <w:jc w:val="center"/>
              <w:textAlignment w:val="center"/>
              <w:rPr>
                <w:rFonts w:hint="default" w:ascii="Times New Roman" w:hAnsi="Times New Roman" w:eastAsia="宋体" w:cs="Times New Roman"/>
                <w:i w:val="0"/>
                <w:iCs w:val="0"/>
                <w:color w:val="auto"/>
                <w:kern w:val="0"/>
                <w:sz w:val="21"/>
                <w:szCs w:val="21"/>
                <w:highlight w:val="none"/>
                <w:u w:val="none"/>
                <w:lang w:val="en-US" w:eastAsia="zh-CN" w:bidi="ar"/>
              </w:rPr>
            </w:pPr>
            <w:r>
              <w:rPr>
                <w:rFonts w:hint="eastAsia" w:cs="Times New Roman"/>
                <w:i w:val="0"/>
                <w:iCs w:val="0"/>
                <w:color w:val="auto"/>
                <w:kern w:val="0"/>
                <w:sz w:val="21"/>
                <w:szCs w:val="21"/>
                <w:highlight w:val="none"/>
                <w:u w:val="none"/>
                <w:lang w:val="en-US" w:eastAsia="zh-CN" w:bidi="ar"/>
              </w:rPr>
              <w:t>1.1006</w:t>
            </w:r>
            <w:r>
              <w:rPr>
                <w:rFonts w:hint="eastAsia" w:ascii="Times New Roman" w:hAnsi="Times New Roman" w:eastAsia="宋体" w:cs="Times New Roman"/>
                <w:color w:val="auto"/>
                <w:highlight w:val="none"/>
                <w:lang w:val="en-US" w:eastAsia="zh-CN"/>
              </w:rPr>
              <w:t>t/a</w:t>
            </w:r>
          </w:p>
        </w:tc>
        <w:tc>
          <w:tcPr>
            <w:tcW w:w="1129" w:type="dxa"/>
            <w:noWrap w:val="0"/>
            <w:vAlign w:val="center"/>
          </w:tcPr>
          <w:p>
            <w:pPr>
              <w:keepNext w:val="0"/>
              <w:keepLines w:val="0"/>
              <w:widowControl/>
              <w:suppressLineNumbers w:val="0"/>
              <w:jc w:val="center"/>
              <w:textAlignment w:val="center"/>
              <w:rPr>
                <w:rFonts w:hint="eastAsia" w:cs="Times New Roman"/>
                <w:i w:val="0"/>
                <w:iCs w:val="0"/>
                <w:color w:val="auto"/>
                <w:kern w:val="0"/>
                <w:sz w:val="21"/>
                <w:szCs w:val="21"/>
                <w:highlight w:val="none"/>
                <w:u w:val="none"/>
                <w:lang w:val="en-US" w:eastAsia="zh-CN" w:bidi="ar"/>
              </w:rPr>
            </w:pPr>
            <w:r>
              <w:rPr>
                <w:rFonts w:hint="eastAsia" w:cs="Times New Roman"/>
                <w:color w:val="auto"/>
                <w:highlight w:val="none"/>
                <w:lang w:val="en-US" w:eastAsia="zh-CN"/>
              </w:rPr>
              <w:t>+</w:t>
            </w:r>
            <w:r>
              <w:rPr>
                <w:rFonts w:hint="eastAsia" w:cs="Times New Roman"/>
                <w:i w:val="0"/>
                <w:iCs w:val="0"/>
                <w:color w:val="auto"/>
                <w:kern w:val="0"/>
                <w:sz w:val="21"/>
                <w:szCs w:val="21"/>
                <w:highlight w:val="none"/>
                <w:u w:val="none"/>
                <w:lang w:val="en-US" w:eastAsia="zh-CN" w:bidi="ar"/>
              </w:rPr>
              <w:t>1.1006</w:t>
            </w:r>
            <w:r>
              <w:rPr>
                <w:rFonts w:hint="eastAsia" w:ascii="Times New Roman" w:hAnsi="Times New Roman" w:eastAsia="宋体" w:cs="Times New Roman"/>
                <w:color w:val="auto"/>
                <w:highlight w:val="none"/>
                <w:lang w:val="en-US" w:eastAsia="zh-CN"/>
              </w:rPr>
              <w:t>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1" w:hRule="atLeast"/>
        </w:trPr>
        <w:tc>
          <w:tcPr>
            <w:tcW w:w="1481" w:type="dxa"/>
            <w:vMerge w:val="restart"/>
            <w:noWrap w:val="0"/>
            <w:vAlign w:val="center"/>
          </w:tcPr>
          <w:p>
            <w:pPr>
              <w:pStyle w:val="48"/>
              <w:spacing w:beforeLines="0" w:afterLines="0" w:line="240" w:lineRule="auto"/>
              <w:rPr>
                <w:rFonts w:hint="eastAsia" w:hAnsi="宋体" w:cs="宋体"/>
                <w:snapToGrid w:val="0"/>
                <w:color w:val="auto"/>
                <w:kern w:val="21"/>
                <w:szCs w:val="21"/>
                <w:highlight w:val="none"/>
              </w:rPr>
            </w:pPr>
            <w:r>
              <w:rPr>
                <w:rFonts w:hint="eastAsia" w:hAnsi="宋体" w:cs="宋体"/>
                <w:snapToGrid w:val="0"/>
                <w:color w:val="auto"/>
                <w:kern w:val="21"/>
                <w:szCs w:val="21"/>
                <w:highlight w:val="none"/>
              </w:rPr>
              <w:t>废水</w:t>
            </w:r>
          </w:p>
        </w:tc>
        <w:tc>
          <w:tcPr>
            <w:tcW w:w="1884" w:type="dxa"/>
            <w:noWrap w:val="0"/>
            <w:vAlign w:val="center"/>
          </w:tcPr>
          <w:p>
            <w:pPr>
              <w:pStyle w:val="48"/>
              <w:bidi w:val="0"/>
              <w:jc w:val="center"/>
              <w:rPr>
                <w:rFonts w:hint="eastAsia" w:hAnsi="宋体" w:eastAsia="宋体" w:cs="宋体"/>
                <w:snapToGrid w:val="0"/>
                <w:color w:val="auto"/>
                <w:kern w:val="21"/>
                <w:szCs w:val="21"/>
                <w:highlight w:val="none"/>
                <w:lang w:eastAsia="zh-CN"/>
              </w:rPr>
            </w:pPr>
            <w:r>
              <w:rPr>
                <w:rFonts w:hint="default" w:ascii="Times New Roman" w:hAnsi="Times New Roman" w:cs="Times New Roman"/>
                <w:color w:val="auto"/>
                <w:highlight w:val="none"/>
              </w:rPr>
              <w:t>COD</w:t>
            </w:r>
          </w:p>
        </w:tc>
        <w:tc>
          <w:tcPr>
            <w:tcW w:w="1472" w:type="dxa"/>
            <w:noWrap w:val="0"/>
            <w:vAlign w:val="center"/>
          </w:tcPr>
          <w:p>
            <w:pPr>
              <w:pStyle w:val="48"/>
              <w:spacing w:beforeLines="0" w:afterLines="0" w:line="240" w:lineRule="auto"/>
              <w:rPr>
                <w:rFonts w:hAnsi="宋体" w:cs="宋体"/>
                <w:snapToGrid w:val="0"/>
                <w:color w:val="auto"/>
                <w:kern w:val="21"/>
                <w:szCs w:val="21"/>
                <w:highlight w:val="none"/>
              </w:rPr>
            </w:pPr>
            <w:r>
              <w:rPr>
                <w:rFonts w:hint="eastAsia" w:hAnsi="宋体" w:cs="宋体"/>
                <w:snapToGrid w:val="0"/>
                <w:color w:val="auto"/>
                <w:kern w:val="21"/>
                <w:szCs w:val="21"/>
                <w:highlight w:val="none"/>
                <w:lang w:val="en-US" w:eastAsia="zh-CN"/>
              </w:rPr>
              <w:t>/</w:t>
            </w:r>
          </w:p>
        </w:tc>
        <w:tc>
          <w:tcPr>
            <w:tcW w:w="1145" w:type="dxa"/>
            <w:noWrap w:val="0"/>
            <w:vAlign w:val="center"/>
          </w:tcPr>
          <w:p>
            <w:pPr>
              <w:pStyle w:val="48"/>
              <w:spacing w:beforeLines="0" w:afterLines="0" w:line="240" w:lineRule="auto"/>
              <w:rPr>
                <w:rFonts w:hAnsi="宋体" w:cs="宋体"/>
                <w:snapToGrid w:val="0"/>
                <w:color w:val="auto"/>
                <w:kern w:val="21"/>
                <w:szCs w:val="21"/>
                <w:highlight w:val="none"/>
              </w:rPr>
            </w:pPr>
            <w:r>
              <w:rPr>
                <w:rFonts w:hint="eastAsia" w:hAnsi="宋体" w:cs="宋体"/>
                <w:snapToGrid w:val="0"/>
                <w:color w:val="auto"/>
                <w:kern w:val="21"/>
                <w:szCs w:val="21"/>
                <w:highlight w:val="none"/>
                <w:lang w:val="en-US" w:eastAsia="zh-CN"/>
              </w:rPr>
              <w:t>/</w:t>
            </w:r>
          </w:p>
        </w:tc>
        <w:tc>
          <w:tcPr>
            <w:tcW w:w="1701" w:type="dxa"/>
            <w:shd w:val="clear" w:color="auto" w:fill="auto"/>
            <w:noWrap w:val="0"/>
            <w:vAlign w:val="center"/>
          </w:tcPr>
          <w:p>
            <w:pPr>
              <w:pStyle w:val="48"/>
              <w:spacing w:beforeLines="0" w:afterLines="0" w:line="240" w:lineRule="auto"/>
              <w:rPr>
                <w:rFonts w:hint="default" w:ascii="Times New Roman" w:hAnsi="Times New Roman" w:eastAsia="宋体" w:cs="Times New Roman"/>
                <w:color w:val="auto"/>
                <w:kern w:val="0"/>
                <w:sz w:val="21"/>
                <w:szCs w:val="20"/>
                <w:highlight w:val="none"/>
                <w:lang w:val="en-US" w:eastAsia="zh-CN" w:bidi="ar-SA"/>
              </w:rPr>
            </w:pPr>
            <w:r>
              <w:rPr>
                <w:rFonts w:hint="eastAsia" w:hAnsi="宋体" w:cs="宋体"/>
                <w:snapToGrid w:val="0"/>
                <w:color w:val="auto"/>
                <w:kern w:val="21"/>
                <w:szCs w:val="21"/>
                <w:highlight w:val="none"/>
                <w:lang w:val="en-US" w:eastAsia="zh-CN"/>
              </w:rPr>
              <w:t>/</w:t>
            </w:r>
          </w:p>
        </w:tc>
        <w:tc>
          <w:tcPr>
            <w:tcW w:w="1559" w:type="dxa"/>
            <w:shd w:val="clear" w:color="auto" w:fill="auto"/>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0"/>
                <w:sz w:val="21"/>
                <w:szCs w:val="20"/>
                <w:highlight w:val="none"/>
                <w:lang w:val="en-US" w:eastAsia="zh-CN" w:bidi="ar-SA"/>
              </w:rPr>
            </w:pPr>
            <w:r>
              <w:rPr>
                <w:rFonts w:hint="eastAsia" w:cs="Times New Roman"/>
                <w:i w:val="0"/>
                <w:iCs w:val="0"/>
                <w:color w:val="auto"/>
                <w:kern w:val="0"/>
                <w:sz w:val="21"/>
                <w:szCs w:val="21"/>
                <w:highlight w:val="none"/>
                <w:u w:val="none"/>
                <w:lang w:val="en-US" w:eastAsia="zh-CN" w:bidi="ar"/>
              </w:rPr>
              <w:t>3.74</w:t>
            </w:r>
            <w:r>
              <w:rPr>
                <w:rFonts w:hint="eastAsia" w:ascii="Times New Roman" w:hAnsi="Times New Roman" w:eastAsia="宋体" w:cs="Times New Roman"/>
                <w:color w:val="auto"/>
                <w:highlight w:val="none"/>
                <w:lang w:val="en-US" w:eastAsia="zh-CN"/>
              </w:rPr>
              <w:t>t/a</w:t>
            </w:r>
          </w:p>
        </w:tc>
        <w:tc>
          <w:tcPr>
            <w:tcW w:w="1761" w:type="dxa"/>
            <w:shd w:val="clear" w:color="auto" w:fill="auto"/>
            <w:noWrap w:val="0"/>
            <w:vAlign w:val="center"/>
          </w:tcPr>
          <w:p>
            <w:pPr>
              <w:pStyle w:val="48"/>
              <w:spacing w:beforeLines="0" w:afterLines="0" w:line="240" w:lineRule="auto"/>
              <w:rPr>
                <w:rFonts w:hint="default" w:ascii="Times New Roman" w:hAnsi="Times New Roman" w:eastAsia="宋体" w:cs="Times New Roman"/>
                <w:color w:val="auto"/>
                <w:kern w:val="0"/>
                <w:sz w:val="21"/>
                <w:szCs w:val="20"/>
                <w:highlight w:val="none"/>
                <w:lang w:val="en-US" w:eastAsia="zh-CN" w:bidi="ar-SA"/>
              </w:rPr>
            </w:pPr>
            <w:r>
              <w:rPr>
                <w:rFonts w:hint="eastAsia" w:hAnsi="宋体" w:cs="宋体"/>
                <w:snapToGrid w:val="0"/>
                <w:color w:val="auto"/>
                <w:kern w:val="21"/>
                <w:szCs w:val="21"/>
                <w:highlight w:val="none"/>
                <w:lang w:val="en-US" w:eastAsia="zh-CN"/>
              </w:rPr>
              <w:t>/</w:t>
            </w:r>
          </w:p>
        </w:tc>
        <w:tc>
          <w:tcPr>
            <w:tcW w:w="1656" w:type="dxa"/>
            <w:noWrap w:val="0"/>
            <w:vAlign w:val="center"/>
          </w:tcPr>
          <w:p>
            <w:pPr>
              <w:keepNext w:val="0"/>
              <w:keepLines w:val="0"/>
              <w:widowControl/>
              <w:suppressLineNumbers w:val="0"/>
              <w:jc w:val="center"/>
              <w:textAlignment w:val="center"/>
              <w:rPr>
                <w:rFonts w:hAnsi="宋体" w:cs="宋体"/>
                <w:snapToGrid w:val="0"/>
                <w:color w:val="auto"/>
                <w:kern w:val="21"/>
                <w:szCs w:val="21"/>
                <w:highlight w:val="none"/>
              </w:rPr>
            </w:pPr>
            <w:r>
              <w:rPr>
                <w:rFonts w:hint="eastAsia" w:cs="Times New Roman"/>
                <w:i w:val="0"/>
                <w:iCs w:val="0"/>
                <w:color w:val="auto"/>
                <w:kern w:val="0"/>
                <w:sz w:val="21"/>
                <w:szCs w:val="21"/>
                <w:highlight w:val="none"/>
                <w:u w:val="none"/>
                <w:lang w:val="en-US" w:eastAsia="zh-CN" w:bidi="ar"/>
              </w:rPr>
              <w:t>3.74</w:t>
            </w:r>
            <w:r>
              <w:rPr>
                <w:rFonts w:hint="eastAsia" w:ascii="Times New Roman" w:hAnsi="Times New Roman" w:eastAsia="宋体" w:cs="Times New Roman"/>
                <w:color w:val="auto"/>
                <w:highlight w:val="none"/>
                <w:lang w:val="en-US" w:eastAsia="zh-CN"/>
              </w:rPr>
              <w:t>t/a</w:t>
            </w:r>
          </w:p>
        </w:tc>
        <w:tc>
          <w:tcPr>
            <w:tcW w:w="1129" w:type="dxa"/>
            <w:noWrap w:val="0"/>
            <w:vAlign w:val="center"/>
          </w:tcPr>
          <w:p>
            <w:pPr>
              <w:keepNext w:val="0"/>
              <w:keepLines w:val="0"/>
              <w:widowControl/>
              <w:suppressLineNumbers w:val="0"/>
              <w:jc w:val="center"/>
              <w:textAlignment w:val="center"/>
              <w:rPr>
                <w:rFonts w:hAnsi="宋体" w:cs="宋体"/>
                <w:snapToGrid w:val="0"/>
                <w:color w:val="auto"/>
                <w:kern w:val="21"/>
                <w:szCs w:val="21"/>
                <w:highlight w:val="none"/>
              </w:rPr>
            </w:pPr>
            <w:r>
              <w:rPr>
                <w:rFonts w:hint="eastAsia" w:cs="Times New Roman"/>
                <w:i w:val="0"/>
                <w:iCs w:val="0"/>
                <w:color w:val="auto"/>
                <w:kern w:val="0"/>
                <w:sz w:val="21"/>
                <w:szCs w:val="21"/>
                <w:highlight w:val="none"/>
                <w:u w:val="none"/>
                <w:lang w:val="en-US" w:eastAsia="zh-CN" w:bidi="ar"/>
              </w:rPr>
              <w:t>+3.74</w:t>
            </w:r>
            <w:r>
              <w:rPr>
                <w:rFonts w:hint="eastAsia" w:ascii="Times New Roman" w:hAnsi="Times New Roman" w:eastAsia="宋体" w:cs="Times New Roman"/>
                <w:color w:val="auto"/>
                <w:highlight w:val="none"/>
                <w:lang w:val="en-US" w:eastAsia="zh-CN"/>
              </w:rPr>
              <w:t>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44" w:hRule="atLeast"/>
        </w:trPr>
        <w:tc>
          <w:tcPr>
            <w:tcW w:w="1481" w:type="dxa"/>
            <w:vMerge w:val="continue"/>
            <w:noWrap w:val="0"/>
            <w:vAlign w:val="center"/>
          </w:tcPr>
          <w:p>
            <w:pPr>
              <w:pStyle w:val="48"/>
              <w:spacing w:beforeLines="0" w:afterLines="0" w:line="240" w:lineRule="auto"/>
              <w:rPr>
                <w:rFonts w:hint="eastAsia" w:hAnsi="宋体" w:cs="宋体"/>
                <w:snapToGrid w:val="0"/>
                <w:color w:val="auto"/>
                <w:kern w:val="21"/>
                <w:szCs w:val="21"/>
                <w:highlight w:val="none"/>
              </w:rPr>
            </w:pPr>
          </w:p>
        </w:tc>
        <w:tc>
          <w:tcPr>
            <w:tcW w:w="1884" w:type="dxa"/>
            <w:noWrap w:val="0"/>
            <w:vAlign w:val="center"/>
          </w:tcPr>
          <w:p>
            <w:pPr>
              <w:pStyle w:val="48"/>
              <w:bidi w:val="0"/>
              <w:jc w:val="center"/>
              <w:rPr>
                <w:rFonts w:hint="eastAsia" w:hAnsi="宋体" w:cs="宋体"/>
                <w:snapToGrid w:val="0"/>
                <w:color w:val="auto"/>
                <w:kern w:val="21"/>
                <w:szCs w:val="21"/>
                <w:highlight w:val="none"/>
              </w:rPr>
            </w:pPr>
            <w:r>
              <w:rPr>
                <w:rFonts w:hint="default" w:ascii="Times New Roman" w:hAnsi="Times New Roman" w:cs="Times New Roman"/>
                <w:color w:val="auto"/>
                <w:highlight w:val="none"/>
                <w:lang w:val="de-DE"/>
              </w:rPr>
              <w:t>NH</w:t>
            </w:r>
            <w:r>
              <w:rPr>
                <w:rFonts w:hint="default" w:ascii="Times New Roman" w:hAnsi="Times New Roman" w:cs="Times New Roman"/>
                <w:color w:val="auto"/>
                <w:highlight w:val="none"/>
                <w:vertAlign w:val="subscript"/>
                <w:lang w:val="de-DE"/>
              </w:rPr>
              <w:t>3</w:t>
            </w:r>
            <w:r>
              <w:rPr>
                <w:rFonts w:hint="default" w:ascii="Times New Roman" w:hAnsi="Times New Roman" w:cs="Times New Roman"/>
                <w:color w:val="auto"/>
                <w:highlight w:val="none"/>
                <w:lang w:val="de-DE"/>
              </w:rPr>
              <w:t>-N</w:t>
            </w:r>
          </w:p>
        </w:tc>
        <w:tc>
          <w:tcPr>
            <w:tcW w:w="1472" w:type="dxa"/>
            <w:noWrap w:val="0"/>
            <w:vAlign w:val="center"/>
          </w:tcPr>
          <w:p>
            <w:pPr>
              <w:pStyle w:val="48"/>
              <w:spacing w:beforeLines="0" w:afterLines="0" w:line="240" w:lineRule="auto"/>
              <w:rPr>
                <w:rFonts w:hAnsi="宋体" w:cs="宋体"/>
                <w:snapToGrid w:val="0"/>
                <w:color w:val="auto"/>
                <w:kern w:val="21"/>
                <w:szCs w:val="21"/>
                <w:highlight w:val="none"/>
              </w:rPr>
            </w:pPr>
            <w:r>
              <w:rPr>
                <w:rFonts w:hint="eastAsia" w:hAnsi="宋体" w:cs="宋体"/>
                <w:snapToGrid w:val="0"/>
                <w:color w:val="auto"/>
                <w:kern w:val="21"/>
                <w:szCs w:val="21"/>
                <w:highlight w:val="none"/>
                <w:lang w:val="en-US" w:eastAsia="zh-CN"/>
              </w:rPr>
              <w:t>/</w:t>
            </w:r>
          </w:p>
        </w:tc>
        <w:tc>
          <w:tcPr>
            <w:tcW w:w="1145" w:type="dxa"/>
            <w:noWrap w:val="0"/>
            <w:vAlign w:val="center"/>
          </w:tcPr>
          <w:p>
            <w:pPr>
              <w:pStyle w:val="48"/>
              <w:spacing w:beforeLines="0" w:afterLines="0" w:line="240" w:lineRule="auto"/>
              <w:rPr>
                <w:rFonts w:hAnsi="宋体" w:cs="宋体"/>
                <w:snapToGrid w:val="0"/>
                <w:color w:val="auto"/>
                <w:kern w:val="21"/>
                <w:szCs w:val="21"/>
                <w:highlight w:val="none"/>
              </w:rPr>
            </w:pPr>
            <w:r>
              <w:rPr>
                <w:rFonts w:hint="eastAsia" w:hAnsi="宋体" w:cs="宋体"/>
                <w:snapToGrid w:val="0"/>
                <w:color w:val="auto"/>
                <w:kern w:val="21"/>
                <w:szCs w:val="21"/>
                <w:highlight w:val="none"/>
                <w:lang w:val="en-US" w:eastAsia="zh-CN"/>
              </w:rPr>
              <w:t>/</w:t>
            </w:r>
          </w:p>
        </w:tc>
        <w:tc>
          <w:tcPr>
            <w:tcW w:w="1701" w:type="dxa"/>
            <w:shd w:val="clear" w:color="auto" w:fill="auto"/>
            <w:noWrap w:val="0"/>
            <w:vAlign w:val="center"/>
          </w:tcPr>
          <w:p>
            <w:pPr>
              <w:pStyle w:val="48"/>
              <w:spacing w:beforeLines="0" w:afterLines="0" w:line="240" w:lineRule="auto"/>
              <w:rPr>
                <w:rFonts w:hint="default" w:ascii="Times New Roman" w:hAnsi="Times New Roman" w:eastAsia="宋体" w:cs="Times New Roman"/>
                <w:color w:val="auto"/>
                <w:kern w:val="0"/>
                <w:sz w:val="21"/>
                <w:szCs w:val="20"/>
                <w:highlight w:val="none"/>
                <w:lang w:val="en-US" w:eastAsia="zh-CN" w:bidi="ar-SA"/>
              </w:rPr>
            </w:pPr>
            <w:r>
              <w:rPr>
                <w:rFonts w:hint="eastAsia" w:hAnsi="宋体" w:cs="宋体"/>
                <w:snapToGrid w:val="0"/>
                <w:color w:val="auto"/>
                <w:kern w:val="21"/>
                <w:szCs w:val="21"/>
                <w:highlight w:val="none"/>
                <w:lang w:val="en-US" w:eastAsia="zh-CN"/>
              </w:rPr>
              <w:t>/</w:t>
            </w:r>
          </w:p>
        </w:tc>
        <w:tc>
          <w:tcPr>
            <w:tcW w:w="1559" w:type="dxa"/>
            <w:shd w:val="clear" w:color="auto" w:fill="auto"/>
            <w:noWrap w:val="0"/>
            <w:vAlign w:val="center"/>
          </w:tcPr>
          <w:p>
            <w:pPr>
              <w:keepNext w:val="0"/>
              <w:keepLines w:val="0"/>
              <w:widowControl/>
              <w:suppressLineNumbers w:val="0"/>
              <w:jc w:val="center"/>
              <w:textAlignment w:val="center"/>
              <w:rPr>
                <w:rFonts w:hint="default" w:ascii="Times New Roman" w:hAnsi="Times New Roman" w:eastAsia="宋体" w:cs="Times New Roman"/>
                <w:color w:val="auto"/>
                <w:kern w:val="0"/>
                <w:sz w:val="21"/>
                <w:szCs w:val="20"/>
                <w:highlight w:val="none"/>
                <w:lang w:val="en-US" w:eastAsia="zh-CN" w:bidi="ar-SA"/>
              </w:rPr>
            </w:pPr>
            <w:r>
              <w:rPr>
                <w:rFonts w:hint="eastAsia" w:cs="Times New Roman"/>
                <w:i w:val="0"/>
                <w:iCs w:val="0"/>
                <w:color w:val="auto"/>
                <w:kern w:val="0"/>
                <w:sz w:val="21"/>
                <w:szCs w:val="21"/>
                <w:highlight w:val="none"/>
                <w:u w:val="none"/>
                <w:lang w:val="en-US" w:eastAsia="zh-CN" w:bidi="ar"/>
              </w:rPr>
              <w:t>0.232</w:t>
            </w:r>
            <w:r>
              <w:rPr>
                <w:rFonts w:hint="eastAsia" w:ascii="Times New Roman" w:hAnsi="Times New Roman" w:eastAsia="宋体" w:cs="Times New Roman"/>
                <w:color w:val="auto"/>
                <w:highlight w:val="none"/>
                <w:lang w:val="en-US" w:eastAsia="zh-CN"/>
              </w:rPr>
              <w:t>t/a</w:t>
            </w:r>
          </w:p>
        </w:tc>
        <w:tc>
          <w:tcPr>
            <w:tcW w:w="1761" w:type="dxa"/>
            <w:shd w:val="clear" w:color="auto" w:fill="auto"/>
            <w:noWrap w:val="0"/>
            <w:vAlign w:val="center"/>
          </w:tcPr>
          <w:p>
            <w:pPr>
              <w:pStyle w:val="48"/>
              <w:spacing w:beforeLines="0" w:afterLines="0" w:line="240" w:lineRule="auto"/>
              <w:rPr>
                <w:rFonts w:hint="default" w:ascii="Times New Roman" w:hAnsi="Times New Roman" w:eastAsia="宋体" w:cs="Times New Roman"/>
                <w:color w:val="auto"/>
                <w:kern w:val="0"/>
                <w:sz w:val="21"/>
                <w:szCs w:val="20"/>
                <w:highlight w:val="none"/>
                <w:lang w:val="en-US" w:eastAsia="zh-CN" w:bidi="ar-SA"/>
              </w:rPr>
            </w:pPr>
            <w:r>
              <w:rPr>
                <w:rFonts w:hint="eastAsia" w:hAnsi="宋体" w:cs="宋体"/>
                <w:snapToGrid w:val="0"/>
                <w:color w:val="auto"/>
                <w:kern w:val="21"/>
                <w:szCs w:val="21"/>
                <w:highlight w:val="none"/>
                <w:lang w:val="en-US" w:eastAsia="zh-CN"/>
              </w:rPr>
              <w:t>/</w:t>
            </w:r>
          </w:p>
        </w:tc>
        <w:tc>
          <w:tcPr>
            <w:tcW w:w="1656" w:type="dxa"/>
            <w:noWrap w:val="0"/>
            <w:vAlign w:val="center"/>
          </w:tcPr>
          <w:p>
            <w:pPr>
              <w:keepNext w:val="0"/>
              <w:keepLines w:val="0"/>
              <w:widowControl/>
              <w:suppressLineNumbers w:val="0"/>
              <w:jc w:val="center"/>
              <w:textAlignment w:val="center"/>
              <w:rPr>
                <w:rFonts w:hAnsi="宋体" w:cs="宋体"/>
                <w:snapToGrid w:val="0"/>
                <w:color w:val="auto"/>
                <w:kern w:val="21"/>
                <w:szCs w:val="21"/>
                <w:highlight w:val="none"/>
              </w:rPr>
            </w:pPr>
            <w:r>
              <w:rPr>
                <w:rFonts w:hint="eastAsia" w:cs="Times New Roman"/>
                <w:i w:val="0"/>
                <w:iCs w:val="0"/>
                <w:color w:val="auto"/>
                <w:kern w:val="0"/>
                <w:sz w:val="21"/>
                <w:szCs w:val="21"/>
                <w:highlight w:val="none"/>
                <w:u w:val="none"/>
                <w:lang w:val="en-US" w:eastAsia="zh-CN" w:bidi="ar"/>
              </w:rPr>
              <w:t>0.232</w:t>
            </w:r>
            <w:r>
              <w:rPr>
                <w:rFonts w:hint="eastAsia" w:ascii="Times New Roman" w:hAnsi="Times New Roman" w:eastAsia="宋体" w:cs="Times New Roman"/>
                <w:color w:val="auto"/>
                <w:highlight w:val="none"/>
                <w:lang w:val="en-US" w:eastAsia="zh-CN"/>
              </w:rPr>
              <w:t>t/a</w:t>
            </w:r>
          </w:p>
        </w:tc>
        <w:tc>
          <w:tcPr>
            <w:tcW w:w="1129" w:type="dxa"/>
            <w:noWrap w:val="0"/>
            <w:vAlign w:val="center"/>
          </w:tcPr>
          <w:p>
            <w:pPr>
              <w:keepNext w:val="0"/>
              <w:keepLines w:val="0"/>
              <w:widowControl/>
              <w:suppressLineNumbers w:val="0"/>
              <w:jc w:val="center"/>
              <w:textAlignment w:val="center"/>
              <w:rPr>
                <w:rFonts w:hAnsi="宋体" w:cs="宋体"/>
                <w:snapToGrid w:val="0"/>
                <w:color w:val="auto"/>
                <w:kern w:val="21"/>
                <w:szCs w:val="21"/>
                <w:highlight w:val="none"/>
              </w:rPr>
            </w:pPr>
            <w:r>
              <w:rPr>
                <w:rFonts w:hint="eastAsia" w:cs="Times New Roman"/>
                <w:i w:val="0"/>
                <w:iCs w:val="0"/>
                <w:color w:val="auto"/>
                <w:kern w:val="0"/>
                <w:sz w:val="21"/>
                <w:szCs w:val="21"/>
                <w:highlight w:val="none"/>
                <w:u w:val="none"/>
                <w:lang w:val="en-US" w:eastAsia="zh-CN" w:bidi="ar"/>
              </w:rPr>
              <w:t>+0.232</w:t>
            </w:r>
            <w:r>
              <w:rPr>
                <w:rFonts w:hint="eastAsia" w:ascii="Times New Roman" w:hAnsi="Times New Roman" w:eastAsia="宋体" w:cs="Times New Roman"/>
                <w:color w:val="auto"/>
                <w:highlight w:val="none"/>
                <w:lang w:val="en-US" w:eastAsia="zh-CN"/>
              </w:rPr>
              <w:t>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481" w:type="dxa"/>
            <w:vMerge w:val="restart"/>
            <w:noWrap w:val="0"/>
            <w:vAlign w:val="center"/>
          </w:tcPr>
          <w:p>
            <w:pPr>
              <w:pStyle w:val="48"/>
              <w:spacing w:beforeLines="0" w:afterLines="0" w:line="240" w:lineRule="auto"/>
              <w:rPr>
                <w:rFonts w:hAnsi="宋体" w:cs="宋体"/>
                <w:snapToGrid w:val="0"/>
                <w:color w:val="auto"/>
                <w:kern w:val="21"/>
                <w:szCs w:val="21"/>
                <w:highlight w:val="none"/>
              </w:rPr>
            </w:pPr>
            <w:r>
              <w:rPr>
                <w:rFonts w:hint="eastAsia" w:hAnsi="宋体" w:cs="宋体"/>
                <w:snapToGrid w:val="0"/>
                <w:color w:val="auto"/>
                <w:kern w:val="21"/>
                <w:szCs w:val="21"/>
                <w:highlight w:val="none"/>
              </w:rPr>
              <w:t>一般工业</w:t>
            </w:r>
          </w:p>
          <w:p>
            <w:pPr>
              <w:pStyle w:val="48"/>
              <w:spacing w:beforeLines="0" w:afterLines="0" w:line="240" w:lineRule="auto"/>
              <w:rPr>
                <w:rFonts w:hint="eastAsia" w:hAnsi="宋体" w:cs="宋体"/>
                <w:snapToGrid w:val="0"/>
                <w:color w:val="auto"/>
                <w:kern w:val="21"/>
                <w:szCs w:val="21"/>
                <w:highlight w:val="none"/>
              </w:rPr>
            </w:pPr>
            <w:r>
              <w:rPr>
                <w:rFonts w:hint="eastAsia" w:hAnsi="宋体" w:cs="宋体"/>
                <w:snapToGrid w:val="0"/>
                <w:color w:val="auto"/>
                <w:kern w:val="21"/>
                <w:szCs w:val="21"/>
                <w:highlight w:val="none"/>
              </w:rPr>
              <w:t>固体废物</w:t>
            </w:r>
          </w:p>
        </w:tc>
        <w:tc>
          <w:tcPr>
            <w:tcW w:w="1884" w:type="dxa"/>
            <w:noWrap w:val="0"/>
            <w:vAlign w:val="center"/>
          </w:tcPr>
          <w:p>
            <w:pPr>
              <w:pStyle w:val="48"/>
              <w:spacing w:beforeLines="0" w:afterLines="0" w:line="240" w:lineRule="auto"/>
              <w:rPr>
                <w:rFonts w:hint="default" w:hAnsi="宋体" w:eastAsia="宋体" w:cs="宋体"/>
                <w:snapToGrid w:val="0"/>
                <w:color w:val="auto"/>
                <w:kern w:val="21"/>
                <w:szCs w:val="21"/>
                <w:highlight w:val="none"/>
                <w:lang w:val="en-US" w:eastAsia="zh-CN"/>
              </w:rPr>
            </w:pPr>
            <w:r>
              <w:rPr>
                <w:rFonts w:hint="eastAsia" w:hAnsi="宋体" w:cs="宋体"/>
                <w:snapToGrid w:val="0"/>
                <w:color w:val="auto"/>
                <w:kern w:val="21"/>
                <w:szCs w:val="21"/>
                <w:highlight w:val="none"/>
                <w:lang w:val="en-US" w:eastAsia="zh-CN"/>
              </w:rPr>
              <w:t>废包装材料</w:t>
            </w:r>
          </w:p>
        </w:tc>
        <w:tc>
          <w:tcPr>
            <w:tcW w:w="1472" w:type="dxa"/>
            <w:noWrap w:val="0"/>
            <w:vAlign w:val="center"/>
          </w:tcPr>
          <w:p>
            <w:pPr>
              <w:pStyle w:val="48"/>
              <w:spacing w:beforeLines="0" w:afterLines="0" w:line="240" w:lineRule="auto"/>
              <w:rPr>
                <w:rFonts w:hAnsi="宋体" w:cs="宋体"/>
                <w:snapToGrid w:val="0"/>
                <w:color w:val="auto"/>
                <w:kern w:val="21"/>
                <w:szCs w:val="21"/>
                <w:highlight w:val="none"/>
              </w:rPr>
            </w:pPr>
            <w:r>
              <w:rPr>
                <w:rFonts w:hint="eastAsia" w:hAnsi="宋体" w:cs="宋体"/>
                <w:snapToGrid w:val="0"/>
                <w:color w:val="auto"/>
                <w:kern w:val="21"/>
                <w:szCs w:val="21"/>
                <w:highlight w:val="none"/>
                <w:lang w:val="en-US" w:eastAsia="zh-CN"/>
              </w:rPr>
              <w:t>/</w:t>
            </w:r>
          </w:p>
        </w:tc>
        <w:tc>
          <w:tcPr>
            <w:tcW w:w="1145" w:type="dxa"/>
            <w:noWrap w:val="0"/>
            <w:vAlign w:val="center"/>
          </w:tcPr>
          <w:p>
            <w:pPr>
              <w:pStyle w:val="48"/>
              <w:spacing w:beforeLines="0" w:afterLines="0" w:line="240" w:lineRule="auto"/>
              <w:rPr>
                <w:rFonts w:hAnsi="宋体" w:cs="宋体"/>
                <w:snapToGrid w:val="0"/>
                <w:color w:val="auto"/>
                <w:kern w:val="21"/>
                <w:szCs w:val="21"/>
                <w:highlight w:val="none"/>
              </w:rPr>
            </w:pPr>
            <w:r>
              <w:rPr>
                <w:rFonts w:hint="eastAsia" w:hAnsi="宋体" w:cs="宋体"/>
                <w:snapToGrid w:val="0"/>
                <w:color w:val="auto"/>
                <w:kern w:val="21"/>
                <w:szCs w:val="21"/>
                <w:highlight w:val="none"/>
                <w:lang w:val="en-US" w:eastAsia="zh-CN"/>
              </w:rPr>
              <w:t>/</w:t>
            </w:r>
          </w:p>
        </w:tc>
        <w:tc>
          <w:tcPr>
            <w:tcW w:w="1701" w:type="dxa"/>
            <w:noWrap w:val="0"/>
            <w:vAlign w:val="center"/>
          </w:tcPr>
          <w:p>
            <w:pPr>
              <w:pStyle w:val="48"/>
              <w:spacing w:beforeLines="0" w:afterLines="0" w:line="240" w:lineRule="auto"/>
              <w:rPr>
                <w:rFonts w:hAnsi="宋体" w:cs="宋体"/>
                <w:snapToGrid w:val="0"/>
                <w:color w:val="auto"/>
                <w:kern w:val="21"/>
                <w:szCs w:val="21"/>
                <w:highlight w:val="none"/>
              </w:rPr>
            </w:pPr>
            <w:r>
              <w:rPr>
                <w:rFonts w:hint="eastAsia" w:hAnsi="宋体" w:cs="宋体"/>
                <w:snapToGrid w:val="0"/>
                <w:color w:val="auto"/>
                <w:kern w:val="21"/>
                <w:szCs w:val="21"/>
                <w:highlight w:val="none"/>
                <w:lang w:val="en-US" w:eastAsia="zh-CN"/>
              </w:rPr>
              <w:t>/</w:t>
            </w:r>
          </w:p>
        </w:tc>
        <w:tc>
          <w:tcPr>
            <w:tcW w:w="1559" w:type="dxa"/>
            <w:noWrap w:val="0"/>
            <w:vAlign w:val="center"/>
          </w:tcPr>
          <w:p>
            <w:pPr>
              <w:jc w:val="center"/>
              <w:rPr>
                <w:rFonts w:hint="default" w:hAnsi="宋体" w:eastAsia="宋体" w:cs="宋体"/>
                <w:snapToGrid w:val="0"/>
                <w:color w:val="auto"/>
                <w:kern w:val="21"/>
                <w:szCs w:val="21"/>
                <w:highlight w:val="none"/>
                <w:lang w:val="en-US" w:eastAsia="zh-CN"/>
              </w:rPr>
            </w:pPr>
            <w:r>
              <w:rPr>
                <w:rFonts w:hint="eastAsia" w:cs="Times New Roman"/>
                <w:color w:val="auto"/>
                <w:sz w:val="21"/>
                <w:szCs w:val="21"/>
                <w:highlight w:val="none"/>
                <w:lang w:val="en-US" w:eastAsia="zh-CN"/>
              </w:rPr>
              <w:t>3.0t/a</w:t>
            </w:r>
          </w:p>
        </w:tc>
        <w:tc>
          <w:tcPr>
            <w:tcW w:w="1761" w:type="dxa"/>
            <w:noWrap w:val="0"/>
            <w:vAlign w:val="center"/>
          </w:tcPr>
          <w:p>
            <w:pPr>
              <w:pStyle w:val="48"/>
              <w:spacing w:beforeLines="0" w:afterLines="0" w:line="240" w:lineRule="auto"/>
              <w:rPr>
                <w:rFonts w:hAnsi="宋体" w:cs="宋体"/>
                <w:snapToGrid w:val="0"/>
                <w:color w:val="auto"/>
                <w:kern w:val="21"/>
                <w:szCs w:val="21"/>
                <w:highlight w:val="none"/>
              </w:rPr>
            </w:pPr>
            <w:r>
              <w:rPr>
                <w:rFonts w:hint="eastAsia" w:hAnsi="宋体" w:cs="宋体"/>
                <w:snapToGrid w:val="0"/>
                <w:color w:val="auto"/>
                <w:kern w:val="21"/>
                <w:szCs w:val="21"/>
                <w:highlight w:val="none"/>
                <w:lang w:val="en-US" w:eastAsia="zh-CN"/>
              </w:rPr>
              <w:t>/</w:t>
            </w:r>
          </w:p>
        </w:tc>
        <w:tc>
          <w:tcPr>
            <w:tcW w:w="1656" w:type="dxa"/>
            <w:noWrap w:val="0"/>
            <w:vAlign w:val="center"/>
          </w:tcPr>
          <w:p>
            <w:pPr>
              <w:jc w:val="center"/>
              <w:rPr>
                <w:rFonts w:hAnsi="宋体" w:cs="宋体"/>
                <w:snapToGrid w:val="0"/>
                <w:color w:val="auto"/>
                <w:kern w:val="21"/>
                <w:szCs w:val="21"/>
                <w:highlight w:val="none"/>
              </w:rPr>
            </w:pPr>
            <w:r>
              <w:rPr>
                <w:rFonts w:hint="eastAsia" w:cs="Times New Roman"/>
                <w:color w:val="auto"/>
                <w:sz w:val="21"/>
                <w:szCs w:val="21"/>
                <w:highlight w:val="none"/>
                <w:lang w:val="en-US" w:eastAsia="zh-CN"/>
              </w:rPr>
              <w:t>3.0t/a</w:t>
            </w:r>
          </w:p>
        </w:tc>
        <w:tc>
          <w:tcPr>
            <w:tcW w:w="1129" w:type="dxa"/>
            <w:noWrap w:val="0"/>
            <w:vAlign w:val="center"/>
          </w:tcPr>
          <w:p>
            <w:pPr>
              <w:jc w:val="center"/>
              <w:rPr>
                <w:rFonts w:hAnsi="宋体" w:cs="宋体"/>
                <w:snapToGrid w:val="0"/>
                <w:color w:val="auto"/>
                <w:kern w:val="21"/>
                <w:szCs w:val="21"/>
                <w:highlight w:val="none"/>
              </w:rPr>
            </w:pPr>
            <w:r>
              <w:rPr>
                <w:rFonts w:hint="eastAsia" w:cs="Times New Roman"/>
                <w:color w:val="auto"/>
                <w:sz w:val="21"/>
                <w:szCs w:val="21"/>
                <w:highlight w:val="none"/>
                <w:lang w:val="en-US" w:eastAsia="zh-CN"/>
              </w:rPr>
              <w:t>+3.0t/a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481" w:type="dxa"/>
            <w:vMerge w:val="continue"/>
            <w:noWrap w:val="0"/>
            <w:vAlign w:val="center"/>
          </w:tcPr>
          <w:p>
            <w:pPr>
              <w:pStyle w:val="48"/>
              <w:spacing w:beforeLines="0" w:afterLines="0" w:line="240" w:lineRule="auto"/>
              <w:rPr>
                <w:rFonts w:hAnsi="宋体" w:cs="宋体"/>
                <w:snapToGrid w:val="0"/>
                <w:color w:val="auto"/>
                <w:kern w:val="21"/>
                <w:szCs w:val="21"/>
                <w:highlight w:val="none"/>
              </w:rPr>
            </w:pPr>
          </w:p>
        </w:tc>
        <w:tc>
          <w:tcPr>
            <w:tcW w:w="1884" w:type="dxa"/>
            <w:noWrap w:val="0"/>
            <w:vAlign w:val="center"/>
          </w:tcPr>
          <w:p>
            <w:pPr>
              <w:pStyle w:val="48"/>
              <w:spacing w:beforeLines="0" w:afterLines="0" w:line="240" w:lineRule="auto"/>
              <w:rPr>
                <w:rFonts w:hint="default" w:hAnsi="宋体" w:eastAsia="宋体" w:cs="宋体"/>
                <w:snapToGrid w:val="0"/>
                <w:color w:val="auto"/>
                <w:kern w:val="21"/>
                <w:szCs w:val="21"/>
                <w:highlight w:val="none"/>
                <w:lang w:val="en-US" w:eastAsia="zh-CN"/>
              </w:rPr>
            </w:pPr>
            <w:r>
              <w:rPr>
                <w:rFonts w:hint="eastAsia" w:hAnsi="宋体" w:cs="宋体"/>
                <w:snapToGrid w:val="0"/>
                <w:color w:val="auto"/>
                <w:kern w:val="21"/>
                <w:szCs w:val="21"/>
                <w:highlight w:val="none"/>
                <w:lang w:val="en-US" w:eastAsia="zh-CN"/>
              </w:rPr>
              <w:t>废过滤材料</w:t>
            </w:r>
          </w:p>
        </w:tc>
        <w:tc>
          <w:tcPr>
            <w:tcW w:w="1472" w:type="dxa"/>
            <w:noWrap w:val="0"/>
            <w:vAlign w:val="center"/>
          </w:tcPr>
          <w:p>
            <w:pPr>
              <w:pStyle w:val="48"/>
              <w:spacing w:beforeLines="0" w:afterLines="0" w:line="240" w:lineRule="auto"/>
              <w:rPr>
                <w:rFonts w:hAnsi="宋体" w:cs="宋体"/>
                <w:snapToGrid w:val="0"/>
                <w:color w:val="auto"/>
                <w:kern w:val="21"/>
                <w:szCs w:val="21"/>
                <w:highlight w:val="none"/>
              </w:rPr>
            </w:pPr>
            <w:r>
              <w:rPr>
                <w:rFonts w:hint="eastAsia" w:hAnsi="宋体" w:cs="宋体"/>
                <w:snapToGrid w:val="0"/>
                <w:color w:val="auto"/>
                <w:kern w:val="21"/>
                <w:szCs w:val="21"/>
                <w:highlight w:val="none"/>
                <w:lang w:val="en-US" w:eastAsia="zh-CN"/>
              </w:rPr>
              <w:t>/</w:t>
            </w:r>
          </w:p>
        </w:tc>
        <w:tc>
          <w:tcPr>
            <w:tcW w:w="1145" w:type="dxa"/>
            <w:noWrap w:val="0"/>
            <w:vAlign w:val="center"/>
          </w:tcPr>
          <w:p>
            <w:pPr>
              <w:pStyle w:val="48"/>
              <w:spacing w:beforeLines="0" w:afterLines="0" w:line="240" w:lineRule="auto"/>
              <w:rPr>
                <w:rFonts w:hAnsi="宋体" w:cs="宋体"/>
                <w:snapToGrid w:val="0"/>
                <w:color w:val="auto"/>
                <w:kern w:val="21"/>
                <w:szCs w:val="21"/>
                <w:highlight w:val="none"/>
              </w:rPr>
            </w:pPr>
            <w:r>
              <w:rPr>
                <w:rFonts w:hint="eastAsia" w:hAnsi="宋体" w:cs="宋体"/>
                <w:snapToGrid w:val="0"/>
                <w:color w:val="auto"/>
                <w:kern w:val="21"/>
                <w:szCs w:val="21"/>
                <w:highlight w:val="none"/>
                <w:lang w:val="en-US" w:eastAsia="zh-CN"/>
              </w:rPr>
              <w:t>/</w:t>
            </w:r>
          </w:p>
        </w:tc>
        <w:tc>
          <w:tcPr>
            <w:tcW w:w="1701" w:type="dxa"/>
            <w:noWrap w:val="0"/>
            <w:vAlign w:val="center"/>
          </w:tcPr>
          <w:p>
            <w:pPr>
              <w:pStyle w:val="48"/>
              <w:spacing w:beforeLines="0" w:afterLines="0" w:line="240" w:lineRule="auto"/>
              <w:rPr>
                <w:rFonts w:hAnsi="宋体" w:cs="宋体"/>
                <w:snapToGrid w:val="0"/>
                <w:color w:val="auto"/>
                <w:kern w:val="21"/>
                <w:szCs w:val="21"/>
                <w:highlight w:val="none"/>
              </w:rPr>
            </w:pPr>
            <w:r>
              <w:rPr>
                <w:rFonts w:hint="eastAsia" w:hAnsi="宋体" w:cs="宋体"/>
                <w:snapToGrid w:val="0"/>
                <w:color w:val="auto"/>
                <w:kern w:val="21"/>
                <w:szCs w:val="21"/>
                <w:highlight w:val="none"/>
                <w:lang w:val="en-US" w:eastAsia="zh-CN"/>
              </w:rPr>
              <w:t>/</w:t>
            </w:r>
          </w:p>
        </w:tc>
        <w:tc>
          <w:tcPr>
            <w:tcW w:w="1559" w:type="dxa"/>
            <w:noWrap w:val="0"/>
            <w:vAlign w:val="center"/>
          </w:tcPr>
          <w:p>
            <w:pPr>
              <w:pStyle w:val="65"/>
              <w:bidi w:val="0"/>
              <w:jc w:val="center"/>
              <w:rPr>
                <w:rFonts w:hint="default" w:hAnsi="宋体" w:eastAsia="宋体" w:cs="宋体"/>
                <w:snapToGrid w:val="0"/>
                <w:color w:val="auto"/>
                <w:kern w:val="21"/>
                <w:szCs w:val="21"/>
                <w:highlight w:val="none"/>
                <w:lang w:val="en-US" w:eastAsia="zh-CN"/>
              </w:rPr>
            </w:pPr>
            <w:r>
              <w:rPr>
                <w:rFonts w:hint="eastAsia" w:cs="Times New Roman"/>
                <w:color w:val="auto"/>
                <w:highlight w:val="none"/>
                <w:lang w:val="en-US" w:eastAsia="zh-CN"/>
              </w:rPr>
              <w:t>4.74</w:t>
            </w:r>
            <w:r>
              <w:rPr>
                <w:rFonts w:hint="eastAsia" w:cs="Times New Roman"/>
                <w:color w:val="auto"/>
                <w:sz w:val="21"/>
                <w:szCs w:val="21"/>
                <w:highlight w:val="none"/>
                <w:lang w:val="en-US" w:eastAsia="zh-CN"/>
              </w:rPr>
              <w:t>t/a</w:t>
            </w:r>
          </w:p>
        </w:tc>
        <w:tc>
          <w:tcPr>
            <w:tcW w:w="1761" w:type="dxa"/>
            <w:noWrap w:val="0"/>
            <w:vAlign w:val="center"/>
          </w:tcPr>
          <w:p>
            <w:pPr>
              <w:pStyle w:val="48"/>
              <w:spacing w:beforeLines="0" w:afterLines="0" w:line="240" w:lineRule="auto"/>
              <w:rPr>
                <w:rFonts w:hAnsi="宋体" w:cs="宋体"/>
                <w:snapToGrid w:val="0"/>
                <w:color w:val="auto"/>
                <w:kern w:val="21"/>
                <w:szCs w:val="21"/>
                <w:highlight w:val="none"/>
              </w:rPr>
            </w:pPr>
            <w:r>
              <w:rPr>
                <w:rFonts w:hint="eastAsia" w:hAnsi="宋体" w:cs="宋体"/>
                <w:snapToGrid w:val="0"/>
                <w:color w:val="auto"/>
                <w:kern w:val="21"/>
                <w:szCs w:val="21"/>
                <w:highlight w:val="none"/>
                <w:lang w:val="en-US" w:eastAsia="zh-CN"/>
              </w:rPr>
              <w:t>/</w:t>
            </w:r>
          </w:p>
        </w:tc>
        <w:tc>
          <w:tcPr>
            <w:tcW w:w="1656" w:type="dxa"/>
            <w:noWrap w:val="0"/>
            <w:vAlign w:val="center"/>
          </w:tcPr>
          <w:p>
            <w:pPr>
              <w:pStyle w:val="65"/>
              <w:bidi w:val="0"/>
              <w:jc w:val="center"/>
              <w:rPr>
                <w:rFonts w:hAnsi="宋体" w:cs="宋体"/>
                <w:snapToGrid w:val="0"/>
                <w:color w:val="auto"/>
                <w:kern w:val="21"/>
                <w:szCs w:val="21"/>
                <w:highlight w:val="none"/>
              </w:rPr>
            </w:pPr>
            <w:r>
              <w:rPr>
                <w:rFonts w:hint="eastAsia" w:cs="Times New Roman"/>
                <w:color w:val="auto"/>
                <w:highlight w:val="none"/>
                <w:lang w:val="en-US" w:eastAsia="zh-CN"/>
              </w:rPr>
              <w:t>4.74</w:t>
            </w:r>
            <w:r>
              <w:rPr>
                <w:rFonts w:hint="eastAsia" w:cs="Times New Roman"/>
                <w:color w:val="auto"/>
                <w:sz w:val="21"/>
                <w:szCs w:val="21"/>
                <w:highlight w:val="none"/>
                <w:lang w:val="en-US" w:eastAsia="zh-CN"/>
              </w:rPr>
              <w:t>t/a</w:t>
            </w:r>
          </w:p>
        </w:tc>
        <w:tc>
          <w:tcPr>
            <w:tcW w:w="1129" w:type="dxa"/>
            <w:noWrap w:val="0"/>
            <w:vAlign w:val="center"/>
          </w:tcPr>
          <w:p>
            <w:pPr>
              <w:pStyle w:val="65"/>
              <w:bidi w:val="0"/>
              <w:jc w:val="center"/>
              <w:rPr>
                <w:rFonts w:hAnsi="宋体" w:cs="宋体"/>
                <w:snapToGrid w:val="0"/>
                <w:color w:val="auto"/>
                <w:kern w:val="21"/>
                <w:szCs w:val="21"/>
                <w:highlight w:val="none"/>
              </w:rPr>
            </w:pPr>
            <w:r>
              <w:rPr>
                <w:rFonts w:hint="eastAsia" w:cs="Times New Roman"/>
                <w:color w:val="auto"/>
                <w:sz w:val="21"/>
                <w:szCs w:val="21"/>
                <w:highlight w:val="none"/>
                <w:lang w:val="en-US" w:eastAsia="zh-CN"/>
              </w:rPr>
              <w:t>+</w:t>
            </w:r>
            <w:r>
              <w:rPr>
                <w:rFonts w:hint="eastAsia" w:cs="Times New Roman"/>
                <w:color w:val="auto"/>
                <w:highlight w:val="none"/>
                <w:lang w:val="en-US" w:eastAsia="zh-CN"/>
              </w:rPr>
              <w:t>4.74</w:t>
            </w:r>
            <w:r>
              <w:rPr>
                <w:rFonts w:hint="eastAsia" w:cs="Times New Roman"/>
                <w:color w:val="auto"/>
                <w:sz w:val="21"/>
                <w:szCs w:val="21"/>
                <w:highlight w:val="none"/>
                <w:lang w:val="en-US" w:eastAsia="zh-CN"/>
              </w:rPr>
              <w:t>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481" w:type="dxa"/>
            <w:vMerge w:val="continue"/>
            <w:noWrap w:val="0"/>
            <w:vAlign w:val="center"/>
          </w:tcPr>
          <w:p>
            <w:pPr>
              <w:pStyle w:val="48"/>
              <w:spacing w:beforeLines="0" w:afterLines="0" w:line="240" w:lineRule="auto"/>
              <w:rPr>
                <w:rFonts w:hAnsi="宋体" w:cs="宋体"/>
                <w:snapToGrid w:val="0"/>
                <w:color w:val="auto"/>
                <w:kern w:val="21"/>
                <w:szCs w:val="21"/>
                <w:highlight w:val="none"/>
              </w:rPr>
            </w:pPr>
          </w:p>
        </w:tc>
        <w:tc>
          <w:tcPr>
            <w:tcW w:w="1884" w:type="dxa"/>
            <w:noWrap w:val="0"/>
            <w:vAlign w:val="center"/>
          </w:tcPr>
          <w:p>
            <w:pPr>
              <w:pStyle w:val="48"/>
              <w:spacing w:beforeLines="0" w:afterLines="0" w:line="240" w:lineRule="auto"/>
              <w:rPr>
                <w:rFonts w:hint="default" w:hAnsi="宋体" w:eastAsia="宋体" w:cs="宋体"/>
                <w:snapToGrid w:val="0"/>
                <w:color w:val="auto"/>
                <w:kern w:val="21"/>
                <w:szCs w:val="21"/>
                <w:highlight w:val="none"/>
                <w:lang w:val="en-US" w:eastAsia="zh-CN"/>
              </w:rPr>
            </w:pPr>
            <w:r>
              <w:rPr>
                <w:rFonts w:hint="eastAsia" w:hAnsi="宋体" w:cs="宋体"/>
                <w:snapToGrid w:val="0"/>
                <w:color w:val="auto"/>
                <w:kern w:val="21"/>
                <w:szCs w:val="21"/>
                <w:highlight w:val="none"/>
                <w:lang w:val="en-US" w:eastAsia="zh-CN"/>
              </w:rPr>
              <w:t>坏果及果渣</w:t>
            </w:r>
          </w:p>
        </w:tc>
        <w:tc>
          <w:tcPr>
            <w:tcW w:w="1472" w:type="dxa"/>
            <w:noWrap w:val="0"/>
            <w:vAlign w:val="center"/>
          </w:tcPr>
          <w:p>
            <w:pPr>
              <w:pStyle w:val="48"/>
              <w:spacing w:beforeLines="0" w:afterLines="0" w:line="240" w:lineRule="auto"/>
              <w:rPr>
                <w:rFonts w:hAnsi="宋体" w:cs="宋体"/>
                <w:snapToGrid w:val="0"/>
                <w:color w:val="auto"/>
                <w:kern w:val="21"/>
                <w:szCs w:val="21"/>
                <w:highlight w:val="none"/>
              </w:rPr>
            </w:pPr>
            <w:r>
              <w:rPr>
                <w:rFonts w:hint="eastAsia" w:hAnsi="宋体" w:cs="宋体"/>
                <w:snapToGrid w:val="0"/>
                <w:color w:val="auto"/>
                <w:kern w:val="21"/>
                <w:szCs w:val="21"/>
                <w:highlight w:val="none"/>
                <w:lang w:val="en-US" w:eastAsia="zh-CN"/>
              </w:rPr>
              <w:t>/</w:t>
            </w:r>
          </w:p>
        </w:tc>
        <w:tc>
          <w:tcPr>
            <w:tcW w:w="1145" w:type="dxa"/>
            <w:noWrap w:val="0"/>
            <w:vAlign w:val="center"/>
          </w:tcPr>
          <w:p>
            <w:pPr>
              <w:pStyle w:val="48"/>
              <w:spacing w:beforeLines="0" w:afterLines="0" w:line="240" w:lineRule="auto"/>
              <w:rPr>
                <w:rFonts w:hAnsi="宋体" w:cs="宋体"/>
                <w:snapToGrid w:val="0"/>
                <w:color w:val="auto"/>
                <w:kern w:val="21"/>
                <w:szCs w:val="21"/>
                <w:highlight w:val="none"/>
              </w:rPr>
            </w:pPr>
            <w:r>
              <w:rPr>
                <w:rFonts w:hint="eastAsia" w:hAnsi="宋体" w:cs="宋体"/>
                <w:snapToGrid w:val="0"/>
                <w:color w:val="auto"/>
                <w:kern w:val="21"/>
                <w:szCs w:val="21"/>
                <w:highlight w:val="none"/>
                <w:lang w:val="en-US" w:eastAsia="zh-CN"/>
              </w:rPr>
              <w:t>/</w:t>
            </w:r>
          </w:p>
        </w:tc>
        <w:tc>
          <w:tcPr>
            <w:tcW w:w="1701" w:type="dxa"/>
            <w:noWrap w:val="0"/>
            <w:vAlign w:val="center"/>
          </w:tcPr>
          <w:p>
            <w:pPr>
              <w:pStyle w:val="48"/>
              <w:spacing w:beforeLines="0" w:afterLines="0" w:line="240" w:lineRule="auto"/>
              <w:rPr>
                <w:rFonts w:hAnsi="宋体" w:cs="宋体"/>
                <w:snapToGrid w:val="0"/>
                <w:color w:val="auto"/>
                <w:kern w:val="21"/>
                <w:szCs w:val="21"/>
                <w:highlight w:val="none"/>
              </w:rPr>
            </w:pPr>
            <w:r>
              <w:rPr>
                <w:rFonts w:hint="eastAsia" w:hAnsi="宋体" w:cs="宋体"/>
                <w:snapToGrid w:val="0"/>
                <w:color w:val="auto"/>
                <w:kern w:val="21"/>
                <w:szCs w:val="21"/>
                <w:highlight w:val="none"/>
                <w:lang w:val="en-US" w:eastAsia="zh-CN"/>
              </w:rPr>
              <w:t>/</w:t>
            </w:r>
          </w:p>
        </w:tc>
        <w:tc>
          <w:tcPr>
            <w:tcW w:w="1559" w:type="dxa"/>
            <w:noWrap w:val="0"/>
            <w:vAlign w:val="center"/>
          </w:tcPr>
          <w:p>
            <w:pPr>
              <w:pStyle w:val="65"/>
              <w:bidi w:val="0"/>
              <w:jc w:val="center"/>
              <w:rPr>
                <w:rFonts w:hAnsi="宋体" w:cs="宋体"/>
                <w:snapToGrid w:val="0"/>
                <w:color w:val="auto"/>
                <w:kern w:val="21"/>
                <w:szCs w:val="21"/>
                <w:highlight w:val="none"/>
              </w:rPr>
            </w:pPr>
            <w:r>
              <w:rPr>
                <w:rFonts w:hint="eastAsia" w:cs="Times New Roman"/>
                <w:color w:val="auto"/>
                <w:highlight w:val="none"/>
                <w:lang w:val="en-US" w:eastAsia="zh-CN"/>
              </w:rPr>
              <w:t>947.58</w:t>
            </w:r>
            <w:r>
              <w:rPr>
                <w:rFonts w:hint="eastAsia" w:cs="Times New Roman"/>
                <w:color w:val="auto"/>
                <w:sz w:val="21"/>
                <w:szCs w:val="21"/>
                <w:highlight w:val="none"/>
                <w:lang w:val="en-US" w:eastAsia="zh-CN"/>
              </w:rPr>
              <w:t>t/a</w:t>
            </w:r>
          </w:p>
        </w:tc>
        <w:tc>
          <w:tcPr>
            <w:tcW w:w="1761" w:type="dxa"/>
            <w:noWrap w:val="0"/>
            <w:vAlign w:val="center"/>
          </w:tcPr>
          <w:p>
            <w:pPr>
              <w:pStyle w:val="48"/>
              <w:spacing w:beforeLines="0" w:afterLines="0" w:line="240" w:lineRule="auto"/>
              <w:rPr>
                <w:rFonts w:hAnsi="宋体" w:cs="宋体"/>
                <w:snapToGrid w:val="0"/>
                <w:color w:val="auto"/>
                <w:kern w:val="21"/>
                <w:szCs w:val="21"/>
                <w:highlight w:val="none"/>
              </w:rPr>
            </w:pPr>
            <w:r>
              <w:rPr>
                <w:rFonts w:hint="eastAsia" w:hAnsi="宋体" w:cs="宋体"/>
                <w:snapToGrid w:val="0"/>
                <w:color w:val="auto"/>
                <w:kern w:val="21"/>
                <w:szCs w:val="21"/>
                <w:highlight w:val="none"/>
                <w:lang w:val="en-US" w:eastAsia="zh-CN"/>
              </w:rPr>
              <w:t>/</w:t>
            </w:r>
          </w:p>
        </w:tc>
        <w:tc>
          <w:tcPr>
            <w:tcW w:w="1656" w:type="dxa"/>
            <w:noWrap w:val="0"/>
            <w:vAlign w:val="center"/>
          </w:tcPr>
          <w:p>
            <w:pPr>
              <w:pStyle w:val="65"/>
              <w:bidi w:val="0"/>
              <w:jc w:val="center"/>
              <w:rPr>
                <w:rFonts w:hAnsi="宋体" w:cs="宋体"/>
                <w:snapToGrid w:val="0"/>
                <w:color w:val="auto"/>
                <w:kern w:val="21"/>
                <w:szCs w:val="21"/>
                <w:highlight w:val="none"/>
              </w:rPr>
            </w:pPr>
            <w:r>
              <w:rPr>
                <w:rFonts w:hint="eastAsia" w:cs="Times New Roman"/>
                <w:color w:val="auto"/>
                <w:highlight w:val="none"/>
                <w:lang w:val="en-US" w:eastAsia="zh-CN"/>
              </w:rPr>
              <w:t>947.58</w:t>
            </w:r>
            <w:r>
              <w:rPr>
                <w:rFonts w:hint="eastAsia" w:cs="Times New Roman"/>
                <w:color w:val="auto"/>
                <w:sz w:val="21"/>
                <w:szCs w:val="21"/>
                <w:highlight w:val="none"/>
                <w:lang w:val="en-US" w:eastAsia="zh-CN"/>
              </w:rPr>
              <w:t>t/a</w:t>
            </w:r>
          </w:p>
        </w:tc>
        <w:tc>
          <w:tcPr>
            <w:tcW w:w="1129" w:type="dxa"/>
            <w:noWrap w:val="0"/>
            <w:vAlign w:val="center"/>
          </w:tcPr>
          <w:p>
            <w:pPr>
              <w:pStyle w:val="65"/>
              <w:bidi w:val="0"/>
              <w:jc w:val="center"/>
              <w:rPr>
                <w:rFonts w:hAnsi="宋体" w:cs="宋体"/>
                <w:snapToGrid w:val="0"/>
                <w:color w:val="auto"/>
                <w:kern w:val="21"/>
                <w:szCs w:val="21"/>
                <w:highlight w:val="none"/>
              </w:rPr>
            </w:pPr>
            <w:r>
              <w:rPr>
                <w:rFonts w:hint="eastAsia" w:cs="Times New Roman"/>
                <w:color w:val="auto"/>
                <w:sz w:val="21"/>
                <w:szCs w:val="21"/>
                <w:highlight w:val="none"/>
                <w:lang w:val="en-US" w:eastAsia="zh-CN"/>
              </w:rPr>
              <w:t>+</w:t>
            </w:r>
            <w:r>
              <w:rPr>
                <w:rFonts w:hint="eastAsia" w:cs="Times New Roman"/>
                <w:color w:val="auto"/>
                <w:highlight w:val="none"/>
                <w:lang w:val="en-US" w:eastAsia="zh-CN"/>
              </w:rPr>
              <w:t>947.58</w:t>
            </w:r>
            <w:r>
              <w:rPr>
                <w:rFonts w:hint="eastAsia" w:cs="Times New Roman"/>
                <w:color w:val="auto"/>
                <w:sz w:val="21"/>
                <w:szCs w:val="21"/>
                <w:highlight w:val="none"/>
                <w:lang w:val="en-US" w:eastAsia="zh-CN"/>
              </w:rPr>
              <w:t>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58" w:hRule="atLeast"/>
        </w:trPr>
        <w:tc>
          <w:tcPr>
            <w:tcW w:w="1481" w:type="dxa"/>
            <w:vMerge w:val="continue"/>
            <w:noWrap w:val="0"/>
            <w:vAlign w:val="center"/>
          </w:tcPr>
          <w:p>
            <w:pPr>
              <w:pStyle w:val="48"/>
              <w:spacing w:beforeLines="0" w:afterLines="0" w:line="240" w:lineRule="auto"/>
              <w:rPr>
                <w:rFonts w:hAnsi="宋体" w:cs="宋体"/>
                <w:snapToGrid w:val="0"/>
                <w:color w:val="auto"/>
                <w:kern w:val="21"/>
                <w:szCs w:val="21"/>
                <w:highlight w:val="none"/>
              </w:rPr>
            </w:pPr>
          </w:p>
        </w:tc>
        <w:tc>
          <w:tcPr>
            <w:tcW w:w="1884" w:type="dxa"/>
            <w:noWrap w:val="0"/>
            <w:vAlign w:val="center"/>
          </w:tcPr>
          <w:p>
            <w:pPr>
              <w:pStyle w:val="48"/>
              <w:spacing w:beforeLines="0" w:afterLines="0" w:line="240" w:lineRule="auto"/>
              <w:rPr>
                <w:rFonts w:hint="default" w:hAnsi="宋体" w:eastAsia="宋体" w:cs="宋体"/>
                <w:snapToGrid w:val="0"/>
                <w:color w:val="auto"/>
                <w:kern w:val="21"/>
                <w:szCs w:val="21"/>
                <w:highlight w:val="none"/>
                <w:lang w:val="en-US" w:eastAsia="zh-CN"/>
              </w:rPr>
            </w:pPr>
            <w:r>
              <w:rPr>
                <w:rFonts w:hint="eastAsia" w:hAnsi="宋体" w:cs="宋体"/>
                <w:snapToGrid w:val="0"/>
                <w:color w:val="auto"/>
                <w:kern w:val="21"/>
                <w:szCs w:val="21"/>
                <w:highlight w:val="none"/>
                <w:lang w:val="en-US" w:eastAsia="zh-CN"/>
              </w:rPr>
              <w:t>污水站污泥</w:t>
            </w:r>
          </w:p>
        </w:tc>
        <w:tc>
          <w:tcPr>
            <w:tcW w:w="1472" w:type="dxa"/>
            <w:noWrap w:val="0"/>
            <w:vAlign w:val="center"/>
          </w:tcPr>
          <w:p>
            <w:pPr>
              <w:pStyle w:val="48"/>
              <w:spacing w:beforeLines="0" w:afterLines="0" w:line="240" w:lineRule="auto"/>
              <w:rPr>
                <w:rFonts w:hAnsi="宋体" w:cs="宋体"/>
                <w:snapToGrid w:val="0"/>
                <w:color w:val="auto"/>
                <w:kern w:val="21"/>
                <w:szCs w:val="21"/>
                <w:highlight w:val="none"/>
              </w:rPr>
            </w:pPr>
            <w:r>
              <w:rPr>
                <w:rFonts w:hint="eastAsia" w:hAnsi="宋体" w:cs="宋体"/>
                <w:snapToGrid w:val="0"/>
                <w:color w:val="auto"/>
                <w:kern w:val="21"/>
                <w:szCs w:val="21"/>
                <w:highlight w:val="none"/>
                <w:lang w:val="en-US" w:eastAsia="zh-CN"/>
              </w:rPr>
              <w:t>/</w:t>
            </w:r>
          </w:p>
        </w:tc>
        <w:tc>
          <w:tcPr>
            <w:tcW w:w="1145" w:type="dxa"/>
            <w:noWrap w:val="0"/>
            <w:vAlign w:val="center"/>
          </w:tcPr>
          <w:p>
            <w:pPr>
              <w:pStyle w:val="48"/>
              <w:spacing w:beforeLines="0" w:afterLines="0" w:line="240" w:lineRule="auto"/>
              <w:rPr>
                <w:rFonts w:hAnsi="宋体" w:cs="宋体"/>
                <w:snapToGrid w:val="0"/>
                <w:color w:val="auto"/>
                <w:kern w:val="21"/>
                <w:szCs w:val="21"/>
                <w:highlight w:val="none"/>
              </w:rPr>
            </w:pPr>
            <w:r>
              <w:rPr>
                <w:rFonts w:hint="eastAsia" w:hAnsi="宋体" w:cs="宋体"/>
                <w:snapToGrid w:val="0"/>
                <w:color w:val="auto"/>
                <w:kern w:val="21"/>
                <w:szCs w:val="21"/>
                <w:highlight w:val="none"/>
                <w:lang w:val="en-US" w:eastAsia="zh-CN"/>
              </w:rPr>
              <w:t>/</w:t>
            </w:r>
          </w:p>
        </w:tc>
        <w:tc>
          <w:tcPr>
            <w:tcW w:w="1701" w:type="dxa"/>
            <w:noWrap w:val="0"/>
            <w:vAlign w:val="center"/>
          </w:tcPr>
          <w:p>
            <w:pPr>
              <w:pStyle w:val="48"/>
              <w:spacing w:beforeLines="0" w:afterLines="0" w:line="240" w:lineRule="auto"/>
              <w:rPr>
                <w:rFonts w:hAnsi="宋体" w:cs="宋体"/>
                <w:snapToGrid w:val="0"/>
                <w:color w:val="auto"/>
                <w:kern w:val="21"/>
                <w:szCs w:val="21"/>
                <w:highlight w:val="none"/>
              </w:rPr>
            </w:pPr>
            <w:r>
              <w:rPr>
                <w:rFonts w:hint="eastAsia" w:hAnsi="宋体" w:cs="宋体"/>
                <w:snapToGrid w:val="0"/>
                <w:color w:val="auto"/>
                <w:kern w:val="21"/>
                <w:szCs w:val="21"/>
                <w:highlight w:val="none"/>
                <w:lang w:val="en-US" w:eastAsia="zh-CN"/>
              </w:rPr>
              <w:t>/</w:t>
            </w:r>
          </w:p>
        </w:tc>
        <w:tc>
          <w:tcPr>
            <w:tcW w:w="1559" w:type="dxa"/>
            <w:noWrap w:val="0"/>
            <w:vAlign w:val="center"/>
          </w:tcPr>
          <w:p>
            <w:pPr>
              <w:pStyle w:val="65"/>
              <w:bidi w:val="0"/>
              <w:jc w:val="center"/>
              <w:rPr>
                <w:rFonts w:hAnsi="宋体" w:cs="宋体"/>
                <w:snapToGrid w:val="0"/>
                <w:color w:val="auto"/>
                <w:kern w:val="21"/>
                <w:szCs w:val="21"/>
                <w:highlight w:val="none"/>
              </w:rPr>
            </w:pPr>
            <w:r>
              <w:rPr>
                <w:rFonts w:hint="eastAsia" w:cs="Times New Roman"/>
                <w:color w:val="auto"/>
                <w:highlight w:val="none"/>
                <w:lang w:val="en-US" w:eastAsia="zh-CN"/>
              </w:rPr>
              <w:t>3.71</w:t>
            </w:r>
            <w:r>
              <w:rPr>
                <w:rFonts w:hint="eastAsia" w:cs="Times New Roman"/>
                <w:color w:val="auto"/>
                <w:sz w:val="21"/>
                <w:szCs w:val="21"/>
                <w:highlight w:val="none"/>
                <w:lang w:val="en-US" w:eastAsia="zh-CN"/>
              </w:rPr>
              <w:t>t/a</w:t>
            </w:r>
          </w:p>
        </w:tc>
        <w:tc>
          <w:tcPr>
            <w:tcW w:w="1761" w:type="dxa"/>
            <w:noWrap w:val="0"/>
            <w:vAlign w:val="center"/>
          </w:tcPr>
          <w:p>
            <w:pPr>
              <w:pStyle w:val="48"/>
              <w:spacing w:beforeLines="0" w:afterLines="0" w:line="240" w:lineRule="auto"/>
              <w:rPr>
                <w:rFonts w:hAnsi="宋体" w:cs="宋体"/>
                <w:snapToGrid w:val="0"/>
                <w:color w:val="auto"/>
                <w:kern w:val="21"/>
                <w:szCs w:val="21"/>
                <w:highlight w:val="none"/>
              </w:rPr>
            </w:pPr>
            <w:r>
              <w:rPr>
                <w:rFonts w:hint="eastAsia" w:hAnsi="宋体" w:cs="宋体"/>
                <w:snapToGrid w:val="0"/>
                <w:color w:val="auto"/>
                <w:kern w:val="21"/>
                <w:szCs w:val="21"/>
                <w:highlight w:val="none"/>
                <w:lang w:val="en-US" w:eastAsia="zh-CN"/>
              </w:rPr>
              <w:t>/</w:t>
            </w:r>
          </w:p>
        </w:tc>
        <w:tc>
          <w:tcPr>
            <w:tcW w:w="1656" w:type="dxa"/>
            <w:noWrap w:val="0"/>
            <w:vAlign w:val="center"/>
          </w:tcPr>
          <w:p>
            <w:pPr>
              <w:pStyle w:val="65"/>
              <w:bidi w:val="0"/>
              <w:jc w:val="center"/>
              <w:rPr>
                <w:rFonts w:hAnsi="宋体" w:cs="宋体"/>
                <w:snapToGrid w:val="0"/>
                <w:color w:val="auto"/>
                <w:kern w:val="21"/>
                <w:szCs w:val="21"/>
                <w:highlight w:val="none"/>
              </w:rPr>
            </w:pPr>
            <w:r>
              <w:rPr>
                <w:rFonts w:hint="eastAsia" w:cs="Times New Roman"/>
                <w:color w:val="auto"/>
                <w:highlight w:val="none"/>
                <w:lang w:val="en-US" w:eastAsia="zh-CN"/>
              </w:rPr>
              <w:t>3.71</w:t>
            </w:r>
            <w:r>
              <w:rPr>
                <w:rFonts w:hint="eastAsia" w:cs="Times New Roman"/>
                <w:color w:val="auto"/>
                <w:sz w:val="21"/>
                <w:szCs w:val="21"/>
                <w:highlight w:val="none"/>
                <w:lang w:val="en-US" w:eastAsia="zh-CN"/>
              </w:rPr>
              <w:t>t/a</w:t>
            </w:r>
          </w:p>
        </w:tc>
        <w:tc>
          <w:tcPr>
            <w:tcW w:w="1129" w:type="dxa"/>
            <w:noWrap w:val="0"/>
            <w:vAlign w:val="center"/>
          </w:tcPr>
          <w:p>
            <w:pPr>
              <w:pStyle w:val="65"/>
              <w:bidi w:val="0"/>
              <w:jc w:val="center"/>
              <w:rPr>
                <w:rFonts w:hAnsi="宋体" w:cs="宋体"/>
                <w:snapToGrid w:val="0"/>
                <w:color w:val="auto"/>
                <w:kern w:val="21"/>
                <w:szCs w:val="21"/>
                <w:highlight w:val="none"/>
              </w:rPr>
            </w:pPr>
            <w:r>
              <w:rPr>
                <w:rFonts w:hint="eastAsia" w:cs="Times New Roman"/>
                <w:color w:val="auto"/>
                <w:sz w:val="21"/>
                <w:szCs w:val="21"/>
                <w:highlight w:val="none"/>
                <w:lang w:val="en-US" w:eastAsia="zh-CN"/>
              </w:rPr>
              <w:t>+</w:t>
            </w:r>
            <w:r>
              <w:rPr>
                <w:rFonts w:hint="eastAsia" w:cs="Times New Roman"/>
                <w:color w:val="auto"/>
                <w:highlight w:val="none"/>
                <w:lang w:val="en-US" w:eastAsia="zh-CN"/>
              </w:rPr>
              <w:t>3.71</w:t>
            </w:r>
            <w:r>
              <w:rPr>
                <w:rFonts w:hint="eastAsia" w:cs="Times New Roman"/>
                <w:color w:val="auto"/>
                <w:sz w:val="21"/>
                <w:szCs w:val="21"/>
                <w:highlight w:val="none"/>
                <w:lang w:val="en-US" w:eastAsia="zh-CN"/>
              </w:rPr>
              <w:t>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82" w:hRule="atLeast"/>
        </w:trPr>
        <w:tc>
          <w:tcPr>
            <w:tcW w:w="1481" w:type="dxa"/>
            <w:vMerge w:val="continue"/>
            <w:noWrap w:val="0"/>
            <w:vAlign w:val="center"/>
          </w:tcPr>
          <w:p>
            <w:pPr>
              <w:pStyle w:val="48"/>
              <w:spacing w:beforeLines="0" w:afterLines="0" w:line="240" w:lineRule="auto"/>
              <w:rPr>
                <w:rFonts w:hAnsi="宋体" w:cs="宋体"/>
                <w:snapToGrid w:val="0"/>
                <w:color w:val="auto"/>
                <w:kern w:val="21"/>
                <w:szCs w:val="21"/>
                <w:highlight w:val="none"/>
              </w:rPr>
            </w:pPr>
          </w:p>
        </w:tc>
        <w:tc>
          <w:tcPr>
            <w:tcW w:w="1884" w:type="dxa"/>
            <w:noWrap w:val="0"/>
            <w:vAlign w:val="center"/>
          </w:tcPr>
          <w:p>
            <w:pPr>
              <w:pStyle w:val="48"/>
              <w:spacing w:beforeLines="0" w:afterLines="0" w:line="240" w:lineRule="auto"/>
              <w:rPr>
                <w:rFonts w:hint="default" w:hAnsi="宋体" w:eastAsia="宋体" w:cs="宋体"/>
                <w:snapToGrid w:val="0"/>
                <w:color w:val="auto"/>
                <w:kern w:val="21"/>
                <w:szCs w:val="21"/>
                <w:highlight w:val="none"/>
                <w:lang w:val="en-US" w:eastAsia="zh-CN"/>
              </w:rPr>
            </w:pPr>
            <w:r>
              <w:rPr>
                <w:rFonts w:hint="eastAsia" w:cs="Times New Roman"/>
                <w:color w:val="auto"/>
                <w:kern w:val="2"/>
                <w:sz w:val="21"/>
                <w:szCs w:val="21"/>
                <w:highlight w:val="none"/>
                <w:lang w:val="en-US" w:eastAsia="zh-CN" w:bidi="ar-SA"/>
              </w:rPr>
              <w:t>废塑封膜边角料</w:t>
            </w:r>
          </w:p>
        </w:tc>
        <w:tc>
          <w:tcPr>
            <w:tcW w:w="1472" w:type="dxa"/>
            <w:noWrap w:val="0"/>
            <w:vAlign w:val="center"/>
          </w:tcPr>
          <w:p>
            <w:pPr>
              <w:pStyle w:val="48"/>
              <w:spacing w:beforeLines="0" w:afterLines="0" w:line="240" w:lineRule="auto"/>
              <w:rPr>
                <w:rFonts w:hAnsi="宋体" w:cs="宋体"/>
                <w:snapToGrid w:val="0"/>
                <w:color w:val="auto"/>
                <w:kern w:val="21"/>
                <w:szCs w:val="21"/>
                <w:highlight w:val="none"/>
              </w:rPr>
            </w:pPr>
            <w:r>
              <w:rPr>
                <w:rFonts w:hint="eastAsia" w:hAnsi="宋体" w:cs="宋体"/>
                <w:snapToGrid w:val="0"/>
                <w:color w:val="auto"/>
                <w:kern w:val="21"/>
                <w:szCs w:val="21"/>
                <w:highlight w:val="none"/>
                <w:lang w:val="en-US" w:eastAsia="zh-CN"/>
              </w:rPr>
              <w:t>/</w:t>
            </w:r>
          </w:p>
        </w:tc>
        <w:tc>
          <w:tcPr>
            <w:tcW w:w="1145" w:type="dxa"/>
            <w:noWrap w:val="0"/>
            <w:vAlign w:val="center"/>
          </w:tcPr>
          <w:p>
            <w:pPr>
              <w:pStyle w:val="48"/>
              <w:spacing w:beforeLines="0" w:afterLines="0" w:line="240" w:lineRule="auto"/>
              <w:rPr>
                <w:rFonts w:hAnsi="宋体" w:cs="宋体"/>
                <w:snapToGrid w:val="0"/>
                <w:color w:val="auto"/>
                <w:kern w:val="21"/>
                <w:szCs w:val="21"/>
                <w:highlight w:val="none"/>
              </w:rPr>
            </w:pPr>
            <w:r>
              <w:rPr>
                <w:rFonts w:hint="eastAsia" w:hAnsi="宋体" w:cs="宋体"/>
                <w:snapToGrid w:val="0"/>
                <w:color w:val="auto"/>
                <w:kern w:val="21"/>
                <w:szCs w:val="21"/>
                <w:highlight w:val="none"/>
                <w:lang w:val="en-US" w:eastAsia="zh-CN"/>
              </w:rPr>
              <w:t>/</w:t>
            </w:r>
          </w:p>
        </w:tc>
        <w:tc>
          <w:tcPr>
            <w:tcW w:w="1701" w:type="dxa"/>
            <w:noWrap w:val="0"/>
            <w:vAlign w:val="center"/>
          </w:tcPr>
          <w:p>
            <w:pPr>
              <w:pStyle w:val="48"/>
              <w:spacing w:beforeLines="0" w:afterLines="0" w:line="240" w:lineRule="auto"/>
              <w:rPr>
                <w:rFonts w:hAnsi="宋体" w:cs="宋体"/>
                <w:snapToGrid w:val="0"/>
                <w:color w:val="auto"/>
                <w:kern w:val="21"/>
                <w:szCs w:val="21"/>
                <w:highlight w:val="none"/>
              </w:rPr>
            </w:pPr>
            <w:r>
              <w:rPr>
                <w:rFonts w:hint="eastAsia" w:hAnsi="宋体" w:cs="宋体"/>
                <w:snapToGrid w:val="0"/>
                <w:color w:val="auto"/>
                <w:kern w:val="21"/>
                <w:szCs w:val="21"/>
                <w:highlight w:val="none"/>
                <w:lang w:val="en-US" w:eastAsia="zh-CN"/>
              </w:rPr>
              <w:t>/</w:t>
            </w:r>
          </w:p>
        </w:tc>
        <w:tc>
          <w:tcPr>
            <w:tcW w:w="1559" w:type="dxa"/>
            <w:noWrap w:val="0"/>
            <w:vAlign w:val="center"/>
          </w:tcPr>
          <w:p>
            <w:pPr>
              <w:pStyle w:val="65"/>
              <w:bidi w:val="0"/>
              <w:jc w:val="center"/>
              <w:rPr>
                <w:rFonts w:hint="default" w:hAnsi="宋体" w:cs="宋体"/>
                <w:snapToGrid w:val="0"/>
                <w:color w:val="auto"/>
                <w:kern w:val="21"/>
                <w:szCs w:val="21"/>
                <w:highlight w:val="none"/>
                <w:lang w:val="en-US"/>
              </w:rPr>
            </w:pPr>
            <w:r>
              <w:rPr>
                <w:rFonts w:hint="eastAsia" w:cs="Times New Roman"/>
                <w:color w:val="auto"/>
                <w:highlight w:val="none"/>
                <w:lang w:val="en-US" w:eastAsia="zh-CN"/>
              </w:rPr>
              <w:t>0.52</w:t>
            </w:r>
            <w:r>
              <w:rPr>
                <w:rFonts w:hint="eastAsia" w:cs="Times New Roman"/>
                <w:color w:val="auto"/>
                <w:sz w:val="21"/>
                <w:szCs w:val="21"/>
                <w:highlight w:val="none"/>
                <w:lang w:val="en-US" w:eastAsia="zh-CN"/>
              </w:rPr>
              <w:t>t/a</w:t>
            </w:r>
          </w:p>
        </w:tc>
        <w:tc>
          <w:tcPr>
            <w:tcW w:w="1761" w:type="dxa"/>
            <w:noWrap w:val="0"/>
            <w:vAlign w:val="center"/>
          </w:tcPr>
          <w:p>
            <w:pPr>
              <w:pStyle w:val="48"/>
              <w:spacing w:beforeLines="0" w:afterLines="0" w:line="240" w:lineRule="auto"/>
              <w:rPr>
                <w:rFonts w:hAnsi="宋体" w:cs="宋体"/>
                <w:snapToGrid w:val="0"/>
                <w:color w:val="auto"/>
                <w:kern w:val="21"/>
                <w:szCs w:val="21"/>
                <w:highlight w:val="none"/>
              </w:rPr>
            </w:pPr>
            <w:r>
              <w:rPr>
                <w:rFonts w:hint="eastAsia" w:hAnsi="宋体" w:cs="宋体"/>
                <w:snapToGrid w:val="0"/>
                <w:color w:val="auto"/>
                <w:kern w:val="21"/>
                <w:szCs w:val="21"/>
                <w:highlight w:val="none"/>
                <w:lang w:val="en-US" w:eastAsia="zh-CN"/>
              </w:rPr>
              <w:t>/</w:t>
            </w:r>
          </w:p>
        </w:tc>
        <w:tc>
          <w:tcPr>
            <w:tcW w:w="1656" w:type="dxa"/>
            <w:noWrap w:val="0"/>
            <w:vAlign w:val="center"/>
          </w:tcPr>
          <w:p>
            <w:pPr>
              <w:pStyle w:val="65"/>
              <w:bidi w:val="0"/>
              <w:jc w:val="center"/>
              <w:rPr>
                <w:rFonts w:hAnsi="宋体" w:cs="宋体"/>
                <w:snapToGrid w:val="0"/>
                <w:color w:val="auto"/>
                <w:kern w:val="21"/>
                <w:szCs w:val="21"/>
                <w:highlight w:val="none"/>
              </w:rPr>
            </w:pPr>
            <w:r>
              <w:rPr>
                <w:rFonts w:hint="eastAsia" w:cs="Times New Roman"/>
                <w:color w:val="auto"/>
                <w:highlight w:val="none"/>
                <w:lang w:val="en-US" w:eastAsia="zh-CN"/>
              </w:rPr>
              <w:t>0.52</w:t>
            </w:r>
            <w:r>
              <w:rPr>
                <w:rFonts w:hint="eastAsia" w:cs="Times New Roman"/>
                <w:color w:val="auto"/>
                <w:sz w:val="21"/>
                <w:szCs w:val="21"/>
                <w:highlight w:val="none"/>
                <w:lang w:val="en-US" w:eastAsia="zh-CN"/>
              </w:rPr>
              <w:t>t/a</w:t>
            </w:r>
          </w:p>
        </w:tc>
        <w:tc>
          <w:tcPr>
            <w:tcW w:w="1129" w:type="dxa"/>
            <w:noWrap w:val="0"/>
            <w:vAlign w:val="center"/>
          </w:tcPr>
          <w:p>
            <w:pPr>
              <w:pStyle w:val="65"/>
              <w:bidi w:val="0"/>
              <w:jc w:val="center"/>
              <w:rPr>
                <w:rFonts w:hAnsi="宋体" w:cs="宋体"/>
                <w:snapToGrid w:val="0"/>
                <w:color w:val="auto"/>
                <w:kern w:val="21"/>
                <w:szCs w:val="21"/>
                <w:highlight w:val="none"/>
              </w:rPr>
            </w:pPr>
            <w:r>
              <w:rPr>
                <w:rFonts w:hint="eastAsia" w:cs="Times New Roman"/>
                <w:color w:val="auto"/>
                <w:sz w:val="21"/>
                <w:szCs w:val="21"/>
                <w:highlight w:val="none"/>
                <w:lang w:val="en-US" w:eastAsia="zh-CN"/>
              </w:rPr>
              <w:t>+</w:t>
            </w:r>
            <w:r>
              <w:rPr>
                <w:rFonts w:hint="eastAsia" w:cs="Times New Roman"/>
                <w:color w:val="auto"/>
                <w:highlight w:val="none"/>
                <w:lang w:val="en-US" w:eastAsia="zh-CN"/>
              </w:rPr>
              <w:t>0.52</w:t>
            </w:r>
            <w:r>
              <w:rPr>
                <w:rFonts w:hint="eastAsia" w:cs="Times New Roman"/>
                <w:color w:val="auto"/>
                <w:sz w:val="21"/>
                <w:szCs w:val="21"/>
                <w:highlight w:val="none"/>
                <w:lang w:val="en-US" w:eastAsia="zh-CN"/>
              </w:rPr>
              <w:t>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30" w:hRule="atLeast"/>
        </w:trPr>
        <w:tc>
          <w:tcPr>
            <w:tcW w:w="1481" w:type="dxa"/>
            <w:vMerge w:val="restart"/>
            <w:noWrap w:val="0"/>
            <w:vAlign w:val="center"/>
          </w:tcPr>
          <w:p>
            <w:pPr>
              <w:pStyle w:val="48"/>
              <w:spacing w:beforeLines="0" w:afterLines="0" w:line="240" w:lineRule="auto"/>
              <w:rPr>
                <w:rFonts w:hint="eastAsia" w:hAnsi="宋体" w:eastAsia="宋体" w:cs="宋体"/>
                <w:snapToGrid w:val="0"/>
                <w:color w:val="auto"/>
                <w:kern w:val="21"/>
                <w:szCs w:val="21"/>
                <w:highlight w:val="none"/>
                <w:lang w:val="en-US" w:eastAsia="zh-CN"/>
              </w:rPr>
            </w:pPr>
            <w:r>
              <w:rPr>
                <w:rFonts w:hint="eastAsia" w:hAnsi="宋体" w:cs="宋体"/>
                <w:snapToGrid w:val="0"/>
                <w:color w:val="auto"/>
                <w:kern w:val="21"/>
                <w:szCs w:val="21"/>
                <w:highlight w:val="none"/>
                <w:lang w:val="en-US" w:eastAsia="zh-CN"/>
              </w:rPr>
              <w:t>危险废物</w:t>
            </w:r>
          </w:p>
        </w:tc>
        <w:tc>
          <w:tcPr>
            <w:tcW w:w="1884" w:type="dxa"/>
            <w:noWrap w:val="0"/>
            <w:vAlign w:val="center"/>
          </w:tcPr>
          <w:p>
            <w:pPr>
              <w:pStyle w:val="48"/>
              <w:spacing w:beforeLines="0" w:afterLines="0" w:line="240" w:lineRule="auto"/>
              <w:rPr>
                <w:rFonts w:hint="default" w:hAnsi="宋体" w:cs="宋体"/>
                <w:snapToGrid w:val="0"/>
                <w:color w:val="auto"/>
                <w:kern w:val="21"/>
                <w:szCs w:val="21"/>
                <w:highlight w:val="none"/>
                <w:lang w:val="en-US" w:eastAsia="zh-CN"/>
              </w:rPr>
            </w:pPr>
            <w:r>
              <w:rPr>
                <w:rFonts w:hint="eastAsia" w:hAnsi="宋体" w:cs="宋体"/>
                <w:snapToGrid w:val="0"/>
                <w:color w:val="auto"/>
                <w:kern w:val="21"/>
                <w:szCs w:val="21"/>
                <w:highlight w:val="none"/>
                <w:lang w:val="en-US" w:eastAsia="zh-CN"/>
              </w:rPr>
              <w:t>废活性炭</w:t>
            </w:r>
          </w:p>
        </w:tc>
        <w:tc>
          <w:tcPr>
            <w:tcW w:w="1472" w:type="dxa"/>
            <w:noWrap w:val="0"/>
            <w:vAlign w:val="center"/>
          </w:tcPr>
          <w:p>
            <w:pPr>
              <w:pStyle w:val="48"/>
              <w:spacing w:beforeLines="0" w:afterLines="0" w:line="240" w:lineRule="auto"/>
              <w:rPr>
                <w:rFonts w:hint="eastAsia" w:hAnsi="宋体" w:cs="宋体"/>
                <w:snapToGrid w:val="0"/>
                <w:color w:val="auto"/>
                <w:kern w:val="21"/>
                <w:szCs w:val="21"/>
                <w:highlight w:val="none"/>
                <w:lang w:val="en-US" w:eastAsia="zh-CN"/>
              </w:rPr>
            </w:pPr>
            <w:r>
              <w:rPr>
                <w:rFonts w:hint="eastAsia" w:hAnsi="宋体" w:cs="宋体"/>
                <w:snapToGrid w:val="0"/>
                <w:color w:val="auto"/>
                <w:kern w:val="21"/>
                <w:szCs w:val="21"/>
                <w:highlight w:val="none"/>
                <w:lang w:val="en-US" w:eastAsia="zh-CN"/>
              </w:rPr>
              <w:t>/</w:t>
            </w:r>
          </w:p>
        </w:tc>
        <w:tc>
          <w:tcPr>
            <w:tcW w:w="1145" w:type="dxa"/>
            <w:noWrap w:val="0"/>
            <w:vAlign w:val="center"/>
          </w:tcPr>
          <w:p>
            <w:pPr>
              <w:pStyle w:val="48"/>
              <w:spacing w:beforeLines="0" w:afterLines="0" w:line="240" w:lineRule="auto"/>
              <w:rPr>
                <w:rFonts w:hint="eastAsia" w:hAnsi="宋体" w:cs="宋体"/>
                <w:snapToGrid w:val="0"/>
                <w:color w:val="auto"/>
                <w:kern w:val="21"/>
                <w:szCs w:val="21"/>
                <w:highlight w:val="none"/>
                <w:lang w:val="en-US" w:eastAsia="zh-CN"/>
              </w:rPr>
            </w:pPr>
            <w:r>
              <w:rPr>
                <w:rFonts w:hint="eastAsia" w:hAnsi="宋体" w:cs="宋体"/>
                <w:snapToGrid w:val="0"/>
                <w:color w:val="auto"/>
                <w:kern w:val="21"/>
                <w:szCs w:val="21"/>
                <w:highlight w:val="none"/>
                <w:lang w:val="en-US" w:eastAsia="zh-CN"/>
              </w:rPr>
              <w:t>/</w:t>
            </w:r>
          </w:p>
        </w:tc>
        <w:tc>
          <w:tcPr>
            <w:tcW w:w="1701" w:type="dxa"/>
            <w:noWrap w:val="0"/>
            <w:vAlign w:val="center"/>
          </w:tcPr>
          <w:p>
            <w:pPr>
              <w:pStyle w:val="48"/>
              <w:spacing w:beforeLines="0" w:afterLines="0" w:line="240" w:lineRule="auto"/>
              <w:rPr>
                <w:rFonts w:hint="eastAsia" w:hAnsi="宋体" w:cs="宋体"/>
                <w:snapToGrid w:val="0"/>
                <w:color w:val="auto"/>
                <w:kern w:val="21"/>
                <w:szCs w:val="21"/>
                <w:highlight w:val="none"/>
                <w:lang w:val="en-US" w:eastAsia="zh-CN"/>
              </w:rPr>
            </w:pPr>
            <w:r>
              <w:rPr>
                <w:rFonts w:hint="eastAsia" w:hAnsi="宋体" w:cs="宋体"/>
                <w:snapToGrid w:val="0"/>
                <w:color w:val="auto"/>
                <w:kern w:val="21"/>
                <w:szCs w:val="21"/>
                <w:highlight w:val="none"/>
                <w:lang w:val="en-US" w:eastAsia="zh-CN"/>
              </w:rPr>
              <w:t>/</w:t>
            </w:r>
          </w:p>
        </w:tc>
        <w:tc>
          <w:tcPr>
            <w:tcW w:w="1559" w:type="dxa"/>
            <w:noWrap w:val="0"/>
            <w:vAlign w:val="center"/>
          </w:tcPr>
          <w:p>
            <w:pPr>
              <w:pStyle w:val="65"/>
              <w:bidi w:val="0"/>
              <w:jc w:val="center"/>
              <w:rPr>
                <w:rFonts w:hint="default" w:cs="Times New Roman"/>
                <w:color w:val="auto"/>
                <w:highlight w:val="none"/>
                <w:lang w:val="en-US" w:eastAsia="zh-CN"/>
              </w:rPr>
            </w:pPr>
            <w:r>
              <w:rPr>
                <w:rFonts w:hint="eastAsia" w:cs="Times New Roman"/>
                <w:color w:val="auto"/>
                <w:highlight w:val="none"/>
                <w:lang w:val="en-US" w:eastAsia="zh-CN"/>
              </w:rPr>
              <w:t>12.84</w:t>
            </w:r>
            <w:r>
              <w:rPr>
                <w:rFonts w:hint="eastAsia" w:cs="Times New Roman"/>
                <w:color w:val="auto"/>
                <w:sz w:val="21"/>
                <w:szCs w:val="21"/>
                <w:highlight w:val="none"/>
                <w:lang w:val="en-US" w:eastAsia="zh-CN"/>
              </w:rPr>
              <w:t>t/a</w:t>
            </w:r>
          </w:p>
        </w:tc>
        <w:tc>
          <w:tcPr>
            <w:tcW w:w="1761" w:type="dxa"/>
            <w:noWrap w:val="0"/>
            <w:vAlign w:val="center"/>
          </w:tcPr>
          <w:p>
            <w:pPr>
              <w:pStyle w:val="48"/>
              <w:spacing w:beforeLines="0" w:afterLines="0" w:line="240" w:lineRule="auto"/>
              <w:rPr>
                <w:rFonts w:hint="eastAsia" w:hAnsi="宋体" w:cs="宋体"/>
                <w:snapToGrid w:val="0"/>
                <w:color w:val="auto"/>
                <w:kern w:val="21"/>
                <w:szCs w:val="21"/>
                <w:highlight w:val="none"/>
                <w:lang w:val="en-US" w:eastAsia="zh-CN"/>
              </w:rPr>
            </w:pPr>
            <w:r>
              <w:rPr>
                <w:rFonts w:hint="eastAsia" w:hAnsi="宋体" w:cs="宋体"/>
                <w:snapToGrid w:val="0"/>
                <w:color w:val="auto"/>
                <w:kern w:val="21"/>
                <w:szCs w:val="21"/>
                <w:highlight w:val="none"/>
                <w:lang w:val="en-US" w:eastAsia="zh-CN"/>
              </w:rPr>
              <w:t>/</w:t>
            </w:r>
          </w:p>
        </w:tc>
        <w:tc>
          <w:tcPr>
            <w:tcW w:w="1656" w:type="dxa"/>
            <w:noWrap w:val="0"/>
            <w:vAlign w:val="center"/>
          </w:tcPr>
          <w:p>
            <w:pPr>
              <w:pStyle w:val="65"/>
              <w:bidi w:val="0"/>
              <w:jc w:val="center"/>
              <w:rPr>
                <w:rFonts w:hint="eastAsia" w:cs="Times New Roman"/>
                <w:color w:val="auto"/>
                <w:highlight w:val="none"/>
                <w:lang w:val="en-US" w:eastAsia="zh-CN"/>
              </w:rPr>
            </w:pPr>
            <w:r>
              <w:rPr>
                <w:rFonts w:hint="eastAsia" w:cs="Times New Roman"/>
                <w:color w:val="auto"/>
                <w:highlight w:val="none"/>
                <w:lang w:val="en-US" w:eastAsia="zh-CN"/>
              </w:rPr>
              <w:t>12.84</w:t>
            </w:r>
            <w:r>
              <w:rPr>
                <w:rFonts w:hint="eastAsia" w:cs="Times New Roman"/>
                <w:color w:val="auto"/>
                <w:sz w:val="21"/>
                <w:szCs w:val="21"/>
                <w:highlight w:val="none"/>
                <w:lang w:val="en-US" w:eastAsia="zh-CN"/>
              </w:rPr>
              <w:t>t/a</w:t>
            </w:r>
          </w:p>
        </w:tc>
        <w:tc>
          <w:tcPr>
            <w:tcW w:w="1129" w:type="dxa"/>
            <w:noWrap w:val="0"/>
            <w:vAlign w:val="center"/>
          </w:tcPr>
          <w:p>
            <w:pPr>
              <w:pStyle w:val="65"/>
              <w:bidi w:val="0"/>
              <w:jc w:val="center"/>
              <w:rPr>
                <w:rFonts w:hint="eastAsia" w:cs="Times New Roman"/>
                <w:b/>
                <w:bCs/>
                <w:color w:val="auto"/>
                <w:highlight w:val="none"/>
                <w:lang w:val="en-US" w:eastAsia="zh-CN"/>
              </w:rPr>
            </w:pPr>
            <w:r>
              <w:rPr>
                <w:rFonts w:hint="eastAsia" w:cs="Times New Roman"/>
                <w:color w:val="auto"/>
                <w:sz w:val="21"/>
                <w:szCs w:val="21"/>
                <w:highlight w:val="none"/>
                <w:lang w:val="en-US" w:eastAsia="zh-CN"/>
              </w:rPr>
              <w:t>+</w:t>
            </w:r>
            <w:r>
              <w:rPr>
                <w:rFonts w:hint="eastAsia" w:cs="Times New Roman"/>
                <w:color w:val="auto"/>
                <w:highlight w:val="none"/>
                <w:lang w:val="en-US" w:eastAsia="zh-CN"/>
              </w:rPr>
              <w:t>12.84</w:t>
            </w:r>
            <w:r>
              <w:rPr>
                <w:rFonts w:hint="eastAsia" w:cs="Times New Roman"/>
                <w:color w:val="auto"/>
                <w:sz w:val="21"/>
                <w:szCs w:val="21"/>
                <w:highlight w:val="none"/>
                <w:lang w:val="en-US" w:eastAsia="zh-CN"/>
              </w:rPr>
              <w:t>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430" w:hRule="atLeast"/>
        </w:trPr>
        <w:tc>
          <w:tcPr>
            <w:tcW w:w="1481" w:type="dxa"/>
            <w:vMerge w:val="continue"/>
            <w:noWrap w:val="0"/>
            <w:vAlign w:val="center"/>
          </w:tcPr>
          <w:p>
            <w:pPr>
              <w:pStyle w:val="48"/>
              <w:spacing w:beforeLines="0" w:afterLines="0" w:line="240" w:lineRule="auto"/>
              <w:rPr>
                <w:rFonts w:hint="eastAsia" w:hAnsi="宋体" w:cs="宋体"/>
                <w:snapToGrid w:val="0"/>
                <w:color w:val="auto"/>
                <w:kern w:val="21"/>
                <w:szCs w:val="21"/>
                <w:highlight w:val="none"/>
                <w:lang w:val="en-US" w:eastAsia="zh-CN"/>
              </w:rPr>
            </w:pPr>
          </w:p>
        </w:tc>
        <w:tc>
          <w:tcPr>
            <w:tcW w:w="1884" w:type="dxa"/>
            <w:shd w:val="clear" w:color="auto" w:fill="auto"/>
            <w:noWrap w:val="0"/>
            <w:vAlign w:val="center"/>
          </w:tcPr>
          <w:p>
            <w:pPr>
              <w:numPr>
                <w:ilvl w:val="0"/>
                <w:numId w:val="0"/>
              </w:numPr>
              <w:spacing w:line="240" w:lineRule="auto"/>
              <w:ind w:left="0" w:leftChars="0" w:firstLine="0" w:firstLineChars="0"/>
              <w:jc w:val="center"/>
              <w:rPr>
                <w:rFonts w:hint="eastAsia" w:ascii="Times New Roman" w:hAnsi="Times New Roman" w:eastAsia="宋体" w:cs="Times New Roman"/>
                <w:b w:val="0"/>
                <w:bCs/>
                <w:color w:val="auto"/>
                <w:kern w:val="2"/>
                <w:sz w:val="21"/>
                <w:szCs w:val="21"/>
                <w:highlight w:val="none"/>
                <w:vertAlign w:val="baseline"/>
                <w:lang w:val="en-US" w:eastAsia="zh-CN" w:bidi="ar-SA"/>
              </w:rPr>
            </w:pPr>
            <w:r>
              <w:rPr>
                <w:rFonts w:hint="default" w:ascii="Times New Roman" w:hAnsi="Times New Roman" w:eastAsia="宋体" w:cs="Times New Roman"/>
                <w:b w:val="0"/>
                <w:bCs/>
                <w:color w:val="auto"/>
                <w:kern w:val="2"/>
                <w:sz w:val="21"/>
                <w:szCs w:val="21"/>
                <w:highlight w:val="none"/>
                <w:vertAlign w:val="baseline"/>
                <w:lang w:val="en-US" w:eastAsia="zh-CN" w:bidi="ar-SA"/>
              </w:rPr>
              <w:t>废</w:t>
            </w:r>
            <w:r>
              <w:rPr>
                <w:rFonts w:hint="eastAsia" w:cs="Times New Roman"/>
                <w:b w:val="0"/>
                <w:bCs/>
                <w:color w:val="auto"/>
                <w:kern w:val="2"/>
                <w:sz w:val="21"/>
                <w:szCs w:val="21"/>
                <w:highlight w:val="none"/>
                <w:lang w:val="en-US" w:eastAsia="zh-CN" w:bidi="ar-SA"/>
              </w:rPr>
              <w:t>机</w:t>
            </w:r>
            <w:r>
              <w:rPr>
                <w:rFonts w:hint="default" w:ascii="Times New Roman" w:hAnsi="Times New Roman" w:eastAsia="宋体" w:cs="Times New Roman"/>
                <w:b w:val="0"/>
                <w:bCs/>
                <w:color w:val="auto"/>
                <w:kern w:val="2"/>
                <w:sz w:val="21"/>
                <w:szCs w:val="21"/>
                <w:highlight w:val="none"/>
                <w:lang w:val="en-US" w:eastAsia="zh-CN" w:bidi="ar-SA"/>
              </w:rPr>
              <w:t>油</w:t>
            </w:r>
          </w:p>
        </w:tc>
        <w:tc>
          <w:tcPr>
            <w:tcW w:w="1472" w:type="dxa"/>
            <w:noWrap w:val="0"/>
            <w:vAlign w:val="center"/>
          </w:tcPr>
          <w:p>
            <w:pPr>
              <w:pStyle w:val="48"/>
              <w:spacing w:beforeLines="0" w:afterLines="0" w:line="240" w:lineRule="auto"/>
              <w:rPr>
                <w:rFonts w:hint="eastAsia" w:hAnsi="宋体" w:cs="宋体"/>
                <w:snapToGrid w:val="0"/>
                <w:color w:val="auto"/>
                <w:kern w:val="21"/>
                <w:szCs w:val="21"/>
                <w:highlight w:val="none"/>
                <w:lang w:val="en-US" w:eastAsia="zh-CN"/>
              </w:rPr>
            </w:pPr>
            <w:r>
              <w:rPr>
                <w:rFonts w:hint="eastAsia" w:hAnsi="宋体" w:cs="宋体"/>
                <w:snapToGrid w:val="0"/>
                <w:color w:val="auto"/>
                <w:kern w:val="21"/>
                <w:szCs w:val="21"/>
                <w:highlight w:val="none"/>
                <w:lang w:val="en-US" w:eastAsia="zh-CN"/>
              </w:rPr>
              <w:t>/</w:t>
            </w:r>
          </w:p>
        </w:tc>
        <w:tc>
          <w:tcPr>
            <w:tcW w:w="1145" w:type="dxa"/>
            <w:noWrap w:val="0"/>
            <w:vAlign w:val="center"/>
          </w:tcPr>
          <w:p>
            <w:pPr>
              <w:pStyle w:val="48"/>
              <w:spacing w:beforeLines="0" w:afterLines="0" w:line="240" w:lineRule="auto"/>
              <w:rPr>
                <w:rFonts w:hint="eastAsia" w:hAnsi="宋体" w:cs="宋体"/>
                <w:snapToGrid w:val="0"/>
                <w:color w:val="auto"/>
                <w:kern w:val="21"/>
                <w:szCs w:val="21"/>
                <w:highlight w:val="none"/>
                <w:lang w:val="en-US" w:eastAsia="zh-CN"/>
              </w:rPr>
            </w:pPr>
            <w:r>
              <w:rPr>
                <w:rFonts w:hint="eastAsia" w:hAnsi="宋体" w:cs="宋体"/>
                <w:snapToGrid w:val="0"/>
                <w:color w:val="auto"/>
                <w:kern w:val="21"/>
                <w:szCs w:val="21"/>
                <w:highlight w:val="none"/>
                <w:lang w:val="en-US" w:eastAsia="zh-CN"/>
              </w:rPr>
              <w:t>/</w:t>
            </w:r>
          </w:p>
        </w:tc>
        <w:tc>
          <w:tcPr>
            <w:tcW w:w="1701" w:type="dxa"/>
            <w:noWrap w:val="0"/>
            <w:vAlign w:val="center"/>
          </w:tcPr>
          <w:p>
            <w:pPr>
              <w:pStyle w:val="48"/>
              <w:spacing w:beforeLines="0" w:afterLines="0" w:line="240" w:lineRule="auto"/>
              <w:rPr>
                <w:rFonts w:hint="eastAsia" w:hAnsi="宋体" w:cs="宋体"/>
                <w:snapToGrid w:val="0"/>
                <w:color w:val="auto"/>
                <w:kern w:val="21"/>
                <w:szCs w:val="21"/>
                <w:highlight w:val="none"/>
                <w:lang w:val="en-US" w:eastAsia="zh-CN"/>
              </w:rPr>
            </w:pPr>
            <w:r>
              <w:rPr>
                <w:rFonts w:hint="eastAsia" w:hAnsi="宋体" w:cs="宋体"/>
                <w:snapToGrid w:val="0"/>
                <w:color w:val="auto"/>
                <w:kern w:val="21"/>
                <w:szCs w:val="21"/>
                <w:highlight w:val="none"/>
                <w:lang w:val="en-US" w:eastAsia="zh-CN"/>
              </w:rPr>
              <w:t>/</w:t>
            </w:r>
          </w:p>
        </w:tc>
        <w:tc>
          <w:tcPr>
            <w:tcW w:w="1559" w:type="dxa"/>
            <w:noWrap w:val="0"/>
            <w:vAlign w:val="center"/>
          </w:tcPr>
          <w:p>
            <w:pPr>
              <w:pStyle w:val="65"/>
              <w:bidi w:val="0"/>
              <w:jc w:val="center"/>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0.0</w:t>
            </w:r>
            <w:r>
              <w:rPr>
                <w:rFonts w:hint="eastAsia" w:cs="Times New Roman"/>
                <w:color w:val="auto"/>
                <w:highlight w:val="none"/>
                <w:lang w:val="en-US" w:eastAsia="zh-CN"/>
              </w:rPr>
              <w:t>5</w:t>
            </w:r>
            <w:r>
              <w:rPr>
                <w:rFonts w:hint="eastAsia" w:ascii="Times New Roman" w:hAnsi="Times New Roman" w:eastAsia="宋体" w:cs="Times New Roman"/>
                <w:color w:val="auto"/>
                <w:highlight w:val="none"/>
                <w:lang w:val="en-US" w:eastAsia="zh-CN"/>
              </w:rPr>
              <w:t>t/a</w:t>
            </w:r>
          </w:p>
        </w:tc>
        <w:tc>
          <w:tcPr>
            <w:tcW w:w="1761" w:type="dxa"/>
            <w:noWrap w:val="0"/>
            <w:vAlign w:val="center"/>
          </w:tcPr>
          <w:p>
            <w:pPr>
              <w:pStyle w:val="48"/>
              <w:spacing w:beforeLines="0" w:afterLines="0" w:line="240" w:lineRule="auto"/>
              <w:rPr>
                <w:rFonts w:hint="eastAsia" w:hAnsi="宋体" w:cs="宋体"/>
                <w:snapToGrid w:val="0"/>
                <w:color w:val="auto"/>
                <w:kern w:val="21"/>
                <w:szCs w:val="21"/>
                <w:highlight w:val="none"/>
                <w:lang w:val="en-US" w:eastAsia="zh-CN"/>
              </w:rPr>
            </w:pPr>
          </w:p>
        </w:tc>
        <w:tc>
          <w:tcPr>
            <w:tcW w:w="1656" w:type="dxa"/>
            <w:noWrap w:val="0"/>
            <w:vAlign w:val="center"/>
          </w:tcPr>
          <w:p>
            <w:pPr>
              <w:pStyle w:val="65"/>
              <w:bidi w:val="0"/>
              <w:jc w:val="center"/>
              <w:rPr>
                <w:rFonts w:hint="eastAsia" w:cs="Times New Roman"/>
                <w:color w:val="auto"/>
                <w:highlight w:val="none"/>
                <w:lang w:val="en-US" w:eastAsia="zh-CN"/>
              </w:rPr>
            </w:pPr>
            <w:r>
              <w:rPr>
                <w:rFonts w:hint="eastAsia" w:ascii="Times New Roman" w:hAnsi="Times New Roman" w:eastAsia="宋体" w:cs="Times New Roman"/>
                <w:color w:val="auto"/>
                <w:highlight w:val="none"/>
                <w:lang w:val="en-US" w:eastAsia="zh-CN"/>
              </w:rPr>
              <w:t>0.0</w:t>
            </w:r>
            <w:r>
              <w:rPr>
                <w:rFonts w:hint="eastAsia" w:cs="Times New Roman"/>
                <w:color w:val="auto"/>
                <w:highlight w:val="none"/>
                <w:lang w:val="en-US" w:eastAsia="zh-CN"/>
              </w:rPr>
              <w:t>5</w:t>
            </w:r>
            <w:r>
              <w:rPr>
                <w:rFonts w:hint="eastAsia" w:ascii="Times New Roman" w:hAnsi="Times New Roman" w:eastAsia="宋体" w:cs="Times New Roman"/>
                <w:color w:val="auto"/>
                <w:highlight w:val="none"/>
                <w:lang w:val="en-US" w:eastAsia="zh-CN"/>
              </w:rPr>
              <w:t>t/a</w:t>
            </w:r>
          </w:p>
        </w:tc>
        <w:tc>
          <w:tcPr>
            <w:tcW w:w="1129" w:type="dxa"/>
            <w:noWrap w:val="0"/>
            <w:vAlign w:val="center"/>
          </w:tcPr>
          <w:p>
            <w:pPr>
              <w:pStyle w:val="65"/>
              <w:bidi w:val="0"/>
              <w:jc w:val="center"/>
              <w:rPr>
                <w:rFonts w:hint="eastAsia" w:cs="Times New Roman"/>
                <w:color w:val="auto"/>
                <w:highlight w:val="none"/>
                <w:lang w:val="en-US" w:eastAsia="zh-CN"/>
              </w:rPr>
            </w:pPr>
            <w:r>
              <w:rPr>
                <w:rFonts w:hint="eastAsia" w:cs="Times New Roman"/>
                <w:color w:val="auto"/>
                <w:highlight w:val="none"/>
                <w:lang w:val="en-US" w:eastAsia="zh-CN"/>
              </w:rPr>
              <w:t>+</w:t>
            </w:r>
            <w:r>
              <w:rPr>
                <w:rFonts w:hint="eastAsia" w:ascii="Times New Roman" w:hAnsi="Times New Roman" w:eastAsia="宋体" w:cs="Times New Roman"/>
                <w:color w:val="auto"/>
                <w:highlight w:val="none"/>
                <w:lang w:val="en-US" w:eastAsia="zh-CN"/>
              </w:rPr>
              <w:t>0.0</w:t>
            </w:r>
            <w:r>
              <w:rPr>
                <w:rFonts w:hint="eastAsia" w:cs="Times New Roman"/>
                <w:color w:val="auto"/>
                <w:highlight w:val="none"/>
                <w:lang w:val="en-US" w:eastAsia="zh-CN"/>
              </w:rPr>
              <w:t>5</w:t>
            </w:r>
            <w:r>
              <w:rPr>
                <w:rFonts w:hint="eastAsia" w:ascii="Times New Roman" w:hAnsi="Times New Roman" w:eastAsia="宋体" w:cs="Times New Roman"/>
                <w:color w:val="auto"/>
                <w:highlight w:val="none"/>
                <w:lang w:val="en-US" w:eastAsia="zh-CN"/>
              </w:rPr>
              <w:t>t/a</w:t>
            </w:r>
          </w:p>
        </w:tc>
      </w:tr>
      <w:tr>
        <w:tblPrEx>
          <w:tblBorders>
            <w:top w:val="single" w:color="auto" w:sz="8" w:space="0"/>
            <w:left w:val="single" w:color="auto" w:sz="8" w:space="0"/>
            <w:bottom w:val="single" w:color="auto" w:sz="8" w:space="0"/>
            <w:right w:val="single" w:color="auto" w:sz="8" w:space="0"/>
            <w:insideH w:val="single" w:color="auto" w:sz="4" w:space="0"/>
            <w:insideV w:val="single" w:color="auto" w:sz="4" w:space="0"/>
          </w:tblBorders>
          <w:tblCellMar>
            <w:top w:w="0" w:type="dxa"/>
            <w:left w:w="108" w:type="dxa"/>
            <w:bottom w:w="0" w:type="dxa"/>
            <w:right w:w="108" w:type="dxa"/>
          </w:tblCellMar>
        </w:tblPrEx>
        <w:trPr>
          <w:trHeight w:val="396" w:hRule="atLeast"/>
        </w:trPr>
        <w:tc>
          <w:tcPr>
            <w:tcW w:w="1481" w:type="dxa"/>
            <w:vMerge w:val="continue"/>
            <w:noWrap w:val="0"/>
            <w:vAlign w:val="center"/>
          </w:tcPr>
          <w:p>
            <w:pPr>
              <w:pStyle w:val="48"/>
              <w:spacing w:beforeLines="0" w:afterLines="0" w:line="240" w:lineRule="auto"/>
              <w:rPr>
                <w:rFonts w:hint="eastAsia" w:hAnsi="宋体" w:cs="宋体"/>
                <w:snapToGrid w:val="0"/>
                <w:color w:val="auto"/>
                <w:kern w:val="21"/>
                <w:szCs w:val="21"/>
                <w:highlight w:val="none"/>
                <w:lang w:val="en-US" w:eastAsia="zh-CN"/>
              </w:rPr>
            </w:pPr>
          </w:p>
        </w:tc>
        <w:tc>
          <w:tcPr>
            <w:tcW w:w="1884" w:type="dxa"/>
            <w:shd w:val="clear" w:color="auto" w:fill="auto"/>
            <w:noWrap w:val="0"/>
            <w:vAlign w:val="center"/>
          </w:tcPr>
          <w:p>
            <w:pPr>
              <w:numPr>
                <w:ilvl w:val="0"/>
                <w:numId w:val="0"/>
              </w:numPr>
              <w:spacing w:line="240" w:lineRule="auto"/>
              <w:ind w:left="0" w:leftChars="0" w:firstLine="0" w:firstLineChars="0"/>
              <w:jc w:val="center"/>
              <w:rPr>
                <w:rFonts w:hint="eastAsia" w:ascii="Times New Roman" w:hAnsi="Times New Roman" w:eastAsia="宋体" w:cs="Times New Roman"/>
                <w:b w:val="0"/>
                <w:bCs/>
                <w:color w:val="auto"/>
                <w:kern w:val="2"/>
                <w:sz w:val="21"/>
                <w:szCs w:val="21"/>
                <w:highlight w:val="none"/>
                <w:vertAlign w:val="baseline"/>
                <w:lang w:val="en-US" w:eastAsia="zh-CN" w:bidi="ar-SA"/>
              </w:rPr>
            </w:pPr>
            <w:r>
              <w:rPr>
                <w:rFonts w:hint="default" w:ascii="Times New Roman" w:hAnsi="Times New Roman" w:eastAsia="宋体" w:cs="Times New Roman"/>
                <w:b w:val="0"/>
                <w:bCs/>
                <w:color w:val="auto"/>
                <w:kern w:val="2"/>
                <w:sz w:val="21"/>
                <w:szCs w:val="21"/>
                <w:highlight w:val="none"/>
                <w:vertAlign w:val="baseline"/>
                <w:lang w:val="en-US" w:eastAsia="zh-CN" w:bidi="ar-SA"/>
              </w:rPr>
              <w:t>废</w:t>
            </w:r>
            <w:r>
              <w:rPr>
                <w:rFonts w:hint="default" w:ascii="Times New Roman" w:hAnsi="Times New Roman" w:eastAsia="宋体" w:cs="Times New Roman"/>
                <w:b w:val="0"/>
                <w:bCs/>
                <w:color w:val="auto"/>
                <w:kern w:val="2"/>
                <w:sz w:val="21"/>
                <w:szCs w:val="21"/>
                <w:highlight w:val="none"/>
                <w:lang w:val="en-US" w:eastAsia="zh-CN" w:bidi="ar-SA"/>
              </w:rPr>
              <w:t>油桶</w:t>
            </w:r>
          </w:p>
        </w:tc>
        <w:tc>
          <w:tcPr>
            <w:tcW w:w="1472" w:type="dxa"/>
            <w:noWrap w:val="0"/>
            <w:vAlign w:val="center"/>
          </w:tcPr>
          <w:p>
            <w:pPr>
              <w:pStyle w:val="48"/>
              <w:spacing w:beforeLines="0" w:afterLines="0" w:line="240" w:lineRule="auto"/>
              <w:rPr>
                <w:rFonts w:hint="eastAsia" w:hAnsi="宋体" w:cs="宋体"/>
                <w:snapToGrid w:val="0"/>
                <w:color w:val="auto"/>
                <w:kern w:val="21"/>
                <w:szCs w:val="21"/>
                <w:highlight w:val="none"/>
                <w:lang w:val="en-US" w:eastAsia="zh-CN"/>
              </w:rPr>
            </w:pPr>
            <w:r>
              <w:rPr>
                <w:rFonts w:hint="eastAsia" w:hAnsi="宋体" w:cs="宋体"/>
                <w:snapToGrid w:val="0"/>
                <w:color w:val="auto"/>
                <w:kern w:val="21"/>
                <w:szCs w:val="21"/>
                <w:highlight w:val="none"/>
                <w:lang w:val="en-US" w:eastAsia="zh-CN"/>
              </w:rPr>
              <w:t>/</w:t>
            </w:r>
          </w:p>
        </w:tc>
        <w:tc>
          <w:tcPr>
            <w:tcW w:w="1145" w:type="dxa"/>
            <w:noWrap w:val="0"/>
            <w:vAlign w:val="center"/>
          </w:tcPr>
          <w:p>
            <w:pPr>
              <w:pStyle w:val="48"/>
              <w:spacing w:beforeLines="0" w:afterLines="0" w:line="240" w:lineRule="auto"/>
              <w:rPr>
                <w:rFonts w:hint="eastAsia" w:hAnsi="宋体" w:cs="宋体"/>
                <w:snapToGrid w:val="0"/>
                <w:color w:val="auto"/>
                <w:kern w:val="21"/>
                <w:szCs w:val="21"/>
                <w:highlight w:val="none"/>
                <w:lang w:val="en-US" w:eastAsia="zh-CN"/>
              </w:rPr>
            </w:pPr>
            <w:r>
              <w:rPr>
                <w:rFonts w:hint="eastAsia" w:hAnsi="宋体" w:cs="宋体"/>
                <w:snapToGrid w:val="0"/>
                <w:color w:val="auto"/>
                <w:kern w:val="21"/>
                <w:szCs w:val="21"/>
                <w:highlight w:val="none"/>
                <w:lang w:val="en-US" w:eastAsia="zh-CN"/>
              </w:rPr>
              <w:t>/</w:t>
            </w:r>
          </w:p>
        </w:tc>
        <w:tc>
          <w:tcPr>
            <w:tcW w:w="1701" w:type="dxa"/>
            <w:noWrap w:val="0"/>
            <w:vAlign w:val="center"/>
          </w:tcPr>
          <w:p>
            <w:pPr>
              <w:pStyle w:val="48"/>
              <w:spacing w:beforeLines="0" w:afterLines="0" w:line="240" w:lineRule="auto"/>
              <w:rPr>
                <w:rFonts w:hint="eastAsia" w:hAnsi="宋体" w:cs="宋体"/>
                <w:snapToGrid w:val="0"/>
                <w:color w:val="auto"/>
                <w:kern w:val="21"/>
                <w:szCs w:val="21"/>
                <w:highlight w:val="none"/>
                <w:lang w:val="en-US" w:eastAsia="zh-CN"/>
              </w:rPr>
            </w:pPr>
            <w:r>
              <w:rPr>
                <w:rFonts w:hint="eastAsia" w:hAnsi="宋体" w:cs="宋体"/>
                <w:snapToGrid w:val="0"/>
                <w:color w:val="auto"/>
                <w:kern w:val="21"/>
                <w:szCs w:val="21"/>
                <w:highlight w:val="none"/>
                <w:lang w:val="en-US" w:eastAsia="zh-CN"/>
              </w:rPr>
              <w:t>/</w:t>
            </w:r>
          </w:p>
        </w:tc>
        <w:tc>
          <w:tcPr>
            <w:tcW w:w="1559" w:type="dxa"/>
            <w:noWrap w:val="0"/>
            <w:vAlign w:val="center"/>
          </w:tcPr>
          <w:p>
            <w:pPr>
              <w:pStyle w:val="65"/>
              <w:bidi w:val="0"/>
              <w:jc w:val="center"/>
              <w:rPr>
                <w:rFonts w:hint="eastAsia" w:ascii="Times New Roman" w:hAnsi="Times New Roman" w:eastAsia="宋体" w:cs="Times New Roman"/>
                <w:color w:val="auto"/>
                <w:highlight w:val="none"/>
                <w:lang w:val="en-US" w:eastAsia="zh-CN"/>
              </w:rPr>
            </w:pPr>
            <w:r>
              <w:rPr>
                <w:rFonts w:hint="eastAsia" w:ascii="Times New Roman" w:hAnsi="Times New Roman" w:eastAsia="宋体" w:cs="Times New Roman"/>
                <w:color w:val="auto"/>
                <w:highlight w:val="none"/>
                <w:lang w:val="en-US" w:eastAsia="zh-CN"/>
              </w:rPr>
              <w:t>0.0</w:t>
            </w:r>
            <w:r>
              <w:rPr>
                <w:rFonts w:hint="eastAsia" w:cs="Times New Roman"/>
                <w:color w:val="auto"/>
                <w:highlight w:val="none"/>
                <w:lang w:val="en-US" w:eastAsia="zh-CN"/>
              </w:rPr>
              <w:t>1</w:t>
            </w:r>
            <w:r>
              <w:rPr>
                <w:rFonts w:hint="eastAsia" w:ascii="Times New Roman" w:hAnsi="Times New Roman" w:eastAsia="宋体" w:cs="Times New Roman"/>
                <w:color w:val="auto"/>
                <w:highlight w:val="none"/>
                <w:lang w:val="en-US" w:eastAsia="zh-CN"/>
              </w:rPr>
              <w:t>t/a</w:t>
            </w:r>
          </w:p>
        </w:tc>
        <w:tc>
          <w:tcPr>
            <w:tcW w:w="1761" w:type="dxa"/>
            <w:noWrap w:val="0"/>
            <w:vAlign w:val="center"/>
          </w:tcPr>
          <w:p>
            <w:pPr>
              <w:pStyle w:val="48"/>
              <w:spacing w:beforeLines="0" w:afterLines="0" w:line="240" w:lineRule="auto"/>
              <w:rPr>
                <w:rFonts w:hint="eastAsia" w:hAnsi="宋体" w:cs="宋体"/>
                <w:snapToGrid w:val="0"/>
                <w:color w:val="auto"/>
                <w:kern w:val="21"/>
                <w:szCs w:val="21"/>
                <w:highlight w:val="none"/>
                <w:lang w:val="en-US" w:eastAsia="zh-CN"/>
              </w:rPr>
            </w:pPr>
          </w:p>
        </w:tc>
        <w:tc>
          <w:tcPr>
            <w:tcW w:w="1656" w:type="dxa"/>
            <w:noWrap w:val="0"/>
            <w:vAlign w:val="center"/>
          </w:tcPr>
          <w:p>
            <w:pPr>
              <w:pStyle w:val="65"/>
              <w:bidi w:val="0"/>
              <w:jc w:val="center"/>
              <w:rPr>
                <w:rFonts w:hint="eastAsia" w:cs="Times New Roman"/>
                <w:color w:val="auto"/>
                <w:highlight w:val="none"/>
                <w:lang w:val="en-US" w:eastAsia="zh-CN"/>
              </w:rPr>
            </w:pPr>
            <w:r>
              <w:rPr>
                <w:rFonts w:hint="eastAsia" w:ascii="Times New Roman" w:hAnsi="Times New Roman" w:eastAsia="宋体" w:cs="Times New Roman"/>
                <w:color w:val="auto"/>
                <w:highlight w:val="none"/>
                <w:lang w:val="en-US" w:eastAsia="zh-CN"/>
              </w:rPr>
              <w:t>0.0</w:t>
            </w:r>
            <w:r>
              <w:rPr>
                <w:rFonts w:hint="eastAsia" w:cs="Times New Roman"/>
                <w:color w:val="auto"/>
                <w:highlight w:val="none"/>
                <w:lang w:val="en-US" w:eastAsia="zh-CN"/>
              </w:rPr>
              <w:t>1</w:t>
            </w:r>
            <w:r>
              <w:rPr>
                <w:rFonts w:hint="eastAsia" w:ascii="Times New Roman" w:hAnsi="Times New Roman" w:eastAsia="宋体" w:cs="Times New Roman"/>
                <w:color w:val="auto"/>
                <w:highlight w:val="none"/>
                <w:lang w:val="en-US" w:eastAsia="zh-CN"/>
              </w:rPr>
              <w:t>t/a</w:t>
            </w:r>
          </w:p>
        </w:tc>
        <w:tc>
          <w:tcPr>
            <w:tcW w:w="1129" w:type="dxa"/>
            <w:noWrap w:val="0"/>
            <w:vAlign w:val="center"/>
          </w:tcPr>
          <w:p>
            <w:pPr>
              <w:pStyle w:val="65"/>
              <w:bidi w:val="0"/>
              <w:jc w:val="center"/>
              <w:rPr>
                <w:rFonts w:hint="eastAsia" w:cs="Times New Roman"/>
                <w:color w:val="auto"/>
                <w:highlight w:val="none"/>
                <w:lang w:val="en-US" w:eastAsia="zh-CN"/>
              </w:rPr>
            </w:pPr>
            <w:r>
              <w:rPr>
                <w:rFonts w:hint="eastAsia" w:cs="Times New Roman"/>
                <w:color w:val="auto"/>
                <w:highlight w:val="none"/>
                <w:lang w:val="en-US" w:eastAsia="zh-CN"/>
              </w:rPr>
              <w:t>+</w:t>
            </w:r>
            <w:r>
              <w:rPr>
                <w:rFonts w:hint="eastAsia" w:ascii="Times New Roman" w:hAnsi="Times New Roman" w:eastAsia="宋体" w:cs="Times New Roman"/>
                <w:color w:val="auto"/>
                <w:highlight w:val="none"/>
                <w:lang w:val="en-US" w:eastAsia="zh-CN"/>
              </w:rPr>
              <w:t>0.0</w:t>
            </w:r>
            <w:r>
              <w:rPr>
                <w:rFonts w:hint="eastAsia" w:cs="Times New Roman"/>
                <w:color w:val="auto"/>
                <w:highlight w:val="none"/>
                <w:lang w:val="en-US" w:eastAsia="zh-CN"/>
              </w:rPr>
              <w:t>1</w:t>
            </w:r>
            <w:r>
              <w:rPr>
                <w:rFonts w:hint="eastAsia" w:ascii="Times New Roman" w:hAnsi="Times New Roman" w:eastAsia="宋体" w:cs="Times New Roman"/>
                <w:color w:val="auto"/>
                <w:highlight w:val="none"/>
                <w:lang w:val="en-US" w:eastAsia="zh-CN"/>
              </w:rPr>
              <w:t>t/a</w:t>
            </w:r>
          </w:p>
        </w:tc>
      </w:tr>
    </w:tbl>
    <w:p>
      <w:pPr>
        <w:pStyle w:val="48"/>
        <w:spacing w:before="192" w:beforeLines="80" w:after="24"/>
        <w:jc w:val="left"/>
        <w:rPr>
          <w:rFonts w:ascii="宋体" w:hAnsi="宋体" w:eastAsia="黑体"/>
          <w:color w:val="auto"/>
          <w:highlight w:val="none"/>
        </w:rPr>
      </w:pPr>
      <w:r>
        <w:rPr>
          <w:rFonts w:hAnsi="宋体"/>
          <w:snapToGrid w:val="0"/>
          <w:color w:val="auto"/>
          <w:kern w:val="21"/>
          <w:szCs w:val="21"/>
          <w:highlight w:val="none"/>
        </w:rPr>
        <w:t>注：</w:t>
      </w:r>
      <w:r>
        <w:rPr>
          <w:rFonts w:hAnsi="宋体"/>
          <w:snapToGrid w:val="0"/>
          <w:color w:val="auto"/>
          <w:spacing w:val="-16"/>
          <w:kern w:val="21"/>
          <w:szCs w:val="21"/>
          <w:highlight w:val="none"/>
        </w:rPr>
        <w:fldChar w:fldCharType="begin"/>
      </w:r>
      <w:r>
        <w:rPr>
          <w:rFonts w:hAnsi="宋体"/>
          <w:snapToGrid w:val="0"/>
          <w:color w:val="auto"/>
          <w:spacing w:val="-16"/>
          <w:kern w:val="21"/>
          <w:szCs w:val="21"/>
          <w:highlight w:val="none"/>
        </w:rPr>
        <w:instrText xml:space="preserve"> = 6 \* GB3 \* MERGEFORMAT </w:instrText>
      </w:r>
      <w:r>
        <w:rPr>
          <w:rFonts w:hAnsi="宋体"/>
          <w:snapToGrid w:val="0"/>
          <w:color w:val="auto"/>
          <w:spacing w:val="-16"/>
          <w:kern w:val="21"/>
          <w:szCs w:val="21"/>
          <w:highlight w:val="none"/>
        </w:rPr>
        <w:fldChar w:fldCharType="separate"/>
      </w:r>
      <w:r>
        <w:rPr>
          <w:rFonts w:hint="eastAsia" w:hAnsi="宋体"/>
          <w:color w:val="auto"/>
          <w:szCs w:val="21"/>
          <w:highlight w:val="none"/>
        </w:rPr>
        <w:t>⑥</w:t>
      </w:r>
      <w:r>
        <w:rPr>
          <w:rFonts w:hAnsi="宋体"/>
          <w:snapToGrid w:val="0"/>
          <w:color w:val="auto"/>
          <w:spacing w:val="-16"/>
          <w:kern w:val="21"/>
          <w:szCs w:val="21"/>
          <w:highlight w:val="none"/>
        </w:rPr>
        <w:fldChar w:fldCharType="end"/>
      </w:r>
      <w:r>
        <w:rPr>
          <w:rFonts w:hAnsi="宋体"/>
          <w:snapToGrid w:val="0"/>
          <w:color w:val="auto"/>
          <w:spacing w:val="-16"/>
          <w:kern w:val="21"/>
          <w:szCs w:val="21"/>
          <w:highlight w:val="none"/>
        </w:rPr>
        <w:t>=</w:t>
      </w:r>
      <w:r>
        <w:rPr>
          <w:rFonts w:hAnsi="宋体"/>
          <w:snapToGrid w:val="0"/>
          <w:color w:val="auto"/>
          <w:spacing w:val="-6"/>
          <w:kern w:val="21"/>
          <w:szCs w:val="21"/>
          <w:highlight w:val="none"/>
        </w:rPr>
        <w:fldChar w:fldCharType="begin"/>
      </w:r>
      <w:r>
        <w:rPr>
          <w:rFonts w:hAnsi="宋体"/>
          <w:snapToGrid w:val="0"/>
          <w:color w:val="auto"/>
          <w:spacing w:val="-6"/>
          <w:kern w:val="21"/>
          <w:szCs w:val="21"/>
          <w:highlight w:val="none"/>
        </w:rPr>
        <w:instrText xml:space="preserve"> = 1 \* GB3 \* MERGEFORMAT </w:instrText>
      </w:r>
      <w:r>
        <w:rPr>
          <w:rFonts w:hAnsi="宋体"/>
          <w:snapToGrid w:val="0"/>
          <w:color w:val="auto"/>
          <w:spacing w:val="-6"/>
          <w:kern w:val="21"/>
          <w:szCs w:val="21"/>
          <w:highlight w:val="none"/>
        </w:rPr>
        <w:fldChar w:fldCharType="separate"/>
      </w:r>
      <w:r>
        <w:rPr>
          <w:rFonts w:hint="eastAsia" w:hAnsi="宋体"/>
          <w:color w:val="auto"/>
          <w:szCs w:val="21"/>
          <w:highlight w:val="none"/>
        </w:rPr>
        <w:t>①</w:t>
      </w:r>
      <w:r>
        <w:rPr>
          <w:rFonts w:hAnsi="宋体"/>
          <w:snapToGrid w:val="0"/>
          <w:color w:val="auto"/>
          <w:spacing w:val="-6"/>
          <w:kern w:val="21"/>
          <w:szCs w:val="21"/>
          <w:highlight w:val="none"/>
        </w:rPr>
        <w:fldChar w:fldCharType="end"/>
      </w:r>
      <w:r>
        <w:rPr>
          <w:rFonts w:hAnsi="宋体"/>
          <w:snapToGrid w:val="0"/>
          <w:color w:val="auto"/>
          <w:spacing w:val="-6"/>
          <w:kern w:val="21"/>
          <w:szCs w:val="21"/>
          <w:highlight w:val="none"/>
        </w:rPr>
        <w:t>+</w:t>
      </w:r>
      <w:r>
        <w:rPr>
          <w:rFonts w:hAnsi="宋体"/>
          <w:snapToGrid w:val="0"/>
          <w:color w:val="auto"/>
          <w:spacing w:val="-6"/>
          <w:kern w:val="21"/>
          <w:szCs w:val="21"/>
          <w:highlight w:val="none"/>
        </w:rPr>
        <w:fldChar w:fldCharType="begin"/>
      </w:r>
      <w:r>
        <w:rPr>
          <w:rFonts w:hAnsi="宋体"/>
          <w:snapToGrid w:val="0"/>
          <w:color w:val="auto"/>
          <w:spacing w:val="-6"/>
          <w:kern w:val="21"/>
          <w:szCs w:val="21"/>
          <w:highlight w:val="none"/>
        </w:rPr>
        <w:instrText xml:space="preserve"> = 3 \* GB3 \* MERGEFORMAT </w:instrText>
      </w:r>
      <w:r>
        <w:rPr>
          <w:rFonts w:hAnsi="宋体"/>
          <w:snapToGrid w:val="0"/>
          <w:color w:val="auto"/>
          <w:spacing w:val="-6"/>
          <w:kern w:val="21"/>
          <w:szCs w:val="21"/>
          <w:highlight w:val="none"/>
        </w:rPr>
        <w:fldChar w:fldCharType="separate"/>
      </w:r>
      <w:r>
        <w:rPr>
          <w:rFonts w:hint="eastAsia" w:hAnsi="宋体"/>
          <w:color w:val="auto"/>
          <w:szCs w:val="21"/>
          <w:highlight w:val="none"/>
        </w:rPr>
        <w:t>③</w:t>
      </w:r>
      <w:r>
        <w:rPr>
          <w:rFonts w:hAnsi="宋体"/>
          <w:snapToGrid w:val="0"/>
          <w:color w:val="auto"/>
          <w:spacing w:val="-6"/>
          <w:kern w:val="21"/>
          <w:szCs w:val="21"/>
          <w:highlight w:val="none"/>
        </w:rPr>
        <w:fldChar w:fldCharType="end"/>
      </w:r>
      <w:r>
        <w:rPr>
          <w:rFonts w:hAnsi="宋体"/>
          <w:snapToGrid w:val="0"/>
          <w:color w:val="auto"/>
          <w:spacing w:val="-6"/>
          <w:kern w:val="21"/>
          <w:szCs w:val="21"/>
          <w:highlight w:val="none"/>
        </w:rPr>
        <w:t>+</w:t>
      </w:r>
      <w:r>
        <w:rPr>
          <w:rFonts w:hAnsi="宋体"/>
          <w:snapToGrid w:val="0"/>
          <w:color w:val="auto"/>
          <w:spacing w:val="-6"/>
          <w:kern w:val="21"/>
          <w:szCs w:val="21"/>
          <w:highlight w:val="none"/>
        </w:rPr>
        <w:fldChar w:fldCharType="begin"/>
      </w:r>
      <w:r>
        <w:rPr>
          <w:rFonts w:hAnsi="宋体"/>
          <w:snapToGrid w:val="0"/>
          <w:color w:val="auto"/>
          <w:spacing w:val="-6"/>
          <w:kern w:val="21"/>
          <w:szCs w:val="21"/>
          <w:highlight w:val="none"/>
        </w:rPr>
        <w:instrText xml:space="preserve"> = 4 \* GB3 \* MERGEFORMAT </w:instrText>
      </w:r>
      <w:r>
        <w:rPr>
          <w:rFonts w:hAnsi="宋体"/>
          <w:snapToGrid w:val="0"/>
          <w:color w:val="auto"/>
          <w:spacing w:val="-6"/>
          <w:kern w:val="21"/>
          <w:szCs w:val="21"/>
          <w:highlight w:val="none"/>
        </w:rPr>
        <w:fldChar w:fldCharType="separate"/>
      </w:r>
      <w:r>
        <w:rPr>
          <w:rFonts w:hint="eastAsia" w:hAnsi="宋体"/>
          <w:color w:val="auto"/>
          <w:szCs w:val="21"/>
          <w:highlight w:val="none"/>
        </w:rPr>
        <w:t>④</w:t>
      </w:r>
      <w:r>
        <w:rPr>
          <w:rFonts w:hAnsi="宋体"/>
          <w:snapToGrid w:val="0"/>
          <w:color w:val="auto"/>
          <w:spacing w:val="-6"/>
          <w:kern w:val="21"/>
          <w:szCs w:val="21"/>
          <w:highlight w:val="none"/>
        </w:rPr>
        <w:fldChar w:fldCharType="end"/>
      </w:r>
      <w:r>
        <w:rPr>
          <w:rFonts w:hAnsi="宋体"/>
          <w:snapToGrid w:val="0"/>
          <w:color w:val="auto"/>
          <w:spacing w:val="-6"/>
          <w:kern w:val="21"/>
          <w:szCs w:val="21"/>
          <w:highlight w:val="none"/>
        </w:rPr>
        <w:t>-</w:t>
      </w:r>
      <w:r>
        <w:rPr>
          <w:rFonts w:hAnsi="宋体"/>
          <w:snapToGrid w:val="0"/>
          <w:color w:val="auto"/>
          <w:spacing w:val="-16"/>
          <w:kern w:val="21"/>
          <w:szCs w:val="21"/>
          <w:highlight w:val="none"/>
        </w:rPr>
        <w:fldChar w:fldCharType="begin"/>
      </w:r>
      <w:r>
        <w:rPr>
          <w:rFonts w:hAnsi="宋体"/>
          <w:snapToGrid w:val="0"/>
          <w:color w:val="auto"/>
          <w:spacing w:val="-16"/>
          <w:kern w:val="21"/>
          <w:szCs w:val="21"/>
          <w:highlight w:val="none"/>
        </w:rPr>
        <w:instrText xml:space="preserve"> = 5 \* GB3 \* MERGEFORMAT </w:instrText>
      </w:r>
      <w:r>
        <w:rPr>
          <w:rFonts w:hAnsi="宋体"/>
          <w:snapToGrid w:val="0"/>
          <w:color w:val="auto"/>
          <w:spacing w:val="-16"/>
          <w:kern w:val="21"/>
          <w:szCs w:val="21"/>
          <w:highlight w:val="none"/>
        </w:rPr>
        <w:fldChar w:fldCharType="separate"/>
      </w:r>
      <w:r>
        <w:rPr>
          <w:rFonts w:hint="eastAsia" w:hAnsi="宋体"/>
          <w:color w:val="auto"/>
          <w:szCs w:val="21"/>
          <w:highlight w:val="none"/>
        </w:rPr>
        <w:t>⑤</w:t>
      </w:r>
      <w:r>
        <w:rPr>
          <w:rFonts w:hAnsi="宋体"/>
          <w:snapToGrid w:val="0"/>
          <w:color w:val="auto"/>
          <w:spacing w:val="-16"/>
          <w:kern w:val="21"/>
          <w:szCs w:val="21"/>
          <w:highlight w:val="none"/>
        </w:rPr>
        <w:fldChar w:fldCharType="end"/>
      </w:r>
      <w:r>
        <w:rPr>
          <w:rFonts w:hAnsi="宋体"/>
          <w:snapToGrid w:val="0"/>
          <w:color w:val="auto"/>
          <w:spacing w:val="-16"/>
          <w:kern w:val="21"/>
          <w:szCs w:val="21"/>
          <w:highlight w:val="none"/>
        </w:rPr>
        <w:t>；</w:t>
      </w:r>
      <w:r>
        <w:rPr>
          <w:rFonts w:hAnsi="宋体"/>
          <w:snapToGrid w:val="0"/>
          <w:color w:val="auto"/>
          <w:spacing w:val="-6"/>
          <w:kern w:val="21"/>
          <w:szCs w:val="21"/>
          <w:highlight w:val="none"/>
        </w:rPr>
        <w:fldChar w:fldCharType="begin"/>
      </w:r>
      <w:r>
        <w:rPr>
          <w:rFonts w:hAnsi="宋体"/>
          <w:snapToGrid w:val="0"/>
          <w:color w:val="auto"/>
          <w:spacing w:val="-6"/>
          <w:kern w:val="21"/>
          <w:szCs w:val="21"/>
          <w:highlight w:val="none"/>
        </w:rPr>
        <w:instrText xml:space="preserve"> = 7 \* GB3 \* MERGEFORMAT </w:instrText>
      </w:r>
      <w:r>
        <w:rPr>
          <w:rFonts w:hAnsi="宋体"/>
          <w:snapToGrid w:val="0"/>
          <w:color w:val="auto"/>
          <w:spacing w:val="-6"/>
          <w:kern w:val="21"/>
          <w:szCs w:val="21"/>
          <w:highlight w:val="none"/>
        </w:rPr>
        <w:fldChar w:fldCharType="separate"/>
      </w:r>
      <w:r>
        <w:rPr>
          <w:rFonts w:hint="eastAsia" w:hAnsi="宋体"/>
          <w:color w:val="auto"/>
          <w:szCs w:val="21"/>
          <w:highlight w:val="none"/>
        </w:rPr>
        <w:t>⑦</w:t>
      </w:r>
      <w:r>
        <w:rPr>
          <w:rFonts w:hAnsi="宋体"/>
          <w:snapToGrid w:val="0"/>
          <w:color w:val="auto"/>
          <w:spacing w:val="-6"/>
          <w:kern w:val="21"/>
          <w:szCs w:val="21"/>
          <w:highlight w:val="none"/>
        </w:rPr>
        <w:fldChar w:fldCharType="end"/>
      </w:r>
      <w:r>
        <w:rPr>
          <w:rFonts w:hAnsi="宋体"/>
          <w:snapToGrid w:val="0"/>
          <w:color w:val="auto"/>
          <w:spacing w:val="-6"/>
          <w:kern w:val="21"/>
          <w:szCs w:val="21"/>
          <w:highlight w:val="none"/>
        </w:rPr>
        <w:t>=</w:t>
      </w:r>
      <w:r>
        <w:rPr>
          <w:rFonts w:hAnsi="宋体"/>
          <w:snapToGrid w:val="0"/>
          <w:color w:val="auto"/>
          <w:spacing w:val="-16"/>
          <w:kern w:val="21"/>
          <w:szCs w:val="21"/>
          <w:highlight w:val="none"/>
        </w:rPr>
        <w:fldChar w:fldCharType="begin"/>
      </w:r>
      <w:r>
        <w:rPr>
          <w:rFonts w:hAnsi="宋体"/>
          <w:snapToGrid w:val="0"/>
          <w:color w:val="auto"/>
          <w:spacing w:val="-16"/>
          <w:kern w:val="21"/>
          <w:szCs w:val="21"/>
          <w:highlight w:val="none"/>
        </w:rPr>
        <w:instrText xml:space="preserve"> = 6 \* GB3 \* MERGEFORMAT </w:instrText>
      </w:r>
      <w:r>
        <w:rPr>
          <w:rFonts w:hAnsi="宋体"/>
          <w:snapToGrid w:val="0"/>
          <w:color w:val="auto"/>
          <w:spacing w:val="-16"/>
          <w:kern w:val="21"/>
          <w:szCs w:val="21"/>
          <w:highlight w:val="none"/>
        </w:rPr>
        <w:fldChar w:fldCharType="separate"/>
      </w:r>
      <w:r>
        <w:rPr>
          <w:rFonts w:hint="eastAsia" w:hAnsi="宋体"/>
          <w:color w:val="auto"/>
          <w:szCs w:val="21"/>
          <w:highlight w:val="none"/>
        </w:rPr>
        <w:t>⑥</w:t>
      </w:r>
      <w:r>
        <w:rPr>
          <w:rFonts w:hAnsi="宋体"/>
          <w:snapToGrid w:val="0"/>
          <w:color w:val="auto"/>
          <w:spacing w:val="-16"/>
          <w:kern w:val="21"/>
          <w:szCs w:val="21"/>
          <w:highlight w:val="none"/>
        </w:rPr>
        <w:fldChar w:fldCharType="end"/>
      </w:r>
      <w:r>
        <w:rPr>
          <w:rFonts w:hAnsi="宋体"/>
          <w:snapToGrid w:val="0"/>
          <w:color w:val="auto"/>
          <w:spacing w:val="-16"/>
          <w:kern w:val="21"/>
          <w:szCs w:val="21"/>
          <w:highlight w:val="none"/>
        </w:rPr>
        <w:t>-</w:t>
      </w:r>
      <w:r>
        <w:rPr>
          <w:rFonts w:hAnsi="宋体"/>
          <w:snapToGrid w:val="0"/>
          <w:color w:val="auto"/>
          <w:spacing w:val="-6"/>
          <w:kern w:val="21"/>
          <w:szCs w:val="21"/>
          <w:highlight w:val="none"/>
        </w:rPr>
        <w:fldChar w:fldCharType="begin"/>
      </w:r>
      <w:r>
        <w:rPr>
          <w:rFonts w:hAnsi="宋体"/>
          <w:snapToGrid w:val="0"/>
          <w:color w:val="auto"/>
          <w:spacing w:val="-6"/>
          <w:kern w:val="21"/>
          <w:szCs w:val="21"/>
          <w:highlight w:val="none"/>
        </w:rPr>
        <w:instrText xml:space="preserve"> = 1 \* GB3 \* MERGEFORMAT </w:instrText>
      </w:r>
      <w:r>
        <w:rPr>
          <w:rFonts w:hAnsi="宋体"/>
          <w:snapToGrid w:val="0"/>
          <w:color w:val="auto"/>
          <w:spacing w:val="-6"/>
          <w:kern w:val="21"/>
          <w:szCs w:val="21"/>
          <w:highlight w:val="none"/>
        </w:rPr>
        <w:fldChar w:fldCharType="separate"/>
      </w:r>
      <w:r>
        <w:rPr>
          <w:rFonts w:hint="eastAsia" w:hAnsi="宋体"/>
          <w:color w:val="auto"/>
          <w:szCs w:val="21"/>
          <w:highlight w:val="none"/>
        </w:rPr>
        <w:t>①</w:t>
      </w:r>
      <w:r>
        <w:rPr>
          <w:rFonts w:hAnsi="宋体"/>
          <w:snapToGrid w:val="0"/>
          <w:color w:val="auto"/>
          <w:spacing w:val="-6"/>
          <w:kern w:val="21"/>
          <w:szCs w:val="21"/>
          <w:highlight w:val="none"/>
        </w:rPr>
        <w:fldChar w:fldCharType="end"/>
      </w:r>
    </w:p>
    <w:sectPr>
      <w:footerReference r:id="rId6" w:type="default"/>
      <w:pgSz w:w="16838" w:h="11906" w:orient="landscape"/>
      <w:pgMar w:top="1440" w:right="1080" w:bottom="1440" w:left="1080" w:header="851" w:footer="851" w:gutter="0"/>
      <w:cols w:space="720" w:num="1"/>
      <w:docGrid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4F"/>
    <w:family w:val="auto"/>
    <w:pitch w:val="default"/>
    <w:sig w:usb0="E0002AFF" w:usb1="C0007841" w:usb2="00000009" w:usb3="00000000" w:csb0="400001FF" w:csb1="FFFF0000"/>
  </w:font>
  <w:font w:name="宋体">
    <w:panose1 w:val="02010600030101010101"/>
    <w:charset w:val="B1"/>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方正仿宋_GBK">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方正小标宋_GBK">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华文仿宋">
    <w:altName w:val="仿宋"/>
    <w:panose1 w:val="02010600040101010101"/>
    <w:charset w:val="86"/>
    <w:family w:val="auto"/>
    <w:pitch w:val="default"/>
    <w:sig w:usb0="00000000" w:usb1="00000000" w:usb2="00000000" w:usb3="00000000" w:csb0="0004009F" w:csb1="DFD70000"/>
  </w:font>
  <w:font w:name="仿宋">
    <w:panose1 w:val="02010609060101010101"/>
    <w:charset w:val="86"/>
    <w:family w:val="auto"/>
    <w:pitch w:val="default"/>
    <w:sig w:usb0="800002BF" w:usb1="38CF7CFA" w:usb2="00000016" w:usb3="00000000" w:csb0="00040001" w:csb1="00000000"/>
  </w:font>
  <w:font w:name="MS PGothic">
    <w:panose1 w:val="020B0600070205080204"/>
    <w:charset w:val="80"/>
    <w:family w:val="auto"/>
    <w:pitch w:val="default"/>
    <w:sig w:usb0="E00002FF" w:usb1="6AC7FDFB" w:usb2="00000012" w:usb3="00000000" w:csb0="4002009F" w:csb1="DFD7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ind w:right="360"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framePr w:wrap="around" w:vAnchor="text" w:hAnchor="margin" w:xAlign="center" w:y="1"/>
      <w:rPr>
        <w:rStyle w:val="25"/>
      </w:rPr>
    </w:pPr>
    <w:r>
      <w:fldChar w:fldCharType="begin"/>
    </w:r>
    <w:r>
      <w:rPr>
        <w:rStyle w:val="25"/>
      </w:rPr>
      <w:instrText xml:space="preserve">PAGE  </w:instrText>
    </w:r>
    <w:r>
      <w:fldChar w:fldCharType="end"/>
    </w:r>
  </w:p>
  <w:p>
    <w:pPr>
      <w:pStyle w:val="14"/>
      <w:ind w:right="360"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framePr w:wrap="around" w:vAnchor="text" w:hAnchor="margin" w:xAlign="outside" w:y="1"/>
      <w:rPr>
        <w:rStyle w:val="25"/>
        <w:rFonts w:ascii="宋体" w:hAnsi="宋体"/>
        <w:sz w:val="28"/>
        <w:szCs w:val="28"/>
      </w:rPr>
    </w:pPr>
    <w:r>
      <w:rPr>
        <w:rStyle w:val="25"/>
        <w:rFonts w:hint="eastAsia" w:ascii="宋体" w:hAnsi="宋体"/>
        <w:sz w:val="28"/>
        <w:szCs w:val="28"/>
      </w:rPr>
      <w:t>—</w:t>
    </w:r>
    <w:r>
      <w:rPr>
        <w:rStyle w:val="25"/>
        <w:rFonts w:hint="eastAsia" w:ascii="宋体" w:hAnsi="宋体"/>
        <w:sz w:val="20"/>
      </w:rPr>
      <w:t xml:space="preserve">  </w:t>
    </w:r>
    <w:r>
      <w:rPr>
        <w:rStyle w:val="25"/>
        <w:rFonts w:ascii="宋体" w:hAnsi="宋体"/>
        <w:sz w:val="26"/>
        <w:szCs w:val="26"/>
      </w:rPr>
      <w:fldChar w:fldCharType="begin"/>
    </w:r>
    <w:r>
      <w:rPr>
        <w:rStyle w:val="25"/>
        <w:rFonts w:ascii="宋体" w:hAnsi="宋体"/>
        <w:sz w:val="26"/>
        <w:szCs w:val="26"/>
      </w:rPr>
      <w:instrText xml:space="preserve">PAGE  </w:instrText>
    </w:r>
    <w:r>
      <w:rPr>
        <w:rStyle w:val="25"/>
        <w:rFonts w:ascii="宋体" w:hAnsi="宋体"/>
        <w:sz w:val="26"/>
        <w:szCs w:val="26"/>
      </w:rPr>
      <w:fldChar w:fldCharType="separate"/>
    </w:r>
    <w:r>
      <w:rPr>
        <w:rStyle w:val="25"/>
        <w:rFonts w:ascii="宋体" w:hAnsi="宋体"/>
        <w:sz w:val="26"/>
        <w:szCs w:val="26"/>
      </w:rPr>
      <w:t>9</w:t>
    </w:r>
    <w:r>
      <w:rPr>
        <w:rStyle w:val="25"/>
        <w:rFonts w:ascii="宋体" w:hAnsi="宋体"/>
        <w:sz w:val="26"/>
        <w:szCs w:val="26"/>
      </w:rPr>
      <w:fldChar w:fldCharType="end"/>
    </w:r>
    <w:r>
      <w:rPr>
        <w:rStyle w:val="25"/>
        <w:rFonts w:hint="eastAsia" w:ascii="宋体" w:hAnsi="宋体"/>
        <w:sz w:val="20"/>
      </w:rPr>
      <w:t xml:space="preserve">  </w:t>
    </w:r>
    <w:r>
      <w:rPr>
        <w:rStyle w:val="25"/>
        <w:rFonts w:hint="eastAsia" w:ascii="宋体" w:hAnsi="宋体"/>
        <w:sz w:val="28"/>
        <w:szCs w:val="28"/>
      </w:rPr>
      <w:t>—</w:t>
    </w:r>
  </w:p>
  <w:p>
    <w:pPr>
      <w:pStyle w:val="14"/>
      <w:ind w:right="360" w:firstLine="360"/>
      <w:jc w:val="cente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4"/>
      <w:framePr w:wrap="around" w:vAnchor="text" w:hAnchor="margin" w:xAlign="outside" w:y="1"/>
      <w:rPr>
        <w:rStyle w:val="25"/>
        <w:rFonts w:ascii="宋体" w:hAnsi="宋体"/>
        <w:sz w:val="28"/>
        <w:szCs w:val="28"/>
      </w:rPr>
    </w:pPr>
    <w:r>
      <w:rPr>
        <w:rStyle w:val="25"/>
        <w:rFonts w:hint="eastAsia" w:ascii="宋体" w:hAnsi="宋体"/>
        <w:sz w:val="28"/>
        <w:szCs w:val="28"/>
      </w:rPr>
      <w:t>—</w:t>
    </w:r>
    <w:r>
      <w:rPr>
        <w:rStyle w:val="25"/>
        <w:rFonts w:hint="eastAsia" w:ascii="宋体" w:hAnsi="宋体"/>
        <w:sz w:val="20"/>
      </w:rPr>
      <w:t xml:space="preserve">  </w:t>
    </w:r>
    <w:r>
      <w:rPr>
        <w:rStyle w:val="25"/>
        <w:rFonts w:ascii="宋体" w:hAnsi="宋体"/>
        <w:sz w:val="26"/>
        <w:szCs w:val="26"/>
      </w:rPr>
      <w:fldChar w:fldCharType="begin"/>
    </w:r>
    <w:r>
      <w:rPr>
        <w:rStyle w:val="25"/>
        <w:rFonts w:ascii="宋体" w:hAnsi="宋体"/>
        <w:sz w:val="26"/>
        <w:szCs w:val="26"/>
      </w:rPr>
      <w:instrText xml:space="preserve">PAGE  </w:instrText>
    </w:r>
    <w:r>
      <w:rPr>
        <w:rStyle w:val="25"/>
        <w:rFonts w:ascii="宋体" w:hAnsi="宋体"/>
        <w:sz w:val="26"/>
        <w:szCs w:val="26"/>
      </w:rPr>
      <w:fldChar w:fldCharType="separate"/>
    </w:r>
    <w:r>
      <w:rPr>
        <w:rStyle w:val="25"/>
        <w:rFonts w:ascii="宋体" w:hAnsi="宋体"/>
        <w:sz w:val="26"/>
        <w:szCs w:val="26"/>
      </w:rPr>
      <w:t>11</w:t>
    </w:r>
    <w:r>
      <w:rPr>
        <w:rStyle w:val="25"/>
        <w:rFonts w:ascii="宋体" w:hAnsi="宋体"/>
        <w:sz w:val="26"/>
        <w:szCs w:val="26"/>
      </w:rPr>
      <w:fldChar w:fldCharType="end"/>
    </w:r>
    <w:r>
      <w:rPr>
        <w:rStyle w:val="25"/>
        <w:rFonts w:hint="eastAsia" w:ascii="宋体" w:hAnsi="宋体"/>
        <w:sz w:val="20"/>
      </w:rPr>
      <w:t xml:space="preserve">  </w:t>
    </w:r>
    <w:r>
      <w:rPr>
        <w:rStyle w:val="25"/>
        <w:rFonts w:hint="eastAsia" w:ascii="宋体" w:hAnsi="宋体"/>
        <w:sz w:val="28"/>
        <w:szCs w:val="28"/>
      </w:rPr>
      <w:t>—</w:t>
    </w:r>
  </w:p>
  <w:p>
    <w:pPr>
      <w:pStyle w:val="14"/>
      <w:ind w:right="360" w:firstLine="360"/>
      <w:jc w:val="center"/>
    </w:pPr>
  </w:p>
</w:ft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85A36141"/>
    <w:multiLevelType w:val="singleLevel"/>
    <w:tmpl w:val="85A36141"/>
    <w:lvl w:ilvl="0" w:tentative="0">
      <w:start w:val="2"/>
      <w:numFmt w:val="decimal"/>
      <w:suff w:val="nothing"/>
      <w:lvlText w:val="（%1）"/>
      <w:lvlJc w:val="left"/>
    </w:lvl>
  </w:abstractNum>
  <w:abstractNum w:abstractNumId="1">
    <w:nsid w:val="14232746"/>
    <w:multiLevelType w:val="singleLevel"/>
    <w:tmpl w:val="14232746"/>
    <w:lvl w:ilvl="0" w:tentative="0">
      <w:start w:val="3"/>
      <w:numFmt w:val="decimal"/>
      <w:suff w:val="nothing"/>
      <w:lvlText w:val="（%1）"/>
      <w:lvlJc w:val="left"/>
    </w:lvl>
  </w:abstractNum>
  <w:abstractNum w:abstractNumId="2">
    <w:nsid w:val="3986F572"/>
    <w:multiLevelType w:val="singleLevel"/>
    <w:tmpl w:val="3986F572"/>
    <w:lvl w:ilvl="0" w:tentative="0">
      <w:start w:val="2"/>
      <w:numFmt w:val="decimal"/>
      <w:suff w:val="nothing"/>
      <w:lvlText w:val="%1、"/>
      <w:lvlJc w:val="left"/>
    </w:lvl>
  </w:abstractNum>
  <w:abstractNum w:abstractNumId="3">
    <w:nsid w:val="576167E7"/>
    <w:multiLevelType w:val="multilevel"/>
    <w:tmpl w:val="576167E7"/>
    <w:lvl w:ilvl="0" w:tentative="0">
      <w:start w:val="1"/>
      <w:numFmt w:val="decimal"/>
      <w:lvlText w:val="%1"/>
      <w:lvlJc w:val="left"/>
      <w:pPr>
        <w:tabs>
          <w:tab w:val="left" w:pos="432"/>
        </w:tabs>
        <w:ind w:left="432" w:hanging="432"/>
      </w:pPr>
      <w:rPr>
        <w:rFonts w:hint="eastAsia"/>
      </w:rPr>
    </w:lvl>
    <w:lvl w:ilvl="1" w:tentative="0">
      <w:start w:val="1"/>
      <w:numFmt w:val="decimal"/>
      <w:lvlText w:val="%1.%2"/>
      <w:lvlJc w:val="left"/>
      <w:pPr>
        <w:tabs>
          <w:tab w:val="left" w:pos="576"/>
        </w:tabs>
        <w:ind w:left="576" w:hanging="576"/>
      </w:pPr>
      <w:rPr>
        <w:rFonts w:hint="eastAsia"/>
      </w:rPr>
    </w:lvl>
    <w:lvl w:ilvl="2" w:tentative="0">
      <w:start w:val="1"/>
      <w:numFmt w:val="decimal"/>
      <w:lvlText w:val="%1.%2.%3"/>
      <w:lvlJc w:val="left"/>
      <w:pPr>
        <w:tabs>
          <w:tab w:val="left" w:pos="720"/>
        </w:tabs>
        <w:ind w:left="720" w:hanging="720"/>
      </w:pPr>
      <w:rPr>
        <w:rFonts w:hint="eastAsia"/>
      </w:rPr>
    </w:lvl>
    <w:lvl w:ilvl="3" w:tentative="0">
      <w:start w:val="1"/>
      <w:numFmt w:val="decimal"/>
      <w:pStyle w:val="5"/>
      <w:lvlText w:val="%1.%2.%3.%4"/>
      <w:lvlJc w:val="left"/>
      <w:pPr>
        <w:tabs>
          <w:tab w:val="left" w:pos="864"/>
        </w:tabs>
        <w:ind w:left="864" w:hanging="864"/>
      </w:pPr>
      <w:rPr>
        <w:rFonts w:hint="eastAsia"/>
      </w:rPr>
    </w:lvl>
    <w:lvl w:ilvl="4" w:tentative="0">
      <w:start w:val="1"/>
      <w:numFmt w:val="decimal"/>
      <w:lvlText w:val="%1.%2.%3.%4.%5"/>
      <w:lvlJc w:val="left"/>
      <w:pPr>
        <w:tabs>
          <w:tab w:val="left" w:pos="1008"/>
        </w:tabs>
        <w:ind w:left="1008" w:hanging="1008"/>
      </w:pPr>
      <w:rPr>
        <w:rFonts w:hint="eastAsia"/>
      </w:rPr>
    </w:lvl>
    <w:lvl w:ilvl="5" w:tentative="0">
      <w:start w:val="1"/>
      <w:numFmt w:val="decimal"/>
      <w:lvlText w:val="%1.%2.%3.%4.%5.%6"/>
      <w:lvlJc w:val="left"/>
      <w:pPr>
        <w:tabs>
          <w:tab w:val="left" w:pos="1152"/>
        </w:tabs>
        <w:ind w:left="1152" w:hanging="1152"/>
      </w:pPr>
      <w:rPr>
        <w:rFonts w:hint="eastAsia"/>
      </w:rPr>
    </w:lvl>
    <w:lvl w:ilvl="6" w:tentative="0">
      <w:start w:val="1"/>
      <w:numFmt w:val="decimal"/>
      <w:lvlText w:val="%1.%2.%3.%4.%5.%6.%7"/>
      <w:lvlJc w:val="left"/>
      <w:pPr>
        <w:tabs>
          <w:tab w:val="left" w:pos="1296"/>
        </w:tabs>
        <w:ind w:left="1296" w:hanging="1296"/>
      </w:pPr>
      <w:rPr>
        <w:rFonts w:hint="eastAsia"/>
      </w:rPr>
    </w:lvl>
    <w:lvl w:ilvl="7" w:tentative="0">
      <w:start w:val="1"/>
      <w:numFmt w:val="decimal"/>
      <w:lvlText w:val="%1.%2.%3.%4.%5.%6.%7.%8"/>
      <w:lvlJc w:val="left"/>
      <w:pPr>
        <w:tabs>
          <w:tab w:val="left" w:pos="1440"/>
        </w:tabs>
        <w:ind w:left="1440" w:hanging="1440"/>
      </w:pPr>
      <w:rPr>
        <w:rFonts w:hint="eastAsia"/>
      </w:rPr>
    </w:lvl>
    <w:lvl w:ilvl="8" w:tentative="0">
      <w:start w:val="1"/>
      <w:numFmt w:val="decimal"/>
      <w:lvlText w:val="%1.%2.%3.%4.%5.%6.%7.%8.%9"/>
      <w:lvlJc w:val="left"/>
      <w:pPr>
        <w:tabs>
          <w:tab w:val="left" w:pos="1584"/>
        </w:tabs>
        <w:ind w:left="1584" w:hanging="1584"/>
      </w:pPr>
      <w:rPr>
        <w:rFonts w:hint="eastAsia"/>
      </w:rPr>
    </w:lvl>
  </w:abstractNum>
  <w:num w:numId="1">
    <w:abstractNumId w:val="3"/>
  </w:num>
  <w:num w:numId="2">
    <w:abstractNumId w:val="2"/>
  </w:num>
  <w:num w:numId="3">
    <w:abstractNumId w:val="0"/>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attachedTemplate r:id="rId1"/>
  <w:documentProtection w:edit="trackedChanges" w:enforcement="0"/>
  <w:defaultTabStop w:val="420"/>
  <w:hyphenationZone w:val="360"/>
  <w:doNotHyphenateCaps/>
  <w:drawingGridVerticalSpacing w:val="156"/>
  <w:displayHorizontalDrawingGridEvery w:val="1"/>
  <w:displayVerticalDrawingGridEvery w:val="1"/>
  <w:noPunctuationKerning w:val="1"/>
  <w:characterSpacingControl w:val="compressPunctuation"/>
  <w:noLineBreaksAfter w:lang="zh-CN" w:val="([{·‘“〈《「『【〔〖（．［｛￡￥"/>
  <w:noLineBreaksBefore w:lang="zh-CN" w:val="!),.:;?]}¨·ˇˉ―‖’”…∶、。〃々〉》」』】〕〗！＂＇），．：；？］｀｜｝～￠"/>
  <w:doNotValidateAgainstSchema/>
  <w:doNotDemarcateInvalidXml/>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14947"/>
    <w:rsid w:val="000060B3"/>
    <w:rsid w:val="0004364B"/>
    <w:rsid w:val="00061B1F"/>
    <w:rsid w:val="000733C4"/>
    <w:rsid w:val="00074783"/>
    <w:rsid w:val="0008070B"/>
    <w:rsid w:val="000810AC"/>
    <w:rsid w:val="00081A02"/>
    <w:rsid w:val="00082231"/>
    <w:rsid w:val="00092D38"/>
    <w:rsid w:val="0009377B"/>
    <w:rsid w:val="000A20C9"/>
    <w:rsid w:val="000B058F"/>
    <w:rsid w:val="000B4467"/>
    <w:rsid w:val="000B4DB9"/>
    <w:rsid w:val="000C09AC"/>
    <w:rsid w:val="000C767F"/>
    <w:rsid w:val="000D5A44"/>
    <w:rsid w:val="000E3ED2"/>
    <w:rsid w:val="00131F42"/>
    <w:rsid w:val="001357F1"/>
    <w:rsid w:val="00140FA8"/>
    <w:rsid w:val="00142FEB"/>
    <w:rsid w:val="00143A2D"/>
    <w:rsid w:val="00145A41"/>
    <w:rsid w:val="00151675"/>
    <w:rsid w:val="00157435"/>
    <w:rsid w:val="0017504D"/>
    <w:rsid w:val="0017671A"/>
    <w:rsid w:val="00177422"/>
    <w:rsid w:val="00184590"/>
    <w:rsid w:val="001870D1"/>
    <w:rsid w:val="0018781E"/>
    <w:rsid w:val="0019262D"/>
    <w:rsid w:val="001A1B35"/>
    <w:rsid w:val="001A48A2"/>
    <w:rsid w:val="001A6F61"/>
    <w:rsid w:val="001B72B8"/>
    <w:rsid w:val="001C69B3"/>
    <w:rsid w:val="001D5595"/>
    <w:rsid w:val="001D7874"/>
    <w:rsid w:val="001D7F22"/>
    <w:rsid w:val="001F0F17"/>
    <w:rsid w:val="001F3347"/>
    <w:rsid w:val="001F69E4"/>
    <w:rsid w:val="002125B4"/>
    <w:rsid w:val="002155B8"/>
    <w:rsid w:val="00224839"/>
    <w:rsid w:val="002249B2"/>
    <w:rsid w:val="00226574"/>
    <w:rsid w:val="002278EC"/>
    <w:rsid w:val="0023280E"/>
    <w:rsid w:val="002377D1"/>
    <w:rsid w:val="002506BC"/>
    <w:rsid w:val="00254345"/>
    <w:rsid w:val="00264557"/>
    <w:rsid w:val="002805AB"/>
    <w:rsid w:val="00284204"/>
    <w:rsid w:val="00291773"/>
    <w:rsid w:val="002A168C"/>
    <w:rsid w:val="002A3DC7"/>
    <w:rsid w:val="002B49E2"/>
    <w:rsid w:val="002B7B00"/>
    <w:rsid w:val="002B7C44"/>
    <w:rsid w:val="002C2B17"/>
    <w:rsid w:val="002D3DD0"/>
    <w:rsid w:val="002E1F3A"/>
    <w:rsid w:val="002E298A"/>
    <w:rsid w:val="00301978"/>
    <w:rsid w:val="0030332C"/>
    <w:rsid w:val="003051C2"/>
    <w:rsid w:val="00312296"/>
    <w:rsid w:val="00314F0E"/>
    <w:rsid w:val="00321D8E"/>
    <w:rsid w:val="00325928"/>
    <w:rsid w:val="00332863"/>
    <w:rsid w:val="0033684D"/>
    <w:rsid w:val="00337B42"/>
    <w:rsid w:val="00341B42"/>
    <w:rsid w:val="0034348F"/>
    <w:rsid w:val="00356653"/>
    <w:rsid w:val="0035743F"/>
    <w:rsid w:val="00357BE2"/>
    <w:rsid w:val="0036170C"/>
    <w:rsid w:val="00366E0F"/>
    <w:rsid w:val="00381A72"/>
    <w:rsid w:val="00384676"/>
    <w:rsid w:val="00390857"/>
    <w:rsid w:val="003A4BF3"/>
    <w:rsid w:val="003B420D"/>
    <w:rsid w:val="003C6C16"/>
    <w:rsid w:val="003D794D"/>
    <w:rsid w:val="003E3058"/>
    <w:rsid w:val="003E76A9"/>
    <w:rsid w:val="003F0809"/>
    <w:rsid w:val="003F6A8C"/>
    <w:rsid w:val="003F755C"/>
    <w:rsid w:val="00406F01"/>
    <w:rsid w:val="00416D50"/>
    <w:rsid w:val="00416FD5"/>
    <w:rsid w:val="00417772"/>
    <w:rsid w:val="00420E6A"/>
    <w:rsid w:val="00425A9E"/>
    <w:rsid w:val="00426D6B"/>
    <w:rsid w:val="00431E6C"/>
    <w:rsid w:val="00433CE7"/>
    <w:rsid w:val="00452738"/>
    <w:rsid w:val="00456091"/>
    <w:rsid w:val="00466321"/>
    <w:rsid w:val="00484B9B"/>
    <w:rsid w:val="004855F6"/>
    <w:rsid w:val="0048661E"/>
    <w:rsid w:val="00494670"/>
    <w:rsid w:val="004A3823"/>
    <w:rsid w:val="004E6946"/>
    <w:rsid w:val="004F1AD8"/>
    <w:rsid w:val="005039CB"/>
    <w:rsid w:val="0050558F"/>
    <w:rsid w:val="00506286"/>
    <w:rsid w:val="00510813"/>
    <w:rsid w:val="00511990"/>
    <w:rsid w:val="00511DE0"/>
    <w:rsid w:val="00514870"/>
    <w:rsid w:val="00514B9B"/>
    <w:rsid w:val="00517F02"/>
    <w:rsid w:val="00524303"/>
    <w:rsid w:val="005258A2"/>
    <w:rsid w:val="005401AE"/>
    <w:rsid w:val="00542E07"/>
    <w:rsid w:val="00545424"/>
    <w:rsid w:val="00554A7B"/>
    <w:rsid w:val="0055572C"/>
    <w:rsid w:val="0056106A"/>
    <w:rsid w:val="005720AE"/>
    <w:rsid w:val="00594D77"/>
    <w:rsid w:val="005969E4"/>
    <w:rsid w:val="005A06B7"/>
    <w:rsid w:val="005A1759"/>
    <w:rsid w:val="005A68A7"/>
    <w:rsid w:val="005D36AB"/>
    <w:rsid w:val="00617CC3"/>
    <w:rsid w:val="006377A6"/>
    <w:rsid w:val="00637A3D"/>
    <w:rsid w:val="006411EF"/>
    <w:rsid w:val="006748B8"/>
    <w:rsid w:val="006775C3"/>
    <w:rsid w:val="0069290A"/>
    <w:rsid w:val="0069775A"/>
    <w:rsid w:val="00697813"/>
    <w:rsid w:val="006A3EE8"/>
    <w:rsid w:val="006A72BF"/>
    <w:rsid w:val="006B03F2"/>
    <w:rsid w:val="006B37DC"/>
    <w:rsid w:val="006B4F68"/>
    <w:rsid w:val="006C0592"/>
    <w:rsid w:val="006C272E"/>
    <w:rsid w:val="006C5479"/>
    <w:rsid w:val="006D13B5"/>
    <w:rsid w:val="006E12FF"/>
    <w:rsid w:val="006E607E"/>
    <w:rsid w:val="00706C5D"/>
    <w:rsid w:val="00732922"/>
    <w:rsid w:val="0075162E"/>
    <w:rsid w:val="00754034"/>
    <w:rsid w:val="00756556"/>
    <w:rsid w:val="007618C4"/>
    <w:rsid w:val="00767980"/>
    <w:rsid w:val="00770B19"/>
    <w:rsid w:val="0077463F"/>
    <w:rsid w:val="007836EA"/>
    <w:rsid w:val="00784CDA"/>
    <w:rsid w:val="007906C4"/>
    <w:rsid w:val="007940EA"/>
    <w:rsid w:val="007967E8"/>
    <w:rsid w:val="007A2170"/>
    <w:rsid w:val="007A22BF"/>
    <w:rsid w:val="007A3323"/>
    <w:rsid w:val="007B72B8"/>
    <w:rsid w:val="007B7A58"/>
    <w:rsid w:val="007C21B5"/>
    <w:rsid w:val="007E4BD2"/>
    <w:rsid w:val="00801393"/>
    <w:rsid w:val="00802F88"/>
    <w:rsid w:val="0081293E"/>
    <w:rsid w:val="00815465"/>
    <w:rsid w:val="00817E9A"/>
    <w:rsid w:val="008306BD"/>
    <w:rsid w:val="00831A80"/>
    <w:rsid w:val="00833743"/>
    <w:rsid w:val="008340A4"/>
    <w:rsid w:val="0087135F"/>
    <w:rsid w:val="00872D94"/>
    <w:rsid w:val="00880364"/>
    <w:rsid w:val="00881256"/>
    <w:rsid w:val="00891592"/>
    <w:rsid w:val="00891E9E"/>
    <w:rsid w:val="008A2F68"/>
    <w:rsid w:val="008B4FA6"/>
    <w:rsid w:val="008B5282"/>
    <w:rsid w:val="008B7C17"/>
    <w:rsid w:val="008C2D01"/>
    <w:rsid w:val="008C40E6"/>
    <w:rsid w:val="008D0F7A"/>
    <w:rsid w:val="008D68E4"/>
    <w:rsid w:val="008E0506"/>
    <w:rsid w:val="008E0CFF"/>
    <w:rsid w:val="008E5D6B"/>
    <w:rsid w:val="008E76F0"/>
    <w:rsid w:val="008F15FE"/>
    <w:rsid w:val="008F2D29"/>
    <w:rsid w:val="008F5187"/>
    <w:rsid w:val="008F60D8"/>
    <w:rsid w:val="00902727"/>
    <w:rsid w:val="0090312B"/>
    <w:rsid w:val="0091736D"/>
    <w:rsid w:val="0093037A"/>
    <w:rsid w:val="0094154D"/>
    <w:rsid w:val="0095155F"/>
    <w:rsid w:val="00954429"/>
    <w:rsid w:val="009563CE"/>
    <w:rsid w:val="00976328"/>
    <w:rsid w:val="0097680D"/>
    <w:rsid w:val="00982438"/>
    <w:rsid w:val="0098404C"/>
    <w:rsid w:val="00985283"/>
    <w:rsid w:val="00995992"/>
    <w:rsid w:val="009A03E5"/>
    <w:rsid w:val="009A0F3B"/>
    <w:rsid w:val="009A1BB4"/>
    <w:rsid w:val="009A2628"/>
    <w:rsid w:val="009A3200"/>
    <w:rsid w:val="009B0897"/>
    <w:rsid w:val="009B7BD9"/>
    <w:rsid w:val="009C7DD5"/>
    <w:rsid w:val="009E227D"/>
    <w:rsid w:val="009E5019"/>
    <w:rsid w:val="00A04F1B"/>
    <w:rsid w:val="00A0501B"/>
    <w:rsid w:val="00A14947"/>
    <w:rsid w:val="00A32A83"/>
    <w:rsid w:val="00A368DB"/>
    <w:rsid w:val="00A423AA"/>
    <w:rsid w:val="00A53EC6"/>
    <w:rsid w:val="00A55C0F"/>
    <w:rsid w:val="00A8713F"/>
    <w:rsid w:val="00A90BA1"/>
    <w:rsid w:val="00A97A9A"/>
    <w:rsid w:val="00AA0671"/>
    <w:rsid w:val="00AA2531"/>
    <w:rsid w:val="00AB1E09"/>
    <w:rsid w:val="00AB5330"/>
    <w:rsid w:val="00AB7747"/>
    <w:rsid w:val="00AC14CE"/>
    <w:rsid w:val="00AC2A56"/>
    <w:rsid w:val="00AD055E"/>
    <w:rsid w:val="00AD47A7"/>
    <w:rsid w:val="00AF0CBF"/>
    <w:rsid w:val="00AF257F"/>
    <w:rsid w:val="00AF33CF"/>
    <w:rsid w:val="00AF4D50"/>
    <w:rsid w:val="00AF6179"/>
    <w:rsid w:val="00B1295A"/>
    <w:rsid w:val="00B20A45"/>
    <w:rsid w:val="00B22C5C"/>
    <w:rsid w:val="00B24F30"/>
    <w:rsid w:val="00B31ABF"/>
    <w:rsid w:val="00B33BE3"/>
    <w:rsid w:val="00B53B5D"/>
    <w:rsid w:val="00B6055E"/>
    <w:rsid w:val="00B6317D"/>
    <w:rsid w:val="00B7723F"/>
    <w:rsid w:val="00B80534"/>
    <w:rsid w:val="00B8433C"/>
    <w:rsid w:val="00B87491"/>
    <w:rsid w:val="00BA29E9"/>
    <w:rsid w:val="00BA7142"/>
    <w:rsid w:val="00BB237C"/>
    <w:rsid w:val="00BB41A3"/>
    <w:rsid w:val="00BC32DC"/>
    <w:rsid w:val="00BC35B6"/>
    <w:rsid w:val="00BD1B51"/>
    <w:rsid w:val="00BD4596"/>
    <w:rsid w:val="00BE1405"/>
    <w:rsid w:val="00BE312D"/>
    <w:rsid w:val="00BF1C20"/>
    <w:rsid w:val="00C10578"/>
    <w:rsid w:val="00C135BC"/>
    <w:rsid w:val="00C15C95"/>
    <w:rsid w:val="00C2596A"/>
    <w:rsid w:val="00C27537"/>
    <w:rsid w:val="00C328FE"/>
    <w:rsid w:val="00C33507"/>
    <w:rsid w:val="00C4409D"/>
    <w:rsid w:val="00C44E72"/>
    <w:rsid w:val="00C45A06"/>
    <w:rsid w:val="00C47E5B"/>
    <w:rsid w:val="00C61E4B"/>
    <w:rsid w:val="00C64BFF"/>
    <w:rsid w:val="00C704E9"/>
    <w:rsid w:val="00C763C9"/>
    <w:rsid w:val="00C80057"/>
    <w:rsid w:val="00C82232"/>
    <w:rsid w:val="00C82913"/>
    <w:rsid w:val="00C972B1"/>
    <w:rsid w:val="00CA2CCE"/>
    <w:rsid w:val="00CA43FD"/>
    <w:rsid w:val="00CA7EF8"/>
    <w:rsid w:val="00CC489B"/>
    <w:rsid w:val="00CD2BCD"/>
    <w:rsid w:val="00CD3A4C"/>
    <w:rsid w:val="00CE10E9"/>
    <w:rsid w:val="00CE2910"/>
    <w:rsid w:val="00CE5393"/>
    <w:rsid w:val="00CF36BE"/>
    <w:rsid w:val="00CF6000"/>
    <w:rsid w:val="00D003F3"/>
    <w:rsid w:val="00D0364F"/>
    <w:rsid w:val="00D06834"/>
    <w:rsid w:val="00D308ED"/>
    <w:rsid w:val="00D36D86"/>
    <w:rsid w:val="00D428AA"/>
    <w:rsid w:val="00D50A34"/>
    <w:rsid w:val="00D53EFA"/>
    <w:rsid w:val="00D94A7C"/>
    <w:rsid w:val="00D95896"/>
    <w:rsid w:val="00DB2983"/>
    <w:rsid w:val="00DC1257"/>
    <w:rsid w:val="00DC3DC0"/>
    <w:rsid w:val="00DC5B2B"/>
    <w:rsid w:val="00DD318D"/>
    <w:rsid w:val="00DF2E12"/>
    <w:rsid w:val="00DF514A"/>
    <w:rsid w:val="00DF6690"/>
    <w:rsid w:val="00DF6804"/>
    <w:rsid w:val="00E0358D"/>
    <w:rsid w:val="00E04323"/>
    <w:rsid w:val="00E070A2"/>
    <w:rsid w:val="00E2656A"/>
    <w:rsid w:val="00E412D0"/>
    <w:rsid w:val="00E56322"/>
    <w:rsid w:val="00E60982"/>
    <w:rsid w:val="00E62C62"/>
    <w:rsid w:val="00E654C1"/>
    <w:rsid w:val="00E65D97"/>
    <w:rsid w:val="00E72A5A"/>
    <w:rsid w:val="00E73354"/>
    <w:rsid w:val="00E9242D"/>
    <w:rsid w:val="00EB5255"/>
    <w:rsid w:val="00EB5C47"/>
    <w:rsid w:val="00ED0639"/>
    <w:rsid w:val="00EF4755"/>
    <w:rsid w:val="00EF7135"/>
    <w:rsid w:val="00F027DB"/>
    <w:rsid w:val="00F14A7A"/>
    <w:rsid w:val="00F22985"/>
    <w:rsid w:val="00F3383E"/>
    <w:rsid w:val="00F465A7"/>
    <w:rsid w:val="00F50B7C"/>
    <w:rsid w:val="00F550E6"/>
    <w:rsid w:val="00F74345"/>
    <w:rsid w:val="00F80A0A"/>
    <w:rsid w:val="00F82B19"/>
    <w:rsid w:val="00F9212D"/>
    <w:rsid w:val="00F965DA"/>
    <w:rsid w:val="00FA406A"/>
    <w:rsid w:val="00FB503A"/>
    <w:rsid w:val="00FB516C"/>
    <w:rsid w:val="00FD0236"/>
    <w:rsid w:val="00FD18F4"/>
    <w:rsid w:val="00FD54DB"/>
    <w:rsid w:val="00FD619F"/>
    <w:rsid w:val="01290F7E"/>
    <w:rsid w:val="015D1E09"/>
    <w:rsid w:val="01E557E7"/>
    <w:rsid w:val="02150187"/>
    <w:rsid w:val="02697903"/>
    <w:rsid w:val="02F96569"/>
    <w:rsid w:val="035B01A9"/>
    <w:rsid w:val="03EA7B21"/>
    <w:rsid w:val="056441D3"/>
    <w:rsid w:val="05F83EAE"/>
    <w:rsid w:val="063E7D85"/>
    <w:rsid w:val="06B64A6C"/>
    <w:rsid w:val="07293586"/>
    <w:rsid w:val="07295285"/>
    <w:rsid w:val="07636392"/>
    <w:rsid w:val="07770C56"/>
    <w:rsid w:val="07D31EBD"/>
    <w:rsid w:val="092217DD"/>
    <w:rsid w:val="093A7294"/>
    <w:rsid w:val="0A263993"/>
    <w:rsid w:val="0A2D3AC2"/>
    <w:rsid w:val="0AA755DF"/>
    <w:rsid w:val="0B120D44"/>
    <w:rsid w:val="0BD27BF6"/>
    <w:rsid w:val="0C2D7395"/>
    <w:rsid w:val="0C3B3C7D"/>
    <w:rsid w:val="0CAB2EAE"/>
    <w:rsid w:val="0D621C7D"/>
    <w:rsid w:val="0E73034D"/>
    <w:rsid w:val="0EC65F56"/>
    <w:rsid w:val="0F13775A"/>
    <w:rsid w:val="0F5E444C"/>
    <w:rsid w:val="0F5F45FE"/>
    <w:rsid w:val="0F9A112B"/>
    <w:rsid w:val="106D2F64"/>
    <w:rsid w:val="108A249D"/>
    <w:rsid w:val="10B63710"/>
    <w:rsid w:val="10F10820"/>
    <w:rsid w:val="111C2F7A"/>
    <w:rsid w:val="11665CA1"/>
    <w:rsid w:val="12E34336"/>
    <w:rsid w:val="13951726"/>
    <w:rsid w:val="13DF0011"/>
    <w:rsid w:val="142C781E"/>
    <w:rsid w:val="14396509"/>
    <w:rsid w:val="145D1F18"/>
    <w:rsid w:val="149E54BE"/>
    <w:rsid w:val="14DD2C3C"/>
    <w:rsid w:val="150247F4"/>
    <w:rsid w:val="153774A7"/>
    <w:rsid w:val="16083E62"/>
    <w:rsid w:val="16087E1D"/>
    <w:rsid w:val="16B25250"/>
    <w:rsid w:val="17701D14"/>
    <w:rsid w:val="17735226"/>
    <w:rsid w:val="17A92843"/>
    <w:rsid w:val="1869701C"/>
    <w:rsid w:val="186A4F64"/>
    <w:rsid w:val="189F624C"/>
    <w:rsid w:val="19042D9A"/>
    <w:rsid w:val="1A1C66C0"/>
    <w:rsid w:val="1A42393B"/>
    <w:rsid w:val="1A801B7F"/>
    <w:rsid w:val="1AAD45DE"/>
    <w:rsid w:val="1AF866CC"/>
    <w:rsid w:val="1B046F80"/>
    <w:rsid w:val="1B3267B5"/>
    <w:rsid w:val="1B40161D"/>
    <w:rsid w:val="1B441859"/>
    <w:rsid w:val="1B6606B1"/>
    <w:rsid w:val="1C517D11"/>
    <w:rsid w:val="1C5E7925"/>
    <w:rsid w:val="1C7A5D68"/>
    <w:rsid w:val="1CFD070F"/>
    <w:rsid w:val="1D5F6196"/>
    <w:rsid w:val="1D6132A5"/>
    <w:rsid w:val="1D8E56D5"/>
    <w:rsid w:val="1E6578F4"/>
    <w:rsid w:val="1E7A43DA"/>
    <w:rsid w:val="1FC23AE2"/>
    <w:rsid w:val="1FE7539E"/>
    <w:rsid w:val="20671BE0"/>
    <w:rsid w:val="20963CB8"/>
    <w:rsid w:val="20A81A1B"/>
    <w:rsid w:val="20B07FB6"/>
    <w:rsid w:val="20B646FB"/>
    <w:rsid w:val="213B74B1"/>
    <w:rsid w:val="215A2310"/>
    <w:rsid w:val="21DE318A"/>
    <w:rsid w:val="21EF5B80"/>
    <w:rsid w:val="22420B98"/>
    <w:rsid w:val="22576990"/>
    <w:rsid w:val="22D35954"/>
    <w:rsid w:val="22F47480"/>
    <w:rsid w:val="23440F61"/>
    <w:rsid w:val="23C37A42"/>
    <w:rsid w:val="23DE1C48"/>
    <w:rsid w:val="240210CD"/>
    <w:rsid w:val="24BF09F7"/>
    <w:rsid w:val="24D13669"/>
    <w:rsid w:val="252D53FE"/>
    <w:rsid w:val="25EC2D81"/>
    <w:rsid w:val="26DB1E9D"/>
    <w:rsid w:val="277057A2"/>
    <w:rsid w:val="28E05ED5"/>
    <w:rsid w:val="29206EB8"/>
    <w:rsid w:val="29595666"/>
    <w:rsid w:val="29874881"/>
    <w:rsid w:val="29E325E0"/>
    <w:rsid w:val="2A452503"/>
    <w:rsid w:val="2AA44F7D"/>
    <w:rsid w:val="2B160E6F"/>
    <w:rsid w:val="2BA936A8"/>
    <w:rsid w:val="2C315A5A"/>
    <w:rsid w:val="2C4B1C25"/>
    <w:rsid w:val="2D9E56F5"/>
    <w:rsid w:val="2E667F96"/>
    <w:rsid w:val="2E8226AB"/>
    <w:rsid w:val="2F7313D0"/>
    <w:rsid w:val="2FD065E6"/>
    <w:rsid w:val="2FD96870"/>
    <w:rsid w:val="30580BC9"/>
    <w:rsid w:val="311E2ED7"/>
    <w:rsid w:val="315619EE"/>
    <w:rsid w:val="315C449C"/>
    <w:rsid w:val="31692558"/>
    <w:rsid w:val="31B82709"/>
    <w:rsid w:val="31D05482"/>
    <w:rsid w:val="321904FC"/>
    <w:rsid w:val="32400B34"/>
    <w:rsid w:val="3258522C"/>
    <w:rsid w:val="329E6876"/>
    <w:rsid w:val="32EE423F"/>
    <w:rsid w:val="333015F2"/>
    <w:rsid w:val="334B6320"/>
    <w:rsid w:val="33C40516"/>
    <w:rsid w:val="33D934D4"/>
    <w:rsid w:val="33FE2F6A"/>
    <w:rsid w:val="340E07E5"/>
    <w:rsid w:val="34235BF7"/>
    <w:rsid w:val="358C5FA8"/>
    <w:rsid w:val="35C15DF1"/>
    <w:rsid w:val="36074A7F"/>
    <w:rsid w:val="36472A7C"/>
    <w:rsid w:val="36546D93"/>
    <w:rsid w:val="36754611"/>
    <w:rsid w:val="36923549"/>
    <w:rsid w:val="36B75FBF"/>
    <w:rsid w:val="36BD0C45"/>
    <w:rsid w:val="37E00298"/>
    <w:rsid w:val="38B302F9"/>
    <w:rsid w:val="38F12CD3"/>
    <w:rsid w:val="38F94775"/>
    <w:rsid w:val="392971ED"/>
    <w:rsid w:val="392C06A3"/>
    <w:rsid w:val="39325651"/>
    <w:rsid w:val="393B2A2C"/>
    <w:rsid w:val="3A872856"/>
    <w:rsid w:val="3B3763D1"/>
    <w:rsid w:val="3C2F6E1E"/>
    <w:rsid w:val="3C420E11"/>
    <w:rsid w:val="3C4F64BA"/>
    <w:rsid w:val="3CDA245A"/>
    <w:rsid w:val="3D1E06B7"/>
    <w:rsid w:val="3EDA0523"/>
    <w:rsid w:val="3F4A730F"/>
    <w:rsid w:val="407A6407"/>
    <w:rsid w:val="4200449D"/>
    <w:rsid w:val="423A3BCC"/>
    <w:rsid w:val="424E57D2"/>
    <w:rsid w:val="42B26C49"/>
    <w:rsid w:val="433A6FE6"/>
    <w:rsid w:val="43480868"/>
    <w:rsid w:val="4350713C"/>
    <w:rsid w:val="436363D9"/>
    <w:rsid w:val="436653E0"/>
    <w:rsid w:val="43877A88"/>
    <w:rsid w:val="43C4431A"/>
    <w:rsid w:val="4426327C"/>
    <w:rsid w:val="44710520"/>
    <w:rsid w:val="44B951CC"/>
    <w:rsid w:val="44CD14E0"/>
    <w:rsid w:val="44F20B0B"/>
    <w:rsid w:val="452E5F4C"/>
    <w:rsid w:val="45406C02"/>
    <w:rsid w:val="45447252"/>
    <w:rsid w:val="45612018"/>
    <w:rsid w:val="458946E9"/>
    <w:rsid w:val="45A47C0E"/>
    <w:rsid w:val="46577FD6"/>
    <w:rsid w:val="46CC136F"/>
    <w:rsid w:val="46D955A7"/>
    <w:rsid w:val="47133957"/>
    <w:rsid w:val="47A07E0C"/>
    <w:rsid w:val="4870272E"/>
    <w:rsid w:val="49251E5D"/>
    <w:rsid w:val="49DC7715"/>
    <w:rsid w:val="49E80F76"/>
    <w:rsid w:val="4A023139"/>
    <w:rsid w:val="4A7B576F"/>
    <w:rsid w:val="4AF561A9"/>
    <w:rsid w:val="4C4A0649"/>
    <w:rsid w:val="4C7E5ECA"/>
    <w:rsid w:val="4C876AA5"/>
    <w:rsid w:val="4D0E00FB"/>
    <w:rsid w:val="4D176606"/>
    <w:rsid w:val="4DEC4FB0"/>
    <w:rsid w:val="4E075D8A"/>
    <w:rsid w:val="4EC00FAD"/>
    <w:rsid w:val="4F7A5B51"/>
    <w:rsid w:val="4F9843DC"/>
    <w:rsid w:val="4FC62A8C"/>
    <w:rsid w:val="4FE20F0D"/>
    <w:rsid w:val="4FE51552"/>
    <w:rsid w:val="50504C4B"/>
    <w:rsid w:val="509C6E7C"/>
    <w:rsid w:val="5162104E"/>
    <w:rsid w:val="51A0391C"/>
    <w:rsid w:val="53A039CC"/>
    <w:rsid w:val="53A1505A"/>
    <w:rsid w:val="54063E08"/>
    <w:rsid w:val="543437E8"/>
    <w:rsid w:val="54930F38"/>
    <w:rsid w:val="54F73313"/>
    <w:rsid w:val="54F80955"/>
    <w:rsid w:val="555170A7"/>
    <w:rsid w:val="5587536D"/>
    <w:rsid w:val="559B174B"/>
    <w:rsid w:val="55CE0CF4"/>
    <w:rsid w:val="561D22C0"/>
    <w:rsid w:val="56B22A9C"/>
    <w:rsid w:val="57B72A76"/>
    <w:rsid w:val="57C3426C"/>
    <w:rsid w:val="57CE1F93"/>
    <w:rsid w:val="58010C22"/>
    <w:rsid w:val="588743D1"/>
    <w:rsid w:val="5887701A"/>
    <w:rsid w:val="5963429E"/>
    <w:rsid w:val="599346AA"/>
    <w:rsid w:val="59C0439F"/>
    <w:rsid w:val="5ABE2233"/>
    <w:rsid w:val="5B5E32C5"/>
    <w:rsid w:val="5BDF5D95"/>
    <w:rsid w:val="5BFE7528"/>
    <w:rsid w:val="5D630D54"/>
    <w:rsid w:val="5DFC32D0"/>
    <w:rsid w:val="5E2467F1"/>
    <w:rsid w:val="5F1A2B43"/>
    <w:rsid w:val="5FB837BB"/>
    <w:rsid w:val="5FDC7055"/>
    <w:rsid w:val="5FE47F05"/>
    <w:rsid w:val="60CC405A"/>
    <w:rsid w:val="61E215D8"/>
    <w:rsid w:val="621B3775"/>
    <w:rsid w:val="62364782"/>
    <w:rsid w:val="62891F81"/>
    <w:rsid w:val="6394356A"/>
    <w:rsid w:val="63C61B2C"/>
    <w:rsid w:val="63D40BE9"/>
    <w:rsid w:val="64102431"/>
    <w:rsid w:val="64A5243A"/>
    <w:rsid w:val="64F531DE"/>
    <w:rsid w:val="65373578"/>
    <w:rsid w:val="671F124A"/>
    <w:rsid w:val="677A33C6"/>
    <w:rsid w:val="681F6961"/>
    <w:rsid w:val="682D0E7C"/>
    <w:rsid w:val="68610A2F"/>
    <w:rsid w:val="68805514"/>
    <w:rsid w:val="68E351AB"/>
    <w:rsid w:val="69316E2F"/>
    <w:rsid w:val="694E2071"/>
    <w:rsid w:val="69766163"/>
    <w:rsid w:val="697A3B33"/>
    <w:rsid w:val="69D44760"/>
    <w:rsid w:val="6A520EC7"/>
    <w:rsid w:val="6AF87E20"/>
    <w:rsid w:val="6B322639"/>
    <w:rsid w:val="6C636C38"/>
    <w:rsid w:val="6D901650"/>
    <w:rsid w:val="6DB34098"/>
    <w:rsid w:val="6DB545B6"/>
    <w:rsid w:val="6DC36067"/>
    <w:rsid w:val="6DE02FB4"/>
    <w:rsid w:val="6DE20553"/>
    <w:rsid w:val="6E506F8A"/>
    <w:rsid w:val="6E514CED"/>
    <w:rsid w:val="6EB563D5"/>
    <w:rsid w:val="6ED92677"/>
    <w:rsid w:val="6F225983"/>
    <w:rsid w:val="6FFC5590"/>
    <w:rsid w:val="706D1DD0"/>
    <w:rsid w:val="70856B87"/>
    <w:rsid w:val="70D527EE"/>
    <w:rsid w:val="715B5300"/>
    <w:rsid w:val="71D27F8A"/>
    <w:rsid w:val="72553024"/>
    <w:rsid w:val="73122968"/>
    <w:rsid w:val="731F5D5E"/>
    <w:rsid w:val="73C51AD5"/>
    <w:rsid w:val="741E793C"/>
    <w:rsid w:val="745E3944"/>
    <w:rsid w:val="7635099D"/>
    <w:rsid w:val="77762421"/>
    <w:rsid w:val="77B56B1F"/>
    <w:rsid w:val="780F09F4"/>
    <w:rsid w:val="78A90480"/>
    <w:rsid w:val="799F5154"/>
    <w:rsid w:val="7A364017"/>
    <w:rsid w:val="7A8265E1"/>
    <w:rsid w:val="7B686D42"/>
    <w:rsid w:val="7B841746"/>
    <w:rsid w:val="7C6C5AC7"/>
    <w:rsid w:val="7CC6544B"/>
    <w:rsid w:val="7D0239FF"/>
    <w:rsid w:val="7D5E40CD"/>
    <w:rsid w:val="7DCD56F2"/>
    <w:rsid w:val="7F001CE7"/>
    <w:rsid w:val="7FCF3CAF"/>
    <w:rsid w:val="7FE47E50"/>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w:doNotEmbedSmartTag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9" w:semiHidden="0" w:name="heading 1" w:locked="1"/>
    <w:lsdException w:qFormat="1" w:uiPriority="0" w:name="heading 2" w:locked="1"/>
    <w:lsdException w:qFormat="1" w:uiPriority="0" w:name="heading 3" w:locked="1"/>
    <w:lsdException w:qFormat="1" w:unhideWhenUsed="0" w:uiPriority="0" w:semiHidden="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nhideWhenUsed="0" w:uiPriority="0" w:semiHidden="0" w:name="index 1" w:locked="1"/>
    <w:lsdException w:unhideWhenUsed="0" w:uiPriority="0" w:semiHidden="0" w:name="index 2" w:locked="1"/>
    <w:lsdException w:unhideWhenUsed="0" w:uiPriority="0" w:semiHidden="0" w:name="index 3" w:locked="1"/>
    <w:lsdException w:unhideWhenUsed="0" w:uiPriority="0" w:semiHidden="0" w:name="index 4" w:locked="1"/>
    <w:lsdException w:unhideWhenUsed="0" w:uiPriority="0" w:semiHidden="0" w:name="index 5" w:locked="1"/>
    <w:lsdException w:unhideWhenUsed="0" w:uiPriority="0" w:semiHidden="0" w:name="index 6" w:locked="1"/>
    <w:lsdException w:unhideWhenUsed="0" w:uiPriority="0" w:semiHidden="0" w:name="index 7" w:locked="1"/>
    <w:lsdException w:unhideWhenUsed="0" w:uiPriority="0" w:semiHidden="0" w:name="index 8" w:locked="1"/>
    <w:lsdException w:unhideWhenUsed="0" w:uiPriority="0" w:semiHidden="0" w:name="index 9" w:locked="1"/>
    <w:lsdException w:unhideWhenUsed="0" w:uiPriority="0" w:semiHidden="0" w:name="toc 1" w:locked="1"/>
    <w:lsdException w:unhideWhenUsed="0" w:uiPriority="0" w:semiHidden="0" w:name="toc 2" w:locked="1"/>
    <w:lsdException w:unhideWhenUsed="0" w:uiPriority="0" w:semiHidden="0" w:name="toc 3" w:locked="1"/>
    <w:lsdException w:unhideWhenUsed="0" w:uiPriority="0" w:semiHidden="0" w:name="toc 4" w:locked="1"/>
    <w:lsdException w:unhideWhenUsed="0" w:uiPriority="0" w:semiHidden="0" w:name="toc 5" w:locked="1"/>
    <w:lsdException w:unhideWhenUsed="0" w:uiPriority="0" w:semiHidden="0" w:name="toc 6" w:locked="1"/>
    <w:lsdException w:unhideWhenUsed="0" w:uiPriority="0" w:semiHidden="0" w:name="toc 7" w:locked="1"/>
    <w:lsdException w:unhideWhenUsed="0" w:uiPriority="0" w:semiHidden="0" w:name="toc 8" w:locked="1"/>
    <w:lsdException w:unhideWhenUsed="0" w:uiPriority="0" w:semiHidden="0" w:name="toc 9" w:locked="1"/>
    <w:lsdException w:qFormat="1" w:unhideWhenUsed="0" w:uiPriority="0" w:semiHidden="0" w:name="Normal Indent" w:locked="1"/>
    <w:lsdException w:unhideWhenUsed="0" w:uiPriority="0" w:semiHidden="0" w:name="footnote text" w:locked="1"/>
    <w:lsdException w:qFormat="1" w:unhideWhenUsed="0" w:uiPriority="0" w:name="annotation text"/>
    <w:lsdException w:qFormat="1" w:unhideWhenUsed="0" w:uiPriority="0" w:semiHidden="0" w:name="header"/>
    <w:lsdException w:qFormat="1" w:unhideWhenUsed="0" w:uiPriority="99" w:semiHidden="0" w:name="footer"/>
    <w:lsdException w:unhideWhenUsed="0" w:uiPriority="0" w:semiHidden="0" w:name="index heading" w:locked="1"/>
    <w:lsdException w:qFormat="1" w:unhideWhenUsed="0" w:uiPriority="0" w:semiHidden="0" w:name="caption" w:locked="1"/>
    <w:lsdException w:unhideWhenUsed="0" w:uiPriority="0" w:semiHidden="0" w:name="table of figures" w:locked="1"/>
    <w:lsdException w:unhideWhenUsed="0" w:uiPriority="0" w:semiHidden="0" w:name="envelope address" w:locked="1"/>
    <w:lsdException w:unhideWhenUsed="0" w:uiPriority="0" w:semiHidden="0" w:name="envelope return" w:locked="1"/>
    <w:lsdException w:unhideWhenUsed="0" w:uiPriority="0" w:semiHidden="0" w:name="footnote reference" w:locked="1"/>
    <w:lsdException w:qFormat="1" w:unhideWhenUsed="0" w:uiPriority="0" w:name="annotation reference"/>
    <w:lsdException w:unhideWhenUsed="0" w:uiPriority="0" w:semiHidden="0" w:name="line number" w:locked="1"/>
    <w:lsdException w:qFormat="1" w:unhideWhenUsed="0" w:uiPriority="0" w:semiHidden="0" w:name="page number" w:locked="1"/>
    <w:lsdException w:unhideWhenUsed="0" w:uiPriority="0" w:semiHidden="0" w:name="endnote reference" w:locked="1"/>
    <w:lsdException w:unhideWhenUsed="0" w:uiPriority="0" w:semiHidden="0" w:name="endnote text" w:locked="1"/>
    <w:lsdException w:unhideWhenUsed="0" w:uiPriority="0" w:semiHidden="0" w:name="table of authorities" w:locked="1"/>
    <w:lsdException w:unhideWhenUsed="0" w:uiPriority="0" w:semiHidden="0" w:name="macro" w:locked="1"/>
    <w:lsdException w:unhideWhenUsed="0" w:uiPriority="0" w:semiHidden="0" w:name="toa heading" w:locked="1"/>
    <w:lsdException w:qFormat="1" w:unhideWhenUsed="0" w:uiPriority="0" w:semiHidden="0" w:name="List" w:locked="1"/>
    <w:lsdException w:unhideWhenUsed="0" w:uiPriority="0" w:semiHidden="0" w:name="List Bullet" w:locked="1"/>
    <w:lsdException w:unhideWhenUsed="0" w:uiPriority="0" w:semiHidden="0" w:name="List Number" w:locked="1"/>
    <w:lsdException w:unhideWhenUsed="0" w:uiPriority="0" w:semiHidden="0" w:name="List 2" w:locked="1"/>
    <w:lsdException w:unhideWhenUsed="0" w:uiPriority="0" w:semiHidden="0" w:name="List 3" w:locked="1"/>
    <w:lsdException w:unhideWhenUsed="0" w:uiPriority="0" w:semiHidden="0" w:name="List 4" w:locked="1"/>
    <w:lsdException w:unhideWhenUsed="0" w:uiPriority="0" w:semiHidden="0" w:name="List 5" w:locked="1"/>
    <w:lsdException w:unhideWhenUsed="0" w:uiPriority="0" w:semiHidden="0" w:name="List Bullet 2" w:locked="1"/>
    <w:lsdException w:unhideWhenUsed="0" w:uiPriority="0" w:semiHidden="0" w:name="List Bullet 3" w:locked="1"/>
    <w:lsdException w:unhideWhenUsed="0" w:uiPriority="0" w:semiHidden="0" w:name="List Bullet 4" w:locked="1"/>
    <w:lsdException w:unhideWhenUsed="0" w:uiPriority="0" w:semiHidden="0" w:name="List Bullet 5" w:locked="1"/>
    <w:lsdException w:unhideWhenUsed="0" w:uiPriority="0" w:semiHidden="0" w:name="List Number 2" w:locked="1"/>
    <w:lsdException w:unhideWhenUsed="0" w:uiPriority="0" w:semiHidden="0" w:name="List Number 3" w:locked="1"/>
    <w:lsdException w:unhideWhenUsed="0" w:uiPriority="0" w:semiHidden="0" w:name="List Number 4" w:locked="1"/>
    <w:lsdException w:unhideWhenUsed="0" w:uiPriority="0" w:semiHidden="0" w:name="List Number 5" w:locked="1"/>
    <w:lsdException w:qFormat="1" w:unhideWhenUsed="0" w:uiPriority="0" w:semiHidden="0" w:name="Title" w:locked="1"/>
    <w:lsdException w:unhideWhenUsed="0" w:uiPriority="0" w:semiHidden="0" w:name="Closing" w:locked="1"/>
    <w:lsdException w:unhideWhenUsed="0" w:uiPriority="0" w:semiHidden="0" w:name="Signature" w:locked="1"/>
    <w:lsdException w:qFormat="1" w:unhideWhenUsed="0" w:uiPriority="0" w:name="Default Paragraph Font"/>
    <w:lsdException w:qFormat="1" w:unhideWhenUsed="0" w:uiPriority="0" w:semiHidden="0" w:name="Body Text"/>
    <w:lsdException w:qFormat="1" w:unhideWhenUsed="0" w:uiPriority="0" w:semiHidden="0" w:name="Body Text Indent"/>
    <w:lsdException w:unhideWhenUsed="0" w:uiPriority="0" w:semiHidden="0" w:name="List Continue" w:locked="1"/>
    <w:lsdException w:unhideWhenUsed="0" w:uiPriority="0" w:semiHidden="0" w:name="List Continue 2" w:locked="1"/>
    <w:lsdException w:unhideWhenUsed="0" w:uiPriority="0" w:semiHidden="0" w:name="List Continue 3" w:locked="1"/>
    <w:lsdException w:unhideWhenUsed="0" w:uiPriority="0" w:semiHidden="0" w:name="List Continue 4" w:locked="1"/>
    <w:lsdException w:unhideWhenUsed="0" w:uiPriority="0" w:semiHidden="0" w:name="List Continue 5" w:locked="1"/>
    <w:lsdException w:unhideWhenUsed="0" w:uiPriority="0" w:semiHidden="0" w:name="Message Header" w:locked="1"/>
    <w:lsdException w:qFormat="1" w:unhideWhenUsed="0" w:uiPriority="0" w:semiHidden="0" w:name="Subtitle" w:locked="1"/>
    <w:lsdException w:unhideWhenUsed="0" w:uiPriority="0" w:semiHidden="0" w:name="Salutation" w:locked="1"/>
    <w:lsdException w:qFormat="1" w:unhideWhenUsed="0" w:uiPriority="0" w:semiHidden="0" w:name="Date"/>
    <w:lsdException w:qFormat="1" w:unhideWhenUsed="0" w:uiPriority="0" w:semiHidden="0" w:name="Body Text First Indent" w:locked="1"/>
    <w:lsdException w:unhideWhenUsed="0" w:uiPriority="0" w:semiHidden="0" w:name="Body Text First Indent 2" w:locked="1"/>
    <w:lsdException w:unhideWhenUsed="0" w:uiPriority="0" w:semiHidden="0" w:name="Note Heading" w:locked="1"/>
    <w:lsdException w:qFormat="1" w:uiPriority="99" w:semiHidden="0" w:name="Body Text 2" w:locked="1"/>
    <w:lsdException w:unhideWhenUsed="0" w:uiPriority="0" w:semiHidden="0" w:name="Body Text 3" w:locked="1"/>
    <w:lsdException w:qFormat="1" w:unhideWhenUsed="0" w:uiPriority="0" w:semiHidden="0" w:name="Body Text Indent 2" w:locked="1"/>
    <w:lsdException w:unhideWhenUsed="0" w:uiPriority="0" w:semiHidden="0" w:name="Body Text Indent 3" w:locked="1"/>
    <w:lsdException w:unhideWhenUsed="0" w:uiPriority="0" w:semiHidden="0" w:name="Block Text" w:locked="1"/>
    <w:lsdException w:qFormat="1" w:unhideWhenUsed="0" w:uiPriority="0" w:semiHidden="0" w:name="Hyperlink" w:locked="1"/>
    <w:lsdException w:unhideWhenUsed="0" w:uiPriority="0" w:semiHidden="0" w:name="FollowedHyperlink" w:locked="1"/>
    <w:lsdException w:qFormat="1" w:unhideWhenUsed="0" w:uiPriority="0" w:semiHidden="0" w:name="Strong" w:locked="1"/>
    <w:lsdException w:qFormat="1" w:unhideWhenUsed="0" w:uiPriority="0" w:semiHidden="0" w:name="Emphasis" w:locked="1"/>
    <w:lsdException w:unhideWhenUsed="0" w:uiPriority="0" w:semiHidden="0" w:name="Document Map" w:locked="1"/>
    <w:lsdException w:qFormat="1" w:unhideWhenUsed="0" w:uiPriority="0" w:semiHidden="0" w:name="Plain Text" w:locked="1"/>
    <w:lsdException w:unhideWhenUsed="0" w:uiPriority="0" w:semiHidden="0" w:name="E-mail Signature" w:locked="1"/>
    <w:lsdException w:qFormat="1" w:unhideWhenUsed="0" w:uiPriority="0" w:semiHidden="0" w:name="Normal (Web)"/>
    <w:lsdException w:unhideWhenUsed="0" w:uiPriority="0" w:semiHidden="0" w:name="HTML Acronym" w:locked="1"/>
    <w:lsdException w:unhideWhenUsed="0" w:uiPriority="0" w:semiHidden="0" w:name="HTML Address" w:locked="1"/>
    <w:lsdException w:unhideWhenUsed="0" w:uiPriority="0" w:semiHidden="0" w:name="HTML Cite" w:locked="1"/>
    <w:lsdException w:unhideWhenUsed="0" w:uiPriority="0" w:semiHidden="0" w:name="HTML Code" w:locked="1"/>
    <w:lsdException w:unhideWhenUsed="0" w:uiPriority="0" w:semiHidden="0" w:name="HTML Definition" w:locked="1"/>
    <w:lsdException w:unhideWhenUsed="0" w:uiPriority="0" w:semiHidden="0" w:name="HTML Keyboard" w:locked="1"/>
    <w:lsdException w:unhideWhenUsed="0" w:uiPriority="0" w:semiHidden="0" w:name="HTML Preformatted" w:locked="1"/>
    <w:lsdException w:unhideWhenUsed="0" w:uiPriority="0" w:semiHidden="0" w:name="HTML Sample" w:locked="1"/>
    <w:lsdException w:unhideWhenUsed="0" w:uiPriority="0" w:semiHidden="0" w:name="HTML Typewriter" w:locked="1"/>
    <w:lsdException w:unhideWhenUsed="0" w:uiPriority="0" w:semiHidden="0" w:name="HTML Variable" w:locked="1"/>
    <w:lsdException w:qFormat="1" w:unhideWhenUsed="0" w:uiPriority="0" w:name="Normal Table"/>
    <w:lsdException w:qFormat="1" w:unhideWhenUsed="0" w:uiPriority="0" w:name="annotation subject"/>
    <w:lsdException w:unhideWhenUsed="0" w:uiPriority="0" w:semiHidden="0" w:name="Table Simple 1" w:locked="1"/>
    <w:lsdException w:unhideWhenUsed="0" w:uiPriority="0" w:semiHidden="0" w:name="Table Simple 2" w:locked="1"/>
    <w:lsdException w:unhideWhenUsed="0" w:uiPriority="0" w:semiHidden="0" w:name="Table Simple 3" w:locked="1"/>
    <w:lsdException w:unhideWhenUsed="0" w:uiPriority="0" w:semiHidden="0" w:name="Table Classic 1" w:locked="1"/>
    <w:lsdException w:unhideWhenUsed="0" w:uiPriority="0" w:semiHidden="0" w:name="Table Classic 2" w:locked="1"/>
    <w:lsdException w:unhideWhenUsed="0" w:uiPriority="0" w:semiHidden="0" w:name="Table Classic 3" w:locked="1"/>
    <w:lsdException w:unhideWhenUsed="0" w:uiPriority="0" w:semiHidden="0" w:name="Table Classic 4" w:locked="1"/>
    <w:lsdException w:unhideWhenUsed="0" w:uiPriority="0" w:semiHidden="0" w:name="Table Colorful 1" w:locked="1"/>
    <w:lsdException w:unhideWhenUsed="0" w:uiPriority="0" w:semiHidden="0" w:name="Table Colorful 2" w:locked="1"/>
    <w:lsdException w:unhideWhenUsed="0" w:uiPriority="0" w:semiHidden="0" w:name="Table Colorful 3" w:locked="1"/>
    <w:lsdException w:unhideWhenUsed="0" w:uiPriority="0" w:semiHidden="0" w:name="Table Columns 1" w:locked="1"/>
    <w:lsdException w:unhideWhenUsed="0" w:uiPriority="0" w:semiHidden="0" w:name="Table Columns 2" w:locked="1"/>
    <w:lsdException w:unhideWhenUsed="0" w:uiPriority="0" w:semiHidden="0" w:name="Table Columns 3" w:locked="1"/>
    <w:lsdException w:unhideWhenUsed="0" w:uiPriority="0" w:semiHidden="0" w:name="Table Columns 4" w:locked="1"/>
    <w:lsdException w:unhideWhenUsed="0" w:uiPriority="0" w:semiHidden="0" w:name="Table Columns 5" w:locked="1"/>
    <w:lsdException w:unhideWhenUsed="0" w:uiPriority="0" w:semiHidden="0" w:name="Table Grid 1" w:locked="1"/>
    <w:lsdException w:unhideWhenUsed="0" w:uiPriority="0" w:semiHidden="0" w:name="Table Grid 2" w:locked="1"/>
    <w:lsdException w:unhideWhenUsed="0" w:uiPriority="0" w:semiHidden="0" w:name="Table Grid 3" w:locked="1"/>
    <w:lsdException w:unhideWhenUsed="0" w:uiPriority="0" w:semiHidden="0" w:name="Table Grid 4" w:locked="1"/>
    <w:lsdException w:unhideWhenUsed="0" w:uiPriority="0" w:semiHidden="0" w:name="Table Grid 5" w:locked="1"/>
    <w:lsdException w:unhideWhenUsed="0" w:uiPriority="0" w:semiHidden="0" w:name="Table Grid 6" w:locked="1"/>
    <w:lsdException w:unhideWhenUsed="0" w:uiPriority="0" w:semiHidden="0" w:name="Table Grid 7" w:locked="1"/>
    <w:lsdException w:unhideWhenUsed="0" w:uiPriority="0" w:semiHidden="0" w:name="Table Grid 8" w:locked="1"/>
    <w:lsdException w:unhideWhenUsed="0" w:uiPriority="0" w:semiHidden="0" w:name="Table List 1" w:locked="1"/>
    <w:lsdException w:unhideWhenUsed="0" w:uiPriority="0" w:semiHidden="0" w:name="Table List 2" w:locked="1"/>
    <w:lsdException w:unhideWhenUsed="0" w:uiPriority="0" w:semiHidden="0" w:name="Table List 3" w:locked="1"/>
    <w:lsdException w:unhideWhenUsed="0" w:uiPriority="0" w:semiHidden="0" w:name="Table List 4" w:locked="1"/>
    <w:lsdException w:unhideWhenUsed="0" w:uiPriority="0" w:semiHidden="0" w:name="Table List 5" w:locked="1"/>
    <w:lsdException w:unhideWhenUsed="0" w:uiPriority="0" w:semiHidden="0" w:name="Table List 6" w:locked="1"/>
    <w:lsdException w:unhideWhenUsed="0" w:uiPriority="0" w:semiHidden="0" w:name="Table List 7" w:locked="1"/>
    <w:lsdException w:unhideWhenUsed="0" w:uiPriority="0" w:semiHidden="0" w:name="Table List 8" w:locked="1"/>
    <w:lsdException w:unhideWhenUsed="0" w:uiPriority="0" w:semiHidden="0" w:name="Table 3D effects 1" w:locked="1"/>
    <w:lsdException w:unhideWhenUsed="0" w:uiPriority="0" w:semiHidden="0" w:name="Table 3D effects 2" w:locked="1"/>
    <w:lsdException w:unhideWhenUsed="0" w:uiPriority="0" w:semiHidden="0" w:name="Table 3D effects 3" w:locked="1"/>
    <w:lsdException w:unhideWhenUsed="0" w:uiPriority="0" w:semiHidden="0" w:name="Table Contemporary" w:locked="1"/>
    <w:lsdException w:unhideWhenUsed="0" w:uiPriority="0" w:semiHidden="0" w:name="Table Elegant" w:locked="1"/>
    <w:lsdException w:unhideWhenUsed="0" w:uiPriority="0" w:semiHidden="0" w:name="Table Professional" w:locked="1"/>
    <w:lsdException w:unhideWhenUsed="0" w:uiPriority="0" w:semiHidden="0" w:name="Table Subtle 1" w:locked="1"/>
    <w:lsdException w:unhideWhenUsed="0" w:uiPriority="0" w:semiHidden="0" w:name="Table Subtle 2" w:locked="1"/>
    <w:lsdException w:unhideWhenUsed="0" w:uiPriority="0" w:semiHidden="0" w:name="Table Web 1" w:locked="1"/>
    <w:lsdException w:unhideWhenUsed="0" w:uiPriority="0" w:semiHidden="0" w:name="Table Web 2" w:locked="1"/>
    <w:lsdException w:unhideWhenUsed="0" w:uiPriority="0" w:semiHidden="0" w:name="Table Web 3" w:locked="1"/>
    <w:lsdException w:qFormat="1" w:unhideWhenUsed="0" w:uiPriority="0" w:name="Balloon Text"/>
    <w:lsdException w:qFormat="1" w:unhideWhenUsed="0" w:uiPriority="0" w:semiHidden="0" w:name="Table Grid"/>
    <w:lsdException w:unhideWhenUsed="0" w:uiPriority="0" w:semiHidden="0" w:name="Table Theme" w:locked="1"/>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qFormat/>
    <w:locked/>
    <w:uiPriority w:val="99"/>
    <w:pPr>
      <w:keepNext/>
      <w:overflowPunct w:val="0"/>
      <w:snapToGrid w:val="0"/>
      <w:spacing w:before="120" w:after="160" w:line="259" w:lineRule="auto"/>
      <w:ind w:left="432" w:hanging="432"/>
      <w:outlineLvl w:val="0"/>
    </w:pPr>
    <w:rPr>
      <w:rFonts w:eastAsia="黑体"/>
      <w:b/>
      <w:bCs/>
      <w:color w:val="000000"/>
      <w:kern w:val="44"/>
      <w:sz w:val="30"/>
      <w:szCs w:val="30"/>
    </w:rPr>
  </w:style>
  <w:style w:type="paragraph" w:styleId="5">
    <w:name w:val="heading 4"/>
    <w:basedOn w:val="1"/>
    <w:next w:val="1"/>
    <w:qFormat/>
    <w:locked/>
    <w:uiPriority w:val="0"/>
    <w:pPr>
      <w:keepNext/>
      <w:keepLines/>
      <w:numPr>
        <w:ilvl w:val="3"/>
        <w:numId w:val="1"/>
      </w:numPr>
      <w:spacing w:line="240" w:lineRule="auto"/>
      <w:ind w:left="0" w:firstLine="643" w:firstLineChars="200"/>
      <w:outlineLvl w:val="3"/>
    </w:pPr>
    <w:rPr>
      <w:sz w:val="21"/>
    </w:rPr>
  </w:style>
  <w:style w:type="character" w:default="1" w:styleId="23">
    <w:name w:val="Default Paragraph Font"/>
    <w:semiHidden/>
    <w:qFormat/>
    <w:uiPriority w:val="0"/>
  </w:style>
  <w:style w:type="table" w:default="1" w:styleId="21">
    <w:name w:val="Normal Table"/>
    <w:semiHidden/>
    <w:qFormat/>
    <w:uiPriority w:val="0"/>
    <w:tblPr>
      <w:tblCellMar>
        <w:top w:w="0" w:type="dxa"/>
        <w:left w:w="108" w:type="dxa"/>
        <w:bottom w:w="0" w:type="dxa"/>
        <w:right w:w="108" w:type="dxa"/>
      </w:tblCellMar>
    </w:tblPr>
  </w:style>
  <w:style w:type="paragraph" w:styleId="2">
    <w:name w:val="Body Text First Indent 2"/>
    <w:basedOn w:val="3"/>
    <w:locked/>
    <w:uiPriority w:val="0"/>
    <w:pPr>
      <w:ind w:firstLine="420" w:firstLineChars="200"/>
    </w:pPr>
  </w:style>
  <w:style w:type="paragraph" w:styleId="3">
    <w:name w:val="Body Text Indent"/>
    <w:basedOn w:val="1"/>
    <w:link w:val="38"/>
    <w:qFormat/>
    <w:uiPriority w:val="0"/>
    <w:pPr>
      <w:spacing w:after="120"/>
      <w:ind w:left="420" w:leftChars="200"/>
    </w:pPr>
    <w:rPr>
      <w:kern w:val="0"/>
      <w:sz w:val="24"/>
      <w:szCs w:val="20"/>
    </w:rPr>
  </w:style>
  <w:style w:type="paragraph" w:styleId="6">
    <w:name w:val="Normal Indent"/>
    <w:basedOn w:val="1"/>
    <w:qFormat/>
    <w:locked/>
    <w:uiPriority w:val="0"/>
    <w:pPr>
      <w:ind w:firstLine="420" w:firstLineChars="200"/>
    </w:pPr>
    <w:rPr>
      <w:rFonts w:ascii="Times New Roman"/>
      <w:spacing w:val="0"/>
      <w:sz w:val="28"/>
      <w:szCs w:val="24"/>
    </w:rPr>
  </w:style>
  <w:style w:type="paragraph" w:styleId="7">
    <w:name w:val="caption"/>
    <w:basedOn w:val="1"/>
    <w:next w:val="1"/>
    <w:qFormat/>
    <w:locked/>
    <w:uiPriority w:val="0"/>
    <w:rPr>
      <w:b/>
      <w:szCs w:val="20"/>
    </w:rPr>
  </w:style>
  <w:style w:type="paragraph" w:styleId="8">
    <w:name w:val="annotation text"/>
    <w:basedOn w:val="1"/>
    <w:link w:val="36"/>
    <w:semiHidden/>
    <w:qFormat/>
    <w:uiPriority w:val="0"/>
    <w:pPr>
      <w:jc w:val="left"/>
    </w:pPr>
    <w:rPr>
      <w:kern w:val="0"/>
      <w:sz w:val="24"/>
      <w:szCs w:val="20"/>
    </w:rPr>
  </w:style>
  <w:style w:type="paragraph" w:styleId="9">
    <w:name w:val="Body Text"/>
    <w:basedOn w:val="1"/>
    <w:next w:val="1"/>
    <w:link w:val="37"/>
    <w:qFormat/>
    <w:uiPriority w:val="0"/>
    <w:pPr>
      <w:widowControl/>
      <w:snapToGrid w:val="0"/>
      <w:spacing w:before="60" w:after="160" w:line="259" w:lineRule="auto"/>
      <w:ind w:right="113"/>
    </w:pPr>
    <w:rPr>
      <w:kern w:val="0"/>
      <w:sz w:val="18"/>
      <w:szCs w:val="20"/>
    </w:rPr>
  </w:style>
  <w:style w:type="paragraph" w:styleId="10">
    <w:name w:val="Plain Text"/>
    <w:basedOn w:val="1"/>
    <w:qFormat/>
    <w:locked/>
    <w:uiPriority w:val="0"/>
    <w:rPr>
      <w:rFonts w:ascii="宋体" w:hAnsi="Courier New" w:cs="Courier New"/>
      <w:szCs w:val="21"/>
    </w:rPr>
  </w:style>
  <w:style w:type="paragraph" w:styleId="11">
    <w:name w:val="Date"/>
    <w:basedOn w:val="1"/>
    <w:next w:val="1"/>
    <w:link w:val="39"/>
    <w:qFormat/>
    <w:uiPriority w:val="0"/>
    <w:pPr>
      <w:ind w:left="100" w:leftChars="2500"/>
    </w:pPr>
    <w:rPr>
      <w:kern w:val="0"/>
      <w:sz w:val="24"/>
      <w:szCs w:val="20"/>
    </w:rPr>
  </w:style>
  <w:style w:type="paragraph" w:styleId="12">
    <w:name w:val="Body Text Indent 2"/>
    <w:basedOn w:val="1"/>
    <w:next w:val="1"/>
    <w:qFormat/>
    <w:locked/>
    <w:uiPriority w:val="0"/>
    <w:pPr>
      <w:spacing w:after="120" w:line="480" w:lineRule="auto"/>
      <w:ind w:left="420" w:leftChars="200"/>
    </w:pPr>
  </w:style>
  <w:style w:type="paragraph" w:styleId="13">
    <w:name w:val="Balloon Text"/>
    <w:basedOn w:val="1"/>
    <w:link w:val="40"/>
    <w:semiHidden/>
    <w:qFormat/>
    <w:uiPriority w:val="0"/>
    <w:rPr>
      <w:kern w:val="0"/>
      <w:sz w:val="18"/>
      <w:szCs w:val="20"/>
    </w:rPr>
  </w:style>
  <w:style w:type="paragraph" w:styleId="14">
    <w:name w:val="footer"/>
    <w:basedOn w:val="1"/>
    <w:link w:val="41"/>
    <w:qFormat/>
    <w:uiPriority w:val="99"/>
    <w:pPr>
      <w:tabs>
        <w:tab w:val="center" w:pos="4153"/>
        <w:tab w:val="right" w:pos="8306"/>
      </w:tabs>
      <w:snapToGrid w:val="0"/>
      <w:jc w:val="left"/>
    </w:pPr>
    <w:rPr>
      <w:kern w:val="0"/>
      <w:sz w:val="18"/>
      <w:szCs w:val="20"/>
    </w:rPr>
  </w:style>
  <w:style w:type="paragraph" w:styleId="15">
    <w:name w:val="header"/>
    <w:basedOn w:val="1"/>
    <w:link w:val="42"/>
    <w:qFormat/>
    <w:uiPriority w:val="0"/>
    <w:pPr>
      <w:pBdr>
        <w:bottom w:val="single" w:color="auto" w:sz="6" w:space="1"/>
      </w:pBdr>
      <w:tabs>
        <w:tab w:val="center" w:pos="4153"/>
        <w:tab w:val="right" w:pos="8306"/>
      </w:tabs>
      <w:snapToGrid w:val="0"/>
      <w:jc w:val="center"/>
    </w:pPr>
    <w:rPr>
      <w:kern w:val="0"/>
      <w:sz w:val="18"/>
      <w:szCs w:val="20"/>
    </w:rPr>
  </w:style>
  <w:style w:type="paragraph" w:styleId="16">
    <w:name w:val="List"/>
    <w:basedOn w:val="1"/>
    <w:next w:val="1"/>
    <w:qFormat/>
    <w:locked/>
    <w:uiPriority w:val="0"/>
    <w:pPr>
      <w:ind w:left="200" w:hanging="200" w:hangingChars="200"/>
    </w:pPr>
    <w:rPr>
      <w:rFonts w:ascii="Times New Roman" w:hAnsi="Times New Roman" w:eastAsia="宋体" w:cs="Times New Roman"/>
      <w:szCs w:val="24"/>
    </w:rPr>
  </w:style>
  <w:style w:type="paragraph" w:styleId="17">
    <w:name w:val="Body Text 2"/>
    <w:basedOn w:val="1"/>
    <w:unhideWhenUsed/>
    <w:qFormat/>
    <w:locked/>
    <w:uiPriority w:val="99"/>
    <w:pPr>
      <w:spacing w:after="120" w:line="480" w:lineRule="auto"/>
    </w:pPr>
  </w:style>
  <w:style w:type="paragraph" w:styleId="18">
    <w:name w:val="Normal (Web)"/>
    <w:basedOn w:val="1"/>
    <w:link w:val="43"/>
    <w:qFormat/>
    <w:uiPriority w:val="0"/>
    <w:pPr>
      <w:widowControl/>
      <w:spacing w:before="100" w:beforeAutospacing="1" w:after="100" w:afterAutospacing="1"/>
      <w:jc w:val="left"/>
    </w:pPr>
    <w:rPr>
      <w:rFonts w:ascii="宋体" w:hAnsi="宋体"/>
      <w:kern w:val="0"/>
      <w:sz w:val="24"/>
      <w:szCs w:val="20"/>
    </w:rPr>
  </w:style>
  <w:style w:type="paragraph" w:styleId="19">
    <w:name w:val="annotation subject"/>
    <w:basedOn w:val="8"/>
    <w:next w:val="8"/>
    <w:link w:val="44"/>
    <w:semiHidden/>
    <w:qFormat/>
    <w:uiPriority w:val="0"/>
    <w:rPr>
      <w:b/>
      <w:sz w:val="24"/>
      <w:szCs w:val="20"/>
    </w:rPr>
  </w:style>
  <w:style w:type="paragraph" w:styleId="20">
    <w:name w:val="Body Text First Indent"/>
    <w:basedOn w:val="9"/>
    <w:next w:val="1"/>
    <w:qFormat/>
    <w:locked/>
    <w:uiPriority w:val="0"/>
    <w:pPr>
      <w:spacing w:line="240" w:lineRule="auto"/>
      <w:ind w:firstLine="420" w:firstLineChars="0"/>
    </w:pPr>
    <w:rPr>
      <w:kern w:val="2"/>
      <w:sz w:val="21"/>
    </w:rPr>
  </w:style>
  <w:style w:type="table" w:styleId="22">
    <w:name w:val="Table Grid"/>
    <w:basedOn w:val="21"/>
    <w:qFormat/>
    <w:uiPriority w:val="0"/>
    <w:rPr>
      <w:lang w:val="en-US" w:eastAsia="zh-CN" w:bidi="ar-SA"/>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4">
    <w:name w:val="Strong"/>
    <w:basedOn w:val="23"/>
    <w:qFormat/>
    <w:locked/>
    <w:uiPriority w:val="0"/>
    <w:rPr>
      <w:b/>
    </w:rPr>
  </w:style>
  <w:style w:type="character" w:styleId="25">
    <w:name w:val="page number"/>
    <w:basedOn w:val="23"/>
    <w:qFormat/>
    <w:locked/>
    <w:uiPriority w:val="0"/>
  </w:style>
  <w:style w:type="character" w:styleId="26">
    <w:name w:val="Hyperlink"/>
    <w:basedOn w:val="23"/>
    <w:qFormat/>
    <w:locked/>
    <w:uiPriority w:val="0"/>
    <w:rPr>
      <w:color w:val="0000FF"/>
      <w:u w:val="single"/>
    </w:rPr>
  </w:style>
  <w:style w:type="character" w:styleId="27">
    <w:name w:val="annotation reference"/>
    <w:semiHidden/>
    <w:qFormat/>
    <w:uiPriority w:val="0"/>
    <w:rPr>
      <w:sz w:val="21"/>
    </w:rPr>
  </w:style>
  <w:style w:type="paragraph" w:customStyle="1" w:styleId="28">
    <w:name w:val="表头"/>
    <w:basedOn w:val="29"/>
    <w:qFormat/>
    <w:uiPriority w:val="0"/>
    <w:pPr>
      <w:keepNext/>
      <w:spacing w:line="240" w:lineRule="atLeast"/>
    </w:pPr>
    <w:rPr>
      <w:rFonts w:hAnsi="宋体" w:eastAsia="黑体" w:cs="Calibri"/>
    </w:rPr>
  </w:style>
  <w:style w:type="paragraph" w:customStyle="1" w:styleId="29">
    <w:name w:val="报告表格"/>
    <w:basedOn w:val="1"/>
    <w:qFormat/>
    <w:uiPriority w:val="0"/>
    <w:pPr>
      <w:autoSpaceDE w:val="0"/>
      <w:autoSpaceDN w:val="0"/>
      <w:adjustRightInd w:val="0"/>
      <w:jc w:val="center"/>
      <w:textAlignment w:val="baseline"/>
    </w:pPr>
    <w:rPr>
      <w:kern w:val="0"/>
      <w:szCs w:val="20"/>
    </w:rPr>
  </w:style>
  <w:style w:type="paragraph" w:customStyle="1" w:styleId="30">
    <w:name w:val="表格内容"/>
    <w:basedOn w:val="10"/>
    <w:qFormat/>
    <w:uiPriority w:val="0"/>
    <w:pPr>
      <w:widowControl/>
      <w:overflowPunct w:val="0"/>
      <w:spacing w:line="240" w:lineRule="auto"/>
      <w:jc w:val="center"/>
    </w:pPr>
    <w:rPr>
      <w:rFonts w:ascii="Times New Roman" w:hAnsi="Times New Roman" w:eastAsia="宋体"/>
      <w:kern w:val="0"/>
      <w:sz w:val="24"/>
    </w:rPr>
  </w:style>
  <w:style w:type="paragraph" w:customStyle="1" w:styleId="31">
    <w:name w:val="Char Char Char Char Char Char Char Char Char1 Char"/>
    <w:basedOn w:val="1"/>
    <w:next w:val="32"/>
    <w:qFormat/>
    <w:uiPriority w:val="0"/>
    <w:pPr>
      <w:spacing w:line="360" w:lineRule="auto"/>
      <w:ind w:firstLine="200" w:firstLineChars="200"/>
    </w:pPr>
    <w:rPr>
      <w:rFonts w:hAnsi="宋体" w:cs="宋体"/>
      <w:spacing w:val="5"/>
      <w:sz w:val="24"/>
    </w:rPr>
  </w:style>
  <w:style w:type="paragraph" w:customStyle="1" w:styleId="32">
    <w:name w:val="Body Text First Indent1"/>
    <w:next w:val="1"/>
    <w:qFormat/>
    <w:uiPriority w:val="0"/>
    <w:pPr>
      <w:widowControl w:val="0"/>
      <w:spacing w:after="120"/>
      <w:ind w:firstLine="420"/>
      <w:jc w:val="both"/>
    </w:pPr>
    <w:rPr>
      <w:rFonts w:ascii="Times New Roman" w:hAnsi="Times New Roman" w:eastAsia="宋体" w:cs="Times New Roman"/>
      <w:sz w:val="21"/>
      <w:szCs w:val="22"/>
      <w:lang w:val="en-US" w:eastAsia="zh-CN" w:bidi="ar-SA"/>
    </w:rPr>
  </w:style>
  <w:style w:type="paragraph" w:customStyle="1" w:styleId="33">
    <w:name w:val="正文1"/>
    <w:basedOn w:val="1"/>
    <w:next w:val="1"/>
    <w:qFormat/>
    <w:uiPriority w:val="0"/>
    <w:pPr>
      <w:adjustRightInd w:val="0"/>
      <w:snapToGrid w:val="0"/>
      <w:spacing w:afterLines="50" w:line="300" w:lineRule="auto"/>
      <w:ind w:firstLine="200" w:firstLineChars="200"/>
    </w:pPr>
    <w:rPr>
      <w:rFonts w:ascii="宋体"/>
      <w:spacing w:val="10"/>
      <w:sz w:val="24"/>
    </w:rPr>
  </w:style>
  <w:style w:type="paragraph" w:customStyle="1" w:styleId="34">
    <w:name w:val="BodyTextIndent2"/>
    <w:qFormat/>
    <w:uiPriority w:val="0"/>
    <w:pPr>
      <w:widowControl w:val="0"/>
      <w:spacing w:after="120" w:line="480" w:lineRule="auto"/>
      <w:ind w:left="420" w:leftChars="200" w:firstLine="200" w:firstLineChars="200"/>
      <w:jc w:val="both"/>
    </w:pPr>
    <w:rPr>
      <w:rFonts w:ascii="Times New Roman" w:hAnsi="Times New Roman" w:eastAsia="宋体" w:cs="Times New Roman"/>
      <w:kern w:val="2"/>
      <w:sz w:val="21"/>
      <w:lang w:val="en-US" w:eastAsia="zh-CN" w:bidi="ar-SA"/>
    </w:rPr>
  </w:style>
  <w:style w:type="paragraph" w:customStyle="1" w:styleId="35">
    <w:name w:val="默认段落"/>
    <w:basedOn w:val="1"/>
    <w:qFormat/>
    <w:uiPriority w:val="0"/>
  </w:style>
  <w:style w:type="character" w:customStyle="1" w:styleId="36">
    <w:name w:val="批注文字 Char"/>
    <w:link w:val="8"/>
    <w:qFormat/>
    <w:locked/>
    <w:uiPriority w:val="0"/>
    <w:rPr>
      <w:rFonts w:ascii="Times New Roman" w:hAnsi="Times New Roman" w:eastAsia="宋体"/>
      <w:sz w:val="24"/>
    </w:rPr>
  </w:style>
  <w:style w:type="character" w:customStyle="1" w:styleId="37">
    <w:name w:val="正文文本 Char"/>
    <w:link w:val="9"/>
    <w:qFormat/>
    <w:locked/>
    <w:uiPriority w:val="0"/>
    <w:rPr>
      <w:sz w:val="18"/>
    </w:rPr>
  </w:style>
  <w:style w:type="character" w:customStyle="1" w:styleId="38">
    <w:name w:val="正文文本缩进 Char"/>
    <w:link w:val="3"/>
    <w:semiHidden/>
    <w:qFormat/>
    <w:locked/>
    <w:uiPriority w:val="0"/>
    <w:rPr>
      <w:rFonts w:ascii="Times New Roman" w:hAnsi="Times New Roman" w:eastAsia="宋体"/>
      <w:sz w:val="24"/>
    </w:rPr>
  </w:style>
  <w:style w:type="character" w:customStyle="1" w:styleId="39">
    <w:name w:val="日期 Char"/>
    <w:link w:val="11"/>
    <w:qFormat/>
    <w:locked/>
    <w:uiPriority w:val="0"/>
    <w:rPr>
      <w:rFonts w:ascii="Times New Roman" w:hAnsi="Times New Roman" w:eastAsia="宋体"/>
      <w:sz w:val="24"/>
    </w:rPr>
  </w:style>
  <w:style w:type="character" w:customStyle="1" w:styleId="40">
    <w:name w:val="批注框文本 Char"/>
    <w:link w:val="13"/>
    <w:semiHidden/>
    <w:qFormat/>
    <w:locked/>
    <w:uiPriority w:val="0"/>
    <w:rPr>
      <w:rFonts w:ascii="Times New Roman" w:hAnsi="Times New Roman" w:eastAsia="宋体"/>
      <w:sz w:val="18"/>
    </w:rPr>
  </w:style>
  <w:style w:type="character" w:customStyle="1" w:styleId="41">
    <w:name w:val="页脚 Char"/>
    <w:link w:val="14"/>
    <w:qFormat/>
    <w:locked/>
    <w:uiPriority w:val="99"/>
    <w:rPr>
      <w:sz w:val="18"/>
    </w:rPr>
  </w:style>
  <w:style w:type="character" w:customStyle="1" w:styleId="42">
    <w:name w:val="页眉 Char"/>
    <w:link w:val="15"/>
    <w:qFormat/>
    <w:locked/>
    <w:uiPriority w:val="0"/>
    <w:rPr>
      <w:sz w:val="18"/>
    </w:rPr>
  </w:style>
  <w:style w:type="character" w:customStyle="1" w:styleId="43">
    <w:name w:val="普通(网站) Char"/>
    <w:link w:val="18"/>
    <w:qFormat/>
    <w:locked/>
    <w:uiPriority w:val="0"/>
    <w:rPr>
      <w:rFonts w:ascii="宋体" w:hAnsi="宋体" w:eastAsia="宋体"/>
      <w:sz w:val="24"/>
    </w:rPr>
  </w:style>
  <w:style w:type="character" w:customStyle="1" w:styleId="44">
    <w:name w:val="批注主题 Char"/>
    <w:link w:val="19"/>
    <w:semiHidden/>
    <w:qFormat/>
    <w:locked/>
    <w:uiPriority w:val="0"/>
    <w:rPr>
      <w:rFonts w:ascii="Times New Roman" w:hAnsi="Times New Roman" w:eastAsia="宋体"/>
      <w:b/>
      <w:kern w:val="2"/>
      <w:sz w:val="24"/>
    </w:rPr>
  </w:style>
  <w:style w:type="character" w:customStyle="1" w:styleId="45">
    <w:name w:val="页脚 字符"/>
    <w:basedOn w:val="23"/>
    <w:qFormat/>
    <w:uiPriority w:val="99"/>
  </w:style>
  <w:style w:type="character" w:customStyle="1" w:styleId="46">
    <w:name w:val="正文文本 字符1"/>
    <w:semiHidden/>
    <w:qFormat/>
    <w:uiPriority w:val="0"/>
    <w:rPr>
      <w:rFonts w:ascii="Times New Roman" w:hAnsi="Times New Roman" w:eastAsia="宋体"/>
      <w:sz w:val="24"/>
    </w:rPr>
  </w:style>
  <w:style w:type="character" w:customStyle="1" w:styleId="47">
    <w:name w:val="表格 Char"/>
    <w:link w:val="48"/>
    <w:qFormat/>
    <w:locked/>
    <w:uiPriority w:val="0"/>
    <w:rPr>
      <w:rFonts w:ascii="宋体"/>
      <w:sz w:val="21"/>
    </w:rPr>
  </w:style>
  <w:style w:type="paragraph" w:customStyle="1" w:styleId="48">
    <w:name w:val="表格"/>
    <w:basedOn w:val="1"/>
    <w:next w:val="1"/>
    <w:link w:val="47"/>
    <w:qFormat/>
    <w:uiPriority w:val="0"/>
    <w:pPr>
      <w:adjustRightInd w:val="0"/>
      <w:snapToGrid w:val="0"/>
      <w:spacing w:beforeLines="10" w:afterLines="10" w:line="259" w:lineRule="auto"/>
      <w:jc w:val="center"/>
    </w:pPr>
    <w:rPr>
      <w:rFonts w:ascii="宋体"/>
      <w:kern w:val="0"/>
      <w:szCs w:val="20"/>
    </w:rPr>
  </w:style>
  <w:style w:type="character" w:customStyle="1" w:styleId="49">
    <w:name w:val="日期 字符"/>
    <w:semiHidden/>
    <w:qFormat/>
    <w:uiPriority w:val="0"/>
    <w:rPr>
      <w:rFonts w:ascii="Times New Roman" w:hAnsi="Times New Roman" w:eastAsia="宋体"/>
      <w:sz w:val="24"/>
    </w:rPr>
  </w:style>
  <w:style w:type="character" w:customStyle="1" w:styleId="50">
    <w:name w:val="批注文字 字符1"/>
    <w:semiHidden/>
    <w:qFormat/>
    <w:uiPriority w:val="0"/>
    <w:rPr>
      <w:rFonts w:ascii="Times New Roman" w:hAnsi="Times New Roman" w:eastAsia="宋体"/>
      <w:sz w:val="24"/>
    </w:rPr>
  </w:style>
  <w:style w:type="paragraph" w:customStyle="1" w:styleId="51">
    <w:name w:val="正文_10"/>
    <w:qFormat/>
    <w:uiPriority w:val="0"/>
    <w:pPr>
      <w:widowControl w:val="0"/>
      <w:jc w:val="both"/>
    </w:pPr>
    <w:rPr>
      <w:rFonts w:ascii="Times New Roman" w:hAnsi="Times New Roman" w:eastAsia="宋体" w:cs="Times New Roman"/>
      <w:kern w:val="2"/>
      <w:sz w:val="21"/>
      <w:szCs w:val="22"/>
      <w:lang w:val="en-US" w:eastAsia="zh-CN" w:bidi="ar-SA"/>
    </w:rPr>
  </w:style>
  <w:style w:type="paragraph" w:customStyle="1" w:styleId="52">
    <w:name w:val="普通(网站)2"/>
    <w:basedOn w:val="1"/>
    <w:qFormat/>
    <w:uiPriority w:val="0"/>
    <w:pPr>
      <w:widowControl/>
      <w:spacing w:before="100" w:beforeAutospacing="1" w:after="100" w:afterAutospacing="1"/>
      <w:jc w:val="left"/>
    </w:pPr>
    <w:rPr>
      <w:rFonts w:ascii="宋体" w:hAnsi="宋体"/>
      <w:sz w:val="24"/>
      <w:szCs w:val="20"/>
    </w:rPr>
  </w:style>
  <w:style w:type="paragraph" w:customStyle="1" w:styleId="53">
    <w:name w:val="正文呀呀呀呀"/>
    <w:basedOn w:val="1"/>
    <w:qFormat/>
    <w:uiPriority w:val="0"/>
    <w:pPr>
      <w:wordWrap w:val="0"/>
      <w:adjustRightInd w:val="0"/>
      <w:snapToGrid w:val="0"/>
      <w:spacing w:line="520" w:lineRule="exact"/>
      <w:ind w:firstLine="720" w:firstLineChars="200"/>
      <w:jc w:val="left"/>
    </w:pPr>
    <w:rPr>
      <w:rFonts w:ascii="Times New Roman" w:hAnsi="Times New Roman" w:eastAsia="宋体" w:cs="宋体"/>
      <w:sz w:val="24"/>
    </w:rPr>
  </w:style>
  <w:style w:type="paragraph" w:customStyle="1" w:styleId="54">
    <w:name w:val="小标题啊啊啊"/>
    <w:basedOn w:val="1"/>
    <w:qFormat/>
    <w:uiPriority w:val="0"/>
    <w:pPr>
      <w:adjustRightInd w:val="0"/>
      <w:snapToGrid w:val="0"/>
      <w:spacing w:line="520" w:lineRule="exact"/>
      <w:jc w:val="left"/>
    </w:pPr>
    <w:rPr>
      <w:rFonts w:ascii="Times New Roman" w:hAnsi="Times New Roman" w:eastAsia="宋体" w:cs="宋体"/>
      <w:b/>
      <w:sz w:val="24"/>
      <w:szCs w:val="21"/>
    </w:rPr>
  </w:style>
  <w:style w:type="character" w:customStyle="1" w:styleId="55">
    <w:name w:val="正文啊啊啊 Char"/>
    <w:link w:val="56"/>
    <w:qFormat/>
    <w:uiPriority w:val="0"/>
    <w:rPr>
      <w:rFonts w:hint="eastAsia" w:ascii="Times New Roman" w:hAnsi="Times New Roman" w:eastAsia="宋体" w:cs="宋体"/>
      <w:bCs/>
      <w:kern w:val="2"/>
      <w:sz w:val="24"/>
      <w:szCs w:val="24"/>
      <w:lang w:val="en-US" w:eastAsia="zh-CN" w:bidi="ar-SA"/>
    </w:rPr>
  </w:style>
  <w:style w:type="paragraph" w:customStyle="1" w:styleId="56">
    <w:name w:val="正文啊啊啊"/>
    <w:link w:val="55"/>
    <w:qFormat/>
    <w:uiPriority w:val="0"/>
    <w:pPr>
      <w:widowControl w:val="0"/>
      <w:wordWrap w:val="0"/>
      <w:adjustRightInd w:val="0"/>
      <w:snapToGrid w:val="0"/>
      <w:spacing w:line="520" w:lineRule="exact"/>
      <w:ind w:firstLine="720" w:firstLineChars="200"/>
      <w:jc w:val="left"/>
    </w:pPr>
    <w:rPr>
      <w:rFonts w:hint="eastAsia" w:ascii="Times New Roman" w:hAnsi="Times New Roman" w:eastAsia="宋体" w:cs="宋体"/>
      <w:bCs/>
      <w:kern w:val="2"/>
      <w:sz w:val="24"/>
      <w:szCs w:val="24"/>
      <w:lang w:val="en-US" w:eastAsia="zh-CN" w:bidi="ar-SA"/>
    </w:rPr>
  </w:style>
  <w:style w:type="paragraph" w:customStyle="1" w:styleId="57">
    <w:name w:val="表头啊啊啊啊"/>
    <w:qFormat/>
    <w:uiPriority w:val="0"/>
    <w:pPr>
      <w:widowControl w:val="0"/>
      <w:adjustRightInd w:val="0"/>
      <w:snapToGrid w:val="0"/>
      <w:spacing w:line="240" w:lineRule="auto"/>
      <w:jc w:val="center"/>
    </w:pPr>
    <w:rPr>
      <w:rFonts w:hint="eastAsia" w:ascii="Times New Roman" w:hAnsi="Times New Roman" w:eastAsiaTheme="minorEastAsia" w:cstheme="minorEastAsia"/>
      <w:b/>
      <w:bCs/>
      <w:color w:val="auto"/>
      <w:kern w:val="2"/>
      <w:sz w:val="21"/>
      <w:szCs w:val="21"/>
      <w:lang w:val="en-US" w:eastAsia="zh-CN" w:bidi="ar-SA"/>
    </w:rPr>
  </w:style>
  <w:style w:type="paragraph" w:customStyle="1" w:styleId="58">
    <w:name w:val="表内文字啊啊啊"/>
    <w:qFormat/>
    <w:uiPriority w:val="0"/>
    <w:pPr>
      <w:widowControl w:val="0"/>
      <w:adjustRightInd w:val="0"/>
      <w:snapToGrid w:val="0"/>
      <w:spacing w:line="240" w:lineRule="auto"/>
      <w:jc w:val="center"/>
    </w:pPr>
    <w:rPr>
      <w:rFonts w:hint="eastAsia" w:ascii="Times New Roman" w:hAnsi="Times New Roman" w:eastAsiaTheme="minorEastAsia" w:cstheme="minorEastAsia"/>
      <w:color w:val="auto"/>
      <w:kern w:val="2"/>
      <w:sz w:val="21"/>
      <w:szCs w:val="21"/>
      <w:lang w:val="en-US" w:eastAsia="zh-CN" w:bidi="ar-SA"/>
    </w:rPr>
  </w:style>
  <w:style w:type="paragraph" w:customStyle="1" w:styleId="59">
    <w:name w:val="小标题呗"/>
    <w:basedOn w:val="1"/>
    <w:qFormat/>
    <w:uiPriority w:val="0"/>
    <w:pPr>
      <w:widowControl/>
      <w:wordWrap w:val="0"/>
      <w:snapToGrid w:val="0"/>
      <w:spacing w:line="520" w:lineRule="exact"/>
      <w:jc w:val="left"/>
    </w:pPr>
    <w:rPr>
      <w:rFonts w:hint="eastAsia" w:ascii="Times New Roman" w:hAnsi="Times New Roman" w:eastAsia="宋体"/>
      <w:b/>
      <w:kern w:val="0"/>
      <w:sz w:val="24"/>
      <w:szCs w:val="24"/>
    </w:rPr>
  </w:style>
  <w:style w:type="paragraph" w:customStyle="1" w:styleId="60">
    <w:name w:val="表头略略略"/>
    <w:basedOn w:val="1"/>
    <w:qFormat/>
    <w:uiPriority w:val="0"/>
    <w:pPr>
      <w:adjustRightInd w:val="0"/>
      <w:snapToGrid w:val="0"/>
      <w:jc w:val="center"/>
    </w:pPr>
    <w:rPr>
      <w:rFonts w:ascii="Times New Roman" w:hAnsi="Times New Roman" w:cs="宋体"/>
      <w:b/>
      <w:szCs w:val="21"/>
    </w:rPr>
  </w:style>
  <w:style w:type="paragraph" w:customStyle="1" w:styleId="61">
    <w:name w:val="正文啊啊"/>
    <w:basedOn w:val="1"/>
    <w:qFormat/>
    <w:uiPriority w:val="0"/>
    <w:pPr>
      <w:spacing w:line="520" w:lineRule="exact"/>
      <w:ind w:firstLine="720" w:firstLineChars="200"/>
    </w:pPr>
    <w:rPr>
      <w:rFonts w:ascii="Times New Roman" w:hAnsi="Times New Roman" w:eastAsia="宋体" w:cs="宋体"/>
      <w:sz w:val="24"/>
      <w:szCs w:val="24"/>
    </w:rPr>
  </w:style>
  <w:style w:type="paragraph" w:customStyle="1" w:styleId="62">
    <w:name w:val="小标题啊啊"/>
    <w:basedOn w:val="1"/>
    <w:qFormat/>
    <w:uiPriority w:val="0"/>
    <w:pPr>
      <w:spacing w:line="520" w:lineRule="exact"/>
      <w:jc w:val="both"/>
    </w:pPr>
    <w:rPr>
      <w:rFonts w:ascii="Times New Roman" w:hAnsi="Times New Roman" w:eastAsia="宋体" w:cs="宋体"/>
      <w:b/>
      <w:sz w:val="24"/>
    </w:rPr>
  </w:style>
  <w:style w:type="paragraph" w:customStyle="1" w:styleId="63">
    <w:name w:val="Table Text"/>
    <w:basedOn w:val="1"/>
    <w:semiHidden/>
    <w:qFormat/>
    <w:uiPriority w:val="0"/>
    <w:rPr>
      <w:rFonts w:ascii="宋体" w:hAnsi="宋体" w:eastAsia="宋体" w:cs="宋体"/>
      <w:sz w:val="25"/>
      <w:szCs w:val="25"/>
      <w:lang w:val="en-US" w:eastAsia="en-US" w:bidi="ar-SA"/>
    </w:rPr>
  </w:style>
  <w:style w:type="paragraph" w:customStyle="1" w:styleId="64">
    <w:name w:val="标1"/>
    <w:basedOn w:val="1"/>
    <w:qFormat/>
    <w:uiPriority w:val="0"/>
    <w:pPr>
      <w:spacing w:before="60" w:beforeLines="0" w:beforeAutospacing="0" w:line="460" w:lineRule="exact"/>
      <w:outlineLvl w:val="0"/>
    </w:pPr>
    <w:rPr>
      <w:rFonts w:ascii="Times New Roman" w:hAnsi="Times New Roman" w:eastAsia="宋体" w:cs="Times New Roman"/>
      <w:b/>
      <w:kern w:val="2"/>
      <w:sz w:val="32"/>
      <w:lang w:val="en-US" w:eastAsia="zh-CN"/>
    </w:rPr>
  </w:style>
  <w:style w:type="paragraph" w:customStyle="1" w:styleId="65">
    <w:name w:val="表格里面啊啊啊啊"/>
    <w:basedOn w:val="1"/>
    <w:qFormat/>
    <w:uiPriority w:val="0"/>
    <w:pPr>
      <w:jc w:val="center"/>
    </w:pPr>
    <w:rPr>
      <w:rFonts w:ascii="Times New Roman" w:hAnsi="Times New Roman" w:eastAsia="宋体" w:cs="Times New Roman"/>
      <w:szCs w:val="21"/>
    </w:rPr>
  </w:style>
  <w:style w:type="paragraph" w:customStyle="1" w:styleId="66">
    <w:name w:val="Default"/>
    <w:basedOn w:val="67"/>
    <w:next w:val="1"/>
    <w:qFormat/>
    <w:uiPriority w:val="0"/>
    <w:pPr>
      <w:widowControl w:val="0"/>
      <w:autoSpaceDE w:val="0"/>
      <w:autoSpaceDN w:val="0"/>
      <w:adjustRightInd w:val="0"/>
    </w:pPr>
    <w:rPr>
      <w:rFonts w:ascii="宋体" w:hAnsi="Times New Roman" w:eastAsia="宋体" w:cs="宋体"/>
      <w:color w:val="000000"/>
      <w:sz w:val="24"/>
      <w:szCs w:val="24"/>
      <w:lang w:val="en-US" w:eastAsia="zh-CN" w:bidi="ar-SA"/>
    </w:rPr>
  </w:style>
  <w:style w:type="paragraph" w:customStyle="1" w:styleId="67">
    <w:name w:val="1 表头"/>
    <w:basedOn w:val="1"/>
    <w:qFormat/>
    <w:uiPriority w:val="0"/>
    <w:pPr>
      <w:spacing w:line="240" w:lineRule="auto"/>
      <w:ind w:firstLine="0" w:firstLineChars="0"/>
      <w:jc w:val="center"/>
    </w:pPr>
    <w:rPr>
      <w:b/>
      <w:color w:val="000000"/>
      <w:sz w:val="21"/>
      <w:szCs w:val="21"/>
    </w:rPr>
  </w:style>
  <w:style w:type="paragraph" w:customStyle="1" w:styleId="68">
    <w:name w:val="正文格式"/>
    <w:basedOn w:val="1"/>
    <w:qFormat/>
    <w:uiPriority w:val="0"/>
    <w:pPr>
      <w:wordWrap w:val="0"/>
      <w:spacing w:line="520" w:lineRule="exact"/>
      <w:ind w:firstLine="720" w:firstLineChars="200"/>
    </w:pPr>
    <w:rPr>
      <w:rFonts w:hint="eastAsia" w:ascii="Times New Roman" w:hAnsi="Times New Roman" w:eastAsia="宋体"/>
      <w:sz w:val="24"/>
    </w:rPr>
  </w:style>
  <w:style w:type="paragraph" w:customStyle="1" w:styleId="69">
    <w:name w:val="表格标题"/>
    <w:basedOn w:val="7"/>
    <w:next w:val="1"/>
    <w:qFormat/>
    <w:uiPriority w:val="0"/>
    <w:pPr>
      <w:spacing w:before="60" w:line="460" w:lineRule="exact"/>
      <w:jc w:val="center"/>
    </w:pPr>
    <w:rPr>
      <w:sz w:val="24"/>
    </w:rPr>
  </w:style>
  <w:style w:type="table" w:customStyle="1" w:styleId="70">
    <w:name w:val="Table Normal"/>
    <w:unhideWhenUsed/>
    <w:qFormat/>
    <w:uiPriority w:val="0"/>
    <w:tblPr>
      <w:tblCellMar>
        <w:top w:w="0" w:type="dxa"/>
        <w:left w:w="0" w:type="dxa"/>
        <w:bottom w:w="0" w:type="dxa"/>
        <w:right w:w="0" w:type="dxa"/>
      </w:tblCellMar>
    </w:tblPr>
  </w:style>
  <w:style w:type="paragraph" w:customStyle="1" w:styleId="71">
    <w:name w:val="B正文"/>
    <w:basedOn w:val="1"/>
    <w:qFormat/>
    <w:uiPriority w:val="0"/>
    <w:pPr>
      <w:widowControl/>
      <w:spacing w:line="360" w:lineRule="auto"/>
      <w:ind w:firstLine="200" w:firstLineChars="200"/>
      <w:jc w:val="left"/>
    </w:pPr>
    <w:rPr>
      <w:kern w:val="0"/>
      <w:sz w:val="24"/>
    </w:rPr>
  </w:style>
  <w:style w:type="paragraph" w:customStyle="1" w:styleId="72">
    <w:name w:val="Table Paragraph"/>
    <w:basedOn w:val="1"/>
    <w:qFormat/>
    <w:uiPriority w:val="1"/>
  </w:style>
  <w:style w:type="paragraph" w:customStyle="1" w:styleId="73">
    <w:name w:val="正文lzq"/>
    <w:basedOn w:val="1"/>
    <w:qFormat/>
    <w:uiPriority w:val="0"/>
    <w:pPr>
      <w:autoSpaceDE w:val="0"/>
      <w:autoSpaceDN w:val="0"/>
      <w:adjustRightInd w:val="0"/>
      <w:snapToGrid w:val="0"/>
      <w:spacing w:line="360" w:lineRule="auto"/>
      <w:ind w:firstLine="420" w:firstLineChars="200"/>
      <w:jc w:val="left"/>
    </w:pPr>
    <w:rPr>
      <w:rFonts w:ascii="Times New Roman" w:hAnsi="Times New Roman" w:eastAsia="宋体" w:cs="Times New Roman"/>
    </w:rPr>
  </w:style>
  <w:style w:type="paragraph" w:customStyle="1" w:styleId="74">
    <w:name w:val="!正文"/>
    <w:basedOn w:val="1"/>
    <w:qFormat/>
    <w:uiPriority w:val="0"/>
    <w:pPr>
      <w:widowControl/>
      <w:adjustRightInd w:val="0"/>
      <w:snapToGrid w:val="0"/>
      <w:spacing w:line="360" w:lineRule="auto"/>
      <w:ind w:firstLine="200" w:firstLineChars="200"/>
      <w:textAlignment w:val="baseline"/>
    </w:pPr>
    <w:rPr>
      <w:szCs w:val="21"/>
    </w:rPr>
  </w:style>
  <w:style w:type="character" w:customStyle="1" w:styleId="75">
    <w:name w:val="NormalCharacter"/>
    <w:semiHidden/>
    <w:qFormat/>
    <w:uiPriority w:val="0"/>
  </w:style>
  <w:style w:type="paragraph" w:customStyle="1" w:styleId="76">
    <w:name w:val="6表格内容"/>
    <w:basedOn w:val="1"/>
    <w:next w:val="1"/>
    <w:qFormat/>
    <w:uiPriority w:val="0"/>
    <w:pPr>
      <w:jc w:val="center"/>
    </w:pPr>
  </w:style>
  <w:style w:type="paragraph" w:customStyle="1" w:styleId="77">
    <w:name w:val="A表内"/>
    <w:basedOn w:val="1"/>
    <w:qFormat/>
    <w:uiPriority w:val="0"/>
    <w:pPr>
      <w:widowControl/>
      <w:spacing w:line="0" w:lineRule="atLeast"/>
      <w:jc w:val="center"/>
      <w:textAlignment w:val="baseline"/>
    </w:pPr>
    <w:rPr>
      <w:rFonts w:cs="宋体"/>
      <w:sz w:val="18"/>
      <w:szCs w:val="20"/>
    </w:rPr>
  </w:style>
</w:styles>
</file>

<file path=word/_rels/document.xml.rels><?xml version="1.0" encoding="UTF-8" standalone="yes"?>
<Relationships xmlns="http://schemas.openxmlformats.org/package/2006/relationships"><Relationship Id="rId9" Type="http://schemas.openxmlformats.org/officeDocument/2006/relationships/image" Target="media/image1.emf"/><Relationship Id="rId8" Type="http://schemas.openxmlformats.org/officeDocument/2006/relationships/oleObject" Target="embeddings/oleObject1.bin"/><Relationship Id="rId7" Type="http://schemas.openxmlformats.org/officeDocument/2006/relationships/theme" Target="theme/theme1.xml"/><Relationship Id="rId6" Type="http://schemas.openxmlformats.org/officeDocument/2006/relationships/footer" Target="footer4.xml"/><Relationship Id="rId5" Type="http://schemas.openxmlformats.org/officeDocument/2006/relationships/footer" Target="footer3.xml"/><Relationship Id="rId4" Type="http://schemas.openxmlformats.org/officeDocument/2006/relationships/footer" Target="footer2.xml"/><Relationship Id="rId3" Type="http://schemas.openxmlformats.org/officeDocument/2006/relationships/footer" Target="footer1.xml"/><Relationship Id="rId24" Type="http://schemas.openxmlformats.org/officeDocument/2006/relationships/fontTable" Target="fontTable.xml"/><Relationship Id="rId23" Type="http://schemas.openxmlformats.org/officeDocument/2006/relationships/customXml" Target="../customXml/item1.xml"/><Relationship Id="rId22" Type="http://schemas.openxmlformats.org/officeDocument/2006/relationships/numbering" Target="numbering.xml"/><Relationship Id="rId21" Type="http://schemas.openxmlformats.org/officeDocument/2006/relationships/image" Target="media/image8.png"/><Relationship Id="rId20" Type="http://schemas.openxmlformats.org/officeDocument/2006/relationships/image" Target="media/image7.emf"/><Relationship Id="rId2" Type="http://schemas.openxmlformats.org/officeDocument/2006/relationships/settings" Target="settings.xml"/><Relationship Id="rId19" Type="http://schemas.openxmlformats.org/officeDocument/2006/relationships/oleObject" Target="embeddings/oleObject6.bin"/><Relationship Id="rId18" Type="http://schemas.openxmlformats.org/officeDocument/2006/relationships/image" Target="media/image6.emf"/><Relationship Id="rId17" Type="http://schemas.openxmlformats.org/officeDocument/2006/relationships/oleObject" Target="embeddings/oleObject5.bin"/><Relationship Id="rId16" Type="http://schemas.openxmlformats.org/officeDocument/2006/relationships/image" Target="media/image5.emf"/><Relationship Id="rId15" Type="http://schemas.openxmlformats.org/officeDocument/2006/relationships/oleObject" Target="embeddings/oleObject4.bin"/><Relationship Id="rId14" Type="http://schemas.openxmlformats.org/officeDocument/2006/relationships/image" Target="media/image4.emf"/><Relationship Id="rId13" Type="http://schemas.openxmlformats.org/officeDocument/2006/relationships/oleObject" Target="embeddings/oleObject3.bin"/><Relationship Id="rId12" Type="http://schemas.openxmlformats.org/officeDocument/2006/relationships/image" Target="media/image3.emf"/><Relationship Id="rId11" Type="http://schemas.openxmlformats.org/officeDocument/2006/relationships/oleObject" Target="embeddings/oleObject2.bin"/><Relationship Id="rId10" Type="http://schemas.openxmlformats.org/officeDocument/2006/relationships/image" Target="media/image2.png"/><Relationship Id="rId1" Type="http://schemas.openxmlformats.org/officeDocument/2006/relationships/styles" Target="styl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soa\wdzx97.dot"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ntractReview xmlns="http://schemas.wps.cn/vas-ai-hub/contract-review">
  <reviewItems>
    <reviewItem>
      <errorID>40928d51-d7a8-45b9-901c-d29bd4b7d6a6</errorID>
      <errorWord>2026年03月</errorWord>
      <group>L1_Knowledge</group>
      <groupName>知识性问题</groupName>
      <ability>L2_Time</ability>
      <abilityName>日期时间</abilityName>
      <candidateList>
        <item>2026年3月</item>
      </candidateList>
      <explain>根据日常书写习惯，月份一般会省略前导零。</explain>
      <paraID>42C542A6</paraID>
      <start>13</start>
      <end>21</end>
      <status>ignored</status>
      <modifiedWord/>
      <trackRevisions>false</trackRevisions>
    </reviewItem>
    <reviewItem>
      <errorID>eeaf33c7-5242-4685-b75c-caab2be83456</errorID>
      <errorWord>-</errorWord>
      <group>L1_Format</group>
      <groupName>格式问题</groupName>
      <ability>L2_HalfPunc</ability>
      <abilityName>全半角检查</abilityName>
      <candidateList>
        <item>－</item>
      </candidateList>
      <explain>文本全半角错误。</explain>
      <paraID>489A3CE4</paraID>
      <start>10</start>
      <end>11</end>
      <status>ignored</status>
      <modifiedWord/>
      <trackRevisions>false</trackRevisions>
    </reviewItem>
    <reviewItem>
      <errorID>f8889bb4-f276-4eb6-821a-3d728f266d7e</errorID>
      <errorWord>-</errorWord>
      <group>L1_Format</group>
      <groupName>格式问题</groupName>
      <ability>L2_HalfPunc</ability>
      <abilityName>全半角检查</abilityName>
      <candidateList>
        <item>－</item>
      </candidateList>
      <explain>文本全半角错误。</explain>
      <paraID>489A3CE4</paraID>
      <start>19</start>
      <end>20</end>
      <status>ignored</status>
      <modifiedWord/>
      <trackRevisions>false</trackRevisions>
    </reviewItem>
    <reviewItem>
      <errorID>9dc670af-517f-4ac7-ba9f-18c4e095d8ed</errorID>
      <errorWord>-</errorWord>
      <group>L1_Format</group>
      <groupName>格式问题</groupName>
      <ability>L2_HalfPunc</ability>
      <abilityName>全半角检查</abilityName>
      <candidateList>
        <item>－</item>
      </candidateList>
      <explain>文本全半角错误。</explain>
      <paraID>3E0EEB41</paraID>
      <start>10</start>
      <end>11</end>
      <status>ignored</status>
      <modifiedWord/>
      <trackRevisions>false</trackRevisions>
    </reviewItem>
    <reviewItem>
      <errorID>4d1b5c39-612b-480e-b474-a8c357ba54ff</errorID>
      <errorWord>/；</errorWord>
      <group>L1_Punc</group>
      <groupName>标点问题</groupName>
      <ability>L2_Punc</ability>
      <abilityName>标点符号检查</abilityName>
      <candidateList>
        <item>/</item>
      </candidateList>
      <explain/>
      <paraID>3E0EEB41</paraID>
      <start>20</start>
      <end>22</end>
      <status>ignored</status>
      <modifiedWord/>
      <trackRevisions>false</trackRevisions>
    </reviewItem>
    <reviewItem>
      <errorID>55088cd8-8ace-4e5d-a9db-32293c20218e</errorID>
      <errorWord>-</errorWord>
      <group>L1_Format</group>
      <groupName>格式问题</groupName>
      <ability>L2_HalfPunc</ability>
      <abilityName>全半角检查</abilityName>
      <candidateList>
        <item>－</item>
      </candidateList>
      <explain>文本全半角错误。</explain>
      <paraID>284A60D1</paraID>
      <start>27</start>
      <end>28</end>
      <status>ignored</status>
      <modifiedWord/>
      <trackRevisions>false</trackRevisions>
    </reviewItem>
    <reviewItem>
      <errorID>1393f085-b57a-4f6d-9371-1bbfb621d9bd</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13D90F71</paraID>
      <start>25</start>
      <end>26</end>
      <status>ignored</status>
      <modifiedWord/>
      <trackRevisions>false</trackRevisions>
    </reviewItem>
    <reviewItem>
      <errorID>9cc184a1-57a9-4cba-8e7c-5205b6ff8db0</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26C0F9B6</paraID>
      <start>40</start>
      <end>41</end>
      <status>unmodified</status>
      <modifiedWord/>
      <trackRevisions>false</trackRevisions>
    </reviewItem>
    <reviewItem>
      <errorID>aa4b3296-f3b0-480f-875c-5c9030fe912d</errorID>
      <errorWord>3～4亿</errorWord>
      <group>L1_Knowledge</group>
      <groupName>知识性问题</groupName>
      <ability>L2_Knowledge</ability>
      <abilityName>其他知识</abilityName>
      <candidateList>
        <item>3亿～4亿</item>
      </candidateList>
      <explain>1. “3～4亿”中的单位“亿”仅出现在后一个数字上，容易引起歧义；根据《现代汉语标点符号数字用法规范手册》，数字表示范围两边需要使用统一的格式。2. 根据标点国标 4.13 中的规则，数字、时间或地域连接符应使用（视觉上更长的）“—”或“～”。</explain>
      <paraID>64750186</paraID>
      <start>14</start>
      <end>18</end>
      <status>unmodified</status>
      <modifiedWord/>
      <trackRevisions>false</trackRevisions>
    </reviewItem>
    <reviewItem>
      <errorID>3ef23160-7c9b-4b36-81f1-83744c278b4f</errorID>
      <errorWord>提供</errorWord>
      <group>L1_AI</group>
      <groupName>深度校对</groupName>
      <ability>L2_AI_Word</ability>
      <abilityName>字词纠错</abilityName>
      <candidateList>
        <item>供应</item>
      </candidateList>
      <explain/>
      <paraID>20286575</paraID>
      <start>24</start>
      <end>26</end>
      <status>unmodified</status>
      <modifiedWord/>
      <trackRevisions>false</trackRevisions>
    </reviewItem>
    <reviewItem>
      <errorID>f3484369-9681-4794-86cd-9df5e5d4d944</errorID>
      <errorWord>（</errorWord>
      <group>L1_Format</group>
      <groupName>格式问题</groupName>
      <ability>L2_HalfPunc</ability>
      <abilityName>全半角检查</abilityName>
      <candidateList>
        <item>(</item>
      </candidateList>
      <explain>文本全半角错误。</explain>
      <paraID> 70AAFF7</paraID>
      <start>0</start>
      <end>1</end>
      <status>unmodified</status>
      <modifiedWord/>
      <trackRevisions>false</trackRevisions>
    </reviewItem>
    <reviewItem>
      <errorID>1e0a4cd6-3ea2-4109-b984-34a6134b449b</errorID>
      <errorWord>）</errorWord>
      <group>L1_Format</group>
      <groupName>格式问题</groupName>
      <ability>L2_HalfPunc</ability>
      <abilityName>全半角检查</abilityName>
      <candidateList>
        <item>)</item>
      </candidateList>
      <explain>文本全半角错误。</explain>
      <paraID> 70AAFF7</paraID>
      <start>2</start>
      <end>3</end>
      <status>unmodified</status>
      <modifiedWord/>
      <trackRevisions>false</trackRevisions>
    </reviewItem>
    <reviewItem>
      <errorID>ebfe3e64-f2ae-4977-816a-37427432ef79</errorID>
      <errorWord>部分</errorWord>
      <group>L1_AI</group>
      <groupName>深度校对</groupName>
      <ability>L2_AI_Word</ability>
      <abilityName>字词纠错</abilityName>
      <candidateList>
        <item>在部分</item>
      </candidateList>
      <explain/>
      <paraID> 70AAFF7</paraID>
      <start>17</start>
      <end>19</end>
      <status>ignored</status>
      <modifiedWord/>
      <trackRevisions>false</trackRevisions>
    </reviewItem>
    <reviewItem>
      <errorID>cae30434-b5e4-465c-a9ea-9768e65a177d</errorID>
      <errorWord>220KV</errorWord>
      <group>L1_AI</group>
      <groupName>深度校对</groupName>
      <ability>L2_AI_Word</ability>
      <abilityName>字词纠错</abilityName>
      <candidateList>
        <item>220kV</item>
      </candidateList>
      <explain/>
      <paraID> 13BA9C6</paraID>
      <start>11</start>
      <end>16</end>
      <status>ignored</status>
      <modifiedWord/>
      <trackRevisions>false</trackRevisions>
    </reviewItem>
    <reviewItem>
      <errorID>35028da5-a391-4dd7-b406-07c4ef13d8ab</errorID>
      <errorWord>110KV</errorWord>
      <group>L1_AI</group>
      <groupName>深度校对</groupName>
      <ability>L2_AI_Word</ability>
      <abilityName>字词纠错</abilityName>
      <candidateList>
        <item>110kV</item>
      </candidateList>
      <explain/>
      <paraID> 13BA9C6</paraID>
      <start>23</start>
      <end>28</end>
      <status>unmodified</status>
      <modifiedWord/>
      <trackRevisions>false</trackRevisions>
    </reviewItem>
    <reviewItem>
      <errorID>0518e82c-c325-4a13-8b00-9cb8f265c051</errorID>
      <errorWord>，</errorWord>
      <group>L1_Word</group>
      <groupName>字词问题</groupName>
      <ability>L2_Typo</ability>
      <abilityName>字词错误</abilityName>
      <candidateList>
        <item>，在</item>
      </candidateList>
      <explain/>
      <paraID>39E96C7D</paraID>
      <start>30</start>
      <end>31</end>
      <status>unmodified</status>
      <modifiedWord/>
      <trackRevisions>false</trackRevisions>
    </reviewItem>
    <reviewItem>
      <errorID>eccf64ed-5027-45d6-abdf-96217e0f3c74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79CE9597</paraID>
      <start>0</start>
      <end>2</end>
      <status>unmodified</status>
      <modifiedWord/>
      <trackRevisions>false</trackRevisions>
    </reviewItem>
    <reviewItem>
      <errorID>df2c4256-a72c-4ff1-95b3-df8a10ec9572</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71F5180D</paraID>
      <start>0</start>
      <end>2</end>
      <status>unmodified</status>
      <modifiedWord/>
      <trackRevisions>false</trackRevisions>
    </reviewItem>
    <reviewItem>
      <errorID>3979312a-41de-40c5-8125-63b08509393d</errorID>
      <errorWord>上线</errorWord>
      <group>L1_Word</group>
      <groupName>字词问题</groupName>
      <ability>L2_Typo</ability>
      <abilityName>字词错误</abilityName>
      <candidateList>
        <item>上限</item>
      </candidateList>
      <explain/>
      <paraID>5F41D77D</paraID>
      <start>51</start>
      <end>53</end>
      <status>unmodified</status>
      <modifiedWord/>
      <trackRevisions>false</trackRevisions>
    </reviewItem>
    <reviewItem>
      <errorID>f6c239a0-99d4-4da9-b4e7-2c2bd8cfcad6</errorID>
      <errorWord>来水</errorWord>
      <group>L1_Word</group>
      <groupName>字词问题</groupName>
      <ability>L2_Typo</ability>
      <abilityName>字词错误</abilityName>
      <candidateList>
        <item>来自</item>
      </candidateList>
      <explain/>
      <paraID>125FACFD</paraID>
      <start>5</start>
      <end>7</end>
      <status>unmodified</status>
      <modifiedWord/>
      <trackRevisions>false</trackRevisions>
    </reviewItem>
    <reviewItem>
      <errorID>25533f1e-66ae-47e7-9d0e-6d5322451172</errorID>
      <errorWord>法律、法规</errorWord>
      <group>L1_Word</group>
      <groupName>字词问题</groupName>
      <ability>L2_Typo</ability>
      <abilityName>字词错误</abilityName>
      <candidateList>
        <item>法律法规</item>
      </candidateList>
      <explain/>
      <paraID>6528685D</paraID>
      <start>31</start>
      <end>36</end>
      <status>unmodified</status>
      <modifiedWord/>
      <trackRevisions>false</trackRevisions>
    </reviewItem>
    <reviewItem>
      <errorID>d1f8bed8-2b41-4fa2-bf74-51fc77a10dca</errorID>
      <errorWord>-</errorWord>
      <group>L1_Format</group>
      <groupName>格式问题</groupName>
      <ability>L2_HalfPunc</ability>
      <abilityName>全半角检查</abilityName>
      <candidateList>
        <item>－</item>
      </candidateList>
      <explain>文本全半角错误。</explain>
      <paraID>6528685D</paraID>
      <start>85</start>
      <end>86</end>
      <status>unmodified</status>
      <modifiedWord/>
      <trackRevisions>false</trackRevisions>
    </reviewItem>
    <reviewItem>
      <errorID>7976d07b-7ea8-420f-a4a7-522dea324364</errorID>
      <errorWord>-</errorWord>
      <group>L1_Format</group>
      <groupName>格式问题</groupName>
      <ability>L2_HalfPunc</ability>
      <abilityName>全半角检查</abilityName>
      <candidateList>
        <item>－</item>
      </candidateList>
      <explain>文本全半角错误。</explain>
      <paraID>6528685D</paraID>
      <start>159</start>
      <end>160</end>
      <status>unmodified</status>
      <modifiedWord/>
      <trackRevisions>false</trackRevisions>
    </reviewItem>
    <reviewItem>
      <errorID>33c0c802-4579-40b2-a578-a7bd406f2923</errorID>
      <errorWord>理化</errorWord>
      <group>L1_Word</group>
      <groupName>字词问题</groupName>
      <ability>L2_Typo</ability>
      <abilityName>字词错误</abilityName>
      <candidateList>
        <item>量化</item>
      </candidateList>
      <explain/>
      <paraID>5B931582</paraID>
      <start>0</start>
      <end>2</end>
      <status>unmodified</status>
      <modifiedWord/>
      <trackRevisions>false</trackRevisions>
    </reviewItem>
    <reviewItem>
      <errorID>235fdace-174e-44fe-91dc-0346e5c210aa</errorID>
      <errorWord>理化</errorWord>
      <group>L1_Word</group>
      <groupName>字词问题</groupName>
      <ability>L2_Typo</ability>
      <abilityName>字词错误</abilityName>
      <candidateList>
        <item>量化</item>
      </candidateList>
      <explain/>
      <paraID>42CB64CF</paraID>
      <start>0</start>
      <end>2</end>
      <status>unmodified</status>
      <modifiedWord/>
      <trackRevisions>false</trackRevisions>
    </reviewItem>
    <reviewItem>
      <errorID>735e7395-bae6-41b8-bb29-dcf99867e804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4FC2225</paraID>
      <start>9</start>
      <end>10</end>
      <status>unmodified</status>
      <modifiedWord/>
      <trackRevisions>false</trackRevisions>
    </reviewItem>
    <reviewItem>
      <errorID>f48a101c-198c-47ad-9269-df791d476a35</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2E065241</paraID>
      <start>10</start>
      <end>11</end>
      <status>unmodified</status>
      <modifiedWord/>
      <trackRevisions>false</trackRevisions>
    </reviewItem>
    <reviewItem>
      <errorID>8238f9a9-e61c-4bfc-9db1-91e38ce76c71</errorID>
      <errorWord>另有</errorWord>
      <group>L1_Word</group>
      <groupName>字词问题</groupName>
      <ability>L2_Typo</ability>
      <abilityName>字词错误</abilityName>
      <candidateList>
        <item>具有</item>
      </candidateList>
      <explain>〈动〉有（多用于抽象事物）：～信心｜～伟大的意义。</explain>
      <paraID>51724197</paraID>
      <start>262</start>
      <end>264</end>
      <status>unmodified</status>
      <modifiedWord/>
      <trackRevisions>false</trackRevisions>
    </reviewItem>
    <reviewItem>
      <errorID>d217cf3a-1833-4a28-a371-da0851185c48</errorID>
      <errorWord>品</errorWord>
      <group>L1_Word</group>
      <groupName>字词问题</groupName>
      <ability>L2_Typo</ability>
      <abilityName>字词错误</abilityName>
      <candidateList>
        <item>晶</item>
      </candidateList>
      <explain/>
      <paraID>51724197</paraID>
      <start>519</start>
      <end>520</end>
      <status>ignored</status>
      <modifiedWord/>
      <trackRevisions>false</trackRevisions>
    </reviewItem>
    <reviewItem>
      <errorID>313f67c3-afdd-4586-b4e0-aff97cb74cc3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59043F22</paraID>
      <start>0</start>
      <end>2</end>
      <status>unmodified</status>
      <modifiedWord/>
      <trackRevisions>false</trackRevisions>
    </reviewItem>
    <reviewItem>
      <errorID>a96e8c35-cef2-4240-9de3-cdd15d0c1f82</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62A110B3</paraID>
      <start>85</start>
      <end>86</end>
      <status>unmodified</status>
      <modifiedWord/>
      <trackRevisions>false</trackRevisions>
    </reviewItem>
    <reviewItem>
      <errorID>620864f7-0670-4114-aa1c-55cb2fc0da98</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20FF353C</paraID>
      <start>87</start>
      <end>88</end>
      <status>unmodified</status>
      <modifiedWord/>
      <trackRevisions>false</trackRevisions>
    </reviewItem>
    <reviewItem>
      <errorID>1818ec05-0f65-4000-b88a-ca4c500a4bbc</errorID>
      <errorWord>；</errorWord>
      <group>L1_Word</group>
      <groupName>字词问题</groupName>
      <ability>L2_Typo</ability>
      <abilityName>字词错误</abilityName>
      <candidateList>
        <item>；在</item>
      </candidateList>
      <explain/>
      <paraID> 14467E5</paraID>
      <start>216</start>
      <end>217</end>
      <status>unmodified</status>
      <modifiedWord/>
      <trackRevisions>false</trackRevisions>
    </reviewItem>
    <reviewItem>
      <errorID>faeb2bea-3863-4471-a3b4-a1aa0fc6d214</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6D6575D2</paraID>
      <start>55</start>
      <end>56</end>
      <status>unmodified</status>
      <modifiedWord/>
      <trackRevisions>false</trackRevisions>
    </reviewItem>
    <reviewItem>
      <errorID>81a523c6-99e5-4cb9-9867-f98c152a8c62</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6D6575D2</paraID>
      <start>71</start>
      <end>72</end>
      <status>unmodified</status>
      <modifiedWord/>
      <trackRevisions>false</trackRevisions>
    </reviewItem>
    <reviewItem>
      <errorID>df3768a7-7c7e-4b61-b838-d1b7dda07b9e</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6D6575D2</paraID>
      <start>106</start>
      <end>107</end>
      <status>unmodified</status>
      <modifiedWord/>
      <trackRevisions>false</trackRevisions>
    </reviewItem>
    <reviewItem>
      <errorID>8a711b74-4d0b-4ed5-92af-edc6c6d046cb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115366DF</paraID>
      <start>69</start>
      <end>70</end>
      <status>unmodified</status>
      <modifiedWord/>
      <trackRevisions>false</trackRevisions>
    </reviewItem>
    <reviewItem>
      <errorID>d9350c7b-68ea-48da-b9ef-78d021fd0415</errorID>
      <errorWord>胚</errorWord>
      <group>L1_Word</group>
      <groupName>字词问题</groupName>
      <ability>L2_Typo</ability>
      <abilityName>字词错误</abilityName>
      <candidateList>
        <item>坯</item>
      </candidateList>
      <explain>存在发音相近字词的误用。</explain>
      <paraID>115366DF</paraID>
      <start>139</start>
      <end>140</end>
      <status>unmodified</status>
      <modifiedWord/>
      <trackRevisions>false</trackRevisions>
    </reviewItem>
    <reviewItem>
      <errorID>0209dc6b-a637-4c69-9e2b-c37b1d522f77</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72C22D92</paraID>
      <start>183</start>
      <end>184</end>
      <status>unmodified</status>
      <modifiedWord/>
      <trackRevisions>false</trackRevisions>
    </reviewItem>
    <reviewItem>
      <errorID>2f4873a5-7a94-4a7d-a8a5-2054389a9f07</errorID>
      <errorWord>含有</errorWord>
      <group>L1_Word</group>
      <groupName>字词问题</groupName>
      <ability>L2_Typo</ability>
      <abilityName>字词错误</abilityName>
      <candidateList>
        <item>含</item>
      </candidateList>
      <explain/>
      <paraID> FBD219C</paraID>
      <start>22</start>
      <end>24</end>
      <status>unmodified</status>
      <modifiedWord/>
      <trackRevisions>false</trackRevisions>
    </reviewItem>
    <reviewItem>
      <errorID>ce10b18e-002d-496c-9b35-5b85d980ea96</errorID>
      <errorWord>（</errorWord>
      <group>L1_Format</group>
      <groupName>格式问题</groupName>
      <ability>L2_HalfPunc</ability>
      <abilityName>全半角检查</abilityName>
      <candidateList>
        <item>(</item>
      </candidateList>
      <explain>文本全半角错误。</explain>
      <paraID>47731F8B</paraID>
      <start>2</start>
      <end>3</end>
      <status>unmodified</status>
      <modifiedWord/>
      <trackRevisions>false</trackRevisions>
    </reviewItem>
    <reviewItem>
      <errorID>4fff935a-9014-4eed-b9eb-6f62a7ddd0cd</errorID>
      <errorWord>）</errorWord>
      <group>L1_Format</group>
      <groupName>格式问题</groupName>
      <ability>L2_HalfPunc</ability>
      <abilityName>全半角检查</abilityName>
      <candidateList>
        <item>)</item>
      </candidateList>
      <explain>文本全半角错误。</explain>
      <paraID>47731F8B</paraID>
      <start>4</start>
      <end>5</end>
      <status>unmodified</status>
      <modifiedWord/>
      <trackRevisions>false</trackRevisions>
    </reviewItem>
    <reviewItem>
      <errorID>3c49b8df-a84e-4811-985a-c34f77788f41</errorID>
      <errorWord>～</errorWord>
      <group>L1_Format</group>
      <groupName>格式问题</groupName>
      <ability>L2_HalfPunc</ability>
      <abilityName>全半角检查</abilityName>
      <candidateList>
        <item>~</item>
      </candidateList>
      <explain>文本全半角错误。</explain>
      <paraID>316F8920</paraID>
      <start>1</start>
      <end>2</end>
      <status>unmodified</status>
      <modifiedWord/>
      <trackRevisions>false</trackRevisions>
    </reviewItem>
    <reviewItem>
      <errorID>a1fd3333-d0e7-4ef7-a920-3969bd99db87</errorID>
      <errorWord>，如</errorWord>
      <group>L1_Word</group>
      <groupName>字词问题</groupName>
      <ability>L2_Typo</ability>
      <abilityName>字词错误</abilityName>
      <candidateList>
        <item>，</item>
      </candidateList>
      <explain/>
      <paraID>6C396762</paraID>
      <start>9</start>
      <end>11</end>
      <status>unmodified</status>
      <modifiedWord/>
      <trackRevisions>false</trackRevisions>
    </reviewItem>
    <reviewItem>
      <errorID>7acf8030-5032-463b-898b-690fbff1ce5e</errorID>
      <errorWord>提高</errorWord>
      <group>L1_Grammar</group>
      <groupName>语法问题</groupName>
      <ability>L2_Grammar</ability>
      <abilityName>语法错误</abilityName>
      <candidateList>
        <item>增强</item>
      </candidateList>
      <explain>“提高～意识”搭配不当，建议修改为“增强～意识”。</explain>
      <paraID>2FAC3476</paraID>
      <start>16</start>
      <end>18</end>
      <status>unmodified</status>
      <modifiedWord/>
      <trackRevisions>false</trackRevisions>
    </reviewItem>
    <reviewItem>
      <errorID>bb1c4540-c2dc-4dc9-bb90-f99790bc6523</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5FCEF5A7</paraID>
      <start>0</start>
      <end>2</end>
      <status>unmodified</status>
      <modifiedWord/>
      <trackRevisions>false</trackRevisions>
    </reviewItem>
    <reviewItem>
      <errorID>f650ed99-5fa6-430e-a98b-9a150f9ba4df</errorID>
      <errorWord>-</errorWord>
      <group>L1_Format</group>
      <groupName>格式问题</groupName>
      <ability>L2_HalfPunc</ability>
      <abilityName>全半角检查</abilityName>
      <candidateList>
        <item>－</item>
      </candidateList>
      <explain>文本全半角错误。</explain>
      <paraID>4FE33A79</paraID>
      <start>10</start>
      <end>11</end>
      <status>unmodified</status>
      <modifiedWord/>
      <trackRevisions>false</trackRevisions>
    </reviewItem>
    <reviewItem>
      <errorID>35b3c556-74e0-4d62-a349-441b28df7f46</errorID>
      <errorWord>程</errorWord>
      <group>L1_Word</group>
      <groupName>字词问题</groupName>
      <ability>L2_Typo</ability>
      <abilityName>字词错误</abilityName>
      <candidateList>
        <item>程中</item>
      </candidateList>
      <explain/>
      <paraID> 15C3A5D</paraID>
      <start>17</start>
      <end>18</end>
      <status>unmodified</status>
      <modifiedWord/>
      <trackRevisions>false</trackRevisions>
    </reviewItem>
    <reviewItem>
      <errorID>d9b7cabc-4e61-4141-bd34-4eeed2402a6e</errorID>
      <errorWord>(</errorWord>
      <group>L1_Format</group>
      <groupName>格式问题</groupName>
      <ability>L2_HalfPunc</ability>
      <abilityName>全半角检查</abilityName>
      <candidateList>
        <item>（</item>
      </candidateList>
      <explain>文本全半角错误。</explain>
      <paraID>1A2475E5</paraID>
      <start>4</start>
      <end>5</end>
      <status>unmodified</status>
      <modifiedWord/>
      <trackRevisions>false</trackRevisions>
    </reviewItem>
    <reviewItem>
      <errorID>39fcf803-4cf1-4c9b-bbd6-26057b335bde</errorID>
      <errorWord>)</errorWord>
      <group>L1_Format</group>
      <groupName>格式问题</groupName>
      <ability>L2_HalfPunc</ability>
      <abilityName>全半角检查</abilityName>
      <candidateList>
        <item>）</item>
      </candidateList>
      <explain>文本全半角错误。</explain>
      <paraID>1A2475E5</paraID>
      <start>10</start>
      <end>11</end>
      <status>unmodified</status>
      <modifiedWord/>
      <trackRevisions>false</trackRevisions>
    </reviewItem>
    <reviewItem>
      <errorID>a2685a12-cfc9-46b6-9e2e-3740bcb97877</errorID>
      <errorWord>(</errorWord>
      <group>L1_Format</group>
      <groupName>格式问题</groupName>
      <ability>L2_HalfPunc</ability>
      <abilityName>全半角检查</abilityName>
      <candidateList>
        <item>（</item>
      </candidateList>
      <explain>文本全半角错误。</explain>
      <paraID>21808EDB</paraID>
      <start>4</start>
      <end>5</end>
      <status>unmodified</status>
      <modifiedWord/>
      <trackRevisions>false</trackRevisions>
    </reviewItem>
    <reviewItem>
      <errorID>cdb043c9-4950-457e-8f41-4c2b3810a32f</errorID>
      <errorWord>)</errorWord>
      <group>L1_Format</group>
      <groupName>格式问题</groupName>
      <ability>L2_HalfPunc</ability>
      <abilityName>全半角检查</abilityName>
      <candidateList>
        <item>）</item>
      </candidateList>
      <explain>文本全半角错误。</explain>
      <paraID>21808EDB</paraID>
      <start>10</start>
      <end>11</end>
      <status>unmodified</status>
      <modifiedWord/>
      <trackRevisions>false</trackRevisions>
    </reviewItem>
    <reviewItem>
      <errorID>219cb394-8d50-4be3-977b-870d61101cc5</errorID>
      <errorWord>（</errorWord>
      <group>L1_Format</group>
      <groupName>格式问题</groupName>
      <ability>L2_HalfPunc</ability>
      <abilityName>全半角检查</abilityName>
      <candidateList>
        <item>(</item>
      </candidateList>
      <explain>文本全半角错误。</explain>
      <paraID>  1F68F2</paraID>
      <start>0</start>
      <end>1</end>
      <status>unmodified</status>
      <modifiedWord/>
      <trackRevisions>false</trackRevisions>
    </reviewItem>
    <reviewItem>
      <errorID>145554a7-b7b8-4529-a0cf-77d306b8e399</errorID>
      <errorWord>）</errorWord>
      <group>L1_Format</group>
      <groupName>格式问题</groupName>
      <ability>L2_HalfPunc</ability>
      <abilityName>全半角检查</abilityName>
      <candidateList>
        <item>)</item>
      </candidateList>
      <explain>文本全半角错误。</explain>
      <paraID>  1F68F2</paraID>
      <start>3</start>
      <end>4</end>
      <status>unmodified</status>
      <modifiedWord/>
      <trackRevisions>false</trackRevisions>
    </reviewItem>
    <reviewItem>
      <errorID>52388232-6d0d-4f61-85d3-e5dcb0f55b4b</errorID>
      <errorWord>.</errorWord>
      <group>L1_Format</group>
      <groupName>格式问题</groupName>
      <ability>L2_HalfPunc</ability>
      <abilityName>全半角检查</abilityName>
      <candidateList>
        <item>。</item>
      </candidateList>
      <explain>文本全半角错误。</explain>
      <paraID>5B59AB9F</paraID>
      <start>154</start>
      <end>155</end>
      <status>unmodified</status>
      <modifiedWord/>
      <trackRevisions>false</trackRevisions>
    </reviewItem>
    <reviewItem>
      <errorID>f34f6109-18c0-4986-942d-4e5fa272c8d3</errorID>
      <errorWord>在在</errorWord>
      <group>L1_Word</group>
      <groupName>字词问题</groupName>
      <ability>L2_Typo</ability>
      <abilityName>字词错误</abilityName>
      <candidateList>
        <item>在</item>
      </candidateList>
      <explain>❶〈动〉存在；生存：精神永～｜留得青山～，不怕没柴烧｜父母都～。❷〈动〉表示人或事物的位置：我今天晚上不～厂里｜你的钢笔～桌子上呢。❸〈动〉留在：～职｜～位。❹〈动〉参加（某团体）；属于（某团体）：～党｜～组织。❺〈动〉在于；决定于：事～人为｜学习好，主要～自己努力。❻“在”和“所”连用，表示强调，下面多连“不”：～所不辞｜～所不惜｜～所不计｜～所难免。</explain>
      <paraID>267AEE47</paraID>
      <start>36</start>
      <end>38</end>
      <status>unmodified</status>
      <modifiedWord/>
      <trackRevisions>false</trackRevisions>
    </reviewItem>
    <reviewItem>
      <errorID>99047daa-0916-46a1-96d9-9f8c4d9f63f9</errorID>
      <errorWord>个</errorWord>
      <group>L1_Word</group>
      <groupName>字词问题</groupName>
      <ability>L2_Typo</ability>
      <abilityName>字词错误</abilityName>
      <candidateList>
        <item>各</item>
      </candidateList>
      <explain>❶〈代〉指示代词。a）表示不止一个：世界～国｜～位来宾。b）表示不止一个并且彼此不同：～种原材料都备齐了｜～人回～人的家。❷〈副〉表示不止一人或一物同做某事或同有某种属性：双方～执一词｜左右两侧～有一门｜三种办法～有优点和缺点。❸（Gè）〈名〉姓。</explain>
      <paraID> B9EE429</paraID>
      <start>24</start>
      <end>25</end>
      <status>unmodified</status>
      <modifiedWord/>
      <trackRevisions>false</trackRevisions>
    </reviewItem>
    <reviewItem>
      <errorID>a067cf20-6271-41a6-9d77-bf8f949223bd</errorID>
      <errorWord>-</errorWord>
      <group>L1_Format</group>
      <groupName>格式问题</groupName>
      <ability>L2_HalfPunc</ability>
      <abilityName>全半角检查</abilityName>
      <candidateList>
        <item>－</item>
      </candidateList>
      <explain>文本全半角错误。</explain>
      <paraID>2192CD48</paraID>
      <start>79</start>
      <end>80</end>
      <status>unmodified</status>
      <modifiedWord/>
      <trackRevisions>false</trackRevisions>
    </reviewItem>
    <reviewItem>
      <errorID>0bbf1237-22e7-47dc-8c2e-4e733ef0c8c5</errorID>
      <errorWord>-</errorWord>
      <group>L1_Format</group>
      <groupName>格式问题</groupName>
      <ability>L2_HalfPunc</ability>
      <abilityName>全半角检查</abilityName>
      <candidateList>
        <item>－</item>
      </candidateList>
      <explain>文本全半角错误。</explain>
      <paraID>2192CD48</paraID>
      <start>85</start>
      <end>86</end>
      <status>unmodified</status>
      <modifiedWord/>
      <trackRevisions>false</trackRevisions>
    </reviewItem>
    <reviewItem>
      <errorID>443c894d-a3d7-4862-9a31-4be490fb293f</errorID>
      <errorWord>(</errorWord>
      <group>L1_Format</group>
      <groupName>格式问题</groupName>
      <ability>L2_HalfPunc</ability>
      <abilityName>全半角检查</abilityName>
      <candidateList>
        <item>（</item>
      </candidateList>
      <explain>文本全半角错误。</explain>
      <paraID> 6BECB1F</paraID>
      <start>3</start>
      <end>4</end>
      <status>unmodified</status>
      <modifiedWord/>
      <trackRevisions>false</trackRevisions>
    </reviewItem>
    <reviewItem>
      <errorID>eee705d6-211a-455f-8cf4-8be0674db907</errorID>
      <errorWord>)</errorWord>
      <group>L1_Format</group>
      <groupName>格式问题</groupName>
      <ability>L2_HalfPunc</ability>
      <abilityName>全半角检查</abilityName>
      <candidateList>
        <item>）</item>
      </candidateList>
      <explain>文本全半角错误。</explain>
      <paraID> 6BECB1F</paraID>
      <start>8</start>
      <end>9</end>
      <status>unmodified</status>
      <modifiedWord/>
      <trackRevisions>false</trackRevisions>
    </reviewItem>
    <reviewItem>
      <errorID>31557905-2c8c-4721-a908-a487d74c010f</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64046B0</paraID>
      <start>0</start>
      <end>2</end>
      <status>unmodified</status>
      <modifiedWord/>
      <trackRevisions>false</trackRevisions>
    </reviewItem>
    <reviewItem>
      <errorID>2dc85061-f7b3-4a1d-846b-7573b1373103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59FD2234</paraID>
      <start>0</start>
      <end>2</end>
      <status>unmodified</status>
      <modifiedWord/>
      <trackRevisions>false</trackRevisions>
    </reviewItem>
    <reviewItem>
      <errorID>116fcd8c-2e85-4456-bc6c-478a59827ad6</errorID>
      <errorWord>,</errorWord>
      <group>L1_Format</group>
      <groupName>格式问题</groupName>
      <ability>L2_HalfPunc</ability>
      <abilityName>全半角检查</abilityName>
      <candidateList>
        <item>，</item>
      </candidateList>
      <explain>文本全半角错误。</explain>
      <paraID>47AAE6B8</paraID>
      <start>7</start>
      <end>8</end>
      <status>unmodified</status>
      <modifiedWord/>
      <trackRevisions>false</trackRevisions>
    </reviewItem>
    <reviewItem>
      <errorID>ef8cdf41-024f-4c89-96d3-0cd9699d7a31</errorID>
      <errorWord>)</errorWord>
      <group>L1_Format</group>
      <groupName>格式问题</groupName>
      <ability>L2_HalfPunc</ability>
      <abilityName>全半角检查</abilityName>
      <candidateList>
        <item>）</item>
      </candidateList>
      <explain>文本全半角错误。</explain>
      <paraID>1D837AA5</paraID>
      <start>11</start>
      <end>12</end>
      <status>unmodified</status>
      <modifiedWord/>
      <trackRevisions>false</trackRevisions>
    </reviewItem>
    <reviewItem>
      <errorID>677a0af3-62b0-4aca-b78b-8831a654a0b6</errorID>
      <errorWord>,</errorWord>
      <group>L1_Format</group>
      <groupName>格式问题</groupName>
      <ability>L2_HalfPunc</ability>
      <abilityName>全半角检查</abilityName>
      <candidateList>
        <item>，</item>
      </candidateList>
      <explain>文本全半角错误。</explain>
      <paraID>32AF729E</paraID>
      <start>6</start>
      <end>7</end>
      <status>unmodified</status>
      <modifiedWord/>
      <trackRevisions>false</trackRevisions>
    </reviewItem>
    <reviewItem>
      <errorID>19745fa8-0df9-4fdb-8151-fa4a7c69adcc</errorID>
      <errorWord>)</errorWord>
      <group>L1_Format</group>
      <groupName>格式问题</groupName>
      <ability>L2_HalfPunc</ability>
      <abilityName>全半角检查</abilityName>
      <candidateList>
        <item>）</item>
      </candidateList>
      <explain>文本全半角错误。</explain>
      <paraID>1FE0035C</paraID>
      <start>11</start>
      <end>12</end>
      <status>unmodified</status>
      <modifiedWord/>
      <trackRevisions>false</trackRevisions>
    </reviewItem>
    <reviewItem>
      <errorID>00d77456-730d-4f62-b7d5-f31fd0d22f34</errorID>
      <errorWord>,</errorWord>
      <group>L1_Format</group>
      <groupName>格式问题</groupName>
      <ability>L2_HalfPunc</ability>
      <abilityName>全半角检查</abilityName>
      <candidateList>
        <item>，</item>
      </candidateList>
      <explain>文本全半角错误。</explain>
      <paraID>5971F0B7</paraID>
      <start>7</start>
      <end>8</end>
      <status>unmodified</status>
      <modifiedWord/>
      <trackRevisions>false</trackRevisions>
    </reviewItem>
    <reviewItem>
      <errorID>7ac28a3a-4b48-4fb2-8547-b1dff00eed08</errorID>
      <errorWord>)</errorWord>
      <group>L1_Format</group>
      <groupName>格式问题</groupName>
      <ability>L2_HalfPunc</ability>
      <abilityName>全半角检查</abilityName>
      <candidateList>
        <item>）</item>
      </candidateList>
      <explain>文本全半角错误。</explain>
      <paraID>5F67EB29</paraID>
      <start>11</start>
      <end>12</end>
      <status>unmodified</status>
      <modifiedWord/>
      <trackRevisions>false</trackRevisions>
    </reviewItem>
    <reviewItem>
      <errorID>b42c313c-f8b8-4e89-9529-45fd235e3178</errorID>
      <errorWord>,</errorWord>
      <group>L1_Format</group>
      <groupName>格式问题</groupName>
      <ability>L2_HalfPunc</ability>
      <abilityName>全半角检查</abilityName>
      <candidateList>
        <item>，</item>
      </candidateList>
      <explain>文本全半角错误。</explain>
      <paraID> C03903B</paraID>
      <start>8</start>
      <end>9</end>
      <status>unmodified</status>
      <modifiedWord/>
      <trackRevisions>false</trackRevisions>
    </reviewItem>
    <reviewItem>
      <errorID>cc46eee7-3000-480d-9cd3-c23e7f5cfc35</errorID>
      <errorWord>)</errorWord>
      <group>L1_Format</group>
      <groupName>格式问题</groupName>
      <ability>L2_HalfPunc</ability>
      <abilityName>全半角检查</abilityName>
      <candidateList>
        <item>）</item>
      </candidateList>
      <explain>文本全半角错误。</explain>
      <paraID> 5D6EA98</paraID>
      <start>11</start>
      <end>12</end>
      <status>unmodified</status>
      <modifiedWord/>
      <trackRevisions>false</trackRevisions>
    </reviewItem>
    <reviewItem>
      <errorID>ef721230-4418-456b-8b5b-c27a9db524cc</errorID>
      <errorWord>,</errorWord>
      <group>L1_Format</group>
      <groupName>格式问题</groupName>
      <ability>L2_HalfPunc</ability>
      <abilityName>全半角检查</abilityName>
      <candidateList>
        <item>，</item>
      </candidateList>
      <explain>文本全半角错误。</explain>
      <paraID>44E94052</paraID>
      <start>5</start>
      <end>6</end>
      <status>unmodified</status>
      <modifiedWord/>
      <trackRevisions>false</trackRevisions>
    </reviewItem>
    <reviewItem>
      <errorID>b60ada43-7d1c-4871-8269-d0671916cd4f</errorID>
      <errorWord>)</errorWord>
      <group>L1_Format</group>
      <groupName>格式问题</groupName>
      <ability>L2_HalfPunc</ability>
      <abilityName>全半角检查</abilityName>
      <candidateList>
        <item>）</item>
      </candidateList>
      <explain>文本全半角错误。</explain>
      <paraID> CB336BE</paraID>
      <start>11</start>
      <end>12</end>
      <status>unmodified</status>
      <modifiedWord/>
      <trackRevisions>false</trackRevisions>
    </reviewItem>
    <reviewItem>
      <errorID>fdd5bffe-6106-4654-bd6e-240e8a18e17c</errorID>
      <errorWord>,</errorWord>
      <group>L1_Format</group>
      <groupName>格式问题</groupName>
      <ability>L2_HalfPunc</ability>
      <abilityName>全半角检查</abilityName>
      <candidateList>
        <item>，</item>
      </candidateList>
      <explain>文本全半角错误。</explain>
      <paraID>59D09D10</paraID>
      <start>3</start>
      <end>4</end>
      <status>unmodified</status>
      <modifiedWord/>
      <trackRevisions>false</trackRevisions>
    </reviewItem>
    <reviewItem>
      <errorID>874a6123-38aa-4d9c-ac45-2c39a37d3b0d</errorID>
      <errorWord>)</errorWord>
      <group>L1_Format</group>
      <groupName>格式问题</groupName>
      <ability>L2_HalfPunc</ability>
      <abilityName>全半角检查</abilityName>
      <candidateList>
        <item>）</item>
      </candidateList>
      <explain>文本全半角错误。</explain>
      <paraID>27C22429</paraID>
      <start>11</start>
      <end>12</end>
      <status>unmodified</status>
      <modifiedWord/>
      <trackRevisions>false</trackRevisions>
    </reviewItem>
    <reviewItem>
      <errorID>46acfc25-be7d-4d2b-86cb-1fe7a8d42604</errorID>
      <errorWord>,</errorWord>
      <group>L1_Format</group>
      <groupName>格式问题</groupName>
      <ability>L2_HalfPunc</ability>
      <abilityName>全半角检查</abilityName>
      <candidateList>
        <item>，</item>
      </candidateList>
      <explain>文本全半角错误。</explain>
      <paraID>2BE01ABB</paraID>
      <start>9</start>
      <end>10</end>
      <status>unmodified</status>
      <modifiedWord/>
      <trackRevisions>false</trackRevisions>
    </reviewItem>
    <reviewItem>
      <errorID>853e09f9-e864-46d7-8a5e-d8053403ba20</errorID>
      <errorWord>)</errorWord>
      <group>L1_Format</group>
      <groupName>格式问题</groupName>
      <ability>L2_HalfPunc</ability>
      <abilityName>全半角检查</abilityName>
      <candidateList>
        <item>）</item>
      </candidateList>
      <explain>文本全半角错误。</explain>
      <paraID>6490885E</paraID>
      <start>11</start>
      <end>12</end>
      <status>unmodified</status>
      <modifiedWord/>
      <trackRevisions>false</trackRevisions>
    </reviewItem>
    <reviewItem>
      <errorID>64bd2992-91f9-4be3-ba1b-594c38b0027b</errorID>
      <errorWord>,</errorWord>
      <group>L1_Format</group>
      <groupName>格式问题</groupName>
      <ability>L2_HalfPunc</ability>
      <abilityName>全半角检查</abilityName>
      <candidateList>
        <item>，</item>
      </candidateList>
      <explain>文本全半角错误。</explain>
      <paraID>72FC6F86</paraID>
      <start>9</start>
      <end>10</end>
      <status>unmodified</status>
      <modifiedWord/>
      <trackRevisions>false</trackRevisions>
    </reviewItem>
    <reviewItem>
      <errorID>b19380cb-fc5d-435e-bc37-33cae53d6231</errorID>
      <errorWord>)</errorWord>
      <group>L1_Format</group>
      <groupName>格式问题</groupName>
      <ability>L2_HalfPunc</ability>
      <abilityName>全半角检查</abilityName>
      <candidateList>
        <item>）</item>
      </candidateList>
      <explain>文本全半角错误。</explain>
      <paraID>35AE81D5</paraID>
      <start>11</start>
      <end>12</end>
      <status>unmodified</status>
      <modifiedWord/>
      <trackRevisions>false</trackRevisions>
    </reviewItem>
    <reviewItem>
      <errorID>f3d206cd-b9b8-4a68-9ce9-5aab165c25af</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3C07DF59</paraID>
      <start>0</start>
      <end>2</end>
      <status>unmodified</status>
      <modifiedWord/>
      <trackRevisions>false</trackRevisions>
    </reviewItem>
    <reviewItem>
      <errorID>bc854285-4631-4af2-83df-0c62e32acd9b</errorID>
      <errorWord>拍</errorWord>
      <group>L1_Word</group>
      <groupName>字词问题</groupName>
      <ability>L2_Typo</ability>
      <abilityName>字词错误</abilityName>
      <candidateList>
        <item>派</item>
      </candidateList>
      <explain>存在发音相同字词的误用。</explain>
      <paraID> D39010F</paraID>
      <start>339</start>
      <end>340</end>
      <status>unmodified</status>
      <modifiedWord/>
      <trackRevisions>false</trackRevisions>
    </reviewItem>
    <reviewItem>
      <errorID>cce5df48-a00c-4dfd-a693-b9d130ff5341</errorID>
      <errorWord>法律、法规</errorWord>
      <group>L1_Word</group>
      <groupName>字词问题</groupName>
      <ability>L2_Typo</ability>
      <abilityName>字词错误</abilityName>
      <candidateList>
        <item>法律法规</item>
      </candidateList>
      <explain/>
      <paraID>6721A4C7</paraID>
      <start>64</start>
      <end>69</end>
      <status>unmodified</status>
      <modifiedWord/>
      <trackRevisions>false</trackRevisions>
    </reviewItem>
    <reviewItem>
      <errorID>8a4b890c-616c-4e53-9d46-242696e00059</errorID>
      <errorWord>固废废物</errorWord>
      <group>L1_Word</group>
      <groupName>字词问题</groupName>
      <ability>L2_Typo</ability>
      <abilityName>字词错误</abilityName>
      <candidateList>
        <item>固体废物</item>
      </candidateList>
      <explain/>
      <paraID>1D158747</paraID>
      <start>107</start>
      <end>111</end>
      <status>unmodified</status>
      <modifiedWord/>
      <trackRevisions>false</trackRevisions>
    </reviewItem>
    <reviewItem>
      <errorID>b9bad964-6217-4f17-8c53-d8bd33f6569d</errorID>
      <errorWord>对于</errorWord>
      <group>L1_Word</group>
      <groupName>字词问题</groupName>
      <ability>L2_Typo</ability>
      <abilityName>字词错误</abilityName>
      <candidateList>
        <item>对</item>
      </candidateList>
      <explain>（對）duì❶回答：～答｜无言以～。❷〈动〉对待；对付：～事不～人｜～症下药｜刀～刀，枪～枪。❸〈动〉朝着；向着（常跟“着”）：～着镜子理理头发｜枪口～着敌人。❹二者相对；彼此相向：～调｜～流｜～立｜～抗。❺对面的；敌对的：～岸｜～方｜～手｜作～。❻〈动〉使两个东西配合或接触：～对子｜把门～上｜～个火儿。</explain>
      <paraID>7EAD24AA</paraID>
      <start>0</start>
      <end>2</end>
      <status>unmodified</status>
      <modifiedWord/>
      <trackRevisions>false</trackRevisions>
    </reviewItem>
    <reviewItem>
      <errorID>59d4dad1-6415-4a5b-85df-8186c9091d06</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75090019</paraID>
      <start>0</start>
      <end>2</end>
      <status>unmodified</status>
      <modifiedWord/>
      <trackRevisions>false</trackRevisions>
    </reviewItem>
    <reviewItem>
      <errorID>42f788f8-21cd-4f90-bc7a-04afd40f3b99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3BEB4AEA</paraID>
      <start>45</start>
      <end>46</end>
      <status>unmodified</status>
      <modifiedWord/>
      <trackRevisions>false</trackRevisions>
    </reviewItem>
    <reviewItem>
      <errorID>3ef666dd-4908-4a21-ac8b-1a1c10a8f4e9</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3BEB4AEA</paraID>
      <start>84</start>
      <end>85</end>
      <status>unmodified</status>
      <modifiedWord/>
      <trackRevisions>false</trackRevisions>
    </reviewItem>
    <reviewItem>
      <errorID>28fd8f16-aca8-41ba-9e53-daff631a7e46</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792125</paraID>
      <start>0</start>
      <end>2</end>
      <status>unmodified</status>
      <modifiedWord/>
      <trackRevisions>false</trackRevisions>
    </reviewItem>
    <reviewItem>
      <errorID>507f90c0-c0ea-44a8-8723-e9d8501f6b52</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3B8D92AD</paraID>
      <start>56</start>
      <end>57</end>
      <status>unmodified</status>
      <modifiedWord/>
      <trackRevisions>false</trackRevisions>
    </reviewItem>
    <reviewItem>
      <errorID>00b17511-041e-46ea-bfa6-2c414afd009c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2C4DABCB</paraID>
      <start>0</start>
      <end>2</end>
      <status>unmodified</status>
      <modifiedWord/>
      <trackRevisions>false</trackRevisions>
    </reviewItem>
    <reviewItem>
      <errorID>bb08d218-3388-4f41-995b-cd68615b110e</errorID>
      <errorWord>-</errorWord>
      <group>L1_Format</group>
      <groupName>格式问题</groupName>
      <ability>L2_HalfPunc</ability>
      <abilityName>全半角检查</abilityName>
      <candidateList>
        <item>－</item>
      </candidateList>
      <explain>文本全半角错误。</explain>
      <paraID>3C816C32</paraID>
      <start>189</start>
      <end>190</end>
      <status>unmodified</status>
      <modifiedWord/>
      <trackRevisions>false</trackRevisions>
    </reviewItem>
    <reviewItem>
      <errorID>980c3a9d-d0c6-4b84-b081-1c044f43df75</errorID>
      <errorWord>（</errorWord>
      <group>L1_Format</group>
      <groupName>格式问题</groupName>
      <ability>L2_HalfPunc</ability>
      <abilityName>全半角检查</abilityName>
      <candidateList>
        <item>(</item>
      </candidateList>
      <explain>文本全半角错误。</explain>
      <paraID>260D61D3</paraID>
      <start>0</start>
      <end>1</end>
      <status>unmodified</status>
      <modifiedWord/>
      <trackRevisions>false</trackRevisions>
    </reviewItem>
    <reviewItem>
      <errorID>db263e15-c4c0-4276-a672-64f6b81ed356</errorID>
      <errorWord>）</errorWord>
      <group>L1_Format</group>
      <groupName>格式问题</groupName>
      <ability>L2_HalfPunc</ability>
      <abilityName>全半角检查</abilityName>
      <candidateList>
        <item>)</item>
      </candidateList>
      <explain>文本全半角错误。</explain>
      <paraID>260D61D3</paraID>
      <start>6</start>
      <end>7</end>
      <status>unmodified</status>
      <modifiedWord/>
      <trackRevisions>false</trackRevisions>
    </reviewItem>
    <reviewItem>
      <errorID>1105b078-b5af-4362-948a-39be04abb735</errorID>
      <errorWord>（</errorWord>
      <group>L1_Format</group>
      <groupName>格式问题</groupName>
      <ability>L2_HalfPunc</ability>
      <abilityName>全半角检查</abilityName>
      <candidateList>
        <item>(</item>
      </candidateList>
      <explain>文本全半角错误。</explain>
      <paraID>6A196719</paraID>
      <start>0</start>
      <end>1</end>
      <status>unmodified</status>
      <modifiedWord/>
      <trackRevisions>false</trackRevisions>
    </reviewItem>
    <reviewItem>
      <errorID>2993026e-ba74-4f7b-868e-31c7492fb119</errorID>
      <errorWord>）</errorWord>
      <group>L1_Format</group>
      <groupName>格式问题</groupName>
      <ability>L2_HalfPunc</ability>
      <abilityName>全半角检查</abilityName>
      <candidateList>
        <item>)</item>
      </candidateList>
      <explain>文本全半角错误。</explain>
      <paraID>6A196719</paraID>
      <start>6</start>
      <end>7</end>
      <status>unmodified</status>
      <modifiedWord/>
      <trackRevisions>false</trackRevisions>
    </reviewItem>
    <reviewItem>
      <errorID>05d1c5a6-63eb-47bc-a87a-8e7c1d574165</errorID>
      <errorWord>（</errorWord>
      <group>L1_Format</group>
      <groupName>格式问题</groupName>
      <ability>L2_HalfPunc</ability>
      <abilityName>全半角检查</abilityName>
      <candidateList>
        <item>(</item>
      </candidateList>
      <explain>文本全半角错误。</explain>
      <paraID>4179E231</paraID>
      <start>0</start>
      <end>1</end>
      <status>unmodified</status>
      <modifiedWord/>
      <trackRevisions>false</trackRevisions>
    </reviewItem>
    <reviewItem>
      <errorID>8dca01db-d1ab-44aa-9cc3-c1c3739207ce</errorID>
      <errorWord>）</errorWord>
      <group>L1_Format</group>
      <groupName>格式问题</groupName>
      <ability>L2_HalfPunc</ability>
      <abilityName>全半角检查</abilityName>
      <candidateList>
        <item>)</item>
      </candidateList>
      <explain>文本全半角错误。</explain>
      <paraID>4179E231</paraID>
      <start>6</start>
      <end>7</end>
      <status>unmodified</status>
      <modifiedWord/>
      <trackRevisions>false</trackRevisions>
    </reviewItem>
    <reviewItem>
      <errorID>3bb59990-b7c1-4234-9430-79958d93dc31</errorID>
      <errorWord>（</errorWord>
      <group>L1_Format</group>
      <groupName>格式问题</groupName>
      <ability>L2_HalfPunc</ability>
      <abilityName>全半角检查</abilityName>
      <candidateList>
        <item>(</item>
      </candidateList>
      <explain>文本全半角错误。</explain>
      <paraID>42480BDD</paraID>
      <start>0</start>
      <end>1</end>
      <status>unmodified</status>
      <modifiedWord/>
      <trackRevisions>false</trackRevisions>
    </reviewItem>
    <reviewItem>
      <errorID>250bbacb-18ec-4fbc-add9-f9be8d02844d</errorID>
      <errorWord>）</errorWord>
      <group>L1_Format</group>
      <groupName>格式问题</groupName>
      <ability>L2_HalfPunc</ability>
      <abilityName>全半角检查</abilityName>
      <candidateList>
        <item>)</item>
      </candidateList>
      <explain>文本全半角错误。</explain>
      <paraID>42480BDD</paraID>
      <start>6</start>
      <end>7</end>
      <status>unmodified</status>
      <modifiedWord/>
      <trackRevisions>false</trackRevisions>
    </reviewItem>
    <reviewItem>
      <errorID>266ecdde-522e-40b0-a13b-426cb954f6c5</errorID>
      <errorWord>（</errorWord>
      <group>L1_Punc</group>
      <groupName>标点问题</groupName>
      <ability>L2_Punc</ability>
      <abilityName>标点符号检查</abilityName>
      <candidateList/>
      <explain>此处标点可能未正确匹配，请检查句子中是否存在标点冗余、缺失或使用错误的情况。</explain>
      <paraID>7A692DCD</paraID>
      <start>15</start>
      <end>16</end>
      <status>unmodified</status>
      <modifiedWord/>
      <trackRevisions>false</trackRevisions>
    </reviewItem>
    <reviewItem>
      <errorID>e14b7e75-aa0b-4611-9aa7-d4dee330edf7</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4A7423C7</paraID>
      <start>0</start>
      <end>2</end>
      <status>unmodified</status>
      <modifiedWord/>
      <trackRevisions>false</trackRevisions>
    </reviewItem>
    <reviewItem>
      <errorID>26e756ed-7614-4d1b-8f6e-e23d38c2badb</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F41C5B7</paraID>
      <start>45</start>
      <end>46</end>
      <status>unmodified</status>
      <modifiedWord/>
      <trackRevisions>false</trackRevisions>
    </reviewItem>
    <reviewItem>
      <errorID>a5748a11-15ab-4658-add5-0feb9bbddb1c</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 F41C5B7</paraID>
      <start>84</start>
      <end>85</end>
      <status>unmodified</status>
      <modifiedWord/>
      <trackRevisions>false</trackRevisions>
    </reviewItem>
    <reviewItem>
      <errorID>d127679b-173f-4543-a449-3c9c0f13bba4</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13068E1C</paraID>
      <start>0</start>
      <end>2</end>
      <status>unmodified</status>
      <modifiedWord/>
      <trackRevisions>false</trackRevisions>
    </reviewItem>
    <reviewItem>
      <errorID>baa8c8f2-9f5a-4c37-b570-073cc9dc1c3a</errorID>
      <errorWord>-</errorWord>
      <group>L1_Punc</group>
      <groupName>标点问题</groupName>
      <ability>L2_Punc</ability>
      <abilityName>标点符号检查</abilityName>
      <candidateList>
        <item>—</item>
      </candidateList>
      <explain>根据国标GB/T 15834-2011《标点符号用法》中的4.13.3.2节，标识相关项目（如时间、地域等）的起止，以及标识数值范围（由阿拉伯数字或汉字数字构成）的起止时，一般用一字线或长浪纹线。如“25～30g”“2011年2月3日—10日”。</explain>
      <paraID>13AD2B6F</paraID>
      <start>51</start>
      <end>52</end>
      <status>unmodified</status>
      <modifiedWord/>
      <trackRevisions>false</trackRevisions>
    </reviewItem>
    <reviewItem>
      <errorID>12a8abb2-6ece-4f30-ae81-7e0e84826fdb</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18686ED1</paraID>
      <start>0</start>
      <end>2</end>
      <status>unmodified</status>
      <modifiedWord/>
      <trackRevisions>false</trackRevisions>
    </reviewItem>
    <reviewItem>
      <errorID>24caebeb-066b-4b8d-b2f9-c17f8051fe35</errorID>
      <errorWord>提高</errorWord>
      <group>L1_Grammar</group>
      <groupName>语法问题</groupName>
      <ability>L2_Grammar</ability>
      <abilityName>语法错误</abilityName>
      <candidateList>
        <item>增强</item>
      </candidateList>
      <explain>“提高～意识”搭配不当，建议修改为“增强～意识”。</explain>
      <paraID> 654131D</paraID>
      <start>19</start>
      <end>21</end>
      <status>unmodified</status>
      <modifiedWord/>
      <trackRevisions>false</trackRevisions>
    </reviewItem>
  </reviewItems>
  <config/>
</contractReview>
</file>

<file path=customXml/itemProps1.xml><?xml version="1.0" encoding="utf-8"?>
<ds:datastoreItem xmlns:ds="http://schemas.openxmlformats.org/officeDocument/2006/customXml" ds:itemID="{4b77b1ce-ea8a-49aa-a878-ff93b26f9b16}">
  <ds:schemaRefs/>
</ds:datastoreItem>
</file>

<file path=docProps/app.xml><?xml version="1.0" encoding="utf-8"?>
<Properties xmlns="http://schemas.openxmlformats.org/officeDocument/2006/extended-properties" xmlns:vt="http://schemas.openxmlformats.org/officeDocument/2006/docPropsVTypes">
  <Template>wdzx97</Template>
  <Company>微软中国</Company>
  <Pages>77</Pages>
  <Words>28026</Words>
  <Characters>30792</Characters>
  <Lines>13</Lines>
  <Paragraphs>3</Paragraphs>
  <TotalTime>17</TotalTime>
  <ScaleCrop>false</ScaleCrop>
  <LinksUpToDate>false</LinksUpToDate>
  <CharactersWithSpaces>31012</CharactersWithSpaces>
  <Application>WPS Office_11.8.2.11500_F1E327BC-269C-435d-A152-05C5408002CA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2020-12-24T01:29:00Z</dcterms:created>
  <dc:creator>lhj</dc:creator>
  <cp:lastModifiedBy>Administrator</cp:lastModifiedBy>
  <cp:lastPrinted>2020-12-29T02:43:00Z</cp:lastPrinted>
  <dcterms:modified xsi:type="dcterms:W3CDTF">2026-08-03T09:10:35Z</dcterms:modified>
  <dc:title>附件2</dc:title>
  <cp:revision>37</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2052-11.8.2.11500</vt:lpwstr>
  </property>
  <property fmtid="{D5CDD505-2E9C-101B-9397-08002B2CF9AE}" pid="3" name="ICV">
    <vt:lpwstr>96D6ED79478A46DB9C948E2D0E05715E_13</vt:lpwstr>
  </property>
  <property fmtid="{D5CDD505-2E9C-101B-9397-08002B2CF9AE}" pid="4" name="KSOTemplateDocerSaveRecord">
    <vt:lpwstr>eyJoZGlkIjoiY2Q2NjgzZmVmMmU0M2NkYWIzZjI4ZDdlYWQzZWFmYzQiLCJ1c2VySWQiOiI1MDUxNjA2OTMifQ==</vt:lpwstr>
  </property>
</Properties>
</file>