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6"/>
          <w:szCs w:val="36"/>
        </w:rPr>
      </w:pPr>
    </w:p>
    <w:p>
      <w:pPr>
        <w:keepNext w:val="0"/>
        <w:keepLines w:val="0"/>
        <w:pageBreakBefore w:val="0"/>
        <w:widowControl w:val="0"/>
        <w:kinsoku/>
        <w:wordWrap/>
        <w:overflowPunct w:val="0"/>
        <w:topLinePunct w:val="0"/>
        <w:autoSpaceDE/>
        <w:autoSpaceDN/>
        <w:bidi w:val="0"/>
        <w:textAlignment w:val="auto"/>
        <w:rPr>
          <w:rFonts w:ascii="仿宋_GB2312" w:hAnsi="仿宋_GB2312" w:eastAsia="仿宋_GB2312" w:cs="仿宋_GB2312"/>
          <w:sz w:val="36"/>
          <w:szCs w:val="36"/>
        </w:rPr>
      </w:pPr>
    </w:p>
    <w:p>
      <w:pPr>
        <w:keepNext w:val="0"/>
        <w:keepLines w:val="0"/>
        <w:pageBreakBefore w:val="0"/>
        <w:widowControl w:val="0"/>
        <w:kinsoku/>
        <w:wordWrap/>
        <w:overflowPunct w:val="0"/>
        <w:topLinePunct w:val="0"/>
        <w:autoSpaceDE/>
        <w:autoSpaceDN/>
        <w:bidi w:val="0"/>
        <w:textAlignment w:val="auto"/>
        <w:rPr>
          <w:rFonts w:hint="eastAsia" w:ascii="仿宋_GB2312" w:hAnsi="仿宋_GB2312" w:eastAsia="仿宋_GB2312" w:cs="仿宋_GB2312"/>
          <w:sz w:val="36"/>
          <w:szCs w:val="36"/>
        </w:rPr>
      </w:pPr>
    </w:p>
    <w:p>
      <w:pPr>
        <w:keepNext w:val="0"/>
        <w:keepLines w:val="0"/>
        <w:pageBreakBefore w:val="0"/>
        <w:widowControl w:val="0"/>
        <w:kinsoku/>
        <w:wordWrap/>
        <w:overflowPunct w:val="0"/>
        <w:topLinePunct w:val="0"/>
        <w:autoSpaceDE/>
        <w:autoSpaceDN/>
        <w:bidi w:val="0"/>
        <w:adjustRightInd w:val="0"/>
        <w:snapToGrid w:val="0"/>
        <w:jc w:val="center"/>
        <w:textAlignment w:val="auto"/>
        <w:outlineLvl w:val="0"/>
        <w:rPr>
          <w:rFonts w:hint="eastAsia" w:ascii="宋体" w:hAnsi="宋体" w:eastAsia="宋体" w:cs="宋体"/>
          <w:bCs/>
          <w:sz w:val="72"/>
          <w:szCs w:val="72"/>
        </w:rPr>
      </w:pPr>
      <w:r>
        <w:rPr>
          <w:rFonts w:hint="eastAsia" w:ascii="宋体" w:hAnsi="宋体" w:eastAsia="宋体" w:cs="宋体"/>
          <w:bCs/>
          <w:sz w:val="72"/>
          <w:szCs w:val="72"/>
        </w:rPr>
        <w:t>建设项目环境影响报告表</w:t>
      </w:r>
    </w:p>
    <w:p>
      <w:pPr>
        <w:keepNext w:val="0"/>
        <w:keepLines w:val="0"/>
        <w:pageBreakBefore w:val="0"/>
        <w:widowControl w:val="0"/>
        <w:kinsoku/>
        <w:wordWrap/>
        <w:overflowPunct w:val="0"/>
        <w:topLinePunct w:val="0"/>
        <w:autoSpaceDE/>
        <w:autoSpaceDN/>
        <w:bidi w:val="0"/>
        <w:adjustRightInd w:val="0"/>
        <w:snapToGrid w:val="0"/>
        <w:spacing w:before="192" w:beforeLines="80"/>
        <w:jc w:val="center"/>
        <w:textAlignment w:val="auto"/>
        <w:rPr>
          <w:rFonts w:hint="eastAsia" w:ascii="楷体_GB2312" w:eastAsia="楷体_GB2312"/>
          <w:bCs/>
          <w:sz w:val="48"/>
          <w:szCs w:val="48"/>
        </w:rPr>
      </w:pPr>
      <w:r>
        <w:rPr>
          <w:rFonts w:hint="eastAsia" w:ascii="楷体_GB2312" w:eastAsia="楷体_GB2312"/>
          <w:bCs/>
          <w:sz w:val="48"/>
          <w:szCs w:val="48"/>
        </w:rPr>
        <w:t>（污染影响类）</w:t>
      </w:r>
    </w:p>
    <w:p>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auto"/>
        <w:outlineLvl w:val="0"/>
        <w:rPr>
          <w:rFonts w:ascii="华文仿宋" w:hAnsi="华文仿宋" w:eastAsia="华文仿宋" w:cs="华文仿宋"/>
          <w:color w:val="000000"/>
          <w:kern w:val="44"/>
          <w:sz w:val="44"/>
          <w:szCs w:val="44"/>
        </w:rPr>
      </w:pPr>
    </w:p>
    <w:p>
      <w:pPr>
        <w:keepNext w:val="0"/>
        <w:keepLines w:val="0"/>
        <w:pageBreakBefore w:val="0"/>
        <w:widowControl w:val="0"/>
        <w:kinsoku/>
        <w:wordWrap/>
        <w:overflowPunct w:val="0"/>
        <w:topLinePunct w:val="0"/>
        <w:autoSpaceDE/>
        <w:autoSpaceDN/>
        <w:bidi w:val="0"/>
        <w:jc w:val="center"/>
        <w:textAlignment w:val="auto"/>
        <w:rPr>
          <w:rFonts w:eastAsia="仿宋"/>
          <w:sz w:val="52"/>
          <w:szCs w:val="52"/>
        </w:rPr>
      </w:pPr>
    </w:p>
    <w:p>
      <w:pPr>
        <w:keepNext w:val="0"/>
        <w:keepLines w:val="0"/>
        <w:pageBreakBefore w:val="0"/>
        <w:widowControl w:val="0"/>
        <w:kinsoku/>
        <w:wordWrap/>
        <w:overflowPunct w:val="0"/>
        <w:topLinePunct w:val="0"/>
        <w:autoSpaceDE/>
        <w:autoSpaceDN/>
        <w:bidi w:val="0"/>
        <w:ind w:firstLine="1040"/>
        <w:textAlignment w:val="auto"/>
        <w:rPr>
          <w:rFonts w:eastAsia="仿宋"/>
          <w:sz w:val="44"/>
          <w:szCs w:val="44"/>
        </w:rPr>
      </w:pPr>
    </w:p>
    <w:p>
      <w:pPr>
        <w:keepNext w:val="0"/>
        <w:keepLines w:val="0"/>
        <w:pageBreakBefore w:val="0"/>
        <w:widowControl w:val="0"/>
        <w:kinsoku/>
        <w:wordWrap/>
        <w:overflowPunct w:val="0"/>
        <w:topLinePunct w:val="0"/>
        <w:autoSpaceDE/>
        <w:autoSpaceDN/>
        <w:bidi w:val="0"/>
        <w:ind w:firstLine="1040"/>
        <w:textAlignment w:val="auto"/>
        <w:rPr>
          <w:rFonts w:eastAsia="仿宋"/>
          <w:sz w:val="44"/>
          <w:szCs w:val="44"/>
        </w:rPr>
      </w:pPr>
    </w:p>
    <w:p>
      <w:pPr>
        <w:keepNext w:val="0"/>
        <w:keepLines w:val="0"/>
        <w:pageBreakBefore w:val="0"/>
        <w:widowControl w:val="0"/>
        <w:kinsoku/>
        <w:wordWrap/>
        <w:overflowPunct w:val="0"/>
        <w:topLinePunct w:val="0"/>
        <w:autoSpaceDE/>
        <w:autoSpaceDN/>
        <w:bidi w:val="0"/>
        <w:ind w:firstLine="1040"/>
        <w:textAlignment w:val="auto"/>
        <w:rPr>
          <w:rFonts w:hint="eastAsia" w:eastAsia="仿宋"/>
          <w:sz w:val="44"/>
          <w:szCs w:val="44"/>
          <w:lang w:eastAsia="zh-CN"/>
        </w:rPr>
      </w:pPr>
    </w:p>
    <w:p>
      <w:pPr>
        <w:keepNext w:val="0"/>
        <w:keepLines w:val="0"/>
        <w:pageBreakBefore w:val="0"/>
        <w:widowControl w:val="0"/>
        <w:kinsoku/>
        <w:wordWrap/>
        <w:overflowPunct w:val="0"/>
        <w:topLinePunct w:val="0"/>
        <w:autoSpaceDE/>
        <w:autoSpaceDN/>
        <w:bidi w:val="0"/>
        <w:ind w:firstLine="1040"/>
        <w:textAlignment w:val="auto"/>
        <w:rPr>
          <w:rFonts w:eastAsia="仿宋"/>
          <w:sz w:val="44"/>
          <w:szCs w:val="44"/>
        </w:rPr>
      </w:pPr>
    </w:p>
    <w:p>
      <w:pPr>
        <w:keepNext w:val="0"/>
        <w:keepLines w:val="0"/>
        <w:pageBreakBefore w:val="0"/>
        <w:widowControl w:val="0"/>
        <w:kinsoku/>
        <w:wordWrap/>
        <w:overflowPunct w:val="0"/>
        <w:topLinePunct w:val="0"/>
        <w:autoSpaceDE/>
        <w:autoSpaceDN/>
        <w:bidi w:val="0"/>
        <w:adjustRightInd w:val="0"/>
        <w:snapToGrid w:val="0"/>
        <w:spacing w:line="288" w:lineRule="auto"/>
        <w:ind w:firstLine="640" w:firstLineChars="200"/>
        <w:jc w:val="left"/>
        <w:textAlignment w:val="auto"/>
        <w:rPr>
          <w:rFonts w:hint="eastAsia" w:ascii="仿宋_GB2312" w:eastAsia="仿宋_GB2312"/>
          <w:sz w:val="32"/>
          <w:szCs w:val="32"/>
          <w:u w:val="single"/>
          <w:lang w:eastAsia="zh-CN"/>
        </w:rPr>
      </w:pPr>
      <w:r>
        <w:rPr>
          <w:rFonts w:hint="eastAsia" w:ascii="仿宋_GB2312" w:eastAsia="仿宋_GB2312"/>
          <w:sz w:val="32"/>
          <w:szCs w:val="32"/>
        </w:rPr>
        <w:t>项目名称：</w:t>
      </w:r>
      <w:r>
        <w:rPr>
          <w:rFonts w:hint="eastAsia" w:ascii="仿宋_GB2312" w:eastAsia="仿宋_GB2312"/>
          <w:sz w:val="32"/>
          <w:szCs w:val="32"/>
          <w:u w:val="single"/>
          <w:lang w:eastAsia="zh-CN"/>
        </w:rPr>
        <w:t>年产20万立方米/年商品混凝土集中拌合站项目</w:t>
      </w:r>
    </w:p>
    <w:p>
      <w:pPr>
        <w:keepNext w:val="0"/>
        <w:keepLines w:val="0"/>
        <w:pageBreakBefore w:val="0"/>
        <w:widowControl w:val="0"/>
        <w:kinsoku/>
        <w:wordWrap/>
        <w:overflowPunct w:val="0"/>
        <w:topLinePunct w:val="0"/>
        <w:autoSpaceDE/>
        <w:autoSpaceDN/>
        <w:bidi w:val="0"/>
        <w:adjustRightInd w:val="0"/>
        <w:snapToGrid w:val="0"/>
        <w:spacing w:line="288" w:lineRule="auto"/>
        <w:ind w:firstLine="640" w:firstLineChars="200"/>
        <w:jc w:val="left"/>
        <w:textAlignment w:val="auto"/>
        <w:rPr>
          <w:rFonts w:hint="eastAsia" w:ascii="仿宋_GB2312" w:eastAsia="仿宋_GB2312"/>
          <w:sz w:val="32"/>
          <w:szCs w:val="32"/>
          <w:u w:val="single"/>
          <w:lang w:eastAsia="zh-CN"/>
        </w:rPr>
      </w:pPr>
      <w:r>
        <w:rPr>
          <w:rFonts w:hint="eastAsia" w:ascii="仿宋_GB2312" w:eastAsia="仿宋_GB2312"/>
          <w:sz w:val="32"/>
          <w:szCs w:val="32"/>
        </w:rPr>
        <w:t>建设单位（盖章）：</w:t>
      </w:r>
      <w:r>
        <w:rPr>
          <w:rFonts w:hint="eastAsia" w:ascii="仿宋_GB2312" w:eastAsia="仿宋_GB2312"/>
          <w:sz w:val="32"/>
          <w:szCs w:val="32"/>
          <w:u w:val="single"/>
        </w:rPr>
        <w:t>新疆国腾混凝土有限公司轮台分公司</w:t>
      </w:r>
    </w:p>
    <w:p>
      <w:pPr>
        <w:keepNext w:val="0"/>
        <w:keepLines w:val="0"/>
        <w:pageBreakBefore w:val="0"/>
        <w:widowControl w:val="0"/>
        <w:kinsoku/>
        <w:wordWrap/>
        <w:overflowPunct w:val="0"/>
        <w:topLinePunct w:val="0"/>
        <w:autoSpaceDE/>
        <w:autoSpaceDN/>
        <w:bidi w:val="0"/>
        <w:adjustRightInd w:val="0"/>
        <w:snapToGrid w:val="0"/>
        <w:spacing w:line="288" w:lineRule="auto"/>
        <w:ind w:firstLine="640" w:firstLineChars="200"/>
        <w:jc w:val="left"/>
        <w:textAlignment w:val="auto"/>
        <w:rPr>
          <w:rFonts w:hint="default" w:ascii="仿宋_GB2312" w:eastAsia="仿宋_GB2312"/>
          <w:sz w:val="32"/>
          <w:szCs w:val="32"/>
          <w:u w:val="single"/>
          <w:lang w:val="en-US" w:eastAsia="zh-CN"/>
        </w:rPr>
      </w:pPr>
      <w:r>
        <w:rPr>
          <w:rFonts w:hint="eastAsia" w:ascii="仿宋_GB2312" w:eastAsia="仿宋_GB2312"/>
          <w:sz w:val="32"/>
          <w:szCs w:val="32"/>
        </w:rPr>
        <w:t>编制日期：</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20</w:t>
      </w:r>
      <w:r>
        <w:rPr>
          <w:rFonts w:hint="eastAsia" w:ascii="仿宋_GB2312" w:eastAsia="仿宋_GB2312"/>
          <w:sz w:val="32"/>
          <w:szCs w:val="32"/>
          <w:u w:val="single"/>
          <w:lang w:val="en-US" w:eastAsia="zh-CN"/>
        </w:rPr>
        <w:t>26</w:t>
      </w:r>
      <w:r>
        <w:rPr>
          <w:rFonts w:hint="eastAsia" w:ascii="仿宋_GB2312" w:eastAsia="仿宋_GB2312"/>
          <w:sz w:val="32"/>
          <w:szCs w:val="32"/>
          <w:u w:val="single"/>
        </w:rPr>
        <w:t>年</w:t>
      </w:r>
      <w:r>
        <w:rPr>
          <w:rFonts w:hint="eastAsia" w:ascii="仿宋_GB2312" w:eastAsia="仿宋_GB2312"/>
          <w:sz w:val="32"/>
          <w:szCs w:val="32"/>
          <w:u w:val="single"/>
          <w:lang w:val="en-US" w:eastAsia="zh-CN"/>
        </w:rPr>
        <w:t>6</w:t>
      </w:r>
      <w:r>
        <w:rPr>
          <w:rFonts w:hint="eastAsia" w:ascii="仿宋_GB2312" w:eastAsia="仿宋_GB2312"/>
          <w:sz w:val="32"/>
          <w:szCs w:val="32"/>
          <w:u w:val="single"/>
        </w:rPr>
        <w:t>月</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val="0"/>
        <w:topLinePunct w:val="0"/>
        <w:autoSpaceDE/>
        <w:autoSpaceDN/>
        <w:bidi w:val="0"/>
        <w:adjustRightInd w:val="0"/>
        <w:snapToGrid w:val="0"/>
        <w:spacing w:line="288" w:lineRule="auto"/>
        <w:ind w:firstLine="1040"/>
        <w:jc w:val="center"/>
        <w:textAlignment w:val="auto"/>
        <w:rPr>
          <w:rFonts w:ascii="仿宋_GB2312" w:eastAsia="仿宋_GB2312"/>
          <w:sz w:val="36"/>
          <w:szCs w:val="36"/>
          <w:u w:val="single"/>
        </w:rPr>
      </w:pPr>
    </w:p>
    <w:p>
      <w:pPr>
        <w:keepNext w:val="0"/>
        <w:keepLines w:val="0"/>
        <w:pageBreakBefore w:val="0"/>
        <w:widowControl w:val="0"/>
        <w:kinsoku/>
        <w:wordWrap/>
        <w:overflowPunct w:val="0"/>
        <w:topLinePunct w:val="0"/>
        <w:autoSpaceDE/>
        <w:autoSpaceDN/>
        <w:bidi w:val="0"/>
        <w:adjustRightInd w:val="0"/>
        <w:snapToGrid w:val="0"/>
        <w:spacing w:line="288" w:lineRule="auto"/>
        <w:ind w:firstLine="1040"/>
        <w:textAlignment w:val="auto"/>
        <w:rPr>
          <w:rFonts w:ascii="仿宋_GB2312" w:eastAsia="仿宋_GB2312"/>
          <w:sz w:val="36"/>
          <w:szCs w:val="36"/>
        </w:rPr>
      </w:pPr>
    </w:p>
    <w:p>
      <w:pPr>
        <w:keepNext w:val="0"/>
        <w:keepLines w:val="0"/>
        <w:pageBreakBefore w:val="0"/>
        <w:widowControl w:val="0"/>
        <w:kinsoku/>
        <w:wordWrap/>
        <w:overflowPunct w:val="0"/>
        <w:topLinePunct w:val="0"/>
        <w:autoSpaceDE/>
        <w:autoSpaceDN/>
        <w:bidi w:val="0"/>
        <w:adjustRightInd w:val="0"/>
        <w:snapToGrid w:val="0"/>
        <w:spacing w:line="288" w:lineRule="auto"/>
        <w:ind w:firstLine="1040"/>
        <w:textAlignment w:val="auto"/>
        <w:rPr>
          <w:rFonts w:ascii="仿宋_GB2312" w:eastAsia="仿宋_GB2312"/>
          <w:sz w:val="36"/>
          <w:szCs w:val="36"/>
        </w:rPr>
      </w:pPr>
    </w:p>
    <w:p>
      <w:pPr>
        <w:keepNext w:val="0"/>
        <w:keepLines w:val="0"/>
        <w:pageBreakBefore w:val="0"/>
        <w:widowControl w:val="0"/>
        <w:kinsoku/>
        <w:wordWrap/>
        <w:overflowPunct w:val="0"/>
        <w:topLinePunct w:val="0"/>
        <w:autoSpaceDE/>
        <w:autoSpaceDN/>
        <w:bidi w:val="0"/>
        <w:adjustRightInd w:val="0"/>
        <w:snapToGrid w:val="0"/>
        <w:spacing w:line="288" w:lineRule="auto"/>
        <w:ind w:firstLine="1040"/>
        <w:textAlignment w:val="auto"/>
        <w:rPr>
          <w:rFonts w:hint="eastAsia" w:ascii="仿宋_GB2312" w:eastAsia="仿宋_GB2312"/>
          <w:sz w:val="36"/>
          <w:szCs w:val="36"/>
        </w:rPr>
      </w:pPr>
    </w:p>
    <w:p>
      <w:pPr>
        <w:keepNext w:val="0"/>
        <w:keepLines w:val="0"/>
        <w:pageBreakBefore w:val="0"/>
        <w:widowControl w:val="0"/>
        <w:kinsoku/>
        <w:wordWrap/>
        <w:overflowPunct w:val="0"/>
        <w:topLinePunct w:val="0"/>
        <w:autoSpaceDE/>
        <w:autoSpaceDN/>
        <w:bidi w:val="0"/>
        <w:adjustRightInd w:val="0"/>
        <w:snapToGrid w:val="0"/>
        <w:spacing w:line="288" w:lineRule="auto"/>
        <w:ind w:firstLine="1040"/>
        <w:textAlignment w:val="auto"/>
        <w:rPr>
          <w:rFonts w:hint="eastAsia" w:ascii="仿宋_GB2312" w:eastAsia="仿宋_GB2312"/>
          <w:sz w:val="36"/>
          <w:szCs w:val="36"/>
        </w:rPr>
      </w:pPr>
    </w:p>
    <w:p>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auto"/>
        <w:rPr>
          <w:rFonts w:hint="eastAsia" w:ascii="楷体_GB2312" w:eastAsia="楷体_GB2312"/>
          <w:sz w:val="36"/>
          <w:szCs w:val="36"/>
        </w:rPr>
      </w:pPr>
      <w:r>
        <w:rPr>
          <w:rFonts w:hint="eastAsia" w:ascii="楷体_GB2312" w:eastAsia="楷体_GB2312"/>
          <w:sz w:val="36"/>
          <w:szCs w:val="36"/>
        </w:rPr>
        <w:t>中华人民共和国生态环境部制</w:t>
      </w:r>
    </w:p>
    <w:p>
      <w:p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18"/>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1"/>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379"/>
        <w:gridCol w:w="1634"/>
        <w:gridCol w:w="2209"/>
        <w:gridCol w:w="26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ascii="宋体" w:hAnsi="宋体" w:cs="宋体"/>
                <w:szCs w:val="21"/>
              </w:rPr>
            </w:pPr>
            <w:r>
              <w:rPr>
                <w:rFonts w:hint="eastAsia" w:ascii="宋体" w:hAnsi="宋体" w:cs="宋体"/>
                <w:szCs w:val="21"/>
              </w:rPr>
              <w:t>建设项目名称</w:t>
            </w:r>
          </w:p>
        </w:tc>
        <w:tc>
          <w:tcPr>
            <w:tcW w:w="3657" w:type="pct"/>
            <w:gridSpan w:val="3"/>
            <w:noWrap w:val="0"/>
            <w:vAlign w:val="center"/>
          </w:tcPr>
          <w:p>
            <w:pPr>
              <w:adjustRightInd w:val="0"/>
              <w:snapToGrid w:val="0"/>
              <w:jc w:val="center"/>
              <w:rPr>
                <w:rFonts w:hint="eastAsia" w:ascii="宋体" w:hAnsi="宋体" w:eastAsia="宋体" w:cs="宋体"/>
                <w:szCs w:val="21"/>
                <w:lang w:eastAsia="zh-CN"/>
              </w:rPr>
            </w:pPr>
            <w:r>
              <w:rPr>
                <w:rFonts w:hint="eastAsia" w:ascii="宋体" w:hAnsi="宋体" w:cs="宋体"/>
                <w:szCs w:val="21"/>
                <w:lang w:eastAsia="zh-CN"/>
              </w:rPr>
              <w:t>年产20万立方米/年商品混凝土集中拌合站项目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ascii="宋体" w:hAnsi="宋体" w:cs="宋体"/>
                <w:szCs w:val="21"/>
              </w:rPr>
            </w:pPr>
            <w:r>
              <w:rPr>
                <w:rFonts w:hint="eastAsia" w:ascii="宋体" w:hAnsi="宋体" w:cs="宋体"/>
                <w:szCs w:val="21"/>
              </w:rPr>
              <w:t>项目代码</w:t>
            </w:r>
          </w:p>
        </w:tc>
        <w:tc>
          <w:tcPr>
            <w:tcW w:w="3657" w:type="pct"/>
            <w:gridSpan w:val="3"/>
            <w:noWrap w:val="0"/>
            <w:vAlign w:val="center"/>
          </w:tcPr>
          <w:p>
            <w:pPr>
              <w:adjustRightInd w:val="0"/>
              <w:snapToGrid w:val="0"/>
              <w:jc w:val="center"/>
              <w:rPr>
                <w:rFonts w:hint="default" w:ascii="宋体" w:hAnsi="宋体" w:eastAsia="宋体" w:cs="宋体"/>
                <w:sz w:val="21"/>
                <w:szCs w:val="21"/>
                <w:lang w:val="en-US" w:eastAsia="zh-CN"/>
              </w:rPr>
            </w:pPr>
            <w:bookmarkStart w:id="26" w:name="_GoBack"/>
            <w:bookmarkEnd w:id="26"/>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hint="eastAsia" w:ascii="宋体" w:hAnsi="宋体" w:cs="宋体"/>
                <w:szCs w:val="21"/>
              </w:rPr>
            </w:pPr>
            <w:r>
              <w:rPr>
                <w:rFonts w:hint="eastAsia" w:ascii="宋体" w:hAnsi="宋体" w:cs="宋体"/>
                <w:szCs w:val="21"/>
              </w:rPr>
              <w:t>建设单位联系人</w:t>
            </w:r>
          </w:p>
        </w:tc>
        <w:tc>
          <w:tcPr>
            <w:tcW w:w="922" w:type="pct"/>
            <w:noWrap w:val="0"/>
            <w:vAlign w:val="center"/>
          </w:tcPr>
          <w:p>
            <w:pPr>
              <w:adjustRightInd w:val="0"/>
              <w:snapToGrid w:val="0"/>
              <w:jc w:val="center"/>
              <w:rPr>
                <w:rFonts w:hint="eastAsia" w:ascii="宋体" w:hAnsi="宋体" w:eastAsia="宋体" w:cs="宋体"/>
                <w:sz w:val="21"/>
                <w:szCs w:val="21"/>
                <w:lang w:eastAsia="zh-CN"/>
              </w:rPr>
            </w:pPr>
          </w:p>
        </w:tc>
        <w:tc>
          <w:tcPr>
            <w:tcW w:w="1246" w:type="pct"/>
            <w:noWrap w:val="0"/>
            <w:vAlign w:val="center"/>
          </w:tcPr>
          <w:p>
            <w:pPr>
              <w:adjustRightInd w:val="0"/>
              <w:snapToGrid w:val="0"/>
              <w:jc w:val="center"/>
              <w:rPr>
                <w:rFonts w:ascii="宋体" w:hAnsi="宋体" w:cs="宋体"/>
                <w:sz w:val="21"/>
                <w:szCs w:val="21"/>
              </w:rPr>
            </w:pPr>
          </w:p>
        </w:tc>
        <w:tc>
          <w:tcPr>
            <w:tcW w:w="1489" w:type="pct"/>
            <w:noWrap w:val="0"/>
            <w:vAlign w:val="center"/>
          </w:tcPr>
          <w:p>
            <w:pPr>
              <w:adjustRightInd w:val="0"/>
              <w:snapToGrid w:val="0"/>
              <w:jc w:val="center"/>
              <w:rPr>
                <w:rFonts w:hint="default" w:ascii="宋体" w:hAnsi="宋体" w:eastAsia="宋体" w:cs="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ascii="宋体" w:hAnsi="宋体" w:cs="宋体"/>
                <w:szCs w:val="21"/>
              </w:rPr>
            </w:pPr>
            <w:r>
              <w:rPr>
                <w:rFonts w:hint="eastAsia" w:ascii="宋体" w:hAnsi="宋体" w:cs="宋体"/>
                <w:szCs w:val="21"/>
              </w:rPr>
              <w:t>建设地点</w:t>
            </w:r>
          </w:p>
        </w:tc>
        <w:tc>
          <w:tcPr>
            <w:tcW w:w="3657" w:type="pct"/>
            <w:gridSpan w:val="3"/>
            <w:noWrap w:val="0"/>
            <w:vAlign w:val="center"/>
          </w:tcPr>
          <w:p>
            <w:pPr>
              <w:adjustRightInd w:val="0"/>
              <w:snapToGrid w:val="0"/>
              <w:jc w:val="center"/>
              <w:rPr>
                <w:rFonts w:hint="eastAsia" w:ascii="宋体" w:hAnsi="宋体" w:eastAsia="宋体" w:cs="宋体"/>
                <w:sz w:val="21"/>
                <w:szCs w:val="21"/>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ascii="宋体" w:hAnsi="宋体" w:cs="宋体"/>
                <w:szCs w:val="21"/>
              </w:rPr>
            </w:pPr>
            <w:r>
              <w:rPr>
                <w:rFonts w:hint="eastAsia" w:ascii="宋体" w:hAnsi="宋体" w:cs="宋体"/>
                <w:szCs w:val="21"/>
              </w:rPr>
              <w:t>地理坐标</w:t>
            </w:r>
          </w:p>
        </w:tc>
        <w:tc>
          <w:tcPr>
            <w:tcW w:w="3657" w:type="pct"/>
            <w:gridSpan w:val="3"/>
            <w:noWrap w:val="0"/>
            <w:vAlign w:val="center"/>
          </w:tcPr>
          <w:p>
            <w:pPr>
              <w:jc w:val="center"/>
              <w:rPr>
                <w:rFonts w:hint="eastAsia" w:ascii="宋体" w:hAnsi="宋体" w:eastAsia="宋体" w:cs="宋体"/>
                <w:sz w:val="21"/>
                <w:szCs w:val="21"/>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342" w:type="pct"/>
            <w:noWrap w:val="0"/>
            <w:tcMar>
              <w:top w:w="16" w:type="dxa"/>
              <w:left w:w="16" w:type="dxa"/>
              <w:right w:w="16" w:type="dxa"/>
            </w:tcMar>
            <w:vAlign w:val="center"/>
          </w:tcPr>
          <w:p>
            <w:pPr>
              <w:adjustRightInd w:val="0"/>
              <w:snapToGrid w:val="0"/>
              <w:jc w:val="center"/>
              <w:rPr>
                <w:rFonts w:hint="eastAsia" w:ascii="宋体" w:hAnsi="宋体" w:cs="宋体"/>
                <w:szCs w:val="21"/>
              </w:rPr>
            </w:pPr>
            <w:r>
              <w:rPr>
                <w:rFonts w:hint="eastAsia" w:ascii="宋体" w:hAnsi="宋体" w:cs="宋体"/>
                <w:szCs w:val="21"/>
              </w:rPr>
              <w:t>国民经济</w:t>
            </w:r>
          </w:p>
          <w:p>
            <w:pPr>
              <w:adjustRightInd w:val="0"/>
              <w:snapToGrid w:val="0"/>
              <w:jc w:val="center"/>
              <w:rPr>
                <w:rFonts w:ascii="宋体" w:hAnsi="宋体" w:cs="宋体"/>
                <w:szCs w:val="21"/>
              </w:rPr>
            </w:pPr>
            <w:r>
              <w:rPr>
                <w:rFonts w:hint="eastAsia" w:ascii="宋体" w:hAnsi="宋体" w:cs="宋体"/>
                <w:szCs w:val="21"/>
              </w:rPr>
              <w:t>行业类别</w:t>
            </w:r>
          </w:p>
        </w:tc>
        <w:tc>
          <w:tcPr>
            <w:tcW w:w="922" w:type="pct"/>
            <w:noWrap w:val="0"/>
            <w:vAlign w:val="center"/>
          </w:tcPr>
          <w:p>
            <w:pPr>
              <w:adjustRightInd w:val="0"/>
              <w:snapToGrid w:val="0"/>
              <w:jc w:val="center"/>
              <w:rPr>
                <w:rFonts w:hint="eastAsia" w:ascii="宋体" w:hAnsi="宋体" w:eastAsia="宋体" w:cs="宋体"/>
                <w:sz w:val="21"/>
                <w:szCs w:val="21"/>
                <w:lang w:eastAsia="zh-CN"/>
              </w:rPr>
            </w:pPr>
            <w:r>
              <w:rPr>
                <w:rFonts w:hint="eastAsia" w:ascii="宋体" w:hAnsi="宋体" w:cs="宋体"/>
                <w:sz w:val="21"/>
                <w:szCs w:val="21"/>
              </w:rPr>
              <w:t>C 302</w:t>
            </w:r>
            <w:r>
              <w:rPr>
                <w:rFonts w:hint="eastAsia" w:ascii="宋体" w:hAnsi="宋体" w:cs="宋体"/>
                <w:sz w:val="21"/>
                <w:szCs w:val="21"/>
                <w:lang w:val="en-US" w:eastAsia="zh-CN"/>
              </w:rPr>
              <w:t xml:space="preserve"> 石膏、水泥制品及类似制品制造</w:t>
            </w:r>
          </w:p>
        </w:tc>
        <w:tc>
          <w:tcPr>
            <w:tcW w:w="1246" w:type="pct"/>
            <w:noWrap w:val="0"/>
            <w:vAlign w:val="center"/>
          </w:tcPr>
          <w:p>
            <w:pPr>
              <w:adjustRightInd w:val="0"/>
              <w:snapToGrid w:val="0"/>
              <w:jc w:val="center"/>
              <w:rPr>
                <w:rFonts w:ascii="宋体" w:hAnsi="宋体" w:cs="宋体"/>
                <w:sz w:val="21"/>
                <w:szCs w:val="21"/>
              </w:rPr>
            </w:pPr>
            <w:bookmarkStart w:id="0" w:name="_Hlk49843745"/>
            <w:r>
              <w:rPr>
                <w:rFonts w:hint="eastAsia" w:ascii="宋体" w:hAnsi="宋体" w:cs="宋体"/>
                <w:sz w:val="21"/>
                <w:szCs w:val="21"/>
              </w:rPr>
              <w:t>建设项目</w:t>
            </w:r>
          </w:p>
          <w:p>
            <w:pPr>
              <w:adjustRightInd w:val="0"/>
              <w:snapToGrid w:val="0"/>
              <w:jc w:val="center"/>
              <w:rPr>
                <w:rFonts w:ascii="宋体" w:hAnsi="宋体" w:cs="宋体"/>
                <w:sz w:val="21"/>
                <w:szCs w:val="21"/>
              </w:rPr>
            </w:pPr>
            <w:r>
              <w:rPr>
                <w:rFonts w:hint="eastAsia" w:ascii="宋体" w:hAnsi="宋体" w:cs="宋体"/>
                <w:sz w:val="21"/>
                <w:szCs w:val="21"/>
              </w:rPr>
              <w:t>行业类别</w:t>
            </w:r>
            <w:bookmarkEnd w:id="0"/>
          </w:p>
        </w:tc>
        <w:tc>
          <w:tcPr>
            <w:tcW w:w="1489" w:type="pct"/>
            <w:noWrap w:val="0"/>
            <w:vAlign w:val="center"/>
          </w:tcPr>
          <w:p>
            <w:pPr>
              <w:adjustRightInd w:val="0"/>
              <w:snapToGrid w:val="0"/>
              <w:jc w:val="center"/>
              <w:rPr>
                <w:rFonts w:ascii="宋体" w:hAnsi="宋体" w:cs="宋体"/>
                <w:sz w:val="21"/>
                <w:szCs w:val="21"/>
              </w:rPr>
            </w:pPr>
            <w:r>
              <w:rPr>
                <w:rFonts w:hint="eastAsia" w:ascii="宋体" w:hAnsi="宋体" w:cs="宋体"/>
                <w:sz w:val="21"/>
                <w:szCs w:val="21"/>
              </w:rPr>
              <w:t>二十七、非金属矿物制品业55.石膏、水泥制品及类似制品制造302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342" w:type="pct"/>
            <w:noWrap w:val="0"/>
            <w:tcMar>
              <w:top w:w="16" w:type="dxa"/>
              <w:left w:w="16" w:type="dxa"/>
              <w:right w:w="16" w:type="dxa"/>
            </w:tcMar>
            <w:vAlign w:val="center"/>
          </w:tcPr>
          <w:p>
            <w:pPr>
              <w:adjustRightInd w:val="0"/>
              <w:snapToGrid w:val="0"/>
              <w:jc w:val="center"/>
              <w:rPr>
                <w:rFonts w:ascii="宋体" w:hAnsi="宋体" w:cs="宋体"/>
                <w:szCs w:val="21"/>
              </w:rPr>
            </w:pPr>
            <w:r>
              <w:rPr>
                <w:rFonts w:hint="eastAsia" w:ascii="宋体" w:hAnsi="宋体" w:cs="宋体"/>
                <w:szCs w:val="21"/>
              </w:rPr>
              <w:t>建设性质</w:t>
            </w:r>
          </w:p>
        </w:tc>
        <w:tc>
          <w:tcPr>
            <w:tcW w:w="922" w:type="pct"/>
            <w:noWrap w:val="0"/>
            <w:vAlign w:val="center"/>
          </w:tcPr>
          <w:p>
            <w:pPr>
              <w:jc w:val="left"/>
              <w:rPr>
                <w:rFonts w:ascii="宋体" w:hAnsi="宋体" w:cs="宋体"/>
                <w:sz w:val="21"/>
                <w:szCs w:val="21"/>
              </w:rPr>
            </w:pPr>
            <w:r>
              <w:rPr>
                <w:rFonts w:hint="eastAsia" w:ascii="宋体" w:hAnsi="宋体" w:cs="宋体"/>
                <w:sz w:val="21"/>
                <w:szCs w:val="21"/>
              </w:rPr>
              <w:sym w:font="Wingdings 2" w:char="0052"/>
            </w:r>
            <w:r>
              <w:rPr>
                <w:rFonts w:hint="eastAsia" w:ascii="宋体" w:hAnsi="宋体" w:cs="宋体"/>
                <w:sz w:val="21"/>
                <w:szCs w:val="21"/>
              </w:rPr>
              <w:t>新建（迁建）</w:t>
            </w:r>
          </w:p>
          <w:p>
            <w:pPr>
              <w:jc w:val="left"/>
              <w:rPr>
                <w:rFonts w:hint="eastAsia" w:ascii="宋体" w:hAnsi="宋体" w:cs="宋体"/>
                <w:sz w:val="21"/>
                <w:szCs w:val="21"/>
              </w:rPr>
            </w:pPr>
            <w:r>
              <w:rPr>
                <w:rFonts w:hint="eastAsia" w:ascii="宋体" w:hAnsi="宋体" w:cs="宋体"/>
                <w:sz w:val="21"/>
                <w:szCs w:val="21"/>
              </w:rPr>
              <w:sym w:font="Wingdings 2" w:char="00A3"/>
            </w:r>
            <w:r>
              <w:rPr>
                <w:rFonts w:hint="eastAsia" w:ascii="宋体" w:hAnsi="宋体" w:cs="宋体"/>
                <w:sz w:val="21"/>
                <w:szCs w:val="21"/>
              </w:rPr>
              <w:t>改建</w:t>
            </w:r>
          </w:p>
          <w:p>
            <w:pPr>
              <w:jc w:val="left"/>
              <w:rPr>
                <w:rFonts w:hint="eastAsia" w:ascii="宋体" w:hAnsi="宋体" w:cs="宋体"/>
                <w:sz w:val="21"/>
                <w:szCs w:val="21"/>
              </w:rPr>
            </w:pPr>
            <w:r>
              <w:rPr>
                <w:rFonts w:hint="eastAsia" w:ascii="宋体" w:hAnsi="宋体" w:cs="宋体"/>
                <w:sz w:val="21"/>
                <w:szCs w:val="21"/>
              </w:rPr>
              <w:t>□扩建</w:t>
            </w:r>
          </w:p>
          <w:p>
            <w:pPr>
              <w:jc w:val="left"/>
              <w:rPr>
                <w:rFonts w:ascii="宋体" w:hAnsi="宋体" w:cs="宋体"/>
                <w:sz w:val="21"/>
                <w:szCs w:val="21"/>
              </w:rPr>
            </w:pPr>
            <w:r>
              <w:rPr>
                <w:rFonts w:hint="eastAsia" w:ascii="宋体" w:hAnsi="宋体" w:cs="宋体"/>
                <w:sz w:val="21"/>
                <w:szCs w:val="21"/>
              </w:rPr>
              <w:t>□技术改造</w:t>
            </w:r>
          </w:p>
        </w:tc>
        <w:tc>
          <w:tcPr>
            <w:tcW w:w="1246" w:type="pct"/>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建设项目</w:t>
            </w:r>
          </w:p>
          <w:p>
            <w:pPr>
              <w:adjustRightInd w:val="0"/>
              <w:snapToGrid w:val="0"/>
              <w:jc w:val="center"/>
              <w:rPr>
                <w:rFonts w:ascii="宋体" w:hAnsi="宋体" w:cs="宋体"/>
                <w:sz w:val="21"/>
                <w:szCs w:val="21"/>
              </w:rPr>
            </w:pPr>
            <w:r>
              <w:rPr>
                <w:rFonts w:hint="eastAsia" w:ascii="宋体" w:hAnsi="宋体" w:cs="宋体"/>
                <w:sz w:val="21"/>
                <w:szCs w:val="21"/>
              </w:rPr>
              <w:t>申报情形</w:t>
            </w:r>
          </w:p>
        </w:tc>
        <w:tc>
          <w:tcPr>
            <w:tcW w:w="1489" w:type="pct"/>
            <w:noWrap w:val="0"/>
            <w:vAlign w:val="center"/>
          </w:tcPr>
          <w:p>
            <w:pPr>
              <w:jc w:val="left"/>
              <w:rPr>
                <w:rFonts w:ascii="宋体" w:hAnsi="宋体" w:cs="宋体"/>
                <w:sz w:val="21"/>
                <w:szCs w:val="21"/>
              </w:rPr>
            </w:pPr>
            <w:r>
              <w:rPr>
                <w:rFonts w:hint="eastAsia" w:ascii="宋体" w:hAnsi="宋体" w:cs="宋体"/>
                <w:sz w:val="21"/>
                <w:szCs w:val="21"/>
              </w:rPr>
              <w:sym w:font="Wingdings 2" w:char="0052"/>
            </w:r>
            <w:r>
              <w:rPr>
                <w:rFonts w:hint="eastAsia" w:ascii="宋体" w:hAnsi="宋体" w:cs="宋体"/>
                <w:sz w:val="21"/>
                <w:szCs w:val="21"/>
              </w:rPr>
              <w:t>首次申报项目</w:t>
            </w:r>
            <w:r>
              <w:rPr>
                <w:rFonts w:ascii="宋体" w:hAnsi="宋体" w:cs="宋体"/>
                <w:sz w:val="21"/>
                <w:szCs w:val="21"/>
              </w:rPr>
              <w:t xml:space="preserve">             </w:t>
            </w:r>
          </w:p>
          <w:p>
            <w:pPr>
              <w:jc w:val="left"/>
              <w:rPr>
                <w:rFonts w:ascii="宋体" w:hAnsi="宋体" w:cs="宋体"/>
                <w:sz w:val="21"/>
                <w:szCs w:val="21"/>
              </w:rPr>
            </w:pPr>
            <w:r>
              <w:rPr>
                <w:rFonts w:hint="eastAsia" w:ascii="宋体" w:hAnsi="宋体" w:cs="宋体"/>
                <w:sz w:val="21"/>
                <w:szCs w:val="21"/>
              </w:rPr>
              <w:t>□不予批准后再次申报项目</w:t>
            </w:r>
          </w:p>
          <w:p>
            <w:pPr>
              <w:jc w:val="left"/>
              <w:rPr>
                <w:rFonts w:ascii="宋体" w:hAnsi="宋体" w:cs="宋体"/>
                <w:sz w:val="21"/>
                <w:szCs w:val="21"/>
              </w:rPr>
            </w:pPr>
            <w:r>
              <w:rPr>
                <w:rFonts w:hint="eastAsia" w:ascii="宋体" w:hAnsi="宋体" w:cs="宋体"/>
                <w:sz w:val="21"/>
                <w:szCs w:val="21"/>
              </w:rPr>
              <w:sym w:font="Wingdings 2" w:char="00A3"/>
            </w:r>
            <w:r>
              <w:rPr>
                <w:rFonts w:hint="eastAsia" w:ascii="宋体" w:hAnsi="宋体" w:cs="宋体"/>
                <w:sz w:val="21"/>
                <w:szCs w:val="21"/>
              </w:rPr>
              <w:t>超五年重新审核项目</w:t>
            </w:r>
            <w:r>
              <w:rPr>
                <w:rFonts w:ascii="宋体" w:hAnsi="宋体" w:cs="宋体"/>
                <w:sz w:val="21"/>
                <w:szCs w:val="21"/>
              </w:rPr>
              <w:t xml:space="preserve">     </w:t>
            </w:r>
          </w:p>
          <w:p>
            <w:pPr>
              <w:jc w:val="left"/>
              <w:rPr>
                <w:rFonts w:ascii="宋体" w:hAnsi="宋体" w:cs="宋体"/>
                <w:sz w:val="21"/>
                <w:szCs w:val="21"/>
              </w:rPr>
            </w:pPr>
            <w:r>
              <w:rPr>
                <w:rFonts w:hint="eastAsia" w:ascii="宋体" w:hAnsi="宋体" w:cs="宋体"/>
                <w:sz w:val="21"/>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342" w:type="pct"/>
            <w:noWrap w:val="0"/>
            <w:tcMar>
              <w:top w:w="16" w:type="dxa"/>
              <w:left w:w="16" w:type="dxa"/>
              <w:right w:w="16" w:type="dxa"/>
            </w:tcMar>
            <w:vAlign w:val="center"/>
          </w:tcPr>
          <w:p>
            <w:pPr>
              <w:adjustRightInd w:val="0"/>
              <w:snapToGrid w:val="0"/>
              <w:jc w:val="center"/>
              <w:rPr>
                <w:rFonts w:hint="eastAsia" w:ascii="宋体" w:hAnsi="宋体" w:cs="宋体"/>
                <w:szCs w:val="21"/>
              </w:rPr>
            </w:pPr>
            <w:r>
              <w:rPr>
                <w:rFonts w:hint="eastAsia" w:ascii="宋体" w:hAnsi="宋体" w:cs="宋体"/>
                <w:szCs w:val="21"/>
              </w:rPr>
              <w:t>项目审批（核准</w:t>
            </w:r>
            <w:r>
              <w:rPr>
                <w:rFonts w:ascii="宋体" w:hAnsi="宋体" w:cs="宋体"/>
                <w:szCs w:val="21"/>
              </w:rPr>
              <w:t>/</w:t>
            </w:r>
          </w:p>
          <w:p>
            <w:pPr>
              <w:adjustRightInd w:val="0"/>
              <w:snapToGrid w:val="0"/>
              <w:jc w:val="center"/>
              <w:rPr>
                <w:rFonts w:ascii="宋体" w:hAnsi="宋体" w:cs="宋体"/>
                <w:szCs w:val="21"/>
              </w:rPr>
            </w:pPr>
            <w:r>
              <w:rPr>
                <w:rFonts w:hint="eastAsia" w:ascii="宋体" w:hAnsi="宋体" w:cs="宋体"/>
                <w:szCs w:val="21"/>
              </w:rPr>
              <w:t>备案）部门（选填）</w:t>
            </w:r>
          </w:p>
        </w:tc>
        <w:tc>
          <w:tcPr>
            <w:tcW w:w="922" w:type="pct"/>
            <w:noWrap w:val="0"/>
            <w:vAlign w:val="center"/>
          </w:tcPr>
          <w:p>
            <w:pPr>
              <w:adjustRightInd w:val="0"/>
              <w:snapToGrid w:val="0"/>
              <w:jc w:val="center"/>
              <w:rPr>
                <w:rFonts w:ascii="宋体" w:hAnsi="宋体" w:cs="宋体"/>
                <w:color w:val="auto"/>
                <w:sz w:val="21"/>
                <w:szCs w:val="21"/>
              </w:rPr>
            </w:pPr>
            <w:r>
              <w:rPr>
                <w:rFonts w:hint="eastAsia" w:ascii="宋体" w:hAnsi="宋体" w:cs="宋体"/>
                <w:color w:val="auto"/>
                <w:sz w:val="21"/>
                <w:szCs w:val="21"/>
              </w:rPr>
              <w:t>轮台县发展和改革委员会</w:t>
            </w:r>
          </w:p>
        </w:tc>
        <w:tc>
          <w:tcPr>
            <w:tcW w:w="1246" w:type="pct"/>
            <w:noWrap w:val="0"/>
            <w:vAlign w:val="center"/>
          </w:tcPr>
          <w:p>
            <w:pPr>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项目审批（核准</w:t>
            </w:r>
            <w:r>
              <w:rPr>
                <w:rFonts w:ascii="宋体" w:hAnsi="宋体" w:cs="宋体"/>
                <w:color w:val="auto"/>
                <w:sz w:val="21"/>
                <w:szCs w:val="21"/>
              </w:rPr>
              <w:t>/</w:t>
            </w:r>
          </w:p>
          <w:p>
            <w:pPr>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备案）文号（选填）</w:t>
            </w:r>
          </w:p>
        </w:tc>
        <w:tc>
          <w:tcPr>
            <w:tcW w:w="1489" w:type="pct"/>
            <w:noWrap w:val="0"/>
            <w:vAlign w:val="center"/>
          </w:tcPr>
          <w:p>
            <w:pPr>
              <w:adjustRightInd w:val="0"/>
              <w:snapToGrid w:val="0"/>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2604071136652822000035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ascii="宋体" w:hAnsi="宋体" w:cs="宋体"/>
                <w:color w:val="auto"/>
                <w:szCs w:val="21"/>
              </w:rPr>
            </w:pPr>
            <w:r>
              <w:rPr>
                <w:rFonts w:hint="eastAsia" w:ascii="宋体" w:hAnsi="宋体" w:cs="宋体"/>
                <w:color w:val="auto"/>
                <w:szCs w:val="21"/>
              </w:rPr>
              <w:t>总投资（万元）</w:t>
            </w:r>
          </w:p>
        </w:tc>
        <w:tc>
          <w:tcPr>
            <w:tcW w:w="922" w:type="pct"/>
            <w:noWrap w:val="0"/>
            <w:vAlign w:val="center"/>
          </w:tcPr>
          <w:p>
            <w:pPr>
              <w:adjustRightInd w:val="0"/>
              <w:snapToGrid w:val="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2500</w:t>
            </w:r>
          </w:p>
        </w:tc>
        <w:tc>
          <w:tcPr>
            <w:tcW w:w="1246" w:type="pct"/>
            <w:noWrap w:val="0"/>
            <w:tcMar>
              <w:top w:w="16" w:type="dxa"/>
              <w:left w:w="16" w:type="dxa"/>
              <w:right w:w="16" w:type="dxa"/>
            </w:tcMar>
            <w:vAlign w:val="center"/>
          </w:tcPr>
          <w:p>
            <w:pPr>
              <w:adjustRightInd w:val="0"/>
              <w:snapToGrid w:val="0"/>
              <w:jc w:val="center"/>
              <w:rPr>
                <w:rFonts w:ascii="宋体" w:hAnsi="宋体" w:cs="宋体"/>
                <w:color w:val="auto"/>
                <w:sz w:val="21"/>
                <w:szCs w:val="21"/>
              </w:rPr>
            </w:pPr>
            <w:r>
              <w:rPr>
                <w:rFonts w:hint="eastAsia" w:ascii="宋体" w:hAnsi="宋体" w:cs="宋体"/>
                <w:color w:val="auto"/>
                <w:sz w:val="21"/>
                <w:szCs w:val="21"/>
              </w:rPr>
              <w:t>环保投资（万元）</w:t>
            </w:r>
          </w:p>
        </w:tc>
        <w:tc>
          <w:tcPr>
            <w:tcW w:w="1489" w:type="pct"/>
            <w:noWrap w:val="0"/>
            <w:vAlign w:val="center"/>
          </w:tcPr>
          <w:p>
            <w:pPr>
              <w:adjustRightInd w:val="0"/>
              <w:snapToGrid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ascii="宋体" w:hAnsi="宋体" w:cs="宋体"/>
                <w:color w:val="auto"/>
                <w:szCs w:val="21"/>
              </w:rPr>
            </w:pPr>
            <w:r>
              <w:rPr>
                <w:rFonts w:hint="eastAsia" w:ascii="宋体" w:hAnsi="宋体" w:cs="宋体"/>
                <w:color w:val="auto"/>
                <w:szCs w:val="21"/>
              </w:rPr>
              <w:t>环保投资占比（</w:t>
            </w:r>
            <w:r>
              <w:rPr>
                <w:rFonts w:ascii="宋体" w:hAnsi="宋体" w:cs="宋体"/>
                <w:color w:val="auto"/>
                <w:szCs w:val="21"/>
              </w:rPr>
              <w:t>%</w:t>
            </w:r>
            <w:r>
              <w:rPr>
                <w:rFonts w:hint="eastAsia" w:ascii="宋体" w:hAnsi="宋体" w:cs="宋体"/>
                <w:color w:val="auto"/>
                <w:szCs w:val="21"/>
              </w:rPr>
              <w:t>）</w:t>
            </w:r>
          </w:p>
        </w:tc>
        <w:tc>
          <w:tcPr>
            <w:tcW w:w="922" w:type="pct"/>
            <w:noWrap w:val="0"/>
            <w:vAlign w:val="center"/>
          </w:tcPr>
          <w:p>
            <w:pPr>
              <w:adjustRightInd w:val="0"/>
              <w:snapToGrid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5.7</w:t>
            </w:r>
          </w:p>
        </w:tc>
        <w:tc>
          <w:tcPr>
            <w:tcW w:w="1246" w:type="pct"/>
            <w:noWrap w:val="0"/>
            <w:tcMar>
              <w:top w:w="16" w:type="dxa"/>
              <w:left w:w="16" w:type="dxa"/>
              <w:right w:w="16" w:type="dxa"/>
            </w:tcMar>
            <w:vAlign w:val="center"/>
          </w:tcPr>
          <w:p>
            <w:pPr>
              <w:adjustRightInd w:val="0"/>
              <w:snapToGrid w:val="0"/>
              <w:jc w:val="center"/>
              <w:rPr>
                <w:rFonts w:ascii="宋体" w:hAnsi="宋体" w:cs="宋体"/>
                <w:color w:val="auto"/>
                <w:sz w:val="21"/>
                <w:szCs w:val="21"/>
              </w:rPr>
            </w:pPr>
            <w:r>
              <w:rPr>
                <w:rFonts w:hint="eastAsia" w:ascii="宋体" w:hAnsi="宋体" w:cs="宋体"/>
                <w:color w:val="auto"/>
                <w:sz w:val="21"/>
                <w:szCs w:val="21"/>
              </w:rPr>
              <w:t>施工工期</w:t>
            </w:r>
          </w:p>
        </w:tc>
        <w:tc>
          <w:tcPr>
            <w:tcW w:w="1489" w:type="pct"/>
            <w:noWrap w:val="0"/>
            <w:vAlign w:val="center"/>
          </w:tcPr>
          <w:p>
            <w:pPr>
              <w:adjustRightInd w:val="0"/>
              <w:snapToGrid w:val="0"/>
              <w:jc w:val="center"/>
              <w:rPr>
                <w:rFonts w:hint="eastAsia" w:ascii="宋体" w:hAnsi="宋体" w:cs="宋体"/>
                <w:color w:val="auto"/>
                <w:sz w:val="21"/>
                <w:szCs w:val="21"/>
              </w:rPr>
            </w:pPr>
            <w:r>
              <w:rPr>
                <w:rFonts w:hint="eastAsia" w:ascii="宋体" w:hAnsi="宋体" w:cs="宋体"/>
                <w:color w:val="auto"/>
                <w:sz w:val="21"/>
                <w:szCs w:val="21"/>
                <w:lang w:val="en-US" w:eastAsia="zh-CN"/>
              </w:rPr>
              <w:t>3</w:t>
            </w:r>
            <w:r>
              <w:rPr>
                <w:rFonts w:hint="eastAsia" w:ascii="宋体" w:hAnsi="宋体" w:cs="宋体"/>
                <w:color w:val="auto"/>
                <w:sz w:val="21"/>
                <w:szCs w:val="21"/>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2" w:type="pct"/>
            <w:noWrap w:val="0"/>
            <w:tcMar>
              <w:top w:w="16" w:type="dxa"/>
              <w:left w:w="16" w:type="dxa"/>
              <w:right w:w="16" w:type="dxa"/>
            </w:tcMar>
            <w:vAlign w:val="center"/>
          </w:tcPr>
          <w:p>
            <w:pPr>
              <w:adjustRightInd w:val="0"/>
              <w:snapToGrid w:val="0"/>
              <w:jc w:val="center"/>
              <w:rPr>
                <w:rFonts w:hint="eastAsia" w:ascii="宋体" w:hAnsi="宋体" w:cs="宋体"/>
                <w:szCs w:val="21"/>
              </w:rPr>
            </w:pPr>
            <w:r>
              <w:rPr>
                <w:rFonts w:hint="eastAsia" w:ascii="宋体" w:hAnsi="宋体" w:cs="宋体"/>
                <w:szCs w:val="21"/>
              </w:rPr>
              <w:t>是否开工建设</w:t>
            </w:r>
          </w:p>
        </w:tc>
        <w:tc>
          <w:tcPr>
            <w:tcW w:w="922" w:type="pct"/>
            <w:noWrap w:val="0"/>
            <w:vAlign w:val="center"/>
          </w:tcPr>
          <w:p>
            <w:pPr>
              <w:adjustRightInd w:val="0"/>
              <w:snapToGrid w:val="0"/>
              <w:rPr>
                <w:rFonts w:ascii="宋体" w:hAnsi="宋体" w:cs="宋体"/>
                <w:color w:val="auto"/>
                <w:sz w:val="21"/>
                <w:szCs w:val="21"/>
              </w:rPr>
            </w:pPr>
            <w:r>
              <w:rPr>
                <w:rFonts w:hint="eastAsia" w:ascii="宋体" w:hAnsi="宋体" w:cs="宋体"/>
                <w:color w:val="auto"/>
                <w:sz w:val="21"/>
                <w:szCs w:val="21"/>
              </w:rPr>
              <w:sym w:font="Wingdings 2" w:char="00A3"/>
            </w:r>
            <w:r>
              <w:rPr>
                <w:rFonts w:hint="eastAsia" w:ascii="宋体" w:hAnsi="宋体" w:cs="宋体"/>
                <w:color w:val="auto"/>
                <w:sz w:val="21"/>
                <w:szCs w:val="21"/>
              </w:rPr>
              <w:t>否</w:t>
            </w:r>
          </w:p>
          <w:p>
            <w:pPr>
              <w:adjustRightInd w:val="0"/>
              <w:snapToGrid w:val="0"/>
              <w:rPr>
                <w:rFonts w:hint="default" w:ascii="宋体" w:hAnsi="宋体" w:cs="宋体"/>
                <w:color w:val="auto"/>
                <w:sz w:val="21"/>
                <w:szCs w:val="21"/>
                <w:lang w:val="en-US"/>
              </w:rPr>
            </w:pPr>
            <w:r>
              <w:rPr>
                <w:rFonts w:hint="eastAsia" w:ascii="宋体" w:hAnsi="宋体" w:cs="宋体"/>
                <w:color w:val="auto"/>
                <w:sz w:val="21"/>
                <w:szCs w:val="21"/>
              </w:rPr>
              <w:sym w:font="Wingdings 2" w:char="0052"/>
            </w:r>
            <w:r>
              <w:rPr>
                <w:rFonts w:hint="eastAsia" w:ascii="宋体" w:hAnsi="宋体" w:cs="宋体"/>
                <w:color w:val="auto"/>
                <w:sz w:val="21"/>
                <w:szCs w:val="21"/>
              </w:rPr>
              <w:t>是：</w:t>
            </w:r>
            <w:r>
              <w:rPr>
                <w:rFonts w:hint="eastAsia" w:ascii="宋体" w:hAnsi="宋体" w:cs="宋体"/>
                <w:szCs w:val="21"/>
                <w:u w:val="single"/>
              </w:rPr>
              <w:t>已建设内容：</w:t>
            </w:r>
            <w:r>
              <w:rPr>
                <w:rFonts w:hint="eastAsia" w:ascii="宋体" w:hAnsi="宋体" w:cs="宋体"/>
                <w:szCs w:val="21"/>
                <w:u w:val="single"/>
                <w:lang w:val="en-US" w:eastAsia="zh-CN"/>
              </w:rPr>
              <w:t xml:space="preserve">2座搅拌机主楼 </w:t>
            </w:r>
          </w:p>
        </w:tc>
        <w:tc>
          <w:tcPr>
            <w:tcW w:w="1246" w:type="pct"/>
            <w:noWrap w:val="0"/>
            <w:tcMar>
              <w:top w:w="16" w:type="dxa"/>
              <w:left w:w="16" w:type="dxa"/>
              <w:right w:w="16" w:type="dxa"/>
            </w:tcMar>
            <w:vAlign w:val="center"/>
          </w:tcPr>
          <w:p>
            <w:pPr>
              <w:adjustRightInd w:val="0"/>
              <w:snapToGrid w:val="0"/>
              <w:jc w:val="center"/>
              <w:rPr>
                <w:rFonts w:ascii="宋体" w:hAnsi="宋体" w:cs="宋体"/>
                <w:color w:val="auto"/>
                <w:spacing w:val="-6"/>
                <w:sz w:val="21"/>
                <w:szCs w:val="21"/>
              </w:rPr>
            </w:pPr>
            <w:r>
              <w:rPr>
                <w:rFonts w:hint="eastAsia" w:ascii="宋体" w:hAnsi="宋体" w:cs="宋体"/>
                <w:color w:val="auto"/>
                <w:spacing w:val="-6"/>
                <w:sz w:val="21"/>
                <w:szCs w:val="21"/>
              </w:rPr>
              <w:t>用地（用海）</w:t>
            </w:r>
          </w:p>
          <w:p>
            <w:pPr>
              <w:adjustRightInd w:val="0"/>
              <w:snapToGrid w:val="0"/>
              <w:jc w:val="center"/>
              <w:rPr>
                <w:rFonts w:hint="eastAsia" w:ascii="宋体" w:hAnsi="宋体" w:cs="宋体"/>
                <w:color w:val="auto"/>
                <w:sz w:val="21"/>
                <w:szCs w:val="21"/>
              </w:rPr>
            </w:pPr>
            <w:r>
              <w:rPr>
                <w:rFonts w:hint="eastAsia" w:ascii="宋体" w:hAnsi="宋体" w:cs="宋体"/>
                <w:color w:val="auto"/>
                <w:spacing w:val="-6"/>
                <w:sz w:val="21"/>
                <w:szCs w:val="21"/>
              </w:rPr>
              <w:t>面积（</w:t>
            </w:r>
            <w:r>
              <w:rPr>
                <w:rFonts w:ascii="宋体" w:hAnsi="宋体" w:cs="宋体"/>
                <w:color w:val="auto"/>
                <w:spacing w:val="-6"/>
                <w:sz w:val="21"/>
                <w:szCs w:val="21"/>
              </w:rPr>
              <w:t>m</w:t>
            </w:r>
            <w:r>
              <w:rPr>
                <w:rFonts w:ascii="宋体" w:hAnsi="宋体" w:cs="宋体"/>
                <w:color w:val="auto"/>
                <w:spacing w:val="-6"/>
                <w:sz w:val="21"/>
                <w:szCs w:val="21"/>
                <w:vertAlign w:val="superscript"/>
              </w:rPr>
              <w:t>2</w:t>
            </w:r>
            <w:r>
              <w:rPr>
                <w:rFonts w:hint="eastAsia" w:ascii="宋体" w:hAnsi="宋体" w:cs="宋体"/>
                <w:color w:val="auto"/>
                <w:spacing w:val="-6"/>
                <w:sz w:val="21"/>
                <w:szCs w:val="21"/>
              </w:rPr>
              <w:t>）</w:t>
            </w:r>
          </w:p>
        </w:tc>
        <w:tc>
          <w:tcPr>
            <w:tcW w:w="1489" w:type="pct"/>
            <w:noWrap w:val="0"/>
            <w:vAlign w:val="center"/>
          </w:tcPr>
          <w:p>
            <w:pPr>
              <w:adjustRightInd w:val="0"/>
              <w:snapToGrid w:val="0"/>
              <w:jc w:val="center"/>
              <w:rPr>
                <w:rFonts w:hint="default"/>
                <w:lang w:val="en-US" w:eastAsia="zh-CN"/>
              </w:rPr>
            </w:pPr>
            <w:r>
              <w:rPr>
                <w:rFonts w:hint="eastAsia" w:ascii="宋体" w:hAnsi="宋体" w:cs="宋体"/>
                <w:color w:val="auto"/>
                <w:sz w:val="21"/>
                <w:szCs w:val="21"/>
                <w:lang w:val="en-US" w:eastAsia="zh-CN"/>
              </w:rPr>
              <w:t>13333.33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342" w:type="pct"/>
            <w:noWrap w:val="0"/>
            <w:vAlign w:val="center"/>
          </w:tcPr>
          <w:p>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专项评价设置情况</w:t>
            </w:r>
          </w:p>
        </w:tc>
        <w:tc>
          <w:tcPr>
            <w:tcW w:w="3657" w:type="pct"/>
            <w:gridSpan w:val="3"/>
            <w:noWrap w:val="0"/>
            <w:vAlign w:val="center"/>
          </w:tcPr>
          <w:p>
            <w:pPr>
              <w:autoSpaceDE w:val="0"/>
              <w:autoSpaceDN w:val="0"/>
              <w:adjustRightInd w:val="0"/>
              <w:snapToGrid w:val="0"/>
              <w:jc w:val="center"/>
              <w:rPr>
                <w:rFonts w:hint="eastAsia" w:ascii="宋体" w:hAnsi="宋体" w:cs="宋体"/>
                <w:kern w:val="0"/>
                <w:szCs w:val="21"/>
              </w:rPr>
            </w:pPr>
            <w:r>
              <w:rPr>
                <w:rFonts w:hint="eastAsia" w:ascii="宋体" w:hAnsi="宋体" w:cs="宋体"/>
                <w:kern w:val="0"/>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342" w:type="pct"/>
            <w:noWrap w:val="0"/>
            <w:vAlign w:val="center"/>
          </w:tcPr>
          <w:p>
            <w:pPr>
              <w:autoSpaceDE w:val="0"/>
              <w:autoSpaceDN w:val="0"/>
              <w:adjustRightInd w:val="0"/>
              <w:snapToGrid w:val="0"/>
              <w:jc w:val="center"/>
              <w:rPr>
                <w:rFonts w:hint="eastAsia" w:ascii="宋体" w:hAnsi="宋体" w:cs="宋体"/>
                <w:color w:val="auto"/>
                <w:kern w:val="0"/>
                <w:szCs w:val="21"/>
              </w:rPr>
            </w:pPr>
            <w:r>
              <w:rPr>
                <w:rFonts w:hint="eastAsia" w:ascii="宋体" w:hAnsi="宋体" w:cs="宋体"/>
                <w:color w:val="auto"/>
                <w:szCs w:val="21"/>
              </w:rPr>
              <w:t>规划情况</w:t>
            </w:r>
          </w:p>
        </w:tc>
        <w:tc>
          <w:tcPr>
            <w:tcW w:w="3657" w:type="pct"/>
            <w:gridSpan w:val="3"/>
            <w:noWrap w:val="0"/>
            <w:vAlign w:val="center"/>
          </w:tcPr>
          <w:p>
            <w:pPr>
              <w:autoSpaceDE w:val="0"/>
              <w:autoSpaceDN w:val="0"/>
              <w:adjustRightInd w:val="0"/>
              <w:snapToGrid w:val="0"/>
              <w:spacing w:line="360" w:lineRule="auto"/>
              <w:jc w:val="center"/>
              <w:rPr>
                <w:rFonts w:hint="eastAsia" w:ascii="宋体" w:hAnsi="宋体" w:cs="宋体"/>
                <w:color w:val="auto"/>
                <w:kern w:val="0"/>
                <w:sz w:val="21"/>
                <w:szCs w:val="21"/>
              </w:rPr>
            </w:pPr>
            <w:r>
              <w:rPr>
                <w:rFonts w:hint="eastAsia" w:ascii="宋体" w:hAnsi="宋体" w:cs="宋体"/>
                <w:color w:val="auto"/>
                <w:kern w:val="0"/>
                <w:sz w:val="21"/>
                <w:szCs w:val="21"/>
              </w:rPr>
              <w:t>规划：《轮台县国土空间总体规划（2021</w:t>
            </w:r>
            <w:r>
              <w:rPr>
                <w:rFonts w:hint="eastAsia" w:ascii="宋体" w:hAnsi="宋体" w:cs="宋体"/>
                <w:color w:val="auto"/>
                <w:kern w:val="0"/>
                <w:sz w:val="21"/>
                <w:szCs w:val="21"/>
                <w:lang w:eastAsia="zh-CN"/>
              </w:rPr>
              <w:t>—</w:t>
            </w:r>
            <w:r>
              <w:rPr>
                <w:rFonts w:hint="eastAsia" w:ascii="宋体" w:hAnsi="宋体" w:cs="宋体"/>
                <w:color w:val="auto"/>
                <w:kern w:val="0"/>
                <w:sz w:val="21"/>
                <w:szCs w:val="21"/>
              </w:rPr>
              <w:t>2035年）》</w:t>
            </w:r>
          </w:p>
          <w:p>
            <w:pPr>
              <w:autoSpaceDE w:val="0"/>
              <w:autoSpaceDN w:val="0"/>
              <w:adjustRightInd w:val="0"/>
              <w:snapToGrid w:val="0"/>
              <w:spacing w:line="360" w:lineRule="auto"/>
              <w:jc w:val="center"/>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审批文件</w:t>
            </w:r>
            <w:r>
              <w:rPr>
                <w:rFonts w:hint="eastAsia" w:ascii="宋体" w:hAnsi="宋体" w:cs="宋体"/>
                <w:color w:val="auto"/>
                <w:kern w:val="0"/>
                <w:sz w:val="21"/>
                <w:szCs w:val="21"/>
              </w:rPr>
              <w:t>：关于《轮台县国土空间总体规划（2021</w:t>
            </w:r>
            <w:r>
              <w:rPr>
                <w:rFonts w:hint="eastAsia" w:ascii="宋体" w:hAnsi="宋体" w:cs="宋体"/>
                <w:color w:val="auto"/>
                <w:kern w:val="0"/>
                <w:sz w:val="21"/>
                <w:szCs w:val="21"/>
                <w:lang w:eastAsia="zh-CN"/>
              </w:rPr>
              <w:t>—</w:t>
            </w:r>
            <w:r>
              <w:rPr>
                <w:rFonts w:hint="eastAsia" w:ascii="宋体" w:hAnsi="宋体" w:cs="宋体"/>
                <w:color w:val="auto"/>
                <w:kern w:val="0"/>
                <w:sz w:val="21"/>
                <w:szCs w:val="21"/>
              </w:rPr>
              <w:t>2035年）》的批复</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巴音郭楞蒙古自治州人民政府2024年6月28日</w:t>
            </w:r>
            <w:r>
              <w:rPr>
                <w:rFonts w:hint="eastAsia" w:ascii="宋体" w:hAnsi="宋体" w:cs="宋体"/>
                <w:color w:val="auto"/>
                <w:kern w:val="0"/>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342" w:type="pct"/>
            <w:noWrap w:val="0"/>
            <w:vAlign w:val="center"/>
          </w:tcPr>
          <w:p>
            <w:pPr>
              <w:adjustRightInd w:val="0"/>
              <w:snapToGrid w:val="0"/>
              <w:jc w:val="center"/>
              <w:rPr>
                <w:rFonts w:ascii="宋体" w:hAnsi="宋体" w:cs="宋体"/>
                <w:color w:val="auto"/>
                <w:szCs w:val="21"/>
              </w:rPr>
            </w:pPr>
            <w:r>
              <w:rPr>
                <w:rFonts w:hint="eastAsia" w:ascii="宋体" w:hAnsi="宋体" w:cs="宋体"/>
                <w:color w:val="auto"/>
                <w:szCs w:val="21"/>
              </w:rPr>
              <w:t>规划环境影响</w:t>
            </w:r>
          </w:p>
          <w:p>
            <w:pPr>
              <w:adjustRightInd w:val="0"/>
              <w:snapToGrid w:val="0"/>
              <w:jc w:val="center"/>
              <w:rPr>
                <w:rFonts w:hint="eastAsia" w:ascii="宋体" w:hAnsi="宋体" w:cs="宋体"/>
                <w:color w:val="auto"/>
                <w:kern w:val="0"/>
                <w:szCs w:val="21"/>
              </w:rPr>
            </w:pPr>
            <w:r>
              <w:rPr>
                <w:rFonts w:hint="eastAsia" w:ascii="宋体" w:hAnsi="宋体" w:cs="宋体"/>
                <w:color w:val="auto"/>
                <w:szCs w:val="21"/>
              </w:rPr>
              <w:t>评价情况</w:t>
            </w:r>
          </w:p>
        </w:tc>
        <w:tc>
          <w:tcPr>
            <w:tcW w:w="3657" w:type="pct"/>
            <w:gridSpan w:val="3"/>
            <w:noWrap w:val="0"/>
            <w:vAlign w:val="center"/>
          </w:tcPr>
          <w:p>
            <w:pPr>
              <w:pStyle w:val="16"/>
              <w:ind w:left="420" w:hanging="420"/>
              <w:jc w:val="center"/>
              <w:rPr>
                <w:rFonts w:hint="eastAsia" w:ascii="宋体" w:hAnsi="宋体" w:cs="宋体"/>
                <w:color w:val="auto"/>
                <w:kern w:val="0"/>
                <w:sz w:val="21"/>
                <w:szCs w:val="21"/>
              </w:rPr>
            </w:pPr>
            <w:r>
              <w:rPr>
                <w:rFonts w:hint="eastAsia"/>
                <w:color w:val="auto"/>
                <w:sz w:val="21"/>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5" w:hRule="atLeast"/>
          <w:jc w:val="center"/>
        </w:trPr>
        <w:tc>
          <w:tcPr>
            <w:tcW w:w="1342" w:type="pct"/>
            <w:noWrap w:val="0"/>
            <w:vAlign w:val="center"/>
          </w:tcPr>
          <w:p>
            <w:pPr>
              <w:autoSpaceDE w:val="0"/>
              <w:autoSpaceDN w:val="0"/>
              <w:adjustRightInd w:val="0"/>
              <w:snapToGrid w:val="0"/>
              <w:jc w:val="center"/>
              <w:rPr>
                <w:rFonts w:hint="eastAsia" w:ascii="宋体" w:hAnsi="宋体" w:cs="宋体"/>
                <w:kern w:val="0"/>
                <w:szCs w:val="21"/>
              </w:rPr>
            </w:pPr>
            <w:r>
              <w:rPr>
                <w:rFonts w:hint="eastAsia" w:ascii="宋体" w:hAnsi="宋体" w:cs="宋体"/>
                <w:kern w:val="0"/>
                <w:szCs w:val="21"/>
              </w:rPr>
              <w:t>规划及规划环境</w:t>
            </w:r>
          </w:p>
          <w:p>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影响评价符合性分析</w:t>
            </w:r>
          </w:p>
        </w:tc>
        <w:tc>
          <w:tcPr>
            <w:tcW w:w="3657" w:type="pct"/>
            <w:gridSpan w:val="3"/>
            <w:noWrap w:val="0"/>
            <w:vAlign w:val="center"/>
          </w:tcPr>
          <w:p>
            <w:pPr>
              <w:autoSpaceDE w:val="0"/>
              <w:autoSpaceDN w:val="0"/>
              <w:adjustRightInd w:val="0"/>
              <w:snapToGrid w:val="0"/>
              <w:spacing w:line="360" w:lineRule="auto"/>
              <w:ind w:firstLine="210" w:firstLineChars="100"/>
              <w:rPr>
                <w:color w:val="auto"/>
              </w:rPr>
            </w:pPr>
            <w:r>
              <w:rPr>
                <w:color w:val="auto"/>
              </w:rPr>
              <w:t>项目与规划及</w:t>
            </w:r>
            <w:r>
              <w:rPr>
                <w:rFonts w:hint="eastAsia"/>
                <w:color w:val="auto"/>
                <w:lang w:val="en-US" w:eastAsia="zh-CN"/>
              </w:rPr>
              <w:t>批复</w:t>
            </w:r>
            <w:r>
              <w:rPr>
                <w:color w:val="auto"/>
              </w:rPr>
              <w:t>的相符性分析见下表。</w:t>
            </w:r>
          </w:p>
          <w:p>
            <w:pPr>
              <w:keepNext w:val="0"/>
              <w:keepLines w:val="0"/>
              <w:pageBreakBefore w:val="0"/>
              <w:widowControl w:val="0"/>
              <w:kinsoku/>
              <w:wordWrap/>
              <w:overflowPunct/>
              <w:topLinePunct w:val="0"/>
              <w:autoSpaceDE w:val="0"/>
              <w:autoSpaceDN w:val="0"/>
              <w:bidi w:val="0"/>
              <w:adjustRightInd w:val="0"/>
              <w:snapToGrid w:val="0"/>
              <w:spacing w:line="240" w:lineRule="auto"/>
              <w:ind w:firstLine="422" w:firstLineChars="200"/>
              <w:jc w:val="center"/>
              <w:textAlignment w:val="auto"/>
              <w:rPr>
                <w:rFonts w:hint="eastAsia"/>
                <w:b/>
                <w:bCs/>
                <w:color w:val="auto"/>
                <w:lang w:eastAsia="zh-CN"/>
              </w:rPr>
            </w:pPr>
            <w:r>
              <w:rPr>
                <w:b/>
                <w:bCs/>
                <w:color w:val="auto"/>
              </w:rPr>
              <w:t>表</w:t>
            </w:r>
            <w:r>
              <w:rPr>
                <w:rFonts w:hint="eastAsia"/>
                <w:b/>
                <w:bCs/>
                <w:color w:val="auto"/>
              </w:rPr>
              <w:t>1</w:t>
            </w:r>
            <w:r>
              <w:rPr>
                <w:rFonts w:hint="eastAsia"/>
                <w:b/>
                <w:bCs/>
                <w:color w:val="auto"/>
                <w:lang w:val="en-US" w:eastAsia="zh-CN"/>
              </w:rPr>
              <w:t>-1</w:t>
            </w:r>
            <w:r>
              <w:rPr>
                <w:b/>
                <w:bCs/>
                <w:color w:val="auto"/>
              </w:rPr>
              <w:t xml:space="preserve">   </w:t>
            </w:r>
            <w:r>
              <w:rPr>
                <w:rFonts w:hint="eastAsia"/>
                <w:b/>
                <w:bCs/>
                <w:color w:val="auto"/>
              </w:rPr>
              <w:t>建设项目与</w:t>
            </w:r>
            <w:r>
              <w:rPr>
                <w:b/>
                <w:bCs/>
                <w:color w:val="auto"/>
              </w:rPr>
              <w:t>规划及</w:t>
            </w:r>
            <w:r>
              <w:rPr>
                <w:rFonts w:hint="eastAsia"/>
                <w:b/>
                <w:bCs/>
                <w:color w:val="auto"/>
                <w:lang w:val="en-US" w:eastAsia="zh-CN"/>
              </w:rPr>
              <w:t>批复</w:t>
            </w:r>
            <w:r>
              <w:rPr>
                <w:rFonts w:hint="eastAsia"/>
                <w:b/>
                <w:bCs/>
                <w:color w:val="auto"/>
              </w:rPr>
              <w:t>的符合性</w:t>
            </w:r>
            <w:r>
              <w:rPr>
                <w:rFonts w:hint="eastAsia"/>
                <w:b/>
                <w:bCs/>
                <w:color w:val="auto"/>
                <w:lang w:eastAsia="zh-CN"/>
              </w:rPr>
              <w:t>分析</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9"/>
              <w:gridCol w:w="228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20" w:type="pct"/>
                  <w:noWrap w:val="0"/>
                  <w:vAlign w:val="center"/>
                </w:tcPr>
                <w:p>
                  <w:pPr>
                    <w:autoSpaceDE w:val="0"/>
                    <w:autoSpaceDN w:val="0"/>
                    <w:adjustRightInd w:val="0"/>
                    <w:snapToGrid w:val="0"/>
                    <w:jc w:val="center"/>
                    <w:rPr>
                      <w:rFonts w:hint="default"/>
                      <w:color w:val="auto"/>
                      <w:lang w:val="en-US"/>
                    </w:rPr>
                  </w:pPr>
                  <w:r>
                    <w:rPr>
                      <w:rFonts w:hint="eastAsia"/>
                      <w:color w:val="auto"/>
                      <w:lang w:val="en-US" w:eastAsia="zh-CN"/>
                    </w:rPr>
                    <w:t>规划及批复要求</w:t>
                  </w:r>
                </w:p>
              </w:tc>
              <w:tc>
                <w:tcPr>
                  <w:tcW w:w="1823" w:type="pct"/>
                  <w:noWrap w:val="0"/>
                  <w:vAlign w:val="center"/>
                </w:tcPr>
                <w:p>
                  <w:pPr>
                    <w:autoSpaceDE w:val="0"/>
                    <w:autoSpaceDN w:val="0"/>
                    <w:adjustRightInd w:val="0"/>
                    <w:snapToGrid w:val="0"/>
                    <w:jc w:val="center"/>
                    <w:rPr>
                      <w:color w:val="auto"/>
                    </w:rPr>
                  </w:pPr>
                  <w:r>
                    <w:rPr>
                      <w:rFonts w:hint="eastAsia"/>
                      <w:color w:val="auto"/>
                    </w:rPr>
                    <w:t>本项目情况</w:t>
                  </w:r>
                </w:p>
              </w:tc>
              <w:tc>
                <w:tcPr>
                  <w:tcW w:w="556" w:type="pct"/>
                  <w:noWrap w:val="0"/>
                  <w:vAlign w:val="center"/>
                </w:tcPr>
                <w:p>
                  <w:pPr>
                    <w:autoSpaceDE w:val="0"/>
                    <w:autoSpaceDN w:val="0"/>
                    <w:adjustRightInd w:val="0"/>
                    <w:snapToGrid w:val="0"/>
                    <w:jc w:val="center"/>
                    <w:rPr>
                      <w:color w:val="auto"/>
                    </w:rPr>
                  </w:pPr>
                  <w:r>
                    <w:rPr>
                      <w:rFonts w:hint="eastAsia"/>
                      <w:color w:val="auto"/>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20" w:type="pct"/>
                  <w:noWrap w:val="0"/>
                  <w:vAlign w:val="center"/>
                </w:tcPr>
                <w:p>
                  <w:pPr>
                    <w:autoSpaceDE w:val="0"/>
                    <w:autoSpaceDN w:val="0"/>
                    <w:adjustRightInd w:val="0"/>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坚持城镇节约集约用地标准和存量土地利用机制，消化现有存量用地，提高轮台工业园区土地利用效率，促进城镇内涵式集约型绿色发展。引导中心城区城中村集中连片改造，提升土地利用效率和环境品质</w:t>
                  </w:r>
                </w:p>
              </w:tc>
              <w:tc>
                <w:tcPr>
                  <w:tcW w:w="1823" w:type="pct"/>
                  <w:noWrap w:val="0"/>
                  <w:vAlign w:val="center"/>
                </w:tcPr>
                <w:p>
                  <w:pPr>
                    <w:autoSpaceDE w:val="0"/>
                    <w:autoSpaceDN w:val="0"/>
                    <w:adjustRightInd w:val="0"/>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本项目选址于新疆巴州轮台县G314国道北侧600米处，项目用地为规划的工业用地，符合轮台县国土空间总体规划中关于工业用地布局及促进城镇绿色发展的总体要求。</w:t>
                  </w:r>
                </w:p>
              </w:tc>
              <w:tc>
                <w:tcPr>
                  <w:tcW w:w="556" w:type="pct"/>
                  <w:noWrap w:val="0"/>
                  <w:vAlign w:val="center"/>
                </w:tcPr>
                <w:p>
                  <w:pPr>
                    <w:autoSpaceDE w:val="0"/>
                    <w:autoSpaceDN w:val="0"/>
                    <w:adjustRightInd w:val="0"/>
                    <w:snapToGrid w:val="0"/>
                    <w:jc w:val="center"/>
                    <w:rPr>
                      <w:rFonts w:hint="eastAsia" w:eastAsia="宋体"/>
                      <w:color w:val="auto"/>
                      <w:lang w:eastAsia="zh-CN"/>
                    </w:rPr>
                  </w:pPr>
                  <w:r>
                    <w:rPr>
                      <w:rFonts w:hint="eastAsia"/>
                      <w:color w:val="auto"/>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20" w:type="pct"/>
                  <w:noWrap w:val="0"/>
                  <w:vAlign w:val="center"/>
                </w:tcPr>
                <w:p>
                  <w:pPr>
                    <w:autoSpaceDE w:val="0"/>
                    <w:autoSpaceDN w:val="0"/>
                    <w:adjustRightInd w:val="0"/>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在对轮台县中心城区现状发展特征研判和综合考虑城区未来发展方向选择的基础上，构建产城融合、蓝绿交织、多组团集约紧凑发展的示范区，形成“两核两心、</w:t>
                  </w:r>
                </w:p>
                <w:p>
                  <w:pPr>
                    <w:autoSpaceDE w:val="0"/>
                    <w:autoSpaceDN w:val="0"/>
                    <w:adjustRightInd w:val="0"/>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川廊四轴多片区”的整体空间结构。</w:t>
                  </w:r>
                </w:p>
                <w:p>
                  <w:pPr>
                    <w:autoSpaceDE w:val="0"/>
                    <w:autoSpaceDN w:val="0"/>
                    <w:adjustRightInd w:val="0"/>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两大发展核心：即综合服务中心、产业发展中心。综合服务中心位于主城区，以县政府为依托，功能以机关团体、商业、医院、教育等综合服务为主。产业发展中心</w:t>
                  </w:r>
                </w:p>
                <w:p>
                  <w:pPr>
                    <w:autoSpaceDE w:val="0"/>
                    <w:autoSpaceDN w:val="0"/>
                    <w:adjustRightInd w:val="0"/>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位于交通路与沙漠公路交汇点，功能以商贸物流、工业发展为主。</w:t>
                  </w:r>
                </w:p>
              </w:tc>
              <w:tc>
                <w:tcPr>
                  <w:tcW w:w="1823" w:type="pct"/>
                  <w:noWrap w:val="0"/>
                  <w:vAlign w:val="center"/>
                </w:tcPr>
                <w:p>
                  <w:pPr>
                    <w:autoSpaceDE w:val="0"/>
                    <w:autoSpaceDN w:val="0"/>
                    <w:adjustRightInd w:val="0"/>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本项目位于新疆巴州轮台县G314国道北侧600米处，地处轮台县产业发展中心辐射范围内，该区域以商贸物流、工业发展为主导功能，本项目作为商品混凝土集中拌合站，属于工业配套项目，有利于促进区域产城融合发展。</w:t>
                  </w:r>
                </w:p>
              </w:tc>
              <w:tc>
                <w:tcPr>
                  <w:tcW w:w="556" w:type="pct"/>
                  <w:noWrap w:val="0"/>
                  <w:vAlign w:val="center"/>
                </w:tcPr>
                <w:p>
                  <w:pPr>
                    <w:autoSpaceDE w:val="0"/>
                    <w:autoSpaceDN w:val="0"/>
                    <w:adjustRightInd w:val="0"/>
                    <w:snapToGrid w:val="0"/>
                    <w:jc w:val="center"/>
                    <w:rPr>
                      <w:rFonts w:hint="eastAsia" w:eastAsia="宋体"/>
                      <w:color w:val="auto"/>
                      <w:lang w:val="en-US" w:eastAsia="zh-CN"/>
                    </w:rPr>
                  </w:pPr>
                  <w:r>
                    <w:rPr>
                      <w:rFonts w:hint="eastAsia"/>
                      <w:color w:val="auto"/>
                      <w:lang w:val="en-US" w:eastAsia="zh-CN"/>
                    </w:rPr>
                    <w:t>符合</w:t>
                  </w:r>
                </w:p>
              </w:tc>
            </w:tr>
          </w:tbl>
          <w:p>
            <w:pPr>
              <w:pStyle w:val="16"/>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342" w:type="pct"/>
            <w:noWrap w:val="0"/>
            <w:vAlign w:val="center"/>
          </w:tcPr>
          <w:p>
            <w:pPr>
              <w:autoSpaceDE w:val="0"/>
              <w:autoSpaceDN w:val="0"/>
              <w:adjustRightInd w:val="0"/>
              <w:snapToGrid w:val="0"/>
              <w:jc w:val="center"/>
              <w:rPr>
                <w:rFonts w:hint="eastAsia" w:ascii="宋体" w:hAnsi="宋体" w:cs="宋体"/>
                <w:kern w:val="0"/>
                <w:szCs w:val="21"/>
              </w:rPr>
            </w:pPr>
            <w:r>
              <w:rPr>
                <w:rFonts w:hint="eastAsia" w:ascii="宋体" w:hAnsi="宋体" w:cs="宋体"/>
                <w:kern w:val="0"/>
                <w:szCs w:val="21"/>
              </w:rPr>
              <w:t>其他符合性分析</w:t>
            </w:r>
          </w:p>
        </w:tc>
        <w:tc>
          <w:tcPr>
            <w:tcW w:w="3657" w:type="pct"/>
            <w:gridSpan w:val="3"/>
            <w:noWrap w:val="0"/>
            <w:vAlign w:val="center"/>
          </w:tcPr>
          <w:p>
            <w:pPr>
              <w:spacing w:line="520" w:lineRule="exact"/>
              <w:rPr>
                <w:rFonts w:hAnsi="宋体" w:cs="宋体"/>
                <w:color w:val="auto"/>
                <w:sz w:val="24"/>
              </w:rPr>
            </w:pPr>
            <w:r>
              <w:rPr>
                <w:rFonts w:hint="eastAsia" w:cs="宋体"/>
                <w:b/>
                <w:kern w:val="0"/>
                <w:sz w:val="24"/>
                <w:lang w:eastAsia="zh-CN"/>
              </w:rPr>
              <w:t>1.</w:t>
            </w:r>
            <w:r>
              <w:rPr>
                <w:rFonts w:hint="eastAsia" w:cs="宋体"/>
                <w:b/>
                <w:color w:val="auto"/>
                <w:kern w:val="0"/>
                <w:sz w:val="24"/>
              </w:rPr>
              <w:t>生态环境分区管控要求</w:t>
            </w:r>
            <w:r>
              <w:rPr>
                <w:rFonts w:hint="eastAsia" w:hAnsi="宋体" w:cs="宋体"/>
                <w:b/>
                <w:color w:val="auto"/>
                <w:kern w:val="0"/>
                <w:sz w:val="24"/>
              </w:rPr>
              <w:t>符合性分析</w:t>
            </w:r>
          </w:p>
          <w:p>
            <w:pPr>
              <w:spacing w:line="520" w:lineRule="exact"/>
              <w:ind w:firstLine="480" w:firstLineChars="200"/>
              <w:rPr>
                <w:rFonts w:hint="eastAsia" w:eastAsia="宋体"/>
                <w:b/>
                <w:color w:val="auto"/>
                <w:kern w:val="0"/>
                <w:sz w:val="24"/>
                <w:lang w:val="en-US" w:eastAsia="zh-CN" w:bidi="ar"/>
              </w:rPr>
            </w:pPr>
            <w:r>
              <w:rPr>
                <w:rFonts w:hint="eastAsia" w:ascii="宋体" w:hAnsi="宋体" w:cs="宋体"/>
                <w:color w:val="auto"/>
                <w:sz w:val="24"/>
              </w:rPr>
              <w:t>（1）</w:t>
            </w:r>
            <w:r>
              <w:rPr>
                <w:rFonts w:hint="eastAsia" w:ascii="Calibri" w:hAnsi="Calibri" w:eastAsia="宋体" w:cs="Calibri"/>
                <w:spacing w:val="0"/>
                <w:sz w:val="24"/>
                <w:szCs w:val="24"/>
                <w:lang w:val="en-US" w:eastAsia="zh-CN"/>
              </w:rPr>
              <w:t>项目</w:t>
            </w:r>
            <w:r>
              <w:rPr>
                <w:rFonts w:hint="default" w:ascii="Calibri" w:hAnsi="Calibri" w:eastAsia="宋体" w:cs="Calibri"/>
                <w:spacing w:val="0"/>
                <w:sz w:val="24"/>
                <w:szCs w:val="24"/>
              </w:rPr>
              <w:t>与《关于印发〈新疆维吾尔自治区生态环境分区管控动态更新成果〉的通知》（新环环评发〔2024〕157号）的相符性分析如下</w:t>
            </w:r>
            <w:r>
              <w:rPr>
                <w:rFonts w:hint="eastAsia" w:ascii="宋体" w:hAnsi="宋体" w:cs="宋体"/>
                <w:color w:val="auto"/>
                <w:sz w:val="24"/>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jc w:val="center"/>
              <w:textAlignment w:val="auto"/>
              <w:rPr>
                <w:rFonts w:hint="eastAsia"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eastAsia="zh-CN"/>
              </w:rPr>
              <w:t>表</w:t>
            </w:r>
            <w:r>
              <w:rPr>
                <w:rFonts w:hint="eastAsia" w:ascii="Times New Roman" w:hAnsi="Times New Roman" w:eastAsia="宋体" w:cs="Times New Roman"/>
                <w:b/>
                <w:bCs/>
                <w:color w:val="auto"/>
                <w:sz w:val="24"/>
                <w:szCs w:val="24"/>
                <w:lang w:val="en-US" w:eastAsia="zh-CN"/>
              </w:rPr>
              <w:t>1-</w:t>
            </w:r>
            <w:r>
              <w:rPr>
                <w:rFonts w:hint="eastAsia" w:ascii="Times New Roman" w:hAnsi="Times New Roman" w:eastAsia="Times New Roman" w:cs="Times New Roman"/>
                <w:b/>
                <w:bCs/>
                <w:color w:val="auto"/>
                <w:sz w:val="24"/>
                <w:szCs w:val="24"/>
                <w:lang w:val="en-US" w:eastAsia="zh-CN"/>
              </w:rPr>
              <w:t>2</w:t>
            </w:r>
            <w:r>
              <w:rPr>
                <w:rFonts w:hint="eastAsia"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新疆维吾尔自治区生态环境</w:t>
            </w:r>
            <w:r>
              <w:rPr>
                <w:rFonts w:hint="default" w:ascii="Times New Roman" w:hAnsi="Times New Roman" w:eastAsia="宋体" w:cs="Times New Roman"/>
                <w:b/>
                <w:bCs/>
                <w:color w:val="auto"/>
                <w:sz w:val="24"/>
                <w:szCs w:val="24"/>
                <w:lang w:val="en-US" w:eastAsia="zh-CN"/>
              </w:rPr>
              <w:t>分区管控成果动态更新》</w:t>
            </w:r>
            <w:r>
              <w:rPr>
                <w:rFonts w:hint="default" w:ascii="Times New Roman" w:hAnsi="Times New Roman" w:eastAsia="宋体" w:cs="Times New Roman"/>
                <w:b/>
                <w:bCs/>
                <w:color w:val="auto"/>
                <w:sz w:val="24"/>
                <w:szCs w:val="24"/>
                <w:lang w:eastAsia="zh-CN"/>
              </w:rPr>
              <w:t>符合</w:t>
            </w:r>
            <w:r>
              <w:rPr>
                <w:rFonts w:hint="eastAsia" w:ascii="Times New Roman" w:hAnsi="Times New Roman" w:eastAsia="宋体" w:cs="Times New Roman"/>
                <w:b/>
                <w:bCs/>
                <w:color w:val="auto"/>
                <w:sz w:val="24"/>
                <w:szCs w:val="24"/>
                <w:lang w:val="en-US" w:eastAsia="zh-CN"/>
              </w:rPr>
              <w:t>性</w:t>
            </w:r>
            <w:r>
              <w:rPr>
                <w:rFonts w:hint="default" w:ascii="Times New Roman" w:hAnsi="Times New Roman" w:eastAsia="宋体" w:cs="Times New Roman"/>
                <w:b/>
                <w:bCs/>
                <w:color w:val="auto"/>
                <w:sz w:val="24"/>
                <w:szCs w:val="24"/>
                <w:lang w:eastAsia="zh-CN"/>
              </w:rPr>
              <w:t>分析</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86"/>
              <w:gridCol w:w="547"/>
              <w:gridCol w:w="2615"/>
              <w:gridCol w:w="1953"/>
              <w:gridCol w:w="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2" w:hRule="atLeast"/>
                <w:jc w:val="center"/>
              </w:trPr>
              <w:tc>
                <w:tcPr>
                  <w:tcW w:w="906" w:type="pct"/>
                  <w:gridSpan w:val="2"/>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val="en-US" w:eastAsia="zh-CN"/>
                    </w:rPr>
                    <w:t>管控维度</w:t>
                  </w:r>
                </w:p>
              </w:tc>
              <w:tc>
                <w:tcPr>
                  <w:tcW w:w="2090"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val="en-US" w:eastAsia="zh-CN"/>
                    </w:rPr>
                    <w:t>管控要求</w:t>
                  </w:r>
                </w:p>
              </w:tc>
              <w:tc>
                <w:tcPr>
                  <w:tcW w:w="156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本项目</w:t>
                  </w:r>
                </w:p>
              </w:tc>
              <w:tc>
                <w:tcPr>
                  <w:tcW w:w="44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828" w:hRule="atLeast"/>
                <w:jc w:val="center"/>
              </w:trPr>
              <w:tc>
                <w:tcPr>
                  <w:tcW w:w="469" w:type="pct"/>
                  <w:vMerge w:val="restar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val="en-US" w:eastAsia="zh-CN"/>
                    </w:rPr>
                    <w:t>A1空间布局约束</w:t>
                  </w:r>
                </w:p>
              </w:tc>
              <w:tc>
                <w:tcPr>
                  <w:tcW w:w="437"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val="en-US" w:eastAsia="zh-CN"/>
                    </w:rPr>
                    <w:t>A1.1禁止开发建设的活动</w:t>
                  </w:r>
                </w:p>
              </w:tc>
              <w:tc>
                <w:tcPr>
                  <w:tcW w:w="2090"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〔A1.1-1〕禁止新建、扩建《产业结构调整指导目录</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2024年本</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》中淘汰类项目。禁止引入《市场准入负面清单</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202</w:t>
                  </w:r>
                  <w:r>
                    <w:rPr>
                      <w:rFonts w:hint="eastAsia" w:ascii="Calibri" w:hAnsi="Calibri" w:eastAsia="Times New Roman" w:cs="Calibri"/>
                      <w:snapToGrid/>
                      <w:color w:val="000000"/>
                      <w:kern w:val="0"/>
                      <w:sz w:val="21"/>
                      <w:szCs w:val="21"/>
                      <w:lang w:val="en-US" w:eastAsia="zh-CN"/>
                    </w:rPr>
                    <w:t>2</w:t>
                  </w:r>
                  <w:r>
                    <w:rPr>
                      <w:rFonts w:hint="default" w:ascii="Calibri" w:hAnsi="Calibri" w:eastAsia="宋体" w:cs="Calibri"/>
                      <w:snapToGrid/>
                      <w:color w:val="000000"/>
                      <w:kern w:val="0"/>
                      <w:sz w:val="21"/>
                      <w:szCs w:val="21"/>
                      <w:lang w:eastAsia="zh-CN"/>
                    </w:rPr>
                    <w:t>年版</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》禁止准入类事项。〔A1.1-2〕禁止建设不符合国家和自治区环境保护标准的项目。〔A1.1-6〕禁止在自治区行政区域内引进能</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水</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耗不符合相关国家标准中准入值要求且污染物排放和环境风险防控不符合国家</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地方</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标准及有关产业准入条件的高污染</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排放</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、高能</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水</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耗、高环境风险的工业项目。</w:t>
                  </w:r>
                </w:p>
              </w:tc>
              <w:tc>
                <w:tcPr>
                  <w:tcW w:w="156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eastAsia="zh-CN"/>
                    </w:rPr>
                    <w:t>本项目</w:t>
                  </w:r>
                  <w:r>
                    <w:rPr>
                      <w:rFonts w:hint="default" w:ascii="Calibri" w:hAnsi="Calibri" w:eastAsia="宋体" w:cs="Calibri"/>
                      <w:snapToGrid/>
                      <w:color w:val="000000"/>
                      <w:kern w:val="0"/>
                      <w:sz w:val="21"/>
                      <w:szCs w:val="21"/>
                      <w:lang w:val="en-US" w:eastAsia="zh-CN"/>
                    </w:rPr>
                    <w:t>不属于</w:t>
                  </w:r>
                  <w:r>
                    <w:rPr>
                      <w:rFonts w:hint="default" w:ascii="Calibri" w:hAnsi="Calibri" w:eastAsia="宋体" w:cs="Calibri"/>
                      <w:snapToGrid/>
                      <w:color w:val="000000"/>
                      <w:kern w:val="0"/>
                      <w:sz w:val="21"/>
                      <w:szCs w:val="21"/>
                      <w:lang w:eastAsia="zh-CN"/>
                    </w:rPr>
                    <w:t>《产业结构调整指导目录</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2024年本</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w:t>
                  </w:r>
                  <w:r>
                    <w:rPr>
                      <w:rFonts w:hint="eastAsia" w:ascii="Calibri" w:hAnsi="Calibri" w:eastAsia="Times New Roman" w:cs="Calibri"/>
                      <w:snapToGrid/>
                      <w:color w:val="000000"/>
                      <w:kern w:val="0"/>
                      <w:sz w:val="21"/>
                      <w:szCs w:val="21"/>
                      <w:lang w:eastAsia="zh-CN"/>
                    </w:rPr>
                    <w:t>中的鼓励类</w:t>
                  </w:r>
                  <w:r>
                    <w:rPr>
                      <w:rFonts w:hint="default" w:ascii="Calibri" w:hAnsi="Calibri" w:eastAsia="宋体" w:cs="Calibri"/>
                      <w:snapToGrid/>
                      <w:color w:val="000000"/>
                      <w:kern w:val="0"/>
                      <w:sz w:val="21"/>
                      <w:szCs w:val="21"/>
                      <w:lang w:eastAsia="zh-CN"/>
                    </w:rPr>
                    <w:t>、限制类</w:t>
                  </w:r>
                  <w:r>
                    <w:rPr>
                      <w:rFonts w:hint="eastAsia" w:ascii="Calibri" w:hAnsi="Calibri" w:eastAsia="Times New Roman" w:cs="Calibri"/>
                      <w:snapToGrid/>
                      <w:color w:val="000000"/>
                      <w:kern w:val="0"/>
                      <w:sz w:val="21"/>
                      <w:szCs w:val="21"/>
                      <w:lang w:eastAsia="zh-CN"/>
                    </w:rPr>
                    <w:t>和</w:t>
                  </w:r>
                  <w:r>
                    <w:rPr>
                      <w:rFonts w:hint="default" w:ascii="Calibri" w:hAnsi="Calibri" w:eastAsia="宋体" w:cs="Calibri"/>
                      <w:snapToGrid/>
                      <w:color w:val="000000"/>
                      <w:kern w:val="0"/>
                      <w:sz w:val="21"/>
                      <w:szCs w:val="21"/>
                      <w:lang w:eastAsia="zh-CN"/>
                    </w:rPr>
                    <w:t>淘汰类</w:t>
                  </w:r>
                  <w:r>
                    <w:rPr>
                      <w:rFonts w:hint="eastAsia" w:ascii="Calibri" w:hAnsi="Calibri" w:eastAsia="Times New Roman" w:cs="Calibri"/>
                      <w:snapToGrid/>
                      <w:color w:val="000000"/>
                      <w:kern w:val="0"/>
                      <w:sz w:val="21"/>
                      <w:szCs w:val="21"/>
                      <w:lang w:eastAsia="zh-CN"/>
                    </w:rPr>
                    <w:t>项目</w:t>
                  </w:r>
                  <w:r>
                    <w:rPr>
                      <w:rFonts w:hint="default"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val="en-US" w:eastAsia="zh-CN"/>
                    </w:rPr>
                    <w:t>不属于</w:t>
                  </w:r>
                  <w:r>
                    <w:rPr>
                      <w:rFonts w:hint="default" w:ascii="Calibri" w:hAnsi="Calibri" w:eastAsia="宋体" w:cs="Calibri"/>
                      <w:snapToGrid/>
                      <w:color w:val="000000"/>
                      <w:kern w:val="0"/>
                      <w:sz w:val="21"/>
                      <w:szCs w:val="21"/>
                      <w:lang w:eastAsia="zh-CN"/>
                    </w:rPr>
                    <w:t>《市场准入负面清单</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202</w:t>
                  </w:r>
                  <w:r>
                    <w:rPr>
                      <w:rFonts w:hint="eastAsia" w:ascii="Calibri" w:hAnsi="Calibri" w:eastAsia="Times New Roman" w:cs="Calibri"/>
                      <w:snapToGrid/>
                      <w:color w:val="000000"/>
                      <w:kern w:val="0"/>
                      <w:sz w:val="21"/>
                      <w:szCs w:val="21"/>
                      <w:lang w:val="en-US" w:eastAsia="zh-CN"/>
                    </w:rPr>
                    <w:t>5</w:t>
                  </w:r>
                  <w:r>
                    <w:rPr>
                      <w:rFonts w:hint="default" w:ascii="Calibri" w:hAnsi="Calibri" w:eastAsia="宋体" w:cs="Calibri"/>
                      <w:snapToGrid/>
                      <w:color w:val="000000"/>
                      <w:kern w:val="0"/>
                      <w:sz w:val="21"/>
                      <w:szCs w:val="21"/>
                      <w:lang w:eastAsia="zh-CN"/>
                    </w:rPr>
                    <w:t>年版</w:t>
                  </w:r>
                  <w:r>
                    <w:rPr>
                      <w:rFonts w:hint="eastAsia" w:ascii="Calibri" w:hAnsi="Calibri" w:eastAsia="宋体" w:cs="Calibri"/>
                      <w:snapToGrid/>
                      <w:color w:val="000000"/>
                      <w:kern w:val="0"/>
                      <w:sz w:val="21"/>
                      <w:szCs w:val="21"/>
                      <w:lang w:eastAsia="zh-CN"/>
                    </w:rPr>
                    <w:t>）</w:t>
                  </w:r>
                  <w:r>
                    <w:rPr>
                      <w:rFonts w:hint="default" w:ascii="Calibri" w:hAnsi="Calibri" w:eastAsia="宋体" w:cs="Calibri"/>
                      <w:snapToGrid/>
                      <w:color w:val="000000"/>
                      <w:kern w:val="0"/>
                      <w:sz w:val="21"/>
                      <w:szCs w:val="21"/>
                      <w:lang w:eastAsia="zh-CN"/>
                    </w:rPr>
                    <w:t>》禁止准入类</w:t>
                  </w:r>
                  <w:r>
                    <w:rPr>
                      <w:rFonts w:hint="default" w:ascii="Calibri" w:hAnsi="Calibri" w:eastAsia="宋体" w:cs="Calibri"/>
                      <w:snapToGrid/>
                      <w:color w:val="000000"/>
                      <w:kern w:val="0"/>
                      <w:sz w:val="21"/>
                      <w:szCs w:val="21"/>
                      <w:lang w:val="en-US" w:eastAsia="zh-CN"/>
                    </w:rPr>
                    <w:t>项目</w:t>
                  </w:r>
                  <w:r>
                    <w:rPr>
                      <w:rFonts w:hint="eastAsia" w:ascii="Calibri" w:hAnsi="Calibri" w:eastAsia="宋体" w:cs="Calibri"/>
                      <w:snapToGrid/>
                      <w:color w:val="000000"/>
                      <w:kern w:val="0"/>
                      <w:sz w:val="21"/>
                      <w:szCs w:val="21"/>
                      <w:lang w:val="en-US" w:eastAsia="zh-CN"/>
                    </w:rPr>
                    <w:t>，属于允许类项目，符合国家产业政策要求</w:t>
                  </w:r>
                  <w:r>
                    <w:rPr>
                      <w:rFonts w:hint="default" w:ascii="Calibri" w:hAnsi="Calibri" w:eastAsia="宋体" w:cs="Calibri"/>
                      <w:snapToGrid/>
                      <w:color w:val="000000"/>
                      <w:kern w:val="0"/>
                      <w:sz w:val="21"/>
                      <w:szCs w:val="21"/>
                      <w:lang w:eastAsia="zh-CN"/>
                    </w:rPr>
                    <w:t>。</w:t>
                  </w:r>
                </w:p>
              </w:tc>
              <w:tc>
                <w:tcPr>
                  <w:tcW w:w="44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28" w:hRule="atLeast"/>
                <w:jc w:val="center"/>
              </w:trPr>
              <w:tc>
                <w:tcPr>
                  <w:tcW w:w="469" w:type="pct"/>
                  <w:vMerge w:val="continue"/>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p>
              </w:tc>
              <w:tc>
                <w:tcPr>
                  <w:tcW w:w="437"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val="en-US" w:eastAsia="zh-CN"/>
                    </w:rPr>
                    <w:t>A1.2限制开发建设的活动</w:t>
                  </w:r>
                </w:p>
              </w:tc>
              <w:tc>
                <w:tcPr>
                  <w:tcW w:w="2090"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A1.2-2〕建设项目用地原则上不得占用永久基本农田，确需占用永久基本农田的建设项目须符合《中华人民共和国基本农田保护条例》中相关要求，占用耕地、林地或草地的建设项目须按照国家、自治区相关补偿要求进行补偿。〔A1.2-3〕以用途变更为住宅、公共管理与公共服务用地的地块为重点，严格建设用地准入管理和风险管控，未依法完成土壤污染状况调查或风险评估的地块，不得开工建设与风险管控和修复无关的项目。</w:t>
                  </w:r>
                </w:p>
              </w:tc>
              <w:tc>
                <w:tcPr>
                  <w:tcW w:w="156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eastAsia" w:ascii="Calibri" w:hAnsi="Calibri" w:eastAsia="宋体" w:cs="Calibri"/>
                      <w:snapToGrid/>
                      <w:color w:val="000000"/>
                      <w:kern w:val="0"/>
                      <w:sz w:val="21"/>
                      <w:szCs w:val="21"/>
                      <w:lang w:val="en-US" w:eastAsia="zh-CN"/>
                    </w:rPr>
                    <w:t>本项目</w:t>
                  </w:r>
                  <w:r>
                    <w:rPr>
                      <w:rFonts w:hint="default" w:ascii="Calibri" w:hAnsi="Calibri" w:eastAsia="宋体" w:cs="Calibri"/>
                      <w:snapToGrid/>
                      <w:color w:val="000000"/>
                      <w:kern w:val="0"/>
                      <w:sz w:val="21"/>
                      <w:szCs w:val="21"/>
                      <w:lang w:eastAsia="zh-CN"/>
                    </w:rPr>
                    <w:t>未涉及</w:t>
                  </w:r>
                  <w:r>
                    <w:rPr>
                      <w:rFonts w:hint="eastAsia" w:ascii="Calibri" w:hAnsi="Calibri" w:eastAsia="Times New Roman" w:cs="Calibri"/>
                      <w:snapToGrid/>
                      <w:color w:val="000000"/>
                      <w:kern w:val="0"/>
                      <w:sz w:val="21"/>
                      <w:szCs w:val="21"/>
                      <w:lang w:eastAsia="zh-CN"/>
                    </w:rPr>
                    <w:t>永久基本农田</w:t>
                  </w:r>
                  <w:r>
                    <w:rPr>
                      <w:rFonts w:hint="eastAsia" w:ascii="Calibri" w:hAnsi="Calibri" w:eastAsia="宋体" w:cs="Calibri"/>
                      <w:snapToGrid/>
                      <w:color w:val="000000"/>
                      <w:kern w:val="0"/>
                      <w:sz w:val="21"/>
                      <w:szCs w:val="21"/>
                      <w:lang w:val="en-US" w:eastAsia="zh-CN"/>
                    </w:rPr>
                    <w:t>、</w:t>
                  </w:r>
                  <w:r>
                    <w:rPr>
                      <w:rFonts w:hint="default" w:ascii="Calibri" w:hAnsi="Calibri" w:eastAsia="宋体" w:cs="Calibri"/>
                      <w:snapToGrid/>
                      <w:color w:val="000000"/>
                      <w:kern w:val="0"/>
                      <w:sz w:val="21"/>
                      <w:szCs w:val="21"/>
                      <w:lang w:eastAsia="zh-CN"/>
                    </w:rPr>
                    <w:t>林地、耕地、</w:t>
                  </w:r>
                  <w:r>
                    <w:rPr>
                      <w:rFonts w:hint="eastAsia" w:ascii="Calibri" w:hAnsi="Calibri" w:eastAsia="宋体" w:cs="Calibri"/>
                      <w:snapToGrid/>
                      <w:color w:val="000000"/>
                      <w:kern w:val="0"/>
                      <w:sz w:val="21"/>
                      <w:szCs w:val="21"/>
                      <w:lang w:val="en-US" w:eastAsia="zh-CN"/>
                    </w:rPr>
                    <w:t>草地、</w:t>
                  </w:r>
                  <w:r>
                    <w:rPr>
                      <w:rFonts w:hint="default" w:ascii="Calibri" w:hAnsi="Calibri" w:eastAsia="宋体" w:cs="Calibri"/>
                      <w:snapToGrid/>
                      <w:color w:val="000000"/>
                      <w:kern w:val="0"/>
                      <w:sz w:val="21"/>
                      <w:szCs w:val="21"/>
                      <w:lang w:eastAsia="zh-CN"/>
                    </w:rPr>
                    <w:t>基本农田保护区和自然保护区。</w:t>
                  </w:r>
                </w:p>
              </w:tc>
              <w:tc>
                <w:tcPr>
                  <w:tcW w:w="44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91" w:hRule="atLeast"/>
                <w:jc w:val="center"/>
              </w:trPr>
              <w:tc>
                <w:tcPr>
                  <w:tcW w:w="469" w:type="pct"/>
                  <w:vMerge w:val="continue"/>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p>
              </w:tc>
              <w:tc>
                <w:tcPr>
                  <w:tcW w:w="437"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val="en-US" w:eastAsia="zh-CN"/>
                    </w:rPr>
                    <w:t>A1.4其他布局要求</w:t>
                  </w:r>
                </w:p>
              </w:tc>
              <w:tc>
                <w:tcPr>
                  <w:tcW w:w="2090"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〔A1.4-1〕一切开发建设活动应符合国家、自治区主体功能区规划</w:t>
                  </w:r>
                  <w:r>
                    <w:rPr>
                      <w:rFonts w:hint="eastAsia" w:ascii="Calibri" w:hAnsi="Calibri" w:cs="Calibri"/>
                      <w:snapToGrid/>
                      <w:color w:val="000000"/>
                      <w:kern w:val="0"/>
                      <w:sz w:val="21"/>
                      <w:szCs w:val="21"/>
                      <w:lang w:eastAsia="zh-CN"/>
                    </w:rPr>
                    <w:t>，以及自治区</w:t>
                  </w:r>
                  <w:r>
                    <w:rPr>
                      <w:rFonts w:hint="default" w:ascii="Calibri" w:hAnsi="Calibri" w:eastAsia="宋体" w:cs="Calibri"/>
                      <w:snapToGrid/>
                      <w:color w:val="000000"/>
                      <w:kern w:val="0"/>
                      <w:sz w:val="21"/>
                      <w:szCs w:val="21"/>
                      <w:lang w:eastAsia="zh-CN"/>
                    </w:rPr>
                    <w:t>和各地颁布实施的生态环境功能区划、国民经济发展规划、产业发展规划、国土空间规划等相关规划及重点生态功能区负面清单要求，符合区域或产业规划环评要求。</w:t>
                  </w:r>
                </w:p>
              </w:tc>
              <w:tc>
                <w:tcPr>
                  <w:tcW w:w="156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eastAsia="zh-CN"/>
                    </w:rPr>
                    <w:t>项目</w:t>
                  </w:r>
                  <w:r>
                    <w:rPr>
                      <w:rFonts w:hint="eastAsia" w:ascii="Calibri" w:hAnsi="Calibri" w:eastAsia="宋体" w:cs="Calibri"/>
                      <w:snapToGrid/>
                      <w:color w:val="000000"/>
                      <w:kern w:val="0"/>
                      <w:sz w:val="21"/>
                      <w:szCs w:val="21"/>
                      <w:lang w:val="en-US" w:eastAsia="zh-CN"/>
                    </w:rPr>
                    <w:t>为商品混凝土建设项目，</w:t>
                  </w:r>
                  <w:r>
                    <w:rPr>
                      <w:rFonts w:hint="default" w:ascii="Calibri" w:hAnsi="Calibri" w:eastAsia="宋体" w:cs="Calibri"/>
                      <w:snapToGrid/>
                      <w:color w:val="000000"/>
                      <w:kern w:val="0"/>
                      <w:sz w:val="21"/>
                      <w:szCs w:val="21"/>
                      <w:lang w:val="en-US" w:eastAsia="zh-CN"/>
                    </w:rPr>
                    <w:t>符合生态环境功能区划、国民经济发展规划、产业发展规划、国土空间规划等相关规划及重点生态功能区负面清单要求</w:t>
                  </w:r>
                  <w:r>
                    <w:rPr>
                      <w:rFonts w:hint="default" w:ascii="Calibri" w:hAnsi="Calibri" w:eastAsia="宋体" w:cs="Calibri"/>
                      <w:snapToGrid/>
                      <w:color w:val="000000"/>
                      <w:kern w:val="0"/>
                      <w:sz w:val="21"/>
                      <w:szCs w:val="21"/>
                      <w:lang w:eastAsia="zh-CN"/>
                    </w:rPr>
                    <w:t>。</w:t>
                  </w:r>
                </w:p>
              </w:tc>
              <w:tc>
                <w:tcPr>
                  <w:tcW w:w="44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83" w:hRule="atLeast"/>
                <w:jc w:val="center"/>
              </w:trPr>
              <w:tc>
                <w:tcPr>
                  <w:tcW w:w="469"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default" w:ascii="Calibri" w:hAnsi="Calibri" w:eastAsia="宋体" w:cs="Calibri"/>
                      <w:snapToGrid/>
                      <w:color w:val="000000"/>
                      <w:kern w:val="0"/>
                      <w:sz w:val="21"/>
                      <w:szCs w:val="21"/>
                      <w:lang w:val="en-US" w:eastAsia="zh-CN"/>
                    </w:rPr>
                    <w:t>A2污染物排放管控</w:t>
                  </w:r>
                </w:p>
              </w:tc>
              <w:tc>
                <w:tcPr>
                  <w:tcW w:w="437"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kern w:val="0"/>
                      <w:sz w:val="21"/>
                      <w:szCs w:val="21"/>
                      <w:lang w:val="en-US" w:eastAsia="zh-CN"/>
                    </w:rPr>
                  </w:pPr>
                  <w:r>
                    <w:rPr>
                      <w:rFonts w:hint="default" w:ascii="Calibri" w:hAnsi="Calibri" w:eastAsia="宋体" w:cs="Calibri"/>
                      <w:snapToGrid/>
                      <w:color w:val="000000"/>
                      <w:kern w:val="0"/>
                      <w:sz w:val="21"/>
                      <w:szCs w:val="21"/>
                      <w:lang w:val="en-US" w:eastAsia="zh-CN"/>
                    </w:rPr>
                    <w:t>A2.1污染物消减/替代要求</w:t>
                  </w:r>
                </w:p>
              </w:tc>
              <w:tc>
                <w:tcPr>
                  <w:tcW w:w="2090"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kern w:val="0"/>
                      <w:sz w:val="21"/>
                      <w:szCs w:val="21"/>
                      <w:lang w:eastAsia="zh-CN"/>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氮等温室气体。加强节约能源与大气污染防治协同有效衔接</w:t>
                  </w:r>
                  <w:r>
                    <w:rPr>
                      <w:rFonts w:hint="eastAsia" w:ascii="Calibri" w:hAnsi="Calibri" w:eastAsia="Times New Roman" w:cs="Calibri"/>
                      <w:snapToGrid/>
                      <w:kern w:val="0"/>
                      <w:sz w:val="21"/>
                      <w:szCs w:val="21"/>
                      <w:lang w:eastAsia="zh-CN"/>
                    </w:rPr>
                    <w:t>，促进</w:t>
                  </w:r>
                  <w:r>
                    <w:rPr>
                      <w:rFonts w:hint="default" w:ascii="Calibri" w:hAnsi="Calibri" w:eastAsia="宋体" w:cs="Calibri"/>
                      <w:snapToGrid/>
                      <w:kern w:val="0"/>
                      <w:sz w:val="21"/>
                      <w:szCs w:val="21"/>
                      <w:lang w:eastAsia="zh-CN"/>
                    </w:rPr>
                    <w:t>大气污染防治协同增效。</w:t>
                  </w:r>
                </w:p>
              </w:tc>
              <w:tc>
                <w:tcPr>
                  <w:tcW w:w="156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kern w:val="0"/>
                      <w:sz w:val="21"/>
                      <w:szCs w:val="21"/>
                      <w:lang w:eastAsia="zh-CN"/>
                    </w:rPr>
                    <w:t>本项目采取完善的污染治理措施，不会对</w:t>
                  </w:r>
                  <w:r>
                    <w:rPr>
                      <w:rFonts w:hint="eastAsia" w:ascii="Calibri" w:hAnsi="Calibri" w:eastAsia="宋体" w:cs="Calibri"/>
                      <w:snapToGrid/>
                      <w:kern w:val="0"/>
                      <w:sz w:val="21"/>
                      <w:szCs w:val="21"/>
                      <w:lang w:val="en-US" w:eastAsia="zh-CN"/>
                    </w:rPr>
                    <w:t>项目</w:t>
                  </w:r>
                  <w:r>
                    <w:rPr>
                      <w:rFonts w:hint="default" w:ascii="Calibri" w:hAnsi="Calibri" w:eastAsia="宋体" w:cs="Calibri"/>
                      <w:snapToGrid/>
                      <w:kern w:val="0"/>
                      <w:sz w:val="21"/>
                      <w:szCs w:val="21"/>
                      <w:lang w:eastAsia="zh-CN"/>
                    </w:rPr>
                    <w:t>周围大气环境、地表水环境、声环境、地下水、土壤环境产生明显影响。</w:t>
                  </w:r>
                </w:p>
              </w:tc>
              <w:tc>
                <w:tcPr>
                  <w:tcW w:w="44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6" w:hRule="atLeast"/>
                <w:jc w:val="center"/>
              </w:trPr>
              <w:tc>
                <w:tcPr>
                  <w:tcW w:w="469"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kern w:val="0"/>
                      <w:sz w:val="21"/>
                      <w:szCs w:val="21"/>
                      <w:lang w:val="en-US" w:eastAsia="zh-CN"/>
                    </w:rPr>
                  </w:pPr>
                  <w:r>
                    <w:rPr>
                      <w:rFonts w:hint="default" w:ascii="Calibri" w:hAnsi="Calibri" w:eastAsia="宋体" w:cs="Calibri"/>
                      <w:snapToGrid/>
                      <w:color w:val="000000"/>
                      <w:kern w:val="0"/>
                      <w:sz w:val="21"/>
                      <w:szCs w:val="21"/>
                      <w:lang w:val="en-US" w:eastAsia="zh-CN"/>
                    </w:rPr>
                    <w:t>A3环境风险防控</w:t>
                  </w:r>
                </w:p>
              </w:tc>
              <w:tc>
                <w:tcPr>
                  <w:tcW w:w="437"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kern w:val="0"/>
                      <w:sz w:val="21"/>
                      <w:szCs w:val="21"/>
                      <w:lang w:val="en-US" w:eastAsia="zh-CN"/>
                    </w:rPr>
                  </w:pPr>
                  <w:r>
                    <w:rPr>
                      <w:rFonts w:hint="default" w:ascii="Calibri" w:hAnsi="Calibri" w:eastAsia="宋体" w:cs="Calibri"/>
                      <w:snapToGrid/>
                      <w:color w:val="000000"/>
                      <w:kern w:val="0"/>
                      <w:sz w:val="21"/>
                      <w:szCs w:val="21"/>
                      <w:lang w:val="en-US" w:eastAsia="zh-CN"/>
                    </w:rPr>
                    <w:t>A3.2联防联控要求</w:t>
                  </w:r>
                </w:p>
              </w:tc>
              <w:tc>
                <w:tcPr>
                  <w:tcW w:w="2090"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kern w:val="0"/>
                      <w:sz w:val="21"/>
                      <w:szCs w:val="21"/>
                      <w:lang w:eastAsia="zh-CN"/>
                    </w:rPr>
                  </w:pPr>
                  <w:r>
                    <w:rPr>
                      <w:rFonts w:hint="eastAsia" w:ascii="Calibri" w:hAnsi="Calibri" w:cs="Calibri"/>
                      <w:snapToGrid/>
                      <w:kern w:val="0"/>
                      <w:sz w:val="21"/>
                      <w:szCs w:val="21"/>
                      <w:lang w:eastAsia="zh-CN"/>
                    </w:rPr>
                    <w:t>[A3.2-5]</w:t>
                  </w:r>
                  <w:r>
                    <w:rPr>
                      <w:rFonts w:hint="default" w:ascii="Calibri" w:hAnsi="Calibri" w:eastAsia="宋体" w:cs="Calibri"/>
                      <w:snapToGrid/>
                      <w:kern w:val="0"/>
                      <w:sz w:val="21"/>
                      <w:szCs w:val="21"/>
                      <w:lang w:eastAsia="zh-CN"/>
                    </w:rPr>
                    <w:t>强化生态环境应急管理。实施企业突发生态环境应急预案电子化备案，完成县级以上政府突发环</w:t>
                  </w:r>
                  <w:r>
                    <w:rPr>
                      <w:rFonts w:hint="default" w:ascii="Calibri" w:hAnsi="Calibri" w:eastAsia="宋体" w:cs="Calibri"/>
                      <w:color w:val="000000"/>
                      <w:sz w:val="21"/>
                      <w:szCs w:val="21"/>
                      <w:lang w:val="en-US" w:eastAsia="zh-CN"/>
                    </w:rPr>
                    <w:t>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w:t>
                  </w:r>
                  <w:r>
                    <w:rPr>
                      <w:rFonts w:hint="default" w:ascii="Calibri" w:hAnsi="Calibri" w:eastAsia="宋体" w:cs="Calibri"/>
                      <w:snapToGrid/>
                      <w:kern w:val="0"/>
                      <w:sz w:val="21"/>
                      <w:szCs w:val="21"/>
                      <w:lang w:eastAsia="zh-CN"/>
                    </w:rPr>
                    <w:t>置，定期开展应急演练，增强实战能力。</w:t>
                  </w:r>
                </w:p>
              </w:tc>
              <w:tc>
                <w:tcPr>
                  <w:tcW w:w="156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kern w:val="0"/>
                      <w:sz w:val="21"/>
                      <w:szCs w:val="21"/>
                      <w:lang w:eastAsia="zh-CN"/>
                    </w:rPr>
                  </w:pPr>
                  <w:r>
                    <w:rPr>
                      <w:rFonts w:hint="default" w:ascii="Calibri" w:hAnsi="Calibri" w:eastAsia="宋体" w:cs="Calibri"/>
                      <w:color w:val="000000"/>
                      <w:sz w:val="21"/>
                      <w:szCs w:val="21"/>
                      <w:lang w:eastAsia="zh-CN"/>
                    </w:rPr>
                    <w:t>本项目按照相关规定落实</w:t>
                  </w:r>
                  <w:r>
                    <w:rPr>
                      <w:rFonts w:hint="eastAsia" w:ascii="Calibri" w:hAnsi="Calibri" w:eastAsia="Times New Roman" w:cs="Calibri"/>
                      <w:color w:val="000000"/>
                      <w:sz w:val="21"/>
                      <w:szCs w:val="21"/>
                      <w:lang w:eastAsia="zh-CN"/>
                    </w:rPr>
                    <w:t>和完善</w:t>
                  </w:r>
                  <w:r>
                    <w:rPr>
                      <w:rFonts w:hint="default" w:ascii="Calibri" w:hAnsi="Calibri" w:eastAsia="宋体" w:cs="Calibri"/>
                      <w:color w:val="000000"/>
                      <w:sz w:val="21"/>
                      <w:szCs w:val="21"/>
                      <w:lang w:eastAsia="zh-CN"/>
                    </w:rPr>
                    <w:t>各项环境事故防范、环境风险处理制度和措施</w:t>
                  </w:r>
                  <w:r>
                    <w:rPr>
                      <w:rFonts w:hint="eastAsia" w:ascii="Calibri" w:hAnsi="Calibri" w:eastAsia="宋体" w:cs="Calibri"/>
                      <w:color w:val="000000"/>
                      <w:sz w:val="21"/>
                      <w:szCs w:val="21"/>
                      <w:lang w:eastAsia="zh-CN"/>
                    </w:rPr>
                    <w:t>。</w:t>
                  </w:r>
                </w:p>
              </w:tc>
              <w:tc>
                <w:tcPr>
                  <w:tcW w:w="44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eastAsia="zh-CN"/>
                    </w:rPr>
                  </w:pPr>
                  <w:r>
                    <w:rPr>
                      <w:rFonts w:hint="default" w:ascii="Calibri" w:hAnsi="Calibri" w:eastAsia="宋体" w:cs="Calibri"/>
                      <w:snapToGrid/>
                      <w:color w:val="000000"/>
                      <w:kern w:val="0"/>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6" w:hRule="atLeast"/>
                <w:jc w:val="center"/>
              </w:trPr>
              <w:tc>
                <w:tcPr>
                  <w:tcW w:w="469"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eastAsia" w:ascii="Calibri" w:hAnsi="Calibri" w:eastAsia="宋体" w:cs="Calibri"/>
                      <w:snapToGrid/>
                      <w:color w:val="000000"/>
                      <w:kern w:val="0"/>
                      <w:sz w:val="21"/>
                      <w:szCs w:val="21"/>
                      <w:lang w:val="en-US" w:eastAsia="zh-CN"/>
                    </w:rPr>
                    <w:t>A4资源利用要求</w:t>
                  </w:r>
                </w:p>
              </w:tc>
              <w:tc>
                <w:tcPr>
                  <w:tcW w:w="437"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kern w:val="0"/>
                      <w:sz w:val="21"/>
                      <w:szCs w:val="21"/>
                      <w:lang w:val="en-US" w:eastAsia="zh-CN"/>
                    </w:rPr>
                  </w:pPr>
                  <w:r>
                    <w:rPr>
                      <w:rFonts w:hint="eastAsia" w:ascii="Calibri" w:hAnsi="Calibri" w:eastAsia="宋体" w:cs="Calibri"/>
                      <w:snapToGrid/>
                      <w:kern w:val="0"/>
                      <w:sz w:val="21"/>
                      <w:szCs w:val="21"/>
                      <w:lang w:val="en-US" w:eastAsia="zh-CN"/>
                    </w:rPr>
                    <w:t>A4.3能源利用</w:t>
                  </w:r>
                </w:p>
              </w:tc>
              <w:tc>
                <w:tcPr>
                  <w:tcW w:w="2090"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kern w:val="0"/>
                      <w:sz w:val="21"/>
                      <w:szCs w:val="21"/>
                      <w:lang w:eastAsia="zh-CN"/>
                    </w:rPr>
                  </w:pPr>
                  <w:r>
                    <w:rPr>
                      <w:rFonts w:hint="default" w:ascii="Calibri" w:hAnsi="Calibri" w:eastAsia="宋体" w:cs="Calibri"/>
                      <w:snapToGrid/>
                      <w:kern w:val="0"/>
                      <w:sz w:val="21"/>
                      <w:szCs w:val="21"/>
                      <w:lang w:eastAsia="zh-CN"/>
                    </w:rPr>
                    <w:t>A4.3</w:t>
                  </w:r>
                  <w:r>
                    <w:rPr>
                      <w:rFonts w:hint="eastAsia" w:ascii="Calibri" w:hAnsi="Calibri" w:eastAsia="宋体" w:cs="Calibri"/>
                      <w:snapToGrid/>
                      <w:kern w:val="0"/>
                      <w:sz w:val="21"/>
                      <w:szCs w:val="21"/>
                      <w:lang w:val="en-US" w:eastAsia="zh-CN"/>
                    </w:rPr>
                    <w:t>-4鼓励使用清洁能源</w:t>
                  </w:r>
                  <w:r>
                    <w:rPr>
                      <w:rFonts w:hint="eastAsia" w:ascii="Calibri" w:hAnsi="Calibri" w:cs="Calibri"/>
                      <w:snapToGrid/>
                      <w:kern w:val="0"/>
                      <w:sz w:val="21"/>
                      <w:szCs w:val="21"/>
                      <w:lang w:val="en-US" w:eastAsia="zh-CN"/>
                    </w:rPr>
                    <w:t>、</w:t>
                  </w:r>
                  <w:r>
                    <w:rPr>
                      <w:rFonts w:hint="default" w:ascii="Calibri" w:hAnsi="Calibri" w:eastAsia="宋体" w:cs="Calibri"/>
                      <w:snapToGrid/>
                      <w:kern w:val="0"/>
                      <w:sz w:val="21"/>
                      <w:szCs w:val="21"/>
                      <w:lang w:eastAsia="zh-CN"/>
                    </w:rPr>
                    <w:t>电厂</w:t>
                  </w:r>
                  <w:r>
                    <w:rPr>
                      <w:rFonts w:hint="eastAsia" w:ascii="Calibri" w:hAnsi="Calibri" w:cs="Calibri"/>
                      <w:snapToGrid/>
                      <w:kern w:val="0"/>
                      <w:sz w:val="21"/>
                      <w:szCs w:val="21"/>
                      <w:lang w:eastAsia="zh-CN"/>
                    </w:rPr>
                    <w:t>热力</w:t>
                  </w:r>
                  <w:r>
                    <w:rPr>
                      <w:rFonts w:hint="default" w:ascii="Calibri" w:hAnsi="Calibri" w:eastAsia="宋体" w:cs="Calibri"/>
                      <w:snapToGrid/>
                      <w:kern w:val="0"/>
                      <w:sz w:val="21"/>
                      <w:szCs w:val="21"/>
                      <w:lang w:eastAsia="zh-CN"/>
                    </w:rPr>
                    <w:t>、</w:t>
                  </w:r>
                  <w:r>
                    <w:rPr>
                      <w:rFonts w:hint="eastAsia" w:ascii="Calibri" w:hAnsi="Calibri" w:eastAsia="宋体" w:cs="Calibri"/>
                      <w:snapToGrid/>
                      <w:kern w:val="0"/>
                      <w:sz w:val="21"/>
                      <w:szCs w:val="21"/>
                      <w:lang w:val="en-US" w:eastAsia="zh-CN"/>
                    </w:rPr>
                    <w:t>工业</w:t>
                  </w:r>
                  <w:r>
                    <w:rPr>
                      <w:rFonts w:hint="default" w:ascii="Calibri" w:hAnsi="Calibri" w:eastAsia="宋体" w:cs="Calibri"/>
                      <w:snapToGrid/>
                      <w:kern w:val="0"/>
                      <w:sz w:val="21"/>
                      <w:szCs w:val="21"/>
                      <w:lang w:eastAsia="zh-CN"/>
                    </w:rPr>
                    <w:t>余热等替代锅炉炉窑燃料用煤。</w:t>
                  </w:r>
                </w:p>
              </w:tc>
              <w:tc>
                <w:tcPr>
                  <w:tcW w:w="156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color w:val="000000"/>
                      <w:sz w:val="21"/>
                      <w:szCs w:val="21"/>
                      <w:lang w:eastAsia="zh-CN"/>
                    </w:rPr>
                  </w:pPr>
                  <w:r>
                    <w:rPr>
                      <w:rFonts w:hint="default" w:ascii="Calibri" w:hAnsi="Calibri" w:eastAsia="宋体" w:cs="Calibri"/>
                      <w:color w:val="000000"/>
                      <w:sz w:val="21"/>
                      <w:szCs w:val="21"/>
                      <w:lang w:eastAsia="zh-CN"/>
                    </w:rPr>
                    <w:t>本项目</w:t>
                  </w:r>
                  <w:r>
                    <w:rPr>
                      <w:rFonts w:hint="eastAsia" w:ascii="Calibri" w:hAnsi="Calibri" w:eastAsia="宋体" w:cs="Calibri"/>
                      <w:color w:val="000000"/>
                      <w:sz w:val="21"/>
                      <w:szCs w:val="21"/>
                      <w:lang w:val="en-US" w:eastAsia="zh-CN"/>
                    </w:rPr>
                    <w:t>生产不供热</w:t>
                  </w:r>
                  <w:r>
                    <w:rPr>
                      <w:rFonts w:hint="default" w:ascii="Calibri" w:hAnsi="Calibri" w:eastAsia="宋体" w:cs="Calibri"/>
                      <w:color w:val="000000"/>
                      <w:sz w:val="21"/>
                      <w:szCs w:val="21"/>
                      <w:lang w:eastAsia="zh-CN"/>
                    </w:rPr>
                    <w:t>，不涉及使用燃煤</w:t>
                  </w:r>
                  <w:r>
                    <w:rPr>
                      <w:rFonts w:hint="eastAsia" w:ascii="Calibri" w:hAnsi="Calibri" w:eastAsia="宋体" w:cs="Calibri"/>
                      <w:color w:val="000000"/>
                      <w:sz w:val="21"/>
                      <w:szCs w:val="21"/>
                      <w:lang w:eastAsia="zh-CN"/>
                    </w:rPr>
                    <w:t>，</w:t>
                  </w:r>
                  <w:r>
                    <w:rPr>
                      <w:rFonts w:hint="eastAsia" w:ascii="Calibri" w:hAnsi="Calibri" w:eastAsia="宋体" w:cs="Calibri"/>
                      <w:color w:val="000000"/>
                      <w:sz w:val="21"/>
                      <w:szCs w:val="21"/>
                      <w:lang w:val="en-US" w:eastAsia="zh-CN"/>
                    </w:rPr>
                    <w:t>生活供暖采用电采暖</w:t>
                  </w:r>
                  <w:r>
                    <w:rPr>
                      <w:rFonts w:hint="default" w:ascii="Calibri" w:hAnsi="Calibri" w:eastAsia="宋体" w:cs="Calibri"/>
                      <w:color w:val="000000"/>
                      <w:sz w:val="21"/>
                      <w:szCs w:val="21"/>
                      <w:lang w:eastAsia="zh-CN"/>
                    </w:rPr>
                    <w:t>。</w:t>
                  </w:r>
                </w:p>
              </w:tc>
              <w:tc>
                <w:tcPr>
                  <w:tcW w:w="441" w:type="pct"/>
                  <w:tcBorders>
                    <w:tl2br w:val="nil"/>
                    <w:tr2bl w:val="nil"/>
                  </w:tcBorders>
                  <w:noWrap w:val="0"/>
                  <w:vAlign w:val="center"/>
                </w:tcPr>
                <w:p>
                  <w:pPr>
                    <w:pStyle w:val="58"/>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0"/>
                    <w:jc w:val="center"/>
                    <w:textAlignment w:val="auto"/>
                    <w:rPr>
                      <w:rFonts w:hint="default" w:ascii="Calibri" w:hAnsi="Calibri" w:eastAsia="宋体" w:cs="Calibri"/>
                      <w:snapToGrid/>
                      <w:color w:val="000000"/>
                      <w:kern w:val="0"/>
                      <w:sz w:val="21"/>
                      <w:szCs w:val="21"/>
                      <w:lang w:val="en-US" w:eastAsia="zh-CN"/>
                    </w:rPr>
                  </w:pPr>
                  <w:r>
                    <w:rPr>
                      <w:rFonts w:hint="eastAsia" w:ascii="Calibri" w:hAnsi="Calibri" w:eastAsia="宋体" w:cs="Calibri"/>
                      <w:snapToGrid/>
                      <w:color w:val="000000"/>
                      <w:kern w:val="0"/>
                      <w:sz w:val="21"/>
                      <w:szCs w:val="21"/>
                      <w:lang w:val="en-US" w:eastAsia="zh-CN"/>
                    </w:rPr>
                    <w:t>符合</w:t>
                  </w:r>
                </w:p>
              </w:tc>
            </w:tr>
          </w:tbl>
          <w:p>
            <w:pPr>
              <w:spacing w:line="520" w:lineRule="exact"/>
              <w:ind w:firstLine="480" w:firstLineChars="200"/>
              <w:rPr>
                <w:rFonts w:hint="default"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2</w:t>
            </w:r>
            <w:r>
              <w:rPr>
                <w:rFonts w:hint="eastAsia" w:ascii="宋体" w:hAnsi="宋体" w:eastAsia="宋体" w:cs="宋体"/>
                <w:color w:val="auto"/>
                <w:sz w:val="24"/>
                <w:lang w:eastAsia="zh-CN"/>
              </w:rPr>
              <w:t>）</w:t>
            </w:r>
            <w:r>
              <w:rPr>
                <w:rFonts w:hint="eastAsia" w:ascii="宋体" w:hAnsi="宋体" w:eastAsia="宋体" w:cs="宋体"/>
                <w:color w:val="auto"/>
                <w:sz w:val="24"/>
              </w:rPr>
              <w:t>与《巴音郭楞蒙古自治州“三线一单”生态环境分区管控方案》生态环境分区管控动态更新成果（2023年）相符性分析</w:t>
            </w:r>
          </w:p>
          <w:p>
            <w:pPr>
              <w:pStyle w:val="53"/>
              <w:spacing w:line="500" w:lineRule="exact"/>
              <w:ind w:firstLine="482"/>
              <w:jc w:val="center"/>
              <w:rPr>
                <w:rFonts w:ascii="Times New Roman"/>
                <w:b/>
                <w:bCs/>
                <w:color w:val="auto"/>
                <w:kern w:val="2"/>
              </w:rPr>
            </w:pPr>
            <w:r>
              <w:rPr>
                <w:rFonts w:ascii="Times New Roman"/>
                <w:b/>
                <w:bCs/>
                <w:color w:val="auto"/>
                <w:kern w:val="2"/>
              </w:rPr>
              <w:t>表</w:t>
            </w:r>
            <w:r>
              <w:rPr>
                <w:rFonts w:hint="eastAsia" w:ascii="Times New Roman"/>
                <w:b/>
                <w:bCs/>
                <w:color w:val="auto"/>
                <w:kern w:val="2"/>
                <w:lang w:val="en-US" w:eastAsia="zh-CN"/>
              </w:rPr>
              <w:t>1-3</w:t>
            </w:r>
            <w:r>
              <w:rPr>
                <w:rFonts w:hint="eastAsia" w:ascii="Times New Roman"/>
                <w:b/>
                <w:bCs/>
                <w:color w:val="auto"/>
                <w:kern w:val="2"/>
              </w:rPr>
              <w:t xml:space="preserve">   《巴音郭楞蒙古自治州“三线一单”生态环境分区管控方案》</w:t>
            </w:r>
            <w:r>
              <w:rPr>
                <w:rFonts w:ascii="Times New Roman"/>
                <w:b/>
                <w:bCs/>
                <w:color w:val="auto"/>
                <w:kern w:val="2"/>
              </w:rPr>
              <w:t>符合分析</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6"/>
              <w:gridCol w:w="637"/>
              <w:gridCol w:w="2933"/>
              <w:gridCol w:w="1360"/>
              <w:gridCol w:w="42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atLeast"/>
              </w:trPr>
              <w:tc>
                <w:tcPr>
                  <w:tcW w:w="716" w:type="pct"/>
                  <w:noWrap w:val="0"/>
                  <w:vAlign w:val="center"/>
                </w:tcPr>
                <w:p>
                  <w:pPr>
                    <w:tabs>
                      <w:tab w:val="left" w:pos="1264"/>
                    </w:tabs>
                    <w:jc w:val="center"/>
                    <w:rPr>
                      <w:color w:val="auto"/>
                      <w:szCs w:val="21"/>
                    </w:rPr>
                  </w:pPr>
                  <w:r>
                    <w:rPr>
                      <w:color w:val="auto"/>
                      <w:szCs w:val="21"/>
                    </w:rPr>
                    <w:t>环境管控单元名称及编码</w:t>
                  </w:r>
                </w:p>
              </w:tc>
              <w:tc>
                <w:tcPr>
                  <w:tcW w:w="2855" w:type="pct"/>
                  <w:gridSpan w:val="2"/>
                  <w:tcBorders>
                    <w:right w:val="single" w:color="auto" w:sz="4" w:space="0"/>
                  </w:tcBorders>
                  <w:noWrap w:val="0"/>
                  <w:vAlign w:val="center"/>
                </w:tcPr>
                <w:p>
                  <w:pPr>
                    <w:widowControl/>
                    <w:jc w:val="center"/>
                    <w:rPr>
                      <w:rFonts w:hint="eastAsia" w:eastAsia="宋体"/>
                      <w:color w:val="auto"/>
                      <w:szCs w:val="21"/>
                      <w:lang w:val="en-US" w:eastAsia="zh-CN"/>
                    </w:rPr>
                  </w:pPr>
                  <w:r>
                    <w:rPr>
                      <w:color w:val="auto"/>
                      <w:kern w:val="0"/>
                      <w:szCs w:val="21"/>
                    </w:rPr>
                    <w:t>“三线一单”要求</w:t>
                  </w:r>
                  <w:r>
                    <w:rPr>
                      <w:rFonts w:hint="eastAsia"/>
                      <w:color w:val="auto"/>
                      <w:kern w:val="0"/>
                      <w:szCs w:val="21"/>
                      <w:lang w:val="en-US" w:eastAsia="zh-CN"/>
                    </w:rPr>
                    <w:t>s</w:t>
                  </w:r>
                </w:p>
              </w:tc>
              <w:tc>
                <w:tcPr>
                  <w:tcW w:w="1087" w:type="pct"/>
                  <w:tcBorders>
                    <w:left w:val="single" w:color="auto" w:sz="4" w:space="0"/>
                  </w:tcBorders>
                  <w:noWrap w:val="0"/>
                  <w:vAlign w:val="center"/>
                </w:tcPr>
                <w:p>
                  <w:pPr>
                    <w:widowControl/>
                    <w:jc w:val="center"/>
                    <w:rPr>
                      <w:color w:val="auto"/>
                      <w:kern w:val="0"/>
                      <w:szCs w:val="21"/>
                    </w:rPr>
                  </w:pPr>
                  <w:r>
                    <w:rPr>
                      <w:color w:val="auto"/>
                      <w:kern w:val="0"/>
                      <w:szCs w:val="21"/>
                    </w:rPr>
                    <w:t>工程具体情况</w:t>
                  </w:r>
                </w:p>
              </w:tc>
              <w:tc>
                <w:tcPr>
                  <w:tcW w:w="339" w:type="pct"/>
                  <w:noWrap w:val="0"/>
                  <w:vAlign w:val="center"/>
                </w:tcPr>
                <w:p>
                  <w:pPr>
                    <w:widowControl/>
                    <w:jc w:val="center"/>
                    <w:rPr>
                      <w:color w:val="auto"/>
                      <w:szCs w:val="21"/>
                    </w:rPr>
                  </w:pPr>
                  <w:r>
                    <w:rPr>
                      <w:color w:val="auto"/>
                      <w:kern w:val="0"/>
                      <w:szCs w:val="21"/>
                    </w:rPr>
                    <w:t>相符性分析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16" w:type="pct"/>
                  <w:vMerge w:val="restart"/>
                  <w:noWrap w:val="0"/>
                  <w:vAlign w:val="center"/>
                </w:tcPr>
                <w:p>
                  <w:pPr>
                    <w:tabs>
                      <w:tab w:val="left" w:pos="1264"/>
                    </w:tabs>
                    <w:jc w:val="center"/>
                    <w:rPr>
                      <w:color w:val="auto"/>
                      <w:szCs w:val="21"/>
                    </w:rPr>
                  </w:pPr>
                  <w:r>
                    <w:rPr>
                      <w:rFonts w:hint="eastAsia"/>
                      <w:color w:val="auto"/>
                      <w:szCs w:val="21"/>
                      <w:lang w:eastAsia="zh-CN"/>
                    </w:rPr>
                    <w:t>轮台工业园区（重点管控单元）</w:t>
                  </w:r>
                  <w:r>
                    <w:rPr>
                      <w:color w:val="auto"/>
                      <w:szCs w:val="21"/>
                    </w:rPr>
                    <w:t>（ZH6528</w:t>
                  </w:r>
                  <w:r>
                    <w:rPr>
                      <w:rFonts w:hint="eastAsia"/>
                      <w:color w:val="auto"/>
                      <w:szCs w:val="21"/>
                      <w:lang w:val="en-US" w:eastAsia="zh-CN"/>
                    </w:rPr>
                    <w:t>2220004）</w:t>
                  </w:r>
                </w:p>
              </w:tc>
              <w:tc>
                <w:tcPr>
                  <w:tcW w:w="509" w:type="pct"/>
                  <w:tcBorders>
                    <w:right w:val="single" w:color="auto" w:sz="4" w:space="0"/>
                  </w:tcBorders>
                  <w:noWrap w:val="0"/>
                  <w:vAlign w:val="center"/>
                </w:tcPr>
                <w:p>
                  <w:pPr>
                    <w:widowControl/>
                    <w:jc w:val="center"/>
                    <w:rPr>
                      <w:color w:val="auto"/>
                      <w:szCs w:val="21"/>
                    </w:rPr>
                  </w:pPr>
                  <w:r>
                    <w:rPr>
                      <w:color w:val="auto"/>
                      <w:szCs w:val="21"/>
                    </w:rPr>
                    <w:t>空间管控约束</w:t>
                  </w:r>
                </w:p>
              </w:tc>
              <w:tc>
                <w:tcPr>
                  <w:tcW w:w="2346" w:type="pct"/>
                  <w:tcBorders>
                    <w:left w:val="single" w:color="auto" w:sz="4" w:space="0"/>
                    <w:right w:val="single" w:color="auto" w:sz="4" w:space="0"/>
                  </w:tcBorders>
                  <w:noWrap w:val="0"/>
                  <w:vAlign w:val="center"/>
                </w:tcPr>
                <w:p>
                  <w:pPr>
                    <w:jc w:val="center"/>
                    <w:rPr>
                      <w:color w:val="auto"/>
                      <w:szCs w:val="21"/>
                    </w:rPr>
                  </w:pPr>
                </w:p>
                <w:p>
                  <w:pPr>
                    <w:jc w:val="center"/>
                    <w:rPr>
                      <w:rFonts w:hint="eastAsia" w:eastAsia="宋体"/>
                      <w:color w:val="auto"/>
                      <w:szCs w:val="21"/>
                      <w:lang w:val="en-US" w:eastAsia="zh-CN"/>
                    </w:rPr>
                  </w:pPr>
                  <w:r>
                    <w:rPr>
                      <w:color w:val="auto"/>
                      <w:szCs w:val="21"/>
                    </w:rPr>
                    <w:t>1.4禁止在自治州行政区域内引进能</w:t>
                  </w:r>
                  <w:r>
                    <w:rPr>
                      <w:rFonts w:hint="eastAsia"/>
                      <w:color w:val="auto"/>
                      <w:szCs w:val="21"/>
                      <w:lang w:eastAsia="zh-CN"/>
                    </w:rPr>
                    <w:t>（</w:t>
                  </w:r>
                  <w:r>
                    <w:rPr>
                      <w:color w:val="auto"/>
                      <w:szCs w:val="21"/>
                    </w:rPr>
                    <w:t>水</w:t>
                  </w:r>
                  <w:r>
                    <w:rPr>
                      <w:rFonts w:hint="eastAsia"/>
                      <w:color w:val="auto"/>
                      <w:szCs w:val="21"/>
                      <w:lang w:eastAsia="zh-CN"/>
                    </w:rPr>
                    <w:t>）</w:t>
                  </w:r>
                  <w:r>
                    <w:rPr>
                      <w:color w:val="auto"/>
                      <w:szCs w:val="21"/>
                    </w:rPr>
                    <w:t>耗不符合相关国家标准中准入值要求，且污染物排放和环境风险防控不符合国家</w:t>
                  </w:r>
                  <w:r>
                    <w:rPr>
                      <w:rFonts w:hint="eastAsia"/>
                      <w:color w:val="auto"/>
                      <w:szCs w:val="21"/>
                      <w:lang w:eastAsia="zh-CN"/>
                    </w:rPr>
                    <w:t>（</w:t>
                  </w:r>
                  <w:r>
                    <w:rPr>
                      <w:color w:val="auto"/>
                      <w:szCs w:val="21"/>
                    </w:rPr>
                    <w:t>地方</w:t>
                  </w:r>
                  <w:r>
                    <w:rPr>
                      <w:rFonts w:hint="eastAsia"/>
                      <w:color w:val="auto"/>
                      <w:szCs w:val="21"/>
                      <w:lang w:eastAsia="zh-CN"/>
                    </w:rPr>
                    <w:t>）</w:t>
                  </w:r>
                  <w:r>
                    <w:rPr>
                      <w:color w:val="auto"/>
                      <w:szCs w:val="21"/>
                    </w:rPr>
                    <w:t>标准及有关产业准入条件的高污染</w:t>
                  </w:r>
                  <w:r>
                    <w:rPr>
                      <w:rFonts w:hint="eastAsia"/>
                      <w:color w:val="auto"/>
                      <w:szCs w:val="21"/>
                      <w:lang w:eastAsia="zh-CN"/>
                    </w:rPr>
                    <w:t>（</w:t>
                  </w:r>
                  <w:r>
                    <w:rPr>
                      <w:color w:val="auto"/>
                      <w:szCs w:val="21"/>
                    </w:rPr>
                    <w:t>排放</w:t>
                  </w:r>
                  <w:r>
                    <w:rPr>
                      <w:rFonts w:hint="eastAsia"/>
                      <w:color w:val="auto"/>
                      <w:szCs w:val="21"/>
                      <w:lang w:eastAsia="zh-CN"/>
                    </w:rPr>
                    <w:t>）</w:t>
                  </w:r>
                  <w:r>
                    <w:rPr>
                      <w:color w:val="auto"/>
                      <w:szCs w:val="21"/>
                    </w:rPr>
                    <w:t>、高能</w:t>
                  </w:r>
                  <w:r>
                    <w:rPr>
                      <w:rFonts w:hint="eastAsia"/>
                      <w:color w:val="auto"/>
                      <w:szCs w:val="21"/>
                      <w:lang w:eastAsia="zh-CN"/>
                    </w:rPr>
                    <w:t>（</w:t>
                  </w:r>
                  <w:r>
                    <w:rPr>
                      <w:color w:val="auto"/>
                      <w:szCs w:val="21"/>
                    </w:rPr>
                    <w:t>水</w:t>
                  </w:r>
                  <w:r>
                    <w:rPr>
                      <w:rFonts w:hint="eastAsia"/>
                      <w:color w:val="auto"/>
                      <w:szCs w:val="21"/>
                      <w:lang w:eastAsia="zh-CN"/>
                    </w:rPr>
                    <w:t>）</w:t>
                  </w:r>
                  <w:r>
                    <w:rPr>
                      <w:color w:val="auto"/>
                      <w:szCs w:val="21"/>
                    </w:rPr>
                    <w:t>耗、高环境风险的工业项目。</w:t>
                  </w:r>
                </w:p>
              </w:tc>
              <w:tc>
                <w:tcPr>
                  <w:tcW w:w="1087" w:type="pct"/>
                  <w:tcBorders>
                    <w:left w:val="single" w:color="auto" w:sz="4" w:space="0"/>
                  </w:tcBorders>
                  <w:noWrap w:val="0"/>
                  <w:vAlign w:val="center"/>
                </w:tcPr>
                <w:p>
                  <w:pPr>
                    <w:widowControl/>
                    <w:rPr>
                      <w:color w:val="auto"/>
                      <w:kern w:val="0"/>
                      <w:szCs w:val="21"/>
                    </w:rPr>
                  </w:pPr>
                  <w:r>
                    <w:rPr>
                      <w:color w:val="auto"/>
                      <w:szCs w:val="21"/>
                    </w:rPr>
                    <w:t>本项目属于</w:t>
                  </w:r>
                  <w:r>
                    <w:rPr>
                      <w:rFonts w:hint="eastAsia" w:ascii="宋体" w:hAnsi="宋体" w:cs="宋体"/>
                      <w:color w:val="auto"/>
                      <w:szCs w:val="21"/>
                      <w:lang w:eastAsia="zh-CN"/>
                    </w:rPr>
                    <w:t>水泥制品制造</w:t>
                  </w:r>
                  <w:r>
                    <w:rPr>
                      <w:color w:val="auto"/>
                      <w:szCs w:val="21"/>
                    </w:rPr>
                    <w:t>，不属于高污染、高能耗项目；</w:t>
                  </w:r>
                  <w:r>
                    <w:rPr>
                      <w:rFonts w:hint="eastAsia"/>
                      <w:color w:val="auto"/>
                      <w:szCs w:val="21"/>
                    </w:rPr>
                    <w:t>项目生产产生的废气</w:t>
                  </w:r>
                  <w:r>
                    <w:rPr>
                      <w:rFonts w:hint="eastAsia"/>
                      <w:color w:val="auto"/>
                      <w:szCs w:val="21"/>
                      <w:lang w:val="en-US" w:eastAsia="zh-CN"/>
                    </w:rPr>
                    <w:t>均</w:t>
                  </w:r>
                  <w:r>
                    <w:rPr>
                      <w:rFonts w:hint="eastAsia"/>
                      <w:color w:val="auto"/>
                      <w:szCs w:val="21"/>
                    </w:rPr>
                    <w:t>采取有效的环保措施，</w:t>
                  </w:r>
                  <w:r>
                    <w:rPr>
                      <w:rFonts w:hint="eastAsia"/>
                      <w:color w:val="auto"/>
                      <w:szCs w:val="21"/>
                      <w:lang w:val="en-US" w:eastAsia="zh-CN"/>
                    </w:rPr>
                    <w:t>处理</w:t>
                  </w:r>
                  <w:r>
                    <w:rPr>
                      <w:rFonts w:hint="eastAsia"/>
                      <w:color w:val="auto"/>
                      <w:szCs w:val="21"/>
                    </w:rPr>
                    <w:t>后达标排放</w:t>
                  </w:r>
                  <w:r>
                    <w:rPr>
                      <w:rFonts w:hint="eastAsia"/>
                      <w:color w:val="auto"/>
                      <w:szCs w:val="21"/>
                      <w:lang w:eastAsia="zh-CN"/>
                    </w:rPr>
                    <w:t>，不属于严重污染大气环境的项目</w:t>
                  </w:r>
                  <w:r>
                    <w:rPr>
                      <w:color w:val="auto"/>
                      <w:szCs w:val="21"/>
                    </w:rPr>
                    <w:t>。</w:t>
                  </w:r>
                </w:p>
              </w:tc>
              <w:tc>
                <w:tcPr>
                  <w:tcW w:w="339" w:type="pct"/>
                  <w:noWrap w:val="0"/>
                  <w:vAlign w:val="center"/>
                </w:tcPr>
                <w:p>
                  <w:pPr>
                    <w:tabs>
                      <w:tab w:val="left" w:pos="1264"/>
                    </w:tabs>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16" w:type="pct"/>
                  <w:vMerge w:val="continue"/>
                  <w:noWrap w:val="0"/>
                  <w:vAlign w:val="center"/>
                </w:tcPr>
                <w:p>
                  <w:pPr>
                    <w:tabs>
                      <w:tab w:val="left" w:pos="1264"/>
                    </w:tabs>
                    <w:jc w:val="center"/>
                    <w:rPr>
                      <w:color w:val="auto"/>
                      <w:szCs w:val="21"/>
                    </w:rPr>
                  </w:pPr>
                </w:p>
              </w:tc>
              <w:tc>
                <w:tcPr>
                  <w:tcW w:w="509" w:type="pct"/>
                  <w:tcBorders>
                    <w:right w:val="single" w:color="auto" w:sz="4" w:space="0"/>
                  </w:tcBorders>
                  <w:noWrap w:val="0"/>
                  <w:vAlign w:val="center"/>
                </w:tcPr>
                <w:p>
                  <w:pPr>
                    <w:widowControl/>
                    <w:jc w:val="center"/>
                    <w:rPr>
                      <w:color w:val="auto"/>
                      <w:szCs w:val="21"/>
                    </w:rPr>
                  </w:pPr>
                  <w:r>
                    <w:rPr>
                      <w:color w:val="auto"/>
                      <w:szCs w:val="21"/>
                    </w:rPr>
                    <w:t>污染</w:t>
                  </w:r>
                </w:p>
                <w:p>
                  <w:pPr>
                    <w:widowControl/>
                    <w:jc w:val="center"/>
                    <w:rPr>
                      <w:color w:val="auto"/>
                      <w:szCs w:val="21"/>
                    </w:rPr>
                  </w:pPr>
                  <w:r>
                    <w:rPr>
                      <w:color w:val="auto"/>
                      <w:szCs w:val="21"/>
                    </w:rPr>
                    <w:t>物排</w:t>
                  </w:r>
                </w:p>
                <w:p>
                  <w:pPr>
                    <w:widowControl/>
                    <w:jc w:val="center"/>
                    <w:rPr>
                      <w:color w:val="auto"/>
                      <w:szCs w:val="21"/>
                    </w:rPr>
                  </w:pPr>
                  <w:r>
                    <w:rPr>
                      <w:color w:val="auto"/>
                      <w:szCs w:val="21"/>
                    </w:rPr>
                    <w:t>放管控</w:t>
                  </w:r>
                </w:p>
              </w:tc>
              <w:tc>
                <w:tcPr>
                  <w:tcW w:w="2346" w:type="pct"/>
                  <w:tcBorders>
                    <w:left w:val="single" w:color="auto" w:sz="4" w:space="0"/>
                    <w:right w:val="single" w:color="auto" w:sz="4" w:space="0"/>
                  </w:tcBorders>
                  <w:noWrap w:val="0"/>
                  <w:vAlign w:val="center"/>
                </w:tcPr>
                <w:p>
                  <w:pPr>
                    <w:jc w:val="center"/>
                    <w:rPr>
                      <w:rFonts w:hint="eastAsia"/>
                      <w:color w:val="auto"/>
                      <w:szCs w:val="21"/>
                    </w:rPr>
                  </w:pPr>
                  <w:r>
                    <w:rPr>
                      <w:rFonts w:hint="eastAsia"/>
                      <w:color w:val="auto"/>
                      <w:szCs w:val="21"/>
                    </w:rPr>
                    <w:t>1.大气排放污染物的企业事业单位和其他生产经营者应当履行大气污染防治的法定义务，执行大气污染物排放标准，遵守大气污染物排放总量控制要求。</w:t>
                  </w:r>
                </w:p>
                <w:p>
                  <w:pPr>
                    <w:jc w:val="center"/>
                    <w:rPr>
                      <w:rFonts w:hint="eastAsia"/>
                      <w:color w:val="auto"/>
                      <w:szCs w:val="21"/>
                    </w:rPr>
                  </w:pPr>
                  <w:r>
                    <w:rPr>
                      <w:rFonts w:hint="eastAsia"/>
                      <w:color w:val="auto"/>
                      <w:szCs w:val="21"/>
                    </w:rPr>
                    <w:t>2.实施挥发性有机物及恶臭治理。加快石化企业脱硫以及动力车间脱硫、脱硝工作，加强罐区油气治理、装卸储运油气回收以及工艺废气挥发性有机物治理、恶臭治理。积极推进陶瓷、玻璃、砖瓦等建材行业二氧化硫、烟粉尘控制。在石化、有机化工、煤化工等重点行业开展挥发性有机物综合治理，在石化行业开展“泄漏检测与修复”技术改造。建立挥发性有机物重点监管企业名录。积极推进加油站、储油库和油罐车开展油气回收，完成所有加油站、储油库和油罐车油气回收治理。</w:t>
                  </w:r>
                </w:p>
                <w:p>
                  <w:pPr>
                    <w:jc w:val="center"/>
                    <w:rPr>
                      <w:color w:val="auto"/>
                      <w:szCs w:val="21"/>
                    </w:rPr>
                  </w:pPr>
                  <w:r>
                    <w:rPr>
                      <w:rFonts w:hint="eastAsia"/>
                      <w:color w:val="auto"/>
                      <w:szCs w:val="21"/>
                    </w:rPr>
                    <w:t>3.防治地下水污染。石化生产存贮销售企业和工业园区等区域应进行必要的防渗处理。加油站地下油罐全部更新为双层罐或完成防渗池设置。</w:t>
                  </w:r>
                </w:p>
              </w:tc>
              <w:tc>
                <w:tcPr>
                  <w:tcW w:w="1087" w:type="pct"/>
                  <w:tcBorders>
                    <w:left w:val="single" w:color="auto" w:sz="4" w:space="0"/>
                  </w:tcBorders>
                  <w:noWrap w:val="0"/>
                  <w:vAlign w:val="center"/>
                </w:tcPr>
                <w:p>
                  <w:pPr>
                    <w:widowControl/>
                    <w:rPr>
                      <w:rFonts w:hint="eastAsia" w:eastAsia="宋体"/>
                      <w:color w:val="auto"/>
                      <w:kern w:val="0"/>
                      <w:szCs w:val="21"/>
                      <w:lang w:eastAsia="zh-CN"/>
                    </w:rPr>
                  </w:pPr>
                  <w:r>
                    <w:rPr>
                      <w:rFonts w:hint="eastAsia"/>
                      <w:color w:val="auto"/>
                      <w:szCs w:val="21"/>
                    </w:rPr>
                    <w:t>本项目</w:t>
                  </w:r>
                  <w:r>
                    <w:rPr>
                      <w:color w:val="auto"/>
                      <w:szCs w:val="21"/>
                    </w:rPr>
                    <w:t>无组织及有组织排放废气采取有效</w:t>
                  </w:r>
                  <w:r>
                    <w:rPr>
                      <w:rFonts w:hint="eastAsia"/>
                      <w:color w:val="auto"/>
                      <w:szCs w:val="21"/>
                      <w:lang w:eastAsia="zh-CN"/>
                    </w:rPr>
                    <w:t>环保</w:t>
                  </w:r>
                  <w:r>
                    <w:rPr>
                      <w:color w:val="auto"/>
                      <w:szCs w:val="21"/>
                    </w:rPr>
                    <w:t>措施</w:t>
                  </w:r>
                  <w:r>
                    <w:rPr>
                      <w:rFonts w:hint="eastAsia"/>
                      <w:color w:val="auto"/>
                      <w:szCs w:val="21"/>
                      <w:lang w:eastAsia="zh-CN"/>
                    </w:rPr>
                    <w:t>后</w:t>
                  </w:r>
                  <w:r>
                    <w:rPr>
                      <w:color w:val="auto"/>
                      <w:szCs w:val="21"/>
                    </w:rPr>
                    <w:t>，</w:t>
                  </w:r>
                  <w:r>
                    <w:rPr>
                      <w:rFonts w:hint="eastAsia"/>
                      <w:color w:val="auto"/>
                      <w:szCs w:val="21"/>
                      <w:lang w:eastAsia="zh-CN"/>
                    </w:rPr>
                    <w:t>可以满足</w:t>
                  </w:r>
                  <w:r>
                    <w:rPr>
                      <w:color w:val="auto"/>
                      <w:szCs w:val="21"/>
                    </w:rPr>
                    <w:t>相应限值后达标排放</w:t>
                  </w:r>
                  <w:r>
                    <w:rPr>
                      <w:rFonts w:hint="eastAsia"/>
                      <w:color w:val="auto"/>
                      <w:szCs w:val="21"/>
                    </w:rPr>
                    <w:t>。</w:t>
                  </w:r>
                  <w:r>
                    <w:rPr>
                      <w:rFonts w:hint="eastAsia"/>
                      <w:color w:val="auto"/>
                      <w:szCs w:val="21"/>
                      <w:lang w:val="en-US" w:eastAsia="zh-CN"/>
                    </w:rPr>
                    <w:t>本项目为商品混凝土建设项目，不涉及石化、有机化工、煤化工等行业，不产生挥发性有机物及恶臭物质。</w:t>
                  </w:r>
                </w:p>
              </w:tc>
              <w:tc>
                <w:tcPr>
                  <w:tcW w:w="339" w:type="pct"/>
                  <w:noWrap w:val="0"/>
                  <w:vAlign w:val="center"/>
                </w:tcPr>
                <w:p>
                  <w:pPr>
                    <w:tabs>
                      <w:tab w:val="left" w:pos="1264"/>
                    </w:tabs>
                    <w:jc w:val="center"/>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16" w:type="pct"/>
                  <w:vMerge w:val="continue"/>
                  <w:noWrap w:val="0"/>
                  <w:vAlign w:val="center"/>
                </w:tcPr>
                <w:p>
                  <w:pPr>
                    <w:tabs>
                      <w:tab w:val="left" w:pos="1264"/>
                    </w:tabs>
                    <w:jc w:val="center"/>
                    <w:rPr>
                      <w:color w:val="auto"/>
                      <w:szCs w:val="21"/>
                    </w:rPr>
                  </w:pPr>
                </w:p>
              </w:tc>
              <w:tc>
                <w:tcPr>
                  <w:tcW w:w="509" w:type="pct"/>
                  <w:tcBorders>
                    <w:right w:val="single" w:color="auto" w:sz="4" w:space="0"/>
                  </w:tcBorders>
                  <w:noWrap w:val="0"/>
                  <w:vAlign w:val="center"/>
                </w:tcPr>
                <w:p>
                  <w:pPr>
                    <w:widowControl/>
                    <w:jc w:val="center"/>
                    <w:rPr>
                      <w:color w:val="auto"/>
                      <w:szCs w:val="21"/>
                    </w:rPr>
                  </w:pPr>
                  <w:r>
                    <w:rPr>
                      <w:color w:val="auto"/>
                      <w:szCs w:val="21"/>
                    </w:rPr>
                    <w:t>环境风险防控</w:t>
                  </w:r>
                </w:p>
              </w:tc>
              <w:tc>
                <w:tcPr>
                  <w:tcW w:w="2346" w:type="pct"/>
                  <w:tcBorders>
                    <w:left w:val="single" w:color="auto" w:sz="4" w:space="0"/>
                    <w:right w:val="single" w:color="auto" w:sz="4" w:space="0"/>
                  </w:tcBorders>
                  <w:noWrap w:val="0"/>
                  <w:vAlign w:val="center"/>
                </w:tcPr>
                <w:p>
                  <w:pPr>
                    <w:jc w:val="center"/>
                    <w:rPr>
                      <w:rFonts w:hint="eastAsia"/>
                      <w:color w:val="auto"/>
                      <w:szCs w:val="21"/>
                    </w:rPr>
                  </w:pPr>
                  <w:r>
                    <w:rPr>
                      <w:rFonts w:hint="eastAsia"/>
                      <w:color w:val="auto"/>
                      <w:szCs w:val="21"/>
                    </w:rPr>
                    <w:t>1.定期评估地下水环境安全隐患，检查重点工业企业周边地下水污染状况，并定期公布污染地下水的企业名单。公布环境风险大、严重影响公众健康的地下水污染场地清单，开展修复试点。</w:t>
                  </w:r>
                </w:p>
                <w:p>
                  <w:pPr>
                    <w:jc w:val="center"/>
                    <w:rPr>
                      <w:rFonts w:hint="eastAsia"/>
                      <w:color w:val="auto"/>
                      <w:szCs w:val="21"/>
                    </w:rPr>
                  </w:pPr>
                  <w:r>
                    <w:rPr>
                      <w:rFonts w:hint="eastAsia"/>
                      <w:color w:val="auto"/>
                      <w:szCs w:val="21"/>
                    </w:rPr>
                    <w:t>2.重点排污单位应当根据所在地重污染天气应急预案，编制本单位重污染天气应急响应方案。</w:t>
                  </w:r>
                </w:p>
                <w:p>
                  <w:pPr>
                    <w:jc w:val="center"/>
                    <w:rPr>
                      <w:color w:val="auto"/>
                      <w:szCs w:val="21"/>
                    </w:rPr>
                  </w:pPr>
                  <w:r>
                    <w:rPr>
                      <w:rFonts w:hint="eastAsia"/>
                      <w:color w:val="auto"/>
                      <w:szCs w:val="21"/>
                    </w:rPr>
                    <w:t>3.土壤环境重点监管企业全部纳入监督性环境监测范围，重点监测污染物为镉、汞、砷、铅、铬等重金属和多环芳烃、石油类等有机污染物。土壤环境监管重点行业企业拆除生产设施设备、构筑物和污染治理设施，要事先制定残留污染物清理和安全处置方案，并报所在地环境保护、工业和信息化部门备案；要严格按照有关规定实施安全处理处置，防范拆除活动污染土壤</w:t>
                  </w:r>
                  <w:r>
                    <w:rPr>
                      <w:color w:val="auto"/>
                      <w:szCs w:val="21"/>
                    </w:rPr>
                    <w:t>。</w:t>
                  </w:r>
                </w:p>
                <w:p>
                  <w:pPr>
                    <w:widowControl/>
                    <w:jc w:val="center"/>
                    <w:rPr>
                      <w:color w:val="auto"/>
                      <w:szCs w:val="21"/>
                    </w:rPr>
                  </w:pPr>
                </w:p>
              </w:tc>
              <w:tc>
                <w:tcPr>
                  <w:tcW w:w="1087" w:type="pct"/>
                  <w:tcBorders>
                    <w:left w:val="single" w:color="auto" w:sz="4" w:space="0"/>
                  </w:tcBorders>
                  <w:noWrap w:val="0"/>
                  <w:vAlign w:val="center"/>
                </w:tcPr>
                <w:p>
                  <w:pPr>
                    <w:widowControl/>
                    <w:jc w:val="center"/>
                    <w:rPr>
                      <w:rFonts w:hint="eastAsia"/>
                      <w:color w:val="auto"/>
                      <w:kern w:val="0"/>
                      <w:szCs w:val="21"/>
                      <w:lang w:eastAsia="zh-CN"/>
                    </w:rPr>
                  </w:pPr>
                  <w:r>
                    <w:rPr>
                      <w:color w:val="auto"/>
                      <w:kern w:val="0"/>
                      <w:szCs w:val="21"/>
                    </w:rPr>
                    <w:t>项目不涉</w:t>
                  </w:r>
                  <w:r>
                    <w:rPr>
                      <w:rFonts w:hint="eastAsia"/>
                      <w:color w:val="auto"/>
                      <w:kern w:val="0"/>
                      <w:szCs w:val="21"/>
                      <w:lang w:eastAsia="zh-CN"/>
                    </w:rPr>
                    <w:t>及重金属、多环芳烃、石油类等土壤环境重点监管污染物。</w:t>
                  </w:r>
                </w:p>
                <w:p>
                  <w:pPr>
                    <w:widowControl/>
                    <w:jc w:val="center"/>
                    <w:rPr>
                      <w:color w:val="auto"/>
                      <w:kern w:val="0"/>
                      <w:szCs w:val="21"/>
                    </w:rPr>
                  </w:pPr>
                </w:p>
              </w:tc>
              <w:tc>
                <w:tcPr>
                  <w:tcW w:w="339" w:type="pct"/>
                  <w:noWrap w:val="0"/>
                  <w:vAlign w:val="center"/>
                </w:tcPr>
                <w:p>
                  <w:pPr>
                    <w:tabs>
                      <w:tab w:val="left" w:pos="1264"/>
                    </w:tabs>
                    <w:jc w:val="center"/>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16" w:type="pct"/>
                  <w:vMerge w:val="continue"/>
                  <w:noWrap w:val="0"/>
                  <w:vAlign w:val="center"/>
                </w:tcPr>
                <w:p>
                  <w:pPr>
                    <w:tabs>
                      <w:tab w:val="left" w:pos="1264"/>
                    </w:tabs>
                    <w:jc w:val="center"/>
                    <w:rPr>
                      <w:color w:val="auto"/>
                      <w:szCs w:val="21"/>
                    </w:rPr>
                  </w:pPr>
                </w:p>
              </w:tc>
              <w:tc>
                <w:tcPr>
                  <w:tcW w:w="509" w:type="pct"/>
                  <w:tcBorders>
                    <w:right w:val="single" w:color="auto" w:sz="4" w:space="0"/>
                  </w:tcBorders>
                  <w:noWrap w:val="0"/>
                  <w:vAlign w:val="center"/>
                </w:tcPr>
                <w:p>
                  <w:pPr>
                    <w:widowControl/>
                    <w:jc w:val="center"/>
                    <w:rPr>
                      <w:color w:val="auto"/>
                      <w:szCs w:val="21"/>
                    </w:rPr>
                  </w:pPr>
                  <w:r>
                    <w:rPr>
                      <w:color w:val="auto"/>
                      <w:szCs w:val="21"/>
                    </w:rPr>
                    <w:t>资源利用效率</w:t>
                  </w:r>
                </w:p>
              </w:tc>
              <w:tc>
                <w:tcPr>
                  <w:tcW w:w="2346" w:type="pct"/>
                  <w:tcBorders>
                    <w:left w:val="single" w:color="auto" w:sz="4" w:space="0"/>
                    <w:right w:val="single" w:color="auto" w:sz="4" w:space="0"/>
                  </w:tcBorders>
                  <w:noWrap w:val="0"/>
                  <w:vAlign w:val="center"/>
                </w:tcPr>
                <w:p>
                  <w:pPr>
                    <w:jc w:val="center"/>
                    <w:rPr>
                      <w:color w:val="auto"/>
                      <w:szCs w:val="21"/>
                    </w:rPr>
                  </w:pPr>
                  <w:r>
                    <w:rPr>
                      <w:rFonts w:hint="eastAsia"/>
                      <w:color w:val="auto"/>
                      <w:szCs w:val="21"/>
                    </w:rPr>
                    <w:t>强化工业水循环利用。推进加强洗煤废水循环利用。在高耗水行业开展试点示范，筛选具有明显经济效益的节水治污技术。鼓励纺织印染、石油石化、煤化工等高耗水企业废水深度处理回用。具备使用再生水条件但未充分利用的项目，不得批准其新增取水许可。</w:t>
                  </w:r>
                </w:p>
              </w:tc>
              <w:tc>
                <w:tcPr>
                  <w:tcW w:w="1087" w:type="pct"/>
                  <w:tcBorders>
                    <w:left w:val="single" w:color="auto" w:sz="4" w:space="0"/>
                  </w:tcBorders>
                  <w:noWrap w:val="0"/>
                  <w:vAlign w:val="center"/>
                </w:tcPr>
                <w:p>
                  <w:pPr>
                    <w:widowControl/>
                    <w:rPr>
                      <w:rFonts w:hint="default"/>
                      <w:lang w:val="en-US" w:eastAsia="zh-CN"/>
                    </w:rPr>
                  </w:pPr>
                  <w:r>
                    <w:rPr>
                      <w:rFonts w:hint="eastAsia"/>
                      <w:color w:val="auto"/>
                      <w:szCs w:val="21"/>
                      <w:lang w:eastAsia="zh-CN"/>
                    </w:rPr>
                    <w:t>本项目生产用水经</w:t>
                  </w:r>
                  <w:r>
                    <w:rPr>
                      <w:rFonts w:hint="eastAsia"/>
                      <w:color w:val="auto"/>
                      <w:szCs w:val="21"/>
                      <w:lang w:val="en-US" w:eastAsia="zh-CN"/>
                    </w:rPr>
                    <w:t>三级</w:t>
                  </w:r>
                  <w:r>
                    <w:rPr>
                      <w:rFonts w:hint="eastAsia"/>
                      <w:color w:val="auto"/>
                      <w:szCs w:val="21"/>
                      <w:lang w:eastAsia="zh-CN"/>
                    </w:rPr>
                    <w:t>沉淀池沉淀后</w:t>
                  </w:r>
                  <w:r>
                    <w:rPr>
                      <w:rFonts w:hint="eastAsia"/>
                      <w:color w:val="auto"/>
                      <w:szCs w:val="21"/>
                      <w:lang w:val="en-US" w:eastAsia="zh-CN"/>
                    </w:rPr>
                    <w:t>循环使用，不外排</w:t>
                  </w:r>
                  <w:r>
                    <w:rPr>
                      <w:rFonts w:hint="eastAsia"/>
                      <w:color w:val="auto"/>
                      <w:szCs w:val="21"/>
                      <w:lang w:eastAsia="zh-CN"/>
                    </w:rPr>
                    <w:t>。</w:t>
                  </w:r>
                </w:p>
              </w:tc>
              <w:tc>
                <w:tcPr>
                  <w:tcW w:w="339" w:type="pct"/>
                  <w:noWrap w:val="0"/>
                  <w:vAlign w:val="center"/>
                </w:tcPr>
                <w:p>
                  <w:pPr>
                    <w:tabs>
                      <w:tab w:val="left" w:pos="1264"/>
                    </w:tabs>
                    <w:jc w:val="center"/>
                    <w:rPr>
                      <w:color w:val="auto"/>
                      <w:szCs w:val="21"/>
                    </w:rPr>
                  </w:pPr>
                  <w:r>
                    <w:rPr>
                      <w:color w:val="auto"/>
                      <w:szCs w:val="21"/>
                    </w:rPr>
                    <w:t>符合</w:t>
                  </w:r>
                </w:p>
              </w:tc>
            </w:tr>
          </w:tbl>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b/>
                <w:color w:val="000000"/>
                <w:kern w:val="0"/>
                <w:sz w:val="24"/>
              </w:rPr>
            </w:pPr>
            <w:r>
              <w:rPr>
                <w:rFonts w:hint="eastAsia"/>
                <w:b/>
                <w:color w:val="000000"/>
                <w:kern w:val="0"/>
                <w:sz w:val="24"/>
                <w:lang w:val="en-US" w:eastAsia="zh-CN"/>
              </w:rPr>
              <w:t>2.</w:t>
            </w:r>
            <w:r>
              <w:rPr>
                <w:b/>
                <w:color w:val="000000"/>
                <w:kern w:val="0"/>
                <w:sz w:val="24"/>
              </w:rPr>
              <w:t>产业政策分析</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rPr>
            </w:pPr>
            <w:r>
              <w:rPr>
                <w:sz w:val="24"/>
              </w:rPr>
              <w:t>根据《产业结构调整指导目录（20</w:t>
            </w:r>
            <w:r>
              <w:rPr>
                <w:rFonts w:hint="eastAsia"/>
                <w:sz w:val="24"/>
                <w:lang w:val="en-US" w:eastAsia="zh-CN"/>
              </w:rPr>
              <w:t>24</w:t>
            </w:r>
            <w:r>
              <w:rPr>
                <w:sz w:val="24"/>
              </w:rPr>
              <w:t>本）》，本项目不属于限制类或淘汰类项目，属于允许建设项目，因此本项目的建设符合国家产业政策要求</w:t>
            </w:r>
            <w:r>
              <w:t>。</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b/>
                <w:color w:val="000000"/>
                <w:kern w:val="0"/>
                <w:sz w:val="24"/>
                <w:lang w:val="en-US" w:eastAsia="zh-CN"/>
              </w:rPr>
            </w:pPr>
            <w:r>
              <w:rPr>
                <w:rFonts w:hint="eastAsia" w:ascii="Times New Roman" w:hAnsi="Times New Roman" w:eastAsia="宋体" w:cs="Times New Roman"/>
                <w:b/>
                <w:color w:val="000000"/>
                <w:kern w:val="0"/>
                <w:sz w:val="24"/>
                <w:lang w:val="en-US" w:eastAsia="zh-CN"/>
              </w:rPr>
              <w:t>3.建设选址环境及规划符合性分析</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本项目位于新疆巴州轮台县G314国道北侧600米处，土地为工业用地，本项目用地符合《轮台县国土空间总体规划（2021—2035年）》中土地利用规划。</w:t>
            </w:r>
          </w:p>
          <w:p>
            <w:pPr>
              <w:spacing w:line="500" w:lineRule="exact"/>
              <w:ind w:firstLine="482" w:firstLineChars="200"/>
              <w:rPr>
                <w:rFonts w:hint="eastAsia" w:ascii="宋体" w:hAnsi="宋体" w:cs="宋体"/>
                <w:b/>
                <w:color w:val="000000"/>
                <w:kern w:val="0"/>
                <w:sz w:val="24"/>
                <w:lang w:bidi="ar"/>
              </w:rPr>
            </w:pPr>
            <w:r>
              <w:rPr>
                <w:rFonts w:hint="eastAsia" w:ascii="宋体" w:hAnsi="宋体" w:cs="宋体"/>
                <w:b/>
                <w:color w:val="000000"/>
                <w:kern w:val="0"/>
                <w:sz w:val="24"/>
                <w:lang w:val="en-US" w:eastAsia="zh-CN" w:bidi="ar"/>
              </w:rPr>
              <w:t>4.</w:t>
            </w:r>
            <w:r>
              <w:rPr>
                <w:rFonts w:hint="eastAsia" w:ascii="宋体" w:hAnsi="宋体" w:cs="宋体"/>
                <w:b/>
                <w:color w:val="000000"/>
                <w:kern w:val="0"/>
                <w:sz w:val="24"/>
                <w:lang w:bidi="ar"/>
              </w:rPr>
              <w:t>环境管理政策分析</w:t>
            </w:r>
          </w:p>
          <w:p>
            <w:pPr>
              <w:spacing w:line="500" w:lineRule="exact"/>
              <w:jc w:val="center"/>
              <w:rPr>
                <w:rFonts w:hint="eastAsia" w:ascii="宋体" w:hAnsi="宋体" w:cs="宋体"/>
                <w:b/>
                <w:bCs/>
                <w:sz w:val="24"/>
              </w:rPr>
            </w:pPr>
            <w:r>
              <w:rPr>
                <w:rFonts w:hint="eastAsia" w:ascii="宋体" w:hAnsi="宋体" w:cs="宋体"/>
                <w:b/>
                <w:bCs/>
                <w:sz w:val="24"/>
              </w:rPr>
              <w:t>表</w:t>
            </w:r>
            <w:r>
              <w:rPr>
                <w:rFonts w:hint="eastAsia" w:ascii="宋体" w:hAnsi="宋体" w:cs="宋体"/>
                <w:b/>
                <w:bCs/>
                <w:sz w:val="24"/>
                <w:lang w:val="en-US" w:eastAsia="zh-CN"/>
              </w:rPr>
              <w:t>1-4</w:t>
            </w:r>
            <w:r>
              <w:rPr>
                <w:rFonts w:hint="eastAsia" w:ascii="宋体" w:hAnsi="宋体" w:cs="宋体"/>
                <w:b/>
                <w:bCs/>
                <w:sz w:val="24"/>
              </w:rPr>
              <w:t xml:space="preserve">    环境管理政策相符性分析</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2387"/>
              <w:gridCol w:w="1771"/>
              <w:gridCol w:w="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noWrap w:val="0"/>
                  <w:vAlign w:val="center"/>
                </w:tcPr>
                <w:p>
                  <w:pPr>
                    <w:pStyle w:val="53"/>
                    <w:spacing w:line="360" w:lineRule="auto"/>
                    <w:jc w:val="center"/>
                    <w:rPr>
                      <w:sz w:val="21"/>
                      <w:szCs w:val="21"/>
                    </w:rPr>
                  </w:pPr>
                  <w:r>
                    <w:rPr>
                      <w:rFonts w:hint="eastAsia"/>
                      <w:sz w:val="21"/>
                      <w:szCs w:val="21"/>
                    </w:rPr>
                    <w:t>文件</w:t>
                  </w:r>
                </w:p>
              </w:tc>
              <w:tc>
                <w:tcPr>
                  <w:tcW w:w="1908" w:type="pct"/>
                  <w:noWrap w:val="0"/>
                  <w:vAlign w:val="center"/>
                </w:tcPr>
                <w:p>
                  <w:pPr>
                    <w:pStyle w:val="53"/>
                    <w:spacing w:line="360" w:lineRule="auto"/>
                    <w:jc w:val="center"/>
                    <w:rPr>
                      <w:sz w:val="21"/>
                      <w:szCs w:val="21"/>
                    </w:rPr>
                  </w:pPr>
                  <w:r>
                    <w:rPr>
                      <w:rFonts w:hint="eastAsia"/>
                      <w:sz w:val="21"/>
                      <w:szCs w:val="21"/>
                    </w:rPr>
                    <w:t>环境管理政策要求</w:t>
                  </w:r>
                </w:p>
              </w:tc>
              <w:tc>
                <w:tcPr>
                  <w:tcW w:w="1415" w:type="pct"/>
                  <w:noWrap w:val="0"/>
                  <w:vAlign w:val="center"/>
                </w:tcPr>
                <w:p>
                  <w:pPr>
                    <w:pStyle w:val="53"/>
                    <w:spacing w:line="360" w:lineRule="auto"/>
                    <w:jc w:val="center"/>
                    <w:rPr>
                      <w:sz w:val="21"/>
                      <w:szCs w:val="21"/>
                    </w:rPr>
                  </w:pPr>
                  <w:r>
                    <w:rPr>
                      <w:rFonts w:hint="eastAsia"/>
                      <w:sz w:val="21"/>
                      <w:szCs w:val="21"/>
                    </w:rPr>
                    <w:t>本项目情况</w:t>
                  </w:r>
                </w:p>
              </w:tc>
              <w:tc>
                <w:tcPr>
                  <w:tcW w:w="340" w:type="pct"/>
                  <w:noWrap w:val="0"/>
                  <w:vAlign w:val="center"/>
                </w:tcPr>
                <w:p>
                  <w:pPr>
                    <w:pStyle w:val="53"/>
                    <w:spacing w:line="360" w:lineRule="auto"/>
                    <w:jc w:val="center"/>
                    <w:rPr>
                      <w:sz w:val="21"/>
                      <w:szCs w:val="21"/>
                    </w:rPr>
                  </w:pPr>
                  <w:r>
                    <w:rPr>
                      <w:rFonts w:hint="eastAsia"/>
                      <w:sz w:val="21"/>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noWrap w:val="0"/>
                  <w:vAlign w:val="center"/>
                </w:tcPr>
                <w:p>
                  <w:pPr>
                    <w:keepLines/>
                    <w:pageBreakBefore w:val="0"/>
                    <w:widowControl w:val="0"/>
                    <w:kinsoku/>
                    <w:bidi w:val="0"/>
                    <w:spacing w:line="240" w:lineRule="auto"/>
                    <w:jc w:val="center"/>
                    <w:rPr>
                      <w:rFonts w:hint="eastAsia"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rPr>
                    <w:t>《新疆维吾尔自治区国民经济和社会发展第十四个五年规划和2035年远景目标纲要》</w:t>
                  </w:r>
                </w:p>
              </w:tc>
              <w:tc>
                <w:tcPr>
                  <w:tcW w:w="1908"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大力实施建材产业绿色化、智能化升级改造，加快推进装配式建筑和建材部品化，以及交通、水利、装备等水泥构件发展。</w:t>
                  </w:r>
                </w:p>
              </w:tc>
              <w:tc>
                <w:tcPr>
                  <w:tcW w:w="1415"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rPr>
                    <w:t>本项目产品为</w:t>
                  </w:r>
                  <w:r>
                    <w:rPr>
                      <w:rFonts w:hint="eastAsia" w:ascii="Times New Roman" w:hAnsi="Times New Roman" w:eastAsia="宋体" w:cs="Times New Roman"/>
                      <w:color w:val="000000"/>
                      <w:sz w:val="21"/>
                      <w:szCs w:val="21"/>
                      <w:highlight w:val="none"/>
                      <w:lang w:val="en-US" w:eastAsia="zh-CN"/>
                    </w:rPr>
                    <w:t>商品</w:t>
                  </w:r>
                  <w:r>
                    <w:rPr>
                      <w:rFonts w:hint="default" w:ascii="Times New Roman" w:hAnsi="Times New Roman" w:eastAsia="宋体" w:cs="Times New Roman"/>
                      <w:color w:val="000000"/>
                      <w:sz w:val="21"/>
                      <w:szCs w:val="21"/>
                      <w:highlight w:val="none"/>
                      <w:lang w:val="en-US" w:eastAsia="zh-CN"/>
                    </w:rPr>
                    <w:t>混凝土</w:t>
                  </w:r>
                  <w:r>
                    <w:rPr>
                      <w:rFonts w:hint="default" w:ascii="Times New Roman" w:hAnsi="Times New Roman" w:eastAsia="宋体" w:cs="Times New Roman"/>
                      <w:color w:val="000000"/>
                      <w:sz w:val="21"/>
                      <w:szCs w:val="21"/>
                      <w:highlight w:val="none"/>
                    </w:rPr>
                    <w:t>，对提高建筑工程质量有着重要意义，符合自治区政策</w:t>
                  </w:r>
                  <w:r>
                    <w:rPr>
                      <w:rFonts w:hint="default" w:ascii="Times New Roman" w:hAnsi="Times New Roman" w:eastAsia="宋体" w:cs="Times New Roman"/>
                      <w:color w:val="000000"/>
                      <w:sz w:val="21"/>
                      <w:szCs w:val="21"/>
                      <w:highlight w:val="none"/>
                      <w:lang w:eastAsia="zh-CN"/>
                    </w:rPr>
                    <w:t>。</w:t>
                  </w:r>
                </w:p>
              </w:tc>
              <w:tc>
                <w:tcPr>
                  <w:tcW w:w="340" w:type="pct"/>
                  <w:noWrap w:val="0"/>
                  <w:vAlign w:val="center"/>
                </w:tcPr>
                <w:p>
                  <w:pPr>
                    <w:pStyle w:val="53"/>
                    <w:spacing w:line="360" w:lineRule="auto"/>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vMerge w:val="restart"/>
                  <w:noWrap w:val="0"/>
                  <w:vAlign w:val="center"/>
                </w:tcPr>
                <w:p>
                  <w:pPr>
                    <w:pStyle w:val="53"/>
                    <w:spacing w:line="320" w:lineRule="exact"/>
                    <w:jc w:val="center"/>
                    <w:rPr>
                      <w:rFonts w:hint="eastAsia" w:ascii="Times New Roman" w:eastAsia="宋体" w:cs="Times New Roman"/>
                      <w:sz w:val="21"/>
                      <w:szCs w:val="21"/>
                      <w:lang w:eastAsia="zh-CN"/>
                    </w:rPr>
                  </w:pPr>
                  <w:r>
                    <w:rPr>
                      <w:rFonts w:hint="eastAsia" w:ascii="Times New Roman" w:eastAsia="宋体" w:cs="Times New Roman"/>
                      <w:sz w:val="21"/>
                      <w:szCs w:val="21"/>
                      <w:lang w:eastAsia="zh-CN"/>
                    </w:rPr>
                    <w:t>《新疆维吾尔自治区大气污染防治条例》</w:t>
                  </w:r>
                </w:p>
              </w:tc>
              <w:tc>
                <w:tcPr>
                  <w:tcW w:w="1908" w:type="pct"/>
                  <w:noWrap w:val="0"/>
                  <w:vAlign w:val="center"/>
                </w:tcPr>
                <w:p>
                  <w:pPr>
                    <w:pStyle w:val="53"/>
                    <w:spacing w:line="320" w:lineRule="exact"/>
                    <w:jc w:val="center"/>
                    <w:rPr>
                      <w:rFonts w:hint="eastAsia" w:ascii="Times New Roman" w:eastAsia="宋体" w:cs="Times New Roman"/>
                      <w:sz w:val="21"/>
                      <w:szCs w:val="21"/>
                      <w:lang w:eastAsia="zh-CN"/>
                    </w:rPr>
                  </w:pPr>
                  <w:r>
                    <w:rPr>
                      <w:rFonts w:hint="eastAsia" w:ascii="Times New Roman" w:cs="Times New Roman"/>
                      <w:sz w:val="21"/>
                      <w:szCs w:val="21"/>
                    </w:rPr>
                    <w:t>推进城市建成区、工业园区实行集中供热，使用清洁燃料。在集中供热管网覆盖区域内，禁止新建、改建、扩建燃煤供热锅炉</w:t>
                  </w:r>
                  <w:r>
                    <w:rPr>
                      <w:rFonts w:hint="eastAsia" w:ascii="Times New Roman" w:cs="Times New Roman"/>
                      <w:sz w:val="21"/>
                      <w:szCs w:val="21"/>
                      <w:lang w:eastAsia="zh-CN"/>
                    </w:rPr>
                    <w:t>，在</w:t>
                  </w:r>
                  <w:r>
                    <w:rPr>
                      <w:rFonts w:hint="eastAsia" w:ascii="Times New Roman" w:cs="Times New Roman"/>
                      <w:sz w:val="21"/>
                      <w:szCs w:val="21"/>
                    </w:rPr>
                    <w:t>集中供热管网覆盖前，已建成使用的燃煤供热锅炉应当限期停止使用</w:t>
                  </w:r>
                  <w:r>
                    <w:rPr>
                      <w:rFonts w:hint="eastAsia" w:ascii="Times New Roman" w:cs="Times New Roman"/>
                      <w:sz w:val="21"/>
                      <w:szCs w:val="21"/>
                      <w:lang w:eastAsia="zh-CN"/>
                    </w:rPr>
                    <w:t>。</w:t>
                  </w:r>
                </w:p>
              </w:tc>
              <w:tc>
                <w:tcPr>
                  <w:tcW w:w="1415" w:type="pct"/>
                  <w:noWrap w:val="0"/>
                  <w:vAlign w:val="center"/>
                </w:tcPr>
                <w:p>
                  <w:pPr>
                    <w:pStyle w:val="53"/>
                    <w:spacing w:line="320" w:lineRule="exact"/>
                    <w:jc w:val="center"/>
                    <w:rPr>
                      <w:rFonts w:hint="eastAsia" w:ascii="Times New Roman" w:eastAsia="宋体" w:cs="Times New Roman"/>
                      <w:sz w:val="21"/>
                      <w:szCs w:val="21"/>
                      <w:lang w:val="en-US" w:eastAsia="zh-CN"/>
                    </w:rPr>
                  </w:pPr>
                  <w:r>
                    <w:rPr>
                      <w:rFonts w:ascii="Times New Roman" w:cs="Times New Roman"/>
                      <w:sz w:val="21"/>
                      <w:szCs w:val="21"/>
                    </w:rPr>
                    <w:t>本项目</w:t>
                  </w:r>
                  <w:r>
                    <w:rPr>
                      <w:rFonts w:hint="eastAsia" w:ascii="Times New Roman" w:cs="Times New Roman"/>
                      <w:sz w:val="21"/>
                      <w:szCs w:val="21"/>
                      <w:lang w:val="en-US" w:eastAsia="zh-CN"/>
                    </w:rPr>
                    <w:t>生活</w:t>
                  </w:r>
                  <w:r>
                    <w:rPr>
                      <w:rFonts w:ascii="Times New Roman" w:cs="Times New Roman"/>
                      <w:sz w:val="21"/>
                      <w:szCs w:val="21"/>
                    </w:rPr>
                    <w:t>使用电采暖供暖，属于清洁取暖</w:t>
                  </w:r>
                  <w:r>
                    <w:rPr>
                      <w:rFonts w:hint="eastAsia" w:ascii="Times New Roman" w:cs="Times New Roman"/>
                      <w:sz w:val="21"/>
                      <w:szCs w:val="21"/>
                      <w:lang w:eastAsia="zh-CN"/>
                    </w:rPr>
                    <w:t>。</w:t>
                  </w:r>
                </w:p>
              </w:tc>
              <w:tc>
                <w:tcPr>
                  <w:tcW w:w="340" w:type="pct"/>
                  <w:noWrap w:val="0"/>
                  <w:vAlign w:val="center"/>
                </w:tcPr>
                <w:p>
                  <w:pPr>
                    <w:pStyle w:val="53"/>
                    <w:spacing w:line="360" w:lineRule="auto"/>
                    <w:jc w:val="center"/>
                    <w:rPr>
                      <w:rFonts w:hint="eastAsia"/>
                      <w:sz w:val="21"/>
                      <w:szCs w:val="21"/>
                      <w:lang w:eastAsia="zh-CN"/>
                    </w:rPr>
                  </w:pPr>
                  <w:r>
                    <w:rPr>
                      <w:rFonts w:hint="eastAsia"/>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vMerge w:val="continue"/>
                  <w:noWrap w:val="0"/>
                  <w:vAlign w:val="center"/>
                </w:tcPr>
                <w:p>
                  <w:pPr>
                    <w:pStyle w:val="53"/>
                    <w:spacing w:line="320" w:lineRule="exact"/>
                    <w:jc w:val="center"/>
                    <w:rPr>
                      <w:rFonts w:hint="eastAsia" w:ascii="Times New Roman" w:eastAsia="宋体" w:cs="Times New Roman"/>
                      <w:sz w:val="21"/>
                      <w:szCs w:val="21"/>
                      <w:lang w:eastAsia="zh-CN"/>
                    </w:rPr>
                  </w:pPr>
                </w:p>
              </w:tc>
              <w:tc>
                <w:tcPr>
                  <w:tcW w:w="1908" w:type="pct"/>
                  <w:noWrap w:val="0"/>
                  <w:vAlign w:val="center"/>
                </w:tcPr>
                <w:p>
                  <w:pPr>
                    <w:pStyle w:val="53"/>
                    <w:spacing w:line="320" w:lineRule="exact"/>
                    <w:jc w:val="center"/>
                    <w:rPr>
                      <w:rFonts w:hint="eastAsia" w:ascii="Times New Roman" w:eastAsia="宋体" w:cs="Times New Roman"/>
                      <w:sz w:val="21"/>
                      <w:szCs w:val="21"/>
                      <w:lang w:eastAsia="zh-CN"/>
                    </w:rPr>
                  </w:pPr>
                  <w:r>
                    <w:rPr>
                      <w:rFonts w:hint="eastAsia" w:ascii="Times New Roman" w:cs="Times New Roman"/>
                      <w:sz w:val="21"/>
                      <w:szCs w:val="21"/>
                    </w:rPr>
                    <w:t>禁止在自治区行政区域内引进能（水）耗不符合相关国家标准中准入值要求且污染物排放和环境风险防控不符合国家（地方）标准及有关产业准入条件的高污染（排放）、高能（水）耗、高环境风险的工业项目</w:t>
                  </w:r>
                  <w:r>
                    <w:rPr>
                      <w:rFonts w:hint="eastAsia" w:ascii="Times New Roman" w:cs="Times New Roman"/>
                      <w:sz w:val="21"/>
                      <w:szCs w:val="21"/>
                      <w:lang w:eastAsia="zh-CN"/>
                    </w:rPr>
                    <w:t>。</w:t>
                  </w:r>
                </w:p>
              </w:tc>
              <w:tc>
                <w:tcPr>
                  <w:tcW w:w="1415" w:type="pct"/>
                  <w:noWrap w:val="0"/>
                  <w:vAlign w:val="center"/>
                </w:tcPr>
                <w:p>
                  <w:pPr>
                    <w:pStyle w:val="53"/>
                    <w:spacing w:line="320" w:lineRule="exact"/>
                    <w:jc w:val="center"/>
                    <w:rPr>
                      <w:rFonts w:hint="eastAsia" w:ascii="Times New Roman" w:eastAsia="宋体" w:cs="Times New Roman"/>
                      <w:sz w:val="21"/>
                      <w:szCs w:val="21"/>
                      <w:lang w:eastAsia="zh-CN"/>
                    </w:rPr>
                  </w:pPr>
                  <w:r>
                    <w:rPr>
                      <w:rFonts w:hint="eastAsia" w:ascii="Times New Roman" w:eastAsia="宋体" w:cs="Times New Roman"/>
                      <w:sz w:val="21"/>
                      <w:szCs w:val="21"/>
                      <w:lang w:eastAsia="zh-CN"/>
                    </w:rPr>
                    <w:t>项目运营过程中会消耗电和新鲜水，用水来自市政管网，用电来自市政供电，不属于高耗能企业</w:t>
                  </w:r>
                  <w:r>
                    <w:rPr>
                      <w:rFonts w:hint="eastAsia" w:ascii="Times New Roman" w:cs="Times New Roman"/>
                      <w:sz w:val="21"/>
                      <w:szCs w:val="21"/>
                      <w:lang w:eastAsia="zh-CN"/>
                    </w:rPr>
                    <w:t>，不会突破地区资源利用配额。</w:t>
                  </w:r>
                </w:p>
              </w:tc>
              <w:tc>
                <w:tcPr>
                  <w:tcW w:w="340" w:type="pct"/>
                  <w:noWrap w:val="0"/>
                  <w:vAlign w:val="center"/>
                </w:tcPr>
                <w:p>
                  <w:pPr>
                    <w:pStyle w:val="53"/>
                    <w:spacing w:line="360" w:lineRule="auto"/>
                    <w:jc w:val="center"/>
                    <w:rPr>
                      <w:rFonts w:hint="eastAsia"/>
                      <w:sz w:val="21"/>
                      <w:szCs w:val="21"/>
                      <w:lang w:eastAsia="zh-CN"/>
                    </w:rPr>
                  </w:pPr>
                  <w:r>
                    <w:rPr>
                      <w:rFonts w:hint="eastAsia"/>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vMerge w:val="continue"/>
                  <w:noWrap w:val="0"/>
                  <w:vAlign w:val="center"/>
                </w:tcPr>
                <w:p>
                  <w:pPr>
                    <w:pStyle w:val="53"/>
                    <w:spacing w:line="320" w:lineRule="exact"/>
                    <w:jc w:val="center"/>
                    <w:rPr>
                      <w:rFonts w:hint="eastAsia" w:ascii="Times New Roman" w:eastAsia="宋体" w:cs="Times New Roman"/>
                      <w:sz w:val="21"/>
                      <w:szCs w:val="21"/>
                      <w:lang w:eastAsia="zh-CN"/>
                    </w:rPr>
                  </w:pPr>
                </w:p>
              </w:tc>
              <w:tc>
                <w:tcPr>
                  <w:tcW w:w="1908" w:type="pct"/>
                  <w:noWrap w:val="0"/>
                  <w:vAlign w:val="center"/>
                </w:tcPr>
                <w:p>
                  <w:pPr>
                    <w:pStyle w:val="53"/>
                    <w:spacing w:line="320" w:lineRule="exact"/>
                    <w:jc w:val="center"/>
                    <w:rPr>
                      <w:rFonts w:hint="eastAsia" w:ascii="Times New Roman" w:eastAsia="宋体" w:cs="Times New Roman"/>
                      <w:sz w:val="21"/>
                      <w:szCs w:val="21"/>
                      <w:lang w:eastAsia="zh-CN"/>
                    </w:rPr>
                  </w:pPr>
                  <w:r>
                    <w:rPr>
                      <w:rFonts w:hint="eastAsia" w:ascii="Times New Roman" w:cs="Times New Roman"/>
                      <w:sz w:val="21"/>
                      <w:szCs w:val="21"/>
                    </w:rPr>
                    <w:t>施工现场出口处应当设置车辆冲洗设施，施工车辆冲洗干净后方可上路行驶</w:t>
                  </w:r>
                  <w:r>
                    <w:rPr>
                      <w:rFonts w:hint="eastAsia" w:ascii="Times New Roman" w:cs="Times New Roman"/>
                      <w:sz w:val="21"/>
                      <w:szCs w:val="21"/>
                      <w:lang w:eastAsia="zh-CN"/>
                    </w:rPr>
                    <w:t>。</w:t>
                  </w:r>
                </w:p>
              </w:tc>
              <w:tc>
                <w:tcPr>
                  <w:tcW w:w="1415" w:type="pct"/>
                  <w:noWrap w:val="0"/>
                  <w:vAlign w:val="center"/>
                </w:tcPr>
                <w:p>
                  <w:pPr>
                    <w:pStyle w:val="53"/>
                    <w:spacing w:line="320" w:lineRule="exact"/>
                    <w:jc w:val="center"/>
                    <w:rPr>
                      <w:rFonts w:hint="eastAsia" w:ascii="Times New Roman" w:eastAsia="宋体" w:cs="Times New Roman"/>
                      <w:sz w:val="21"/>
                      <w:szCs w:val="21"/>
                      <w:lang w:eastAsia="zh-CN"/>
                    </w:rPr>
                  </w:pPr>
                  <w:r>
                    <w:rPr>
                      <w:rFonts w:hint="eastAsia" w:ascii="Times New Roman" w:eastAsia="宋体" w:cs="Times New Roman"/>
                      <w:sz w:val="21"/>
                      <w:szCs w:val="21"/>
                      <w:lang w:eastAsia="zh-CN"/>
                    </w:rPr>
                    <w:t>本项目施工设置有围栏遮挡、定期洒水抑尘、运输车辆和施工场地都有做好防尘措施，车辆驶出装、卸场地前用水将车冲洗干净</w:t>
                  </w:r>
                </w:p>
              </w:tc>
              <w:tc>
                <w:tcPr>
                  <w:tcW w:w="340" w:type="pct"/>
                  <w:noWrap w:val="0"/>
                  <w:vAlign w:val="center"/>
                </w:tcPr>
                <w:p>
                  <w:pPr>
                    <w:pStyle w:val="53"/>
                    <w:spacing w:line="360" w:lineRule="auto"/>
                    <w:jc w:val="center"/>
                    <w:rPr>
                      <w:rFonts w:hint="eastAsia"/>
                      <w:sz w:val="21"/>
                      <w:szCs w:val="21"/>
                      <w:lang w:eastAsia="zh-CN"/>
                    </w:rPr>
                  </w:pPr>
                  <w:r>
                    <w:rPr>
                      <w:rFonts w:hint="eastAsia"/>
                      <w:sz w:val="21"/>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noWrap w:val="0"/>
                  <w:vAlign w:val="center"/>
                </w:tcPr>
                <w:p>
                  <w:pPr>
                    <w:keepLines/>
                    <w:pageBreakBefore w:val="0"/>
                    <w:widowControl w:val="0"/>
                    <w:kinsoku/>
                    <w:bidi w:val="0"/>
                    <w:spacing w:line="240" w:lineRule="auto"/>
                    <w:jc w:val="center"/>
                    <w:rPr>
                      <w:rFonts w:hint="eastAsia" w:ascii="Times New Roman" w:eastAsia="宋体" w:cs="Times New Roman"/>
                      <w:sz w:val="21"/>
                      <w:szCs w:val="21"/>
                      <w:lang w:eastAsia="zh-CN"/>
                    </w:rPr>
                  </w:pPr>
                  <w:r>
                    <w:rPr>
                      <w:rFonts w:hint="default" w:ascii="Times New Roman" w:hAnsi="Times New Roman" w:eastAsia="宋体" w:cs="Times New Roman"/>
                      <w:color w:val="000000"/>
                      <w:sz w:val="21"/>
                      <w:szCs w:val="21"/>
                      <w:highlight w:val="none"/>
                    </w:rPr>
                    <w:t>《新疆生态环境保护</w:t>
                  </w:r>
                  <w:r>
                    <w:rPr>
                      <w:rFonts w:hint="eastAsia"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十四五</w:t>
                  </w:r>
                  <w:r>
                    <w:rPr>
                      <w:rFonts w:hint="eastAsia"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规划》</w:t>
                  </w:r>
                </w:p>
              </w:tc>
              <w:tc>
                <w:tcPr>
                  <w:tcW w:w="1908" w:type="pct"/>
                  <w:noWrap w:val="0"/>
                  <w:vAlign w:val="center"/>
                </w:tcPr>
                <w:p>
                  <w:pPr>
                    <w:keepLines/>
                    <w:pageBreakBefore w:val="0"/>
                    <w:widowControl w:val="0"/>
                    <w:kinsoku/>
                    <w:bidi w:val="0"/>
                    <w:spacing w:line="240" w:lineRule="auto"/>
                    <w:jc w:val="center"/>
                    <w:rPr>
                      <w:rFonts w:hint="eastAsia" w:ascii="Times New Roman" w:cs="Times New Roman"/>
                      <w:sz w:val="21"/>
                      <w:szCs w:val="21"/>
                    </w:rPr>
                  </w:pPr>
                  <w:r>
                    <w:rPr>
                      <w:rFonts w:hint="default" w:ascii="Times New Roman" w:hAnsi="Times New Roman" w:eastAsia="宋体" w:cs="Times New Roman"/>
                      <w:color w:val="000000"/>
                      <w:sz w:val="21"/>
                      <w:szCs w:val="21"/>
                      <w:highlight w:val="none"/>
                    </w:rPr>
                    <w:t>推进扬尘精细化管控。全面推行绿色施工，城市建成区建筑工地扬尘防控标准化管理全覆盖；加强城市道路清扫保洁和洒水抑尘</w:t>
                  </w:r>
                  <w:r>
                    <w:rPr>
                      <w:rFonts w:hint="default" w:ascii="Times New Roman" w:hAnsi="Times New Roman" w:cs="Times New Roman"/>
                      <w:color w:val="000000"/>
                      <w:sz w:val="21"/>
                      <w:szCs w:val="21"/>
                      <w:highlight w:val="none"/>
                      <w:lang w:eastAsia="zh-CN"/>
                    </w:rPr>
                    <w:t>，对</w:t>
                  </w:r>
                  <w:r>
                    <w:rPr>
                      <w:rFonts w:hint="default" w:ascii="Times New Roman" w:hAnsi="Times New Roman" w:eastAsia="宋体" w:cs="Times New Roman"/>
                      <w:color w:val="000000"/>
                      <w:sz w:val="21"/>
                      <w:szCs w:val="21"/>
                      <w:highlight w:val="none"/>
                    </w:rPr>
                    <w:t>渣土车实施硬覆盖；推进低尘机械化作业水平，控制道路扬尘污染；强化非道路移动源综合治理；充分运用新型、高效的防尘、降尘、除尘技术，加强矿山粉尘治理。</w:t>
                  </w:r>
                </w:p>
              </w:tc>
              <w:tc>
                <w:tcPr>
                  <w:tcW w:w="1415" w:type="pct"/>
                  <w:noWrap w:val="0"/>
                  <w:vAlign w:val="center"/>
                </w:tcPr>
                <w:p>
                  <w:pPr>
                    <w:keepLines/>
                    <w:pageBreakBefore w:val="0"/>
                    <w:widowControl w:val="0"/>
                    <w:kinsoku/>
                    <w:bidi w:val="0"/>
                    <w:spacing w:line="240" w:lineRule="auto"/>
                    <w:jc w:val="center"/>
                    <w:rPr>
                      <w:rFonts w:hint="eastAsia" w:ascii="Times New Roman" w:eastAsia="宋体" w:cs="Times New Roman"/>
                      <w:sz w:val="21"/>
                      <w:szCs w:val="21"/>
                      <w:lang w:eastAsia="zh-CN"/>
                    </w:rPr>
                  </w:pPr>
                  <w:r>
                    <w:rPr>
                      <w:rFonts w:hint="default" w:ascii="Times New Roman" w:hAnsi="Times New Roman" w:eastAsia="宋体" w:cs="Times New Roman"/>
                      <w:color w:val="000000"/>
                      <w:sz w:val="21"/>
                      <w:szCs w:val="21"/>
                      <w:highlight w:val="none"/>
                    </w:rPr>
                    <w:t>本项目</w:t>
                  </w:r>
                  <w:r>
                    <w:rPr>
                      <w:rFonts w:hint="eastAsia" w:ascii="Times New Roman" w:hAnsi="Times New Roman" w:eastAsia="宋体" w:cs="Times New Roman"/>
                      <w:color w:val="000000"/>
                      <w:sz w:val="21"/>
                      <w:szCs w:val="21"/>
                      <w:highlight w:val="none"/>
                      <w:lang w:val="en-US" w:eastAsia="zh-CN"/>
                    </w:rPr>
                    <w:t>设置封闭式砂石料仓</w:t>
                  </w:r>
                  <w:r>
                    <w:rPr>
                      <w:rFonts w:hint="default" w:ascii="Times New Roman" w:hAnsi="Times New Roman" w:eastAsia="宋体" w:cs="Times New Roman"/>
                      <w:color w:val="000000"/>
                      <w:sz w:val="21"/>
                      <w:szCs w:val="21"/>
                      <w:highlight w:val="none"/>
                    </w:rPr>
                    <w:t>，水泥、粉煤灰采取</w:t>
                  </w:r>
                  <w:r>
                    <w:rPr>
                      <w:rFonts w:hint="eastAsia" w:cs="Times New Roman"/>
                      <w:color w:val="000000"/>
                      <w:sz w:val="21"/>
                      <w:szCs w:val="21"/>
                      <w:highlight w:val="none"/>
                      <w:lang w:eastAsia="zh-CN"/>
                    </w:rPr>
                    <w:t>封闭式</w:t>
                  </w:r>
                  <w:r>
                    <w:rPr>
                      <w:rFonts w:hint="default" w:ascii="Times New Roman" w:hAnsi="Times New Roman" w:eastAsia="宋体" w:cs="Times New Roman"/>
                      <w:color w:val="000000"/>
                      <w:sz w:val="21"/>
                      <w:szCs w:val="21"/>
                      <w:highlight w:val="none"/>
                    </w:rPr>
                    <w:t>筒仓</w:t>
                  </w:r>
                  <w:r>
                    <w:rPr>
                      <w:rFonts w:hint="eastAsia" w:ascii="Times New Roman" w:hAnsi="Times New Roman" w:eastAsia="宋体" w:cs="Times New Roman"/>
                      <w:color w:val="000000"/>
                      <w:sz w:val="21"/>
                      <w:szCs w:val="21"/>
                      <w:highlight w:val="none"/>
                      <w:lang w:val="en-US" w:eastAsia="zh-CN"/>
                    </w:rPr>
                    <w:t>储存</w:t>
                  </w:r>
                  <w:r>
                    <w:rPr>
                      <w:rFonts w:hint="default" w:ascii="Times New Roman" w:hAnsi="Times New Roman" w:eastAsia="宋体" w:cs="Times New Roman"/>
                      <w:color w:val="000000"/>
                      <w:sz w:val="21"/>
                      <w:szCs w:val="21"/>
                      <w:highlight w:val="none"/>
                    </w:rPr>
                    <w:t>，</w:t>
                  </w:r>
                  <w:r>
                    <w:rPr>
                      <w:rFonts w:hint="eastAsia" w:ascii="Times New Roman" w:hAnsi="Times New Roman" w:eastAsia="宋体" w:cs="Times New Roman"/>
                      <w:color w:val="000000"/>
                      <w:sz w:val="21"/>
                      <w:szCs w:val="21"/>
                      <w:highlight w:val="none"/>
                      <w:lang w:val="en-US" w:eastAsia="zh-CN"/>
                    </w:rPr>
                    <w:t>筒仓顶</w:t>
                  </w:r>
                  <w:r>
                    <w:rPr>
                      <w:rFonts w:hint="default" w:ascii="Times New Roman" w:hAnsi="Times New Roman" w:eastAsia="宋体" w:cs="Times New Roman"/>
                      <w:color w:val="000000"/>
                      <w:sz w:val="21"/>
                      <w:szCs w:val="21"/>
                      <w:highlight w:val="none"/>
                    </w:rPr>
                    <w:t>安装</w:t>
                  </w:r>
                  <w:r>
                    <w:rPr>
                      <w:rFonts w:hint="eastAsia" w:ascii="Times New Roman" w:hAnsi="Times New Roman" w:eastAsia="宋体" w:cs="Times New Roman"/>
                      <w:color w:val="000000"/>
                      <w:sz w:val="21"/>
                      <w:szCs w:val="21"/>
                      <w:highlight w:val="none"/>
                      <w:lang w:val="en-US" w:eastAsia="zh-CN"/>
                    </w:rPr>
                    <w:t>有</w:t>
                  </w:r>
                  <w:r>
                    <w:rPr>
                      <w:rFonts w:hint="default" w:ascii="Times New Roman" w:hAnsi="Times New Roman" w:eastAsia="宋体" w:cs="Times New Roman"/>
                      <w:color w:val="000000"/>
                      <w:sz w:val="21"/>
                      <w:szCs w:val="21"/>
                      <w:highlight w:val="none"/>
                    </w:rPr>
                    <w:t>除尘设施</w:t>
                  </w:r>
                  <w:r>
                    <w:rPr>
                      <w:rFonts w:hint="eastAsia"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因此本项目运营产生的废气经处理后对环境空气质量影响较小</w:t>
                  </w:r>
                  <w:r>
                    <w:rPr>
                      <w:rFonts w:hint="default" w:ascii="Times New Roman" w:hAnsi="Times New Roman" w:eastAsia="宋体" w:cs="Times New Roman"/>
                      <w:color w:val="000000"/>
                      <w:sz w:val="21"/>
                      <w:szCs w:val="21"/>
                      <w:highlight w:val="none"/>
                      <w:lang w:eastAsia="zh-CN"/>
                    </w:rPr>
                    <w:t>。</w:t>
                  </w:r>
                </w:p>
              </w:tc>
              <w:tc>
                <w:tcPr>
                  <w:tcW w:w="340" w:type="pct"/>
                  <w:noWrap w:val="0"/>
                  <w:vAlign w:val="center"/>
                </w:tcPr>
                <w:p>
                  <w:pPr>
                    <w:pStyle w:val="53"/>
                    <w:spacing w:line="360" w:lineRule="auto"/>
                    <w:jc w:val="center"/>
                    <w:rPr>
                      <w:rFonts w:hint="default"/>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《新疆维吾尔自治区2025年空气质量持续改善行动实施方案》</w:t>
                  </w:r>
                </w:p>
              </w:tc>
              <w:tc>
                <w:tcPr>
                  <w:tcW w:w="1908" w:type="pct"/>
                  <w:noWrap w:val="0"/>
                  <w:vAlign w:val="center"/>
                </w:tcPr>
                <w:p>
                  <w:pPr>
                    <w:keepLines/>
                    <w:pageBreakBefore w:val="0"/>
                    <w:widowControl w:val="0"/>
                    <w:kinsoku/>
                    <w:bidi w:val="0"/>
                    <w:spacing w:line="240" w:lineRule="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rPr>
                    <w:t>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w:t>
                  </w:r>
                </w:p>
              </w:tc>
              <w:tc>
                <w:tcPr>
                  <w:tcW w:w="1415"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rPr>
                    <w:t>项目为C3021水泥制品制造，不属于</w:t>
                  </w:r>
                  <w:r>
                    <w:rPr>
                      <w:rFonts w:hint="eastAsia" w:ascii="Times New Roman" w:hAnsi="Times New Roman" w:eastAsia="宋体" w:cs="Times New Roman"/>
                      <w:color w:val="000000"/>
                      <w:sz w:val="21"/>
                      <w:szCs w:val="21"/>
                      <w:highlight w:val="none"/>
                      <w:lang w:eastAsia="zh-CN"/>
                    </w:rPr>
                    <w:t>高耗能、高排放、低水平项目，</w:t>
                  </w:r>
                  <w:r>
                    <w:rPr>
                      <w:rFonts w:hint="eastAsia" w:ascii="Times New Roman" w:hAnsi="Times New Roman" w:eastAsia="宋体" w:cs="Times New Roman"/>
                      <w:color w:val="000000"/>
                      <w:sz w:val="21"/>
                      <w:szCs w:val="21"/>
                      <w:highlight w:val="none"/>
                      <w:lang w:val="en-US" w:eastAsia="zh-CN"/>
                    </w:rPr>
                    <w:t>项目搅拌楼封闭，采取高效的除尘措施，减少污染物的排放。</w:t>
                  </w:r>
                </w:p>
              </w:tc>
              <w:tc>
                <w:tcPr>
                  <w:tcW w:w="340" w:type="pct"/>
                  <w:noWrap w:val="0"/>
                  <w:vAlign w:val="center"/>
                </w:tcPr>
                <w:p>
                  <w:pPr>
                    <w:keepLines/>
                    <w:pageBreakBefore w:val="0"/>
                    <w:widowControl w:val="0"/>
                    <w:kinsoku/>
                    <w:bidi w:val="0"/>
                    <w:spacing w:line="240" w:lineRule="auto"/>
                    <w:jc w:val="center"/>
                    <w:rPr>
                      <w:rFonts w:hint="eastAsia"/>
                      <w:sz w:val="21"/>
                      <w:szCs w:val="21"/>
                      <w:lang w:val="en-US" w:eastAsia="zh-CN"/>
                    </w:rPr>
                  </w:pPr>
                  <w:r>
                    <w:rPr>
                      <w:rFonts w:hint="default" w:ascii="Times New Roman" w:hAnsi="Times New Roman" w:eastAsia="宋体" w:cs="Times New Roman"/>
                      <w:color w:val="000000"/>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vMerge w:val="restar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《工业料堆场扬尘整治规范》（DB65T4061-2017）</w:t>
                  </w:r>
                </w:p>
              </w:tc>
              <w:tc>
                <w:tcPr>
                  <w:tcW w:w="1908" w:type="pct"/>
                  <w:noWrap w:val="0"/>
                  <w:vAlign w:val="center"/>
                </w:tcPr>
                <w:p>
                  <w:pPr>
                    <w:keepLines/>
                    <w:pageBreakBefore w:val="0"/>
                    <w:widowControl w:val="0"/>
                    <w:kinsoku/>
                    <w:topLinePunct/>
                    <w:bidi w:val="0"/>
                    <w:spacing w:line="240" w:lineRule="auto"/>
                    <w:rPr>
                      <w:rFonts w:hint="eastAsia"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对工业料堆场内装卸、运输等作业过程中，易产生扬尘污染的物料必须采取封闭、遮盖、洒水降尘措施，密闭输送物料必须在装料、卸料处配备吸尘、喷淋防尘措施。</w:t>
                  </w:r>
                </w:p>
              </w:tc>
              <w:tc>
                <w:tcPr>
                  <w:tcW w:w="1415" w:type="pct"/>
                  <w:noWrap w:val="0"/>
                  <w:vAlign w:val="center"/>
                </w:tcPr>
                <w:p>
                  <w:pPr>
                    <w:keepNext w:val="0"/>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ascii="Times New Roman" w:hAnsi="Times New Roman" w:eastAsia="宋体" w:cs="Times New Roman"/>
                      <w:color w:val="000000"/>
                      <w:sz w:val="21"/>
                      <w:szCs w:val="21"/>
                      <w:highlight w:val="none"/>
                    </w:rPr>
                  </w:pPr>
                  <w:r>
                    <w:rPr>
                      <w:rFonts w:hint="eastAsia" w:cs="Times New Roman"/>
                      <w:color w:val="000000"/>
                      <w:sz w:val="21"/>
                      <w:szCs w:val="21"/>
                      <w:highlight w:val="none"/>
                      <w:lang w:val="en-US" w:eastAsia="zh-CN"/>
                    </w:rPr>
                    <w:t>根据表1工业料堆场类型划分，根据《工业料堆场扬尘整治规范》（DB65/T4061-2017）中表1工业料场类型划分，本项目原材料堆仓属于Ⅱ、Ⅲ类型，砂石料堆放在封闭式堆仓内并配合洒水降尘，符合Ⅱ、Ⅲ类型工业料堆场扬尘防治方案，因此本项目原料储存要求可行。本项目砂石料堆放在封闭式堆仓内，且采购的砂石料均为出售厂家水洗、筛分干净的原料，夹杂的尘粒很少，颗粒较大，不易起尘，再配合洒水降尘，能有效减小堆存扬尘的污染</w:t>
                  </w:r>
                  <w:r>
                    <w:rPr>
                      <w:rFonts w:hint="default" w:ascii="Times New Roman" w:hAnsi="Times New Roman" w:eastAsia="宋体"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砂石料堆存</w:t>
                  </w:r>
                  <w:r>
                    <w:rPr>
                      <w:rFonts w:hint="default" w:ascii="Times New Roman" w:hAnsi="Times New Roman" w:eastAsia="宋体" w:cs="Times New Roman"/>
                      <w:color w:val="000000"/>
                      <w:sz w:val="21"/>
                      <w:szCs w:val="21"/>
                      <w:highlight w:val="none"/>
                      <w:lang w:val="en-US" w:eastAsia="zh-CN"/>
                    </w:rPr>
                    <w:t>在采取上述措施后，能实现厂界无组织颗粒物达标排放，措施可行</w:t>
                  </w:r>
                  <w:r>
                    <w:rPr>
                      <w:rFonts w:hint="eastAsia" w:ascii="Times New Roman" w:hAnsi="Times New Roman" w:eastAsia="宋体" w:cs="Times New Roman"/>
                      <w:color w:val="000000"/>
                      <w:sz w:val="21"/>
                      <w:szCs w:val="21"/>
                      <w:highlight w:val="none"/>
                      <w:lang w:val="en-US" w:eastAsia="zh-CN"/>
                    </w:rPr>
                    <w:t>。</w:t>
                  </w:r>
                </w:p>
              </w:tc>
              <w:tc>
                <w:tcPr>
                  <w:tcW w:w="340"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vMerge w:val="continue"/>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p>
              </w:tc>
              <w:tc>
                <w:tcPr>
                  <w:tcW w:w="1908" w:type="pct"/>
                  <w:noWrap w:val="0"/>
                  <w:vAlign w:val="center"/>
                </w:tcPr>
                <w:p>
                  <w:pPr>
                    <w:keepLines/>
                    <w:pageBreakBefore w:val="0"/>
                    <w:widowControl w:val="0"/>
                    <w:kinsoku/>
                    <w:topLinePunct/>
                    <w:bidi w:val="0"/>
                    <w:spacing w:line="240" w:lineRule="auto"/>
                    <w:jc w:val="center"/>
                    <w:rPr>
                      <w:rFonts w:hint="eastAsia"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工业料堆场的污染防治应从源头控制，减少堆存量，通过优化生产原料配置、厂区布置，提高管理水平、改善污染防治技术工艺、加强综合利用等措施减少环境污染。</w:t>
                  </w:r>
                </w:p>
              </w:tc>
              <w:tc>
                <w:tcPr>
                  <w:tcW w:w="1415" w:type="pct"/>
                  <w:noWrap w:val="0"/>
                  <w:vAlign w:val="center"/>
                </w:tcPr>
                <w:p>
                  <w:pPr>
                    <w:keepLines/>
                    <w:pageBreakBefore w:val="0"/>
                    <w:widowControl w:val="0"/>
                    <w:kinsoku/>
                    <w:topLinePunct/>
                    <w:bidi w:val="0"/>
                    <w:spacing w:line="240" w:lineRule="auto"/>
                    <w:jc w:val="center"/>
                    <w:rPr>
                      <w:rFonts w:hint="eastAsia"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本项目按照办公生活区、生产区分区布置，项目制定管理制度，管理比较规范。</w:t>
                  </w:r>
                  <w:r>
                    <w:rPr>
                      <w:rFonts w:hint="eastAsia" w:cs="Times New Roman"/>
                      <w:color w:val="000000"/>
                      <w:sz w:val="21"/>
                      <w:szCs w:val="21"/>
                      <w:highlight w:val="none"/>
                      <w:lang w:val="en-US" w:eastAsia="zh-CN"/>
                    </w:rPr>
                    <w:t>按照</w:t>
                  </w:r>
                  <w:r>
                    <w:rPr>
                      <w:rFonts w:hint="default" w:ascii="Times New Roman" w:hAnsi="Times New Roman" w:eastAsia="宋体" w:cs="Times New Roman"/>
                      <w:color w:val="000000"/>
                      <w:kern w:val="2"/>
                      <w:sz w:val="21"/>
                      <w:szCs w:val="21"/>
                      <w:highlight w:val="none"/>
                      <w:lang w:val="en-US" w:eastAsia="zh-CN" w:bidi="ar-SA"/>
                    </w:rPr>
                    <w:t>要求建设原料仓库（堆场）并采取相应的扬尘防治措施，工业料堆场应采用连续输送方式，严禁二次中转倒运。</w:t>
                  </w:r>
                </w:p>
              </w:tc>
              <w:tc>
                <w:tcPr>
                  <w:tcW w:w="340"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《自治州大气污染防治三年攻坚行动方案（2023－2025年）》（巴政发〔2023〕27号）</w:t>
                  </w:r>
                </w:p>
              </w:tc>
              <w:tc>
                <w:tcPr>
                  <w:tcW w:w="1908" w:type="pct"/>
                  <w:noWrap w:val="0"/>
                  <w:vAlign w:val="center"/>
                </w:tcPr>
                <w:p>
                  <w:pPr>
                    <w:pStyle w:val="40"/>
                    <w:keepLines/>
                    <w:pageBreakBefore w:val="0"/>
                    <w:widowControl w:val="0"/>
                    <w:kinsoku/>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整治搅拌站扬尘污染。住建部门加强预制搅拌站扬尘污染监管，落实</w:t>
                  </w:r>
                  <w:r>
                    <w:rPr>
                      <w:rFonts w:hint="eastAsia" w:ascii="Times New Roman" w:hAnsi="Times New Roman" w:eastAsia="宋体" w:cs="Times New Roman"/>
                      <w:color w:val="000000"/>
                      <w:sz w:val="21"/>
                      <w:szCs w:val="21"/>
                      <w:highlight w:val="none"/>
                      <w:lang w:eastAsia="zh-CN"/>
                    </w:rPr>
                    <w:t>原料堆仓</w:t>
                  </w:r>
                  <w:r>
                    <w:rPr>
                      <w:rFonts w:hint="default" w:ascii="Times New Roman" w:hAnsi="Times New Roman" w:eastAsia="宋体" w:cs="Times New Roman"/>
                      <w:color w:val="000000"/>
                      <w:sz w:val="21"/>
                      <w:szCs w:val="21"/>
                      <w:highlight w:val="none"/>
                    </w:rPr>
                    <w:t>、破碎、投料、传输、筛分、搅拌、出料全环节密闭；厂区和运输道路实现硬化，并洒水降尘；进出车辆苫盖冲洗，确保厂区内外无积尘。</w:t>
                  </w:r>
                </w:p>
              </w:tc>
              <w:tc>
                <w:tcPr>
                  <w:tcW w:w="1415" w:type="pct"/>
                  <w:noWrap w:val="0"/>
                  <w:vAlign w:val="center"/>
                </w:tcPr>
                <w:p>
                  <w:pPr>
                    <w:pStyle w:val="40"/>
                    <w:keepLines/>
                    <w:pageBreakBefore w:val="0"/>
                    <w:widowControl w:val="0"/>
                    <w:kinsoku/>
                    <w:bidi w:val="0"/>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本项目</w:t>
                  </w:r>
                  <w:r>
                    <w:rPr>
                      <w:rFonts w:hint="eastAsia" w:ascii="Times New Roman" w:hAnsi="Times New Roman" w:eastAsia="宋体" w:cs="Times New Roman"/>
                      <w:color w:val="000000"/>
                      <w:sz w:val="21"/>
                      <w:szCs w:val="21"/>
                      <w:highlight w:val="none"/>
                      <w:lang w:val="en-US" w:eastAsia="zh-CN"/>
                    </w:rPr>
                    <w:t>原料堆仓、</w:t>
                  </w:r>
                  <w:r>
                    <w:rPr>
                      <w:rFonts w:hint="default" w:ascii="Times New Roman" w:hAnsi="Times New Roman" w:eastAsia="宋体" w:cs="Times New Roman"/>
                      <w:color w:val="000000"/>
                      <w:sz w:val="21"/>
                      <w:szCs w:val="21"/>
                      <w:highlight w:val="none"/>
                    </w:rPr>
                    <w:t>传输、搅拌环节密闭</w:t>
                  </w:r>
                  <w:r>
                    <w:rPr>
                      <w:rFonts w:hint="default"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lang w:val="en-US" w:eastAsia="zh-CN"/>
                    </w:rPr>
                    <w:t>料仓</w:t>
                  </w:r>
                  <w:r>
                    <w:rPr>
                      <w:rFonts w:hint="eastAsia" w:ascii="Times New Roman" w:hAnsi="Times New Roman" w:eastAsia="宋体" w:cs="Times New Roman"/>
                      <w:color w:val="000000"/>
                      <w:sz w:val="21"/>
                      <w:szCs w:val="21"/>
                      <w:highlight w:val="none"/>
                      <w:lang w:val="en-US" w:eastAsia="zh-CN"/>
                    </w:rPr>
                    <w:t>封闭式</w:t>
                  </w:r>
                  <w:r>
                    <w:rPr>
                      <w:rFonts w:hint="default"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rPr>
                    <w:t>运输道路实现硬化，并洒水降尘；进出车辆苫盖冲洗，确保厂区内外无积尘</w:t>
                  </w:r>
                  <w:r>
                    <w:rPr>
                      <w:rFonts w:hint="default" w:ascii="Times New Roman" w:hAnsi="Times New Roman" w:eastAsia="宋体" w:cs="Times New Roman"/>
                      <w:color w:val="000000"/>
                      <w:sz w:val="21"/>
                      <w:szCs w:val="21"/>
                      <w:highlight w:val="none"/>
                      <w:lang w:eastAsia="zh-CN"/>
                    </w:rPr>
                    <w:t>。</w:t>
                  </w:r>
                </w:p>
              </w:tc>
              <w:tc>
                <w:tcPr>
                  <w:tcW w:w="340" w:type="pct"/>
                  <w:noWrap w:val="0"/>
                  <w:vAlign w:val="center"/>
                </w:tcPr>
                <w:p>
                  <w:pPr>
                    <w:keepLines/>
                    <w:pageBreakBefore w:val="0"/>
                    <w:widowControl w:val="0"/>
                    <w:kinsoku/>
                    <w:bidi w:val="0"/>
                    <w:spacing w:line="240" w:lineRule="auto"/>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符合</w:t>
                  </w:r>
                </w:p>
              </w:tc>
            </w:tr>
          </w:tbl>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p>
            <w:pPr>
              <w:autoSpaceDE w:val="0"/>
              <w:autoSpaceDN w:val="0"/>
              <w:adjustRightInd w:val="0"/>
              <w:snapToGrid w:val="0"/>
              <w:rPr>
                <w:rFonts w:ascii="宋体" w:hAnsi="宋体" w:cs="宋体"/>
                <w:kern w:val="0"/>
                <w:szCs w:val="21"/>
              </w:rPr>
            </w:pPr>
          </w:p>
        </w:tc>
      </w:tr>
    </w:tbl>
    <w:p>
      <w:pPr>
        <w:spacing w:line="360" w:lineRule="auto"/>
        <w:outlineLvl w:val="0"/>
        <w:rPr>
          <w:rFonts w:eastAsia="黑体"/>
          <w:sz w:val="30"/>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18"/>
        <w:jc w:val="center"/>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86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48" w:type="pct"/>
            <w:noWrap w:val="0"/>
            <w:vAlign w:val="center"/>
          </w:tcPr>
          <w:p>
            <w:pPr>
              <w:pStyle w:val="18"/>
              <w:adjustRightInd w:val="0"/>
              <w:snapToGrid w:val="0"/>
              <w:spacing w:before="0" w:beforeAutospacing="0" w:after="0" w:afterAutospacing="0"/>
              <w:jc w:val="center"/>
              <w:rPr>
                <w:rFonts w:cs="宋体"/>
                <w:sz w:val="21"/>
                <w:szCs w:val="21"/>
              </w:rPr>
            </w:pPr>
            <w:r>
              <w:rPr>
                <w:rFonts w:hint="eastAsia" w:cs="宋体"/>
                <w:sz w:val="21"/>
                <w:szCs w:val="21"/>
              </w:rPr>
              <w:t>建设内容</w:t>
            </w:r>
          </w:p>
        </w:tc>
        <w:tc>
          <w:tcPr>
            <w:tcW w:w="4751" w:type="pct"/>
            <w:noWrap w:val="0"/>
            <w:vAlign w:val="top"/>
          </w:tcPr>
          <w:p>
            <w:pPr>
              <w:spacing w:line="500" w:lineRule="exact"/>
              <w:rPr>
                <w:rFonts w:hint="eastAsia" w:ascii="宋体" w:hAnsi="宋体" w:eastAsia="宋体" w:cs="宋体"/>
                <w:b/>
                <w:bCs/>
                <w:sz w:val="24"/>
                <w:lang w:eastAsia="zh-CN"/>
              </w:rPr>
            </w:pPr>
            <w:r>
              <w:rPr>
                <w:rFonts w:hint="eastAsia" w:ascii="宋体" w:hAnsi="宋体" w:cs="宋体"/>
                <w:b/>
                <w:bCs/>
                <w:sz w:val="24"/>
              </w:rPr>
              <w:t>一、</w:t>
            </w:r>
            <w:r>
              <w:rPr>
                <w:rFonts w:hint="eastAsia" w:ascii="宋体" w:hAnsi="宋体" w:cs="宋体"/>
                <w:b/>
                <w:bCs/>
                <w:sz w:val="24"/>
                <w:lang w:eastAsia="zh-CN"/>
              </w:rPr>
              <w:t>项目由来</w:t>
            </w:r>
          </w:p>
          <w:p>
            <w:pPr>
              <w:spacing w:line="500" w:lineRule="exact"/>
              <w:ind w:firstLine="480" w:firstLineChars="200"/>
              <w:rPr>
                <w:rFonts w:hint="eastAsia" w:ascii="宋体" w:hAnsi="宋体" w:cs="宋体"/>
                <w:b w:val="0"/>
                <w:bCs w:val="0"/>
                <w:color w:val="auto"/>
                <w:sz w:val="24"/>
                <w:lang w:val="en-US" w:eastAsia="zh-CN"/>
              </w:rPr>
            </w:pPr>
            <w:r>
              <w:rPr>
                <w:rFonts w:hint="eastAsia" w:ascii="宋体" w:hAnsi="宋体" w:cs="宋体"/>
                <w:b w:val="0"/>
                <w:bCs w:val="0"/>
                <w:color w:val="auto"/>
                <w:sz w:val="24"/>
                <w:lang w:val="en-US" w:eastAsia="zh-CN"/>
              </w:rPr>
              <w:t>发展推广商品混凝土是美化城市环境的一个重要举措，具有重要的社会效益，可以将分散在城市各建筑工地的现场搅拌站逐步取消，由商品混凝土供应站集中生产供应，因此，可以消除各建筑工地在生产混凝土时引起的粉尘和噪声污染，另外由于商品混凝土的强度及其他各项指标的合格率在99%以上，因此发展商品混凝土对提高建筑工程质量也有着重大的意义。</w:t>
            </w:r>
          </w:p>
          <w:p>
            <w:pPr>
              <w:spacing w:line="500" w:lineRule="exact"/>
              <w:ind w:firstLine="480" w:firstLineChars="200"/>
              <w:rPr>
                <w:rFonts w:hint="default" w:ascii="宋体" w:hAnsi="宋体" w:cs="宋体"/>
                <w:b w:val="0"/>
                <w:bCs w:val="0"/>
                <w:color w:val="auto"/>
                <w:sz w:val="24"/>
                <w:lang w:val="en-US" w:eastAsia="zh-CN"/>
              </w:rPr>
            </w:pPr>
            <w:r>
              <w:rPr>
                <w:rFonts w:hint="eastAsia" w:ascii="宋体" w:hAnsi="宋体" w:cs="宋体"/>
                <w:b w:val="0"/>
                <w:bCs w:val="0"/>
                <w:color w:val="auto"/>
                <w:sz w:val="24"/>
                <w:lang w:val="en-US" w:eastAsia="zh-CN"/>
              </w:rPr>
              <w:t>在这种市场条件下，新疆国腾混凝土有限公司轮台分公司在巴州轮台县314国道北侧建设年产20万立方米/年商品混凝土集中拌合站项目，建成后年产商品混凝土20万m</w:t>
            </w:r>
            <w:r>
              <w:rPr>
                <w:rFonts w:hint="eastAsia" w:ascii="宋体" w:hAnsi="宋体" w:cs="宋体"/>
                <w:b w:val="0"/>
                <w:bCs w:val="0"/>
                <w:color w:val="auto"/>
                <w:sz w:val="24"/>
                <w:vertAlign w:val="superscript"/>
                <w:lang w:val="en-US" w:eastAsia="zh-CN"/>
              </w:rPr>
              <w:t>3</w:t>
            </w:r>
            <w:r>
              <w:rPr>
                <w:rFonts w:hint="eastAsia" w:ascii="宋体" w:hAnsi="宋体" w:cs="宋体"/>
                <w:b w:val="0"/>
                <w:bCs w:val="0"/>
                <w:color w:val="auto"/>
                <w:sz w:val="24"/>
                <w:lang w:val="en-US" w:eastAsia="zh-CN"/>
              </w:rPr>
              <w:t>。</w:t>
            </w:r>
          </w:p>
          <w:p>
            <w:pPr>
              <w:spacing w:line="500" w:lineRule="exact"/>
              <w:ind w:firstLine="480" w:firstLineChars="200"/>
              <w:rPr>
                <w:rFonts w:hint="eastAsia" w:ascii="宋体" w:hAnsi="宋体" w:cs="宋体"/>
                <w:b w:val="0"/>
                <w:bCs w:val="0"/>
                <w:color w:val="auto"/>
                <w:sz w:val="24"/>
                <w:lang w:eastAsia="zh-CN"/>
              </w:rPr>
            </w:pPr>
            <w:r>
              <w:rPr>
                <w:rFonts w:hint="eastAsia" w:ascii="宋体" w:hAnsi="宋体" w:cs="宋体"/>
                <w:b w:val="0"/>
                <w:bCs w:val="0"/>
                <w:color w:val="auto"/>
                <w:sz w:val="24"/>
                <w:lang w:eastAsia="zh-CN"/>
              </w:rPr>
              <w:t xml:space="preserve">按照《中华人民共和国环境保护法》，《建设项目环境保护管理条例》和《建设项目环境影响评价分类管理名录》等有关法律法规规定，项目属《名录》所列“二十七、非金属矿物制品业30 </w:t>
            </w:r>
            <w:r>
              <w:rPr>
                <w:rFonts w:hint="eastAsia" w:ascii="宋体" w:hAnsi="宋体" w:cs="宋体"/>
                <w:b w:val="0"/>
                <w:bCs w:val="0"/>
                <w:color w:val="auto"/>
                <w:sz w:val="24"/>
                <w:lang w:val="en-US" w:eastAsia="zh-CN"/>
              </w:rPr>
              <w:t xml:space="preserve">55 石膏、水泥制品及类似制品制造 </w:t>
            </w:r>
            <w:r>
              <w:rPr>
                <w:rFonts w:hint="eastAsia" w:ascii="宋体" w:hAnsi="宋体" w:cs="宋体"/>
                <w:b w:val="0"/>
                <w:bCs w:val="0"/>
                <w:color w:val="auto"/>
                <w:sz w:val="24"/>
                <w:lang w:eastAsia="zh-CN"/>
              </w:rPr>
              <w:t>商品混凝土”，应编制环境影响报告表。受建设单位委托，</w:t>
            </w:r>
            <w:r>
              <w:rPr>
                <w:rFonts w:hint="eastAsia" w:ascii="宋体" w:hAnsi="宋体" w:cs="宋体"/>
                <w:b w:val="0"/>
                <w:bCs w:val="0"/>
                <w:color w:val="auto"/>
                <w:sz w:val="24"/>
                <w:lang w:val="en-US" w:eastAsia="zh-CN"/>
              </w:rPr>
              <w:t>本公司</w:t>
            </w:r>
            <w:r>
              <w:rPr>
                <w:rFonts w:hint="eastAsia" w:ascii="宋体" w:hAnsi="宋体" w:cs="宋体"/>
                <w:b w:val="0"/>
                <w:bCs w:val="0"/>
                <w:color w:val="auto"/>
                <w:sz w:val="24"/>
                <w:lang w:eastAsia="zh-CN"/>
              </w:rPr>
              <w:t>承担了本项目的环境影响评价工作。接受委托后，环评单位在现场踏勘和资料收集的基础上。编制完成了《年产20万立方米/年商品混凝土集中拌合站项目》，</w:t>
            </w:r>
            <w:r>
              <w:rPr>
                <w:sz w:val="24"/>
              </w:rPr>
              <w:t>呈报环境保护行政主管部门</w:t>
            </w:r>
            <w:r>
              <w:rPr>
                <w:rFonts w:hint="eastAsia"/>
                <w:sz w:val="24"/>
                <w:lang w:eastAsia="zh-CN"/>
              </w:rPr>
              <w:t>，</w:t>
            </w:r>
            <w:r>
              <w:rPr>
                <w:rFonts w:hint="default" w:ascii="Times New Roman" w:hAnsi="Times New Roman" w:cs="Times New Roman"/>
                <w:sz w:val="24"/>
                <w:szCs w:val="24"/>
              </w:rPr>
              <w:t>审批后作为环保部门和该企业进行环境管理的依据</w:t>
            </w:r>
            <w:r>
              <w:rPr>
                <w:rFonts w:hint="eastAsia" w:ascii="宋体" w:hAnsi="宋体" w:cs="宋体"/>
                <w:b w:val="0"/>
                <w:bCs w:val="0"/>
                <w:color w:val="auto"/>
                <w:sz w:val="24"/>
                <w:lang w:eastAsia="zh-CN"/>
              </w:rPr>
              <w:t>。</w:t>
            </w:r>
          </w:p>
          <w:p>
            <w:pPr>
              <w:spacing w:line="500" w:lineRule="exact"/>
              <w:rPr>
                <w:b/>
                <w:bCs/>
                <w:sz w:val="24"/>
              </w:rPr>
            </w:pPr>
            <w:r>
              <w:rPr>
                <w:b/>
                <w:bCs/>
                <w:sz w:val="24"/>
              </w:rPr>
              <w:t>二、项目地理位置</w:t>
            </w:r>
          </w:p>
          <w:p>
            <w:pPr>
              <w:spacing w:line="500" w:lineRule="exact"/>
              <w:ind w:firstLine="480" w:firstLineChars="200"/>
              <w:rPr>
                <w:sz w:val="24"/>
              </w:rPr>
            </w:pPr>
            <w:r>
              <w:rPr>
                <w:sz w:val="24"/>
              </w:rPr>
              <w:t>本拟建项目选址于</w:t>
            </w:r>
            <w:r>
              <w:rPr>
                <w:rFonts w:hint="eastAsia"/>
                <w:sz w:val="24"/>
                <w:lang w:eastAsia="zh-CN"/>
              </w:rPr>
              <w:t>新疆巴州轮台县G314国道北侧600米处</w:t>
            </w:r>
            <w:r>
              <w:rPr>
                <w:color w:val="000000"/>
                <w:sz w:val="24"/>
              </w:rPr>
              <w:t>，</w:t>
            </w:r>
            <w:r>
              <w:rPr>
                <w:sz w:val="24"/>
              </w:rPr>
              <w:t>中心地理坐标为：</w:t>
            </w:r>
            <w:r>
              <w:rPr>
                <w:rFonts w:hint="eastAsia"/>
                <w:sz w:val="24"/>
              </w:rPr>
              <w:t>东经84°18′31.178″，北纬41°48′44.633″</w:t>
            </w:r>
            <w:r>
              <w:rPr>
                <w:color w:val="000000"/>
                <w:sz w:val="24"/>
              </w:rPr>
              <w:t>。</w:t>
            </w:r>
            <w:r>
              <w:rPr>
                <w:sz w:val="24"/>
              </w:rPr>
              <w:t>具体地理位置详见《附图1  建设项目地理位置示意图》。</w:t>
            </w:r>
          </w:p>
          <w:p>
            <w:pPr>
              <w:spacing w:line="500" w:lineRule="exact"/>
              <w:ind w:firstLine="480" w:firstLineChars="200"/>
              <w:rPr>
                <w:rFonts w:hint="eastAsia" w:ascii="宋体" w:hAnsi="宋体" w:cs="宋体"/>
                <w:b/>
                <w:bCs/>
                <w:sz w:val="24"/>
                <w:lang w:eastAsia="zh-CN"/>
              </w:rPr>
            </w:pPr>
            <w:r>
              <w:rPr>
                <w:rFonts w:hint="eastAsia"/>
                <w:color w:val="000000"/>
                <w:sz w:val="24"/>
              </w:rPr>
              <w:t>建设项目</w:t>
            </w:r>
            <w:r>
              <w:rPr>
                <w:rFonts w:hint="eastAsia"/>
                <w:color w:val="000000"/>
                <w:sz w:val="24"/>
                <w:lang w:val="en-US" w:eastAsia="zh-CN"/>
              </w:rPr>
              <w:t>西侧</w:t>
            </w:r>
            <w:r>
              <w:rPr>
                <w:rFonts w:hint="eastAsia"/>
                <w:color w:val="000000"/>
                <w:sz w:val="24"/>
              </w:rPr>
              <w:t>为</w:t>
            </w:r>
            <w:r>
              <w:rPr>
                <w:rFonts w:hint="eastAsia"/>
                <w:color w:val="000000"/>
                <w:sz w:val="24"/>
                <w:lang w:val="en-US" w:eastAsia="zh-CN"/>
              </w:rPr>
              <w:t>轮台县职业技术学校</w:t>
            </w:r>
            <w:r>
              <w:rPr>
                <w:rFonts w:hint="eastAsia"/>
                <w:color w:val="000000"/>
                <w:sz w:val="24"/>
              </w:rPr>
              <w:t>，距离约</w:t>
            </w:r>
            <w:r>
              <w:rPr>
                <w:rFonts w:hint="eastAsia"/>
                <w:color w:val="000000"/>
                <w:sz w:val="24"/>
                <w:lang w:val="en-US" w:eastAsia="zh-CN"/>
              </w:rPr>
              <w:t>157</w:t>
            </w:r>
            <w:r>
              <w:rPr>
                <w:rFonts w:hint="eastAsia"/>
                <w:color w:val="000000"/>
                <w:sz w:val="24"/>
              </w:rPr>
              <w:t>m，</w:t>
            </w:r>
            <w:r>
              <w:rPr>
                <w:rFonts w:hint="eastAsia"/>
                <w:color w:val="000000"/>
                <w:sz w:val="24"/>
                <w:lang w:val="en-US" w:eastAsia="zh-CN"/>
              </w:rPr>
              <w:t>南侧紧邻便道和空地，相距约350米为新疆中能宏科工程技术服务有限责任公司。东侧北侧都为空地</w:t>
            </w:r>
            <w:r>
              <w:rPr>
                <w:rFonts w:hint="eastAsia"/>
                <w:color w:val="000000"/>
                <w:sz w:val="24"/>
              </w:rPr>
              <w:t>。周边环境详见《附图2  项目周边环境关系与大气环境监测布点示意图》</w:t>
            </w:r>
            <w:r>
              <w:rPr>
                <w:color w:val="000000"/>
                <w:sz w:val="24"/>
              </w:rPr>
              <w:t>。</w:t>
            </w:r>
          </w:p>
          <w:p>
            <w:pPr>
              <w:spacing w:line="500" w:lineRule="exact"/>
              <w:rPr>
                <w:rFonts w:hint="eastAsia" w:ascii="宋体" w:hAnsi="宋体" w:cs="宋体"/>
                <w:b/>
                <w:bCs/>
                <w:sz w:val="24"/>
              </w:rPr>
            </w:pPr>
            <w:r>
              <w:rPr>
                <w:rFonts w:hint="eastAsia" w:ascii="宋体" w:hAnsi="宋体" w:cs="宋体"/>
                <w:b/>
                <w:bCs/>
                <w:sz w:val="24"/>
                <w:lang w:eastAsia="zh-CN"/>
              </w:rPr>
              <w:t>三、</w:t>
            </w:r>
            <w:r>
              <w:rPr>
                <w:rFonts w:hint="eastAsia" w:ascii="宋体" w:hAnsi="宋体" w:cs="宋体"/>
                <w:b/>
                <w:bCs/>
                <w:sz w:val="24"/>
              </w:rPr>
              <w:t>建设内容与规模</w:t>
            </w:r>
          </w:p>
          <w:p>
            <w:pPr>
              <w:spacing w:line="520" w:lineRule="exact"/>
              <w:ind w:firstLine="480" w:firstLineChars="200"/>
              <w:rPr>
                <w:rFonts w:hint="eastAsia" w:ascii="宋体" w:hAnsi="宋体" w:cs="宋体"/>
                <w:color w:val="auto"/>
                <w:sz w:val="24"/>
              </w:rPr>
            </w:pPr>
            <w:r>
              <w:rPr>
                <w:rFonts w:hint="eastAsia" w:ascii="宋体" w:hAnsi="宋体" w:cs="宋体"/>
                <w:color w:val="auto"/>
                <w:sz w:val="24"/>
              </w:rPr>
              <w:t>本项目厂区总占地面积约</w:t>
            </w:r>
            <w:r>
              <w:rPr>
                <w:rFonts w:hint="eastAsia" w:ascii="宋体" w:hAnsi="宋体" w:cs="宋体"/>
                <w:color w:val="auto"/>
                <w:sz w:val="24"/>
                <w:lang w:val="en-US" w:eastAsia="zh-CN"/>
              </w:rPr>
              <w:t>13333.33</w:t>
            </w:r>
            <w:r>
              <w:rPr>
                <w:rFonts w:hint="eastAsia" w:ascii="宋体" w:hAnsi="宋体" w:cs="宋体"/>
                <w:color w:val="auto"/>
                <w:sz w:val="24"/>
              </w:rPr>
              <w:t>m</w:t>
            </w:r>
            <w:r>
              <w:rPr>
                <w:rFonts w:hint="eastAsia" w:ascii="宋体" w:hAnsi="宋体" w:cs="宋体"/>
                <w:color w:val="auto"/>
                <w:sz w:val="24"/>
                <w:vertAlign w:val="superscript"/>
              </w:rPr>
              <w:t>2</w:t>
            </w:r>
            <w:r>
              <w:rPr>
                <w:rFonts w:hint="eastAsia" w:ascii="宋体" w:hAnsi="宋体" w:cs="宋体"/>
                <w:color w:val="auto"/>
                <w:sz w:val="24"/>
                <w:vertAlign w:val="baseline"/>
                <w:lang w:eastAsia="zh-CN"/>
              </w:rPr>
              <w:t>，</w:t>
            </w:r>
            <w:r>
              <w:rPr>
                <w:rFonts w:hint="eastAsia"/>
                <w:color w:val="auto"/>
                <w:sz w:val="24"/>
                <w:lang w:eastAsia="zh-CN"/>
              </w:rPr>
              <w:t>用地性质为工业建设用地。</w:t>
            </w:r>
            <w:r>
              <w:rPr>
                <w:rFonts w:hint="eastAsia"/>
                <w:color w:val="auto"/>
                <w:sz w:val="24"/>
                <w:lang w:val="en-US" w:eastAsia="zh-CN"/>
              </w:rPr>
              <w:t>建设规模：</w:t>
            </w:r>
            <w:r>
              <w:rPr>
                <w:color w:val="auto"/>
                <w:sz w:val="24"/>
              </w:rPr>
              <w:t>新建</w:t>
            </w:r>
            <w:r>
              <w:rPr>
                <w:rFonts w:hint="eastAsia"/>
                <w:b w:val="0"/>
                <w:bCs w:val="0"/>
                <w:color w:val="auto"/>
                <w:sz w:val="24"/>
                <w:lang w:eastAsia="zh-CN"/>
              </w:rPr>
              <w:t>商品混凝土</w:t>
            </w:r>
            <w:r>
              <w:rPr>
                <w:rFonts w:hint="eastAsia"/>
                <w:color w:val="auto"/>
                <w:sz w:val="24"/>
                <w:lang w:eastAsia="zh-CN"/>
              </w:rPr>
              <w:t>生产线</w:t>
            </w:r>
            <w:r>
              <w:rPr>
                <w:rFonts w:hint="eastAsia"/>
                <w:color w:val="auto"/>
                <w:sz w:val="24"/>
                <w:lang w:val="en-US" w:eastAsia="zh-CN"/>
              </w:rPr>
              <w:t>两</w:t>
            </w:r>
            <w:r>
              <w:rPr>
                <w:color w:val="auto"/>
                <w:sz w:val="24"/>
              </w:rPr>
              <w:t>条</w:t>
            </w:r>
            <w:r>
              <w:rPr>
                <w:rFonts w:hint="eastAsia"/>
                <w:color w:val="auto"/>
                <w:sz w:val="24"/>
                <w:lang w:eastAsia="zh-CN"/>
              </w:rPr>
              <w:t>，</w:t>
            </w:r>
            <w:r>
              <w:rPr>
                <w:rFonts w:hint="eastAsia"/>
                <w:color w:val="auto"/>
                <w:sz w:val="24"/>
              </w:rPr>
              <w:t>项目</w:t>
            </w:r>
            <w:r>
              <w:rPr>
                <w:rFonts w:hint="eastAsia" w:ascii="宋体" w:hAnsi="宋体" w:cs="宋体"/>
                <w:color w:val="auto"/>
                <w:sz w:val="24"/>
              </w:rPr>
              <w:t>建成后，年产</w:t>
            </w:r>
            <w:r>
              <w:rPr>
                <w:rFonts w:hint="eastAsia"/>
                <w:b w:val="0"/>
                <w:bCs w:val="0"/>
                <w:color w:val="auto"/>
                <w:sz w:val="24"/>
                <w:lang w:eastAsia="zh-CN"/>
              </w:rPr>
              <w:t>商品混凝土</w:t>
            </w:r>
            <w:r>
              <w:rPr>
                <w:rFonts w:hint="eastAsia" w:ascii="宋体" w:hAnsi="宋体" w:cs="宋体"/>
                <w:color w:val="auto"/>
                <w:sz w:val="24"/>
                <w:lang w:val="en-US" w:eastAsia="zh-CN"/>
              </w:rPr>
              <w:t>20</w:t>
            </w:r>
            <w:r>
              <w:rPr>
                <w:rFonts w:hint="eastAsia" w:ascii="宋体" w:hAnsi="宋体" w:cs="宋体"/>
                <w:color w:val="auto"/>
                <w:sz w:val="24"/>
              </w:rPr>
              <w:t>万m</w:t>
            </w:r>
            <w:r>
              <w:rPr>
                <w:rFonts w:hint="eastAsia" w:ascii="宋体" w:hAnsi="宋体" w:cs="宋体"/>
                <w:color w:val="auto"/>
                <w:sz w:val="24"/>
                <w:vertAlign w:val="superscript"/>
              </w:rPr>
              <w:t>3</w:t>
            </w:r>
            <w:r>
              <w:rPr>
                <w:rFonts w:hint="eastAsia" w:ascii="宋体" w:hAnsi="宋体" w:cs="宋体"/>
                <w:color w:val="auto"/>
                <w:sz w:val="24"/>
              </w:rPr>
              <w:t>。</w:t>
            </w:r>
          </w:p>
          <w:p>
            <w:pPr>
              <w:spacing w:line="520" w:lineRule="exact"/>
              <w:ind w:firstLine="480" w:firstLineChars="200"/>
              <w:rPr>
                <w:rFonts w:hint="eastAsia" w:ascii="宋体" w:hAnsi="宋体" w:cs="宋体"/>
                <w:color w:val="auto"/>
                <w:sz w:val="24"/>
              </w:rPr>
            </w:pPr>
            <w:r>
              <w:rPr>
                <w:rFonts w:hint="eastAsia" w:ascii="宋体" w:hAnsi="宋体" w:cs="宋体"/>
                <w:color w:val="auto"/>
                <w:sz w:val="24"/>
              </w:rPr>
              <w:t>本项目建设内容</w:t>
            </w:r>
            <w:r>
              <w:rPr>
                <w:rFonts w:hint="eastAsia" w:ascii="宋体" w:hAnsi="宋体" w:cs="宋体"/>
                <w:color w:val="auto"/>
                <w:sz w:val="24"/>
                <w:szCs w:val="24"/>
              </w:rPr>
              <w:t>包括：</w:t>
            </w:r>
            <w:r>
              <w:rPr>
                <w:rFonts w:hint="eastAsia"/>
                <w:color w:val="auto"/>
                <w:sz w:val="24"/>
                <w:szCs w:val="24"/>
                <w:lang w:val="en-US" w:eastAsia="zh-CN"/>
              </w:rPr>
              <w:t>180</w:t>
            </w:r>
            <w:r>
              <w:rPr>
                <w:rFonts w:hint="eastAsia"/>
                <w:b w:val="0"/>
                <w:bCs w:val="0"/>
                <w:color w:val="auto"/>
                <w:sz w:val="24"/>
                <w:szCs w:val="24"/>
                <w:lang w:eastAsia="zh-CN"/>
              </w:rPr>
              <w:t>商品混凝土</w:t>
            </w:r>
            <w:r>
              <w:rPr>
                <w:rFonts w:hint="eastAsia" w:ascii="宋体" w:hAnsi="宋体" w:cs="宋体"/>
                <w:color w:val="auto"/>
                <w:sz w:val="24"/>
                <w:szCs w:val="24"/>
              </w:rPr>
              <w:t>生产线</w:t>
            </w:r>
            <w:r>
              <w:rPr>
                <w:rFonts w:hint="eastAsia" w:ascii="宋体" w:hAnsi="宋体" w:cs="宋体"/>
                <w:color w:val="auto"/>
                <w:sz w:val="24"/>
              </w:rPr>
              <w:t>两条（</w:t>
            </w:r>
            <w:r>
              <w:rPr>
                <w:rFonts w:hint="eastAsia"/>
                <w:b w:val="0"/>
                <w:bCs w:val="0"/>
                <w:color w:val="auto"/>
                <w:sz w:val="24"/>
                <w:lang w:eastAsia="zh-CN"/>
              </w:rPr>
              <w:t>商品混凝土</w:t>
            </w:r>
            <w:r>
              <w:rPr>
                <w:rFonts w:hint="eastAsia" w:ascii="宋体" w:hAnsi="宋体" w:cs="宋体"/>
                <w:color w:val="auto"/>
                <w:sz w:val="24"/>
              </w:rPr>
              <w:t>拌合站2套），</w:t>
            </w:r>
            <w:r>
              <w:rPr>
                <w:rFonts w:hint="eastAsia" w:ascii="宋体" w:hAnsi="宋体" w:cs="宋体"/>
                <w:color w:val="auto"/>
                <w:sz w:val="24"/>
                <w:lang w:val="en-US" w:eastAsia="zh-CN"/>
              </w:rPr>
              <w:t>1座原材料堆仓</w:t>
            </w:r>
            <w:r>
              <w:rPr>
                <w:rFonts w:hint="eastAsia" w:ascii="宋体" w:hAnsi="宋体" w:cs="宋体"/>
                <w:color w:val="auto"/>
                <w:sz w:val="24"/>
              </w:rPr>
              <w:t>，</w:t>
            </w:r>
            <w:r>
              <w:rPr>
                <w:rFonts w:hint="eastAsia" w:ascii="宋体" w:hAnsi="宋体" w:cs="宋体"/>
                <w:color w:val="auto"/>
                <w:sz w:val="24"/>
                <w:lang w:val="en-US" w:eastAsia="zh-CN"/>
              </w:rPr>
              <w:t>办公生活区（实验</w:t>
            </w:r>
            <w:r>
              <w:rPr>
                <w:rFonts w:hint="eastAsia" w:ascii="宋体" w:hAnsi="宋体" w:cs="宋体"/>
                <w:color w:val="auto"/>
                <w:sz w:val="24"/>
                <w:lang w:eastAsia="zh-CN"/>
              </w:rPr>
              <w:t>室、办公楼、职工宿舍食堂）、</w:t>
            </w:r>
            <w:r>
              <w:rPr>
                <w:rFonts w:hint="eastAsia" w:ascii="宋体" w:hAnsi="宋体" w:cs="宋体"/>
                <w:color w:val="auto"/>
                <w:sz w:val="24"/>
              </w:rPr>
              <w:t>门卫</w:t>
            </w:r>
            <w:r>
              <w:rPr>
                <w:rFonts w:hint="eastAsia" w:ascii="宋体" w:hAnsi="宋体" w:cs="宋体"/>
                <w:color w:val="auto"/>
                <w:sz w:val="24"/>
                <w:lang w:eastAsia="zh-CN"/>
              </w:rPr>
              <w:t>室</w:t>
            </w:r>
            <w:r>
              <w:rPr>
                <w:rFonts w:hint="eastAsia" w:ascii="宋体" w:hAnsi="宋体" w:cs="宋体"/>
                <w:color w:val="auto"/>
                <w:sz w:val="24"/>
              </w:rPr>
              <w:t>等相关配套设施。本项目工程组成一览表见下表。</w:t>
            </w:r>
          </w:p>
          <w:p>
            <w:pPr>
              <w:spacing w:line="500" w:lineRule="exact"/>
              <w:jc w:val="center"/>
              <w:rPr>
                <w:rFonts w:hint="eastAsia" w:ascii="宋体" w:hAnsi="宋体" w:cs="宋体"/>
                <w:b/>
                <w:bCs/>
                <w:sz w:val="24"/>
              </w:rPr>
            </w:pPr>
            <w:r>
              <w:rPr>
                <w:rFonts w:hint="eastAsia" w:ascii="宋体" w:hAnsi="宋体" w:cs="宋体"/>
                <w:b/>
                <w:bCs/>
                <w:sz w:val="24"/>
              </w:rPr>
              <w:t>表</w:t>
            </w:r>
            <w:r>
              <w:rPr>
                <w:rFonts w:hint="eastAsia" w:ascii="宋体" w:hAnsi="宋体" w:cs="宋体"/>
                <w:b/>
                <w:bCs/>
                <w:sz w:val="24"/>
                <w:lang w:val="en-US" w:eastAsia="zh-CN"/>
              </w:rPr>
              <w:t>2-1</w:t>
            </w:r>
            <w:r>
              <w:rPr>
                <w:rFonts w:hint="eastAsia" w:ascii="宋体" w:hAnsi="宋体" w:cs="宋体"/>
                <w:b/>
                <w:bCs/>
                <w:sz w:val="24"/>
              </w:rPr>
              <w:t xml:space="preserve">  项目组成一览表</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Layout w:type="autofit"/>
              <w:tblCellMar>
                <w:top w:w="0" w:type="dxa"/>
                <w:left w:w="108" w:type="dxa"/>
                <w:bottom w:w="0" w:type="dxa"/>
                <w:right w:w="108" w:type="dxa"/>
              </w:tblCellMar>
            </w:tblPr>
            <w:tblGrid>
              <w:gridCol w:w="786"/>
              <w:gridCol w:w="1951"/>
              <w:gridCol w:w="4633"/>
              <w:gridCol w:w="10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1635" w:type="pct"/>
                  <w:gridSpan w:val="2"/>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工程内容</w:t>
                  </w:r>
                </w:p>
              </w:tc>
              <w:tc>
                <w:tcPr>
                  <w:tcW w:w="276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项目组成</w:t>
                  </w:r>
                </w:p>
              </w:tc>
              <w:tc>
                <w:tcPr>
                  <w:tcW w:w="59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206" w:hRule="atLeast"/>
                <w:jc w:val="center"/>
              </w:trPr>
              <w:tc>
                <w:tcPr>
                  <w:tcW w:w="470"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主体工程</w:t>
                  </w:r>
                </w:p>
              </w:tc>
              <w:tc>
                <w:tcPr>
                  <w:tcW w:w="1164" w:type="pct"/>
                  <w:noWrap w:val="0"/>
                  <w:vAlign w:val="center"/>
                </w:tcPr>
                <w:p>
                  <w:pPr>
                    <w:pStyle w:val="46"/>
                    <w:spacing w:line="320" w:lineRule="exact"/>
                    <w:rPr>
                      <w:rFonts w:hint="default" w:ascii="Calibri" w:hAnsi="Calibri" w:eastAsia="宋体" w:cs="宋体"/>
                      <w:color w:val="auto"/>
                      <w:sz w:val="21"/>
                      <w:szCs w:val="21"/>
                      <w:lang w:val="en-US" w:eastAsia="zh-CN"/>
                    </w:rPr>
                  </w:pPr>
                  <w:r>
                    <w:rPr>
                      <w:rFonts w:hint="eastAsia" w:ascii="Calibri" w:hAnsi="Calibri" w:eastAsia="宋体" w:cs="宋体"/>
                      <w:color w:val="auto"/>
                      <w:sz w:val="21"/>
                      <w:szCs w:val="21"/>
                      <w:lang w:val="en-US" w:eastAsia="zh-CN"/>
                    </w:rPr>
                    <w:t>搅拌机主楼</w:t>
                  </w:r>
                </w:p>
              </w:tc>
              <w:tc>
                <w:tcPr>
                  <w:tcW w:w="2767" w:type="pct"/>
                  <w:noWrap w:val="0"/>
                  <w:vAlign w:val="center"/>
                </w:tcPr>
                <w:p>
                  <w:pPr>
                    <w:pStyle w:val="46"/>
                    <w:spacing w:line="320" w:lineRule="exact"/>
                    <w:rPr>
                      <w:rFonts w:hint="default" w:ascii="Calibri" w:hAnsi="Calibri" w:cs="宋体"/>
                      <w:color w:val="auto"/>
                      <w:sz w:val="21"/>
                      <w:szCs w:val="21"/>
                    </w:rPr>
                  </w:pPr>
                  <w:r>
                    <w:rPr>
                      <w:rFonts w:hint="default" w:ascii="Calibri" w:hAnsi="Calibri" w:cs="宋体"/>
                      <w:color w:val="auto"/>
                      <w:sz w:val="21"/>
                      <w:szCs w:val="21"/>
                    </w:rPr>
                    <w:t>建设封闭</w:t>
                  </w:r>
                  <w:r>
                    <w:rPr>
                      <w:rFonts w:hint="default" w:ascii="Calibri" w:hAnsi="Calibri" w:cs="宋体"/>
                      <w:color w:val="auto"/>
                      <w:sz w:val="21"/>
                      <w:szCs w:val="21"/>
                      <w:lang w:eastAsia="zh-CN"/>
                    </w:rPr>
                    <w:t>式商品混凝土</w:t>
                  </w:r>
                  <w:r>
                    <w:rPr>
                      <w:rFonts w:hint="default" w:ascii="Calibri" w:hAnsi="Calibri" w:cs="宋体"/>
                      <w:color w:val="auto"/>
                      <w:sz w:val="21"/>
                      <w:szCs w:val="21"/>
                    </w:rPr>
                    <w:t>拌合站2套，包括输送系统、计量系统、搅拌系统、自动控制室等，</w:t>
                  </w:r>
                  <w:r>
                    <w:rPr>
                      <w:rFonts w:hint="eastAsia" w:ascii="Calibri" w:hAnsi="Calibri" w:cs="宋体"/>
                      <w:color w:val="auto"/>
                      <w:sz w:val="21"/>
                      <w:szCs w:val="21"/>
                      <w:lang w:val="en-US" w:eastAsia="zh-CN"/>
                    </w:rPr>
                    <w:t>建筑</w:t>
                  </w:r>
                  <w:r>
                    <w:rPr>
                      <w:rFonts w:hint="default" w:ascii="Calibri" w:hAnsi="Calibri" w:cs="宋体"/>
                      <w:color w:val="auto"/>
                      <w:sz w:val="21"/>
                      <w:szCs w:val="21"/>
                    </w:rPr>
                    <w:t>面积</w:t>
                  </w:r>
                  <w:r>
                    <w:rPr>
                      <w:rFonts w:hint="eastAsia" w:ascii="Calibri" w:hAnsi="Calibri" w:cs="宋体"/>
                      <w:color w:val="auto"/>
                      <w:sz w:val="21"/>
                      <w:szCs w:val="21"/>
                      <w:lang w:val="en-US" w:eastAsia="zh-CN"/>
                    </w:rPr>
                    <w:t>3489.51</w:t>
                  </w:r>
                  <w:r>
                    <w:rPr>
                      <w:rFonts w:hint="default" w:ascii="Calibri" w:hAnsi="Calibri" w:cs="宋体"/>
                      <w:color w:val="auto"/>
                      <w:sz w:val="21"/>
                      <w:szCs w:val="21"/>
                    </w:rPr>
                    <w:t>m</w:t>
                  </w:r>
                  <w:r>
                    <w:rPr>
                      <w:rFonts w:hint="default" w:ascii="Calibri" w:hAnsi="Calibri" w:cs="宋体"/>
                      <w:color w:val="auto"/>
                      <w:sz w:val="21"/>
                      <w:szCs w:val="21"/>
                      <w:vertAlign w:val="superscript"/>
                    </w:rPr>
                    <w:t>2</w:t>
                  </w:r>
                </w:p>
              </w:tc>
              <w:tc>
                <w:tcPr>
                  <w:tcW w:w="597" w:type="pct"/>
                  <w:noWrap w:val="0"/>
                  <w:vAlign w:val="center"/>
                </w:tcPr>
                <w:p>
                  <w:pPr>
                    <w:spacing w:line="320" w:lineRule="exact"/>
                    <w:jc w:val="center"/>
                    <w:rPr>
                      <w:rFonts w:hint="default"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05" w:hRule="atLeast"/>
                <w:jc w:val="center"/>
              </w:trPr>
              <w:tc>
                <w:tcPr>
                  <w:tcW w:w="470" w:type="pct"/>
                  <w:vMerge w:val="restart"/>
                  <w:noWrap w:val="0"/>
                  <w:vAlign w:val="center"/>
                </w:tcPr>
                <w:p>
                  <w:pPr>
                    <w:pStyle w:val="46"/>
                    <w:spacing w:line="320" w:lineRule="exact"/>
                    <w:rPr>
                      <w:rFonts w:hint="default" w:ascii="Calibri" w:hAnsi="Calibri"/>
                      <w:sz w:val="21"/>
                      <w:szCs w:val="21"/>
                    </w:rPr>
                  </w:pPr>
                  <w:r>
                    <w:rPr>
                      <w:rFonts w:hint="default" w:ascii="Calibri" w:hAnsi="Calibri"/>
                      <w:sz w:val="21"/>
                      <w:szCs w:val="21"/>
                    </w:rPr>
                    <w:t>储运工程</w:t>
                  </w:r>
                </w:p>
              </w:tc>
              <w:tc>
                <w:tcPr>
                  <w:tcW w:w="1164" w:type="pct"/>
                  <w:noWrap w:val="0"/>
                  <w:vAlign w:val="center"/>
                </w:tcPr>
                <w:p>
                  <w:pPr>
                    <w:pStyle w:val="46"/>
                    <w:spacing w:line="320" w:lineRule="exact"/>
                    <w:rPr>
                      <w:rFonts w:hint="eastAsia" w:ascii="Calibri" w:hAnsi="Calibri" w:eastAsia="宋体"/>
                      <w:color w:val="auto"/>
                      <w:sz w:val="21"/>
                      <w:szCs w:val="21"/>
                      <w:lang w:eastAsia="zh-CN"/>
                    </w:rPr>
                  </w:pPr>
                  <w:r>
                    <w:rPr>
                      <w:rFonts w:hint="eastAsia" w:ascii="Calibri" w:hAnsi="Calibri"/>
                      <w:color w:val="auto"/>
                      <w:sz w:val="21"/>
                      <w:szCs w:val="21"/>
                      <w:lang w:eastAsia="zh-CN"/>
                    </w:rPr>
                    <w:t>原料堆仓</w:t>
                  </w:r>
                </w:p>
              </w:tc>
              <w:tc>
                <w:tcPr>
                  <w:tcW w:w="2767" w:type="pct"/>
                  <w:noWrap w:val="0"/>
                  <w:vAlign w:val="center"/>
                </w:tcPr>
                <w:p>
                  <w:pPr>
                    <w:pStyle w:val="46"/>
                    <w:spacing w:line="320" w:lineRule="exact"/>
                    <w:rPr>
                      <w:rFonts w:hint="default" w:ascii="Calibri" w:hAnsi="Calibri" w:eastAsia="宋体" w:cs="宋体"/>
                      <w:color w:val="auto"/>
                      <w:sz w:val="21"/>
                      <w:szCs w:val="21"/>
                      <w:vertAlign w:val="baseline"/>
                      <w:lang w:eastAsia="zh-CN"/>
                    </w:rPr>
                  </w:pPr>
                  <w:r>
                    <w:rPr>
                      <w:rFonts w:hint="eastAsia" w:ascii="Calibri" w:hAnsi="Calibri" w:cs="宋体"/>
                      <w:color w:val="auto"/>
                      <w:sz w:val="21"/>
                      <w:szCs w:val="21"/>
                      <w:lang w:val="en-US" w:eastAsia="zh-CN"/>
                    </w:rPr>
                    <w:t>建筑</w:t>
                  </w:r>
                  <w:r>
                    <w:rPr>
                      <w:rFonts w:hint="default" w:ascii="Calibri" w:hAnsi="Calibri" w:cs="宋体"/>
                      <w:color w:val="auto"/>
                      <w:sz w:val="21"/>
                      <w:szCs w:val="21"/>
                    </w:rPr>
                    <w:t>面积</w:t>
                  </w:r>
                  <w:r>
                    <w:rPr>
                      <w:rFonts w:hint="default" w:ascii="Calibri" w:hAnsi="Calibri" w:cs="宋体"/>
                      <w:color w:val="auto"/>
                      <w:sz w:val="21"/>
                      <w:szCs w:val="21"/>
                      <w:lang w:val="en-US" w:eastAsia="zh-CN"/>
                    </w:rPr>
                    <w:t>1800</w:t>
                  </w:r>
                  <w:r>
                    <w:rPr>
                      <w:rFonts w:hint="default" w:ascii="Calibri" w:hAnsi="Calibri" w:cs="宋体"/>
                      <w:color w:val="auto"/>
                      <w:sz w:val="21"/>
                      <w:szCs w:val="21"/>
                    </w:rPr>
                    <w:t>m</w:t>
                  </w:r>
                  <w:r>
                    <w:rPr>
                      <w:rFonts w:hint="default" w:ascii="Calibri" w:hAnsi="Calibri" w:cs="宋体"/>
                      <w:color w:val="auto"/>
                      <w:sz w:val="21"/>
                      <w:szCs w:val="21"/>
                      <w:vertAlign w:val="superscript"/>
                    </w:rPr>
                    <w:t>2</w:t>
                  </w:r>
                  <w:r>
                    <w:rPr>
                      <w:rFonts w:hint="default" w:ascii="Calibri" w:hAnsi="Calibri" w:cs="宋体"/>
                      <w:color w:val="auto"/>
                      <w:sz w:val="21"/>
                      <w:szCs w:val="21"/>
                    </w:rPr>
                    <w:t>，为封闭式</w:t>
                  </w:r>
                  <w:r>
                    <w:rPr>
                      <w:rFonts w:hint="default" w:ascii="Calibri" w:hAnsi="Calibri"/>
                      <w:color w:val="auto"/>
                      <w:sz w:val="21"/>
                      <w:szCs w:val="21"/>
                    </w:rPr>
                    <w:t>堆料场，</w:t>
                  </w:r>
                  <w:r>
                    <w:rPr>
                      <w:rFonts w:hint="default" w:ascii="Calibri" w:hAnsi="Calibri" w:eastAsia="宋体" w:cs="Times New Roman"/>
                      <w:color w:val="000000"/>
                      <w:sz w:val="21"/>
                      <w:szCs w:val="21"/>
                      <w:highlight w:val="none"/>
                      <w:lang w:val="en-US" w:eastAsia="zh-CN"/>
                    </w:rPr>
                    <w:t>主要用于储存</w:t>
                  </w:r>
                  <w:r>
                    <w:rPr>
                      <w:rFonts w:hint="default" w:ascii="Calibri" w:hAnsi="Calibri" w:cs="Times New Roman"/>
                      <w:color w:val="000000"/>
                      <w:sz w:val="21"/>
                      <w:szCs w:val="21"/>
                      <w:highlight w:val="none"/>
                      <w:lang w:val="en-US" w:eastAsia="zh-CN"/>
                    </w:rPr>
                    <w:t>砂、石子</w:t>
                  </w:r>
                </w:p>
              </w:tc>
              <w:tc>
                <w:tcPr>
                  <w:tcW w:w="597" w:type="pct"/>
                  <w:noWrap w:val="0"/>
                  <w:vAlign w:val="center"/>
                </w:tcPr>
                <w:p>
                  <w:pPr>
                    <w:spacing w:line="320" w:lineRule="exact"/>
                    <w:jc w:val="center"/>
                    <w:rPr>
                      <w:rFonts w:hint="default"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tcBorders>
                    <w:top w:val="single" w:color="auto" w:sz="4" w:space="0"/>
                  </w:tcBorders>
                  <w:noWrap w:val="0"/>
                  <w:vAlign w:val="center"/>
                </w:tcPr>
                <w:p>
                  <w:pPr>
                    <w:pStyle w:val="46"/>
                    <w:spacing w:line="320" w:lineRule="exact"/>
                    <w:rPr>
                      <w:rFonts w:hint="default" w:ascii="Calibri" w:hAnsi="Calibri" w:cs="宋体"/>
                      <w:color w:val="auto"/>
                      <w:sz w:val="21"/>
                      <w:szCs w:val="21"/>
                    </w:rPr>
                  </w:pPr>
                  <w:r>
                    <w:rPr>
                      <w:rFonts w:hint="default" w:ascii="Calibri" w:hAnsi="Calibri" w:cs="宋体"/>
                      <w:color w:val="auto"/>
                      <w:sz w:val="21"/>
                      <w:szCs w:val="21"/>
                    </w:rPr>
                    <w:t>水泥筒仓</w:t>
                  </w:r>
                </w:p>
              </w:tc>
              <w:tc>
                <w:tcPr>
                  <w:tcW w:w="2767" w:type="pct"/>
                  <w:noWrap w:val="0"/>
                  <w:vAlign w:val="center"/>
                </w:tcPr>
                <w:p>
                  <w:pPr>
                    <w:pStyle w:val="46"/>
                    <w:spacing w:line="320" w:lineRule="exact"/>
                    <w:rPr>
                      <w:rFonts w:hint="default" w:ascii="Calibri" w:hAnsi="Calibri" w:cs="宋体"/>
                      <w:color w:val="auto"/>
                      <w:sz w:val="21"/>
                      <w:szCs w:val="21"/>
                    </w:rPr>
                  </w:pPr>
                  <w:r>
                    <w:rPr>
                      <w:rFonts w:hint="eastAsia" w:ascii="Calibri" w:hAnsi="Calibri" w:cs="宋体"/>
                      <w:color w:val="auto"/>
                      <w:sz w:val="21"/>
                      <w:szCs w:val="21"/>
                      <w:lang w:val="en-US" w:eastAsia="zh-CN"/>
                    </w:rPr>
                    <w:t>4</w:t>
                  </w:r>
                  <w:r>
                    <w:rPr>
                      <w:rFonts w:hint="default" w:ascii="Calibri" w:hAnsi="Calibri" w:cs="宋体"/>
                      <w:color w:val="auto"/>
                      <w:sz w:val="21"/>
                      <w:szCs w:val="21"/>
                    </w:rPr>
                    <w:t>个，单个最大容积</w:t>
                  </w:r>
                  <w:r>
                    <w:rPr>
                      <w:rFonts w:hint="eastAsia" w:ascii="Calibri" w:hAnsi="Calibri" w:cs="宋体"/>
                      <w:color w:val="auto"/>
                      <w:sz w:val="21"/>
                      <w:szCs w:val="21"/>
                      <w:lang w:val="en-US" w:eastAsia="zh-CN"/>
                    </w:rPr>
                    <w:t>200t</w:t>
                  </w:r>
                  <w:r>
                    <w:rPr>
                      <w:rFonts w:hint="default" w:ascii="Calibri" w:hAnsi="Calibri" w:cs="宋体"/>
                      <w:color w:val="auto"/>
                      <w:sz w:val="21"/>
                      <w:szCs w:val="21"/>
                    </w:rPr>
                    <w:t>，高15m，水泥储存</w:t>
                  </w:r>
                </w:p>
              </w:tc>
              <w:tc>
                <w:tcPr>
                  <w:tcW w:w="597" w:type="pct"/>
                  <w:noWrap w:val="0"/>
                  <w:vAlign w:val="center"/>
                </w:tcPr>
                <w:p>
                  <w:pPr>
                    <w:spacing w:line="320" w:lineRule="exact"/>
                    <w:jc w:val="center"/>
                    <w:rPr>
                      <w:rFonts w:hint="eastAsia"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tcBorders>
                    <w:top w:val="single" w:color="auto" w:sz="4" w:space="0"/>
                  </w:tcBorders>
                  <w:noWrap w:val="0"/>
                  <w:vAlign w:val="center"/>
                </w:tcPr>
                <w:p>
                  <w:pPr>
                    <w:pStyle w:val="46"/>
                    <w:spacing w:line="320" w:lineRule="exact"/>
                    <w:rPr>
                      <w:rFonts w:hint="default" w:ascii="Calibri" w:hAnsi="Calibri" w:cs="宋体"/>
                      <w:color w:val="auto"/>
                      <w:sz w:val="21"/>
                      <w:szCs w:val="21"/>
                    </w:rPr>
                  </w:pPr>
                  <w:r>
                    <w:rPr>
                      <w:rFonts w:hint="default" w:ascii="Calibri" w:hAnsi="Calibri" w:cs="宋体"/>
                      <w:color w:val="auto"/>
                      <w:sz w:val="21"/>
                      <w:szCs w:val="21"/>
                    </w:rPr>
                    <w:t>粉煤灰筒仓</w:t>
                  </w:r>
                </w:p>
              </w:tc>
              <w:tc>
                <w:tcPr>
                  <w:tcW w:w="2767" w:type="pct"/>
                  <w:noWrap w:val="0"/>
                  <w:vAlign w:val="center"/>
                </w:tcPr>
                <w:p>
                  <w:pPr>
                    <w:pStyle w:val="46"/>
                    <w:spacing w:line="320" w:lineRule="exact"/>
                    <w:rPr>
                      <w:rFonts w:hint="default" w:ascii="Calibri" w:hAnsi="Calibri" w:cs="宋体"/>
                      <w:color w:val="auto"/>
                      <w:sz w:val="21"/>
                      <w:szCs w:val="21"/>
                    </w:rPr>
                  </w:pPr>
                  <w:r>
                    <w:rPr>
                      <w:rFonts w:hint="eastAsia" w:ascii="Calibri" w:hAnsi="Calibri" w:cs="宋体"/>
                      <w:color w:val="auto"/>
                      <w:sz w:val="21"/>
                      <w:szCs w:val="21"/>
                      <w:lang w:val="en-US" w:eastAsia="zh-CN"/>
                    </w:rPr>
                    <w:t>2</w:t>
                  </w:r>
                  <w:r>
                    <w:rPr>
                      <w:rFonts w:hint="default" w:ascii="Calibri" w:hAnsi="Calibri" w:cs="宋体"/>
                      <w:color w:val="auto"/>
                      <w:sz w:val="21"/>
                      <w:szCs w:val="21"/>
                    </w:rPr>
                    <w:t>个，单个最大容积</w:t>
                  </w:r>
                  <w:r>
                    <w:rPr>
                      <w:rFonts w:hint="eastAsia" w:ascii="Calibri" w:hAnsi="Calibri" w:cs="宋体"/>
                      <w:color w:val="auto"/>
                      <w:sz w:val="21"/>
                      <w:szCs w:val="21"/>
                      <w:lang w:val="en-US" w:eastAsia="zh-CN"/>
                    </w:rPr>
                    <w:t>2</w:t>
                  </w:r>
                  <w:r>
                    <w:rPr>
                      <w:rFonts w:hint="default" w:ascii="Calibri" w:hAnsi="Calibri" w:cs="宋体"/>
                      <w:color w:val="auto"/>
                      <w:sz w:val="21"/>
                      <w:szCs w:val="21"/>
                      <w:lang w:val="en-US" w:eastAsia="zh-CN"/>
                    </w:rPr>
                    <w:t>00</w:t>
                  </w:r>
                  <w:r>
                    <w:rPr>
                      <w:rFonts w:hint="eastAsia" w:ascii="Calibri" w:hAnsi="Calibri" w:cs="宋体"/>
                      <w:color w:val="auto"/>
                      <w:sz w:val="21"/>
                      <w:szCs w:val="21"/>
                      <w:lang w:val="en-US" w:eastAsia="zh-CN"/>
                    </w:rPr>
                    <w:t>t</w:t>
                  </w:r>
                  <w:r>
                    <w:rPr>
                      <w:rFonts w:hint="default" w:ascii="Calibri" w:hAnsi="Calibri" w:cs="宋体"/>
                      <w:color w:val="auto"/>
                      <w:sz w:val="21"/>
                      <w:szCs w:val="21"/>
                    </w:rPr>
                    <w:t>，高15m，粉煤灰储存</w:t>
                  </w:r>
                </w:p>
              </w:tc>
              <w:tc>
                <w:tcPr>
                  <w:tcW w:w="597" w:type="pct"/>
                  <w:noWrap w:val="0"/>
                  <w:vAlign w:val="center"/>
                </w:tcPr>
                <w:p>
                  <w:pPr>
                    <w:spacing w:line="320" w:lineRule="exact"/>
                    <w:jc w:val="center"/>
                    <w:rPr>
                      <w:rFonts w:hint="default"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tcBorders>
                    <w:top w:val="single" w:color="auto" w:sz="4" w:space="0"/>
                  </w:tcBorders>
                  <w:noWrap w:val="0"/>
                  <w:vAlign w:val="center"/>
                </w:tcPr>
                <w:p>
                  <w:pPr>
                    <w:pStyle w:val="46"/>
                    <w:spacing w:line="320" w:lineRule="exact"/>
                    <w:rPr>
                      <w:rFonts w:hint="default" w:ascii="Calibri" w:hAnsi="Calibri" w:eastAsia="宋体" w:cs="宋体"/>
                      <w:color w:val="auto"/>
                      <w:sz w:val="21"/>
                      <w:szCs w:val="21"/>
                      <w:lang w:val="en-US" w:eastAsia="zh-CN"/>
                    </w:rPr>
                  </w:pPr>
                  <w:r>
                    <w:rPr>
                      <w:rFonts w:hint="eastAsia" w:ascii="Calibri" w:hAnsi="Calibri" w:cs="宋体"/>
                      <w:color w:val="auto"/>
                      <w:sz w:val="21"/>
                      <w:szCs w:val="21"/>
                      <w:lang w:val="en-US" w:eastAsia="zh-CN"/>
                    </w:rPr>
                    <w:t>矿粉筒仓</w:t>
                  </w:r>
                </w:p>
              </w:tc>
              <w:tc>
                <w:tcPr>
                  <w:tcW w:w="2767" w:type="pct"/>
                  <w:noWrap w:val="0"/>
                  <w:vAlign w:val="center"/>
                </w:tcPr>
                <w:p>
                  <w:pPr>
                    <w:pStyle w:val="46"/>
                    <w:spacing w:line="320" w:lineRule="exact"/>
                    <w:rPr>
                      <w:rFonts w:hint="eastAsia" w:ascii="Calibri" w:hAnsi="Calibri" w:cs="宋体"/>
                      <w:bCs/>
                      <w:color w:val="auto"/>
                      <w:kern w:val="0"/>
                      <w:sz w:val="21"/>
                      <w:szCs w:val="21"/>
                      <w:lang w:val="en-US" w:eastAsia="zh-CN" w:bidi="ar-SA"/>
                    </w:rPr>
                  </w:pPr>
                  <w:r>
                    <w:rPr>
                      <w:rFonts w:hint="eastAsia" w:ascii="Calibri" w:hAnsi="Calibri" w:cs="宋体"/>
                      <w:color w:val="auto"/>
                      <w:sz w:val="21"/>
                      <w:szCs w:val="21"/>
                      <w:lang w:val="en-US" w:eastAsia="zh-CN"/>
                    </w:rPr>
                    <w:t>2</w:t>
                  </w:r>
                  <w:r>
                    <w:rPr>
                      <w:rFonts w:hint="default" w:ascii="Calibri" w:hAnsi="Calibri" w:cs="宋体"/>
                      <w:color w:val="auto"/>
                      <w:sz w:val="21"/>
                      <w:szCs w:val="21"/>
                    </w:rPr>
                    <w:t>个，单个最大容积</w:t>
                  </w:r>
                  <w:r>
                    <w:rPr>
                      <w:rFonts w:hint="eastAsia" w:ascii="Calibri" w:hAnsi="Calibri" w:cs="宋体"/>
                      <w:color w:val="auto"/>
                      <w:sz w:val="21"/>
                      <w:szCs w:val="21"/>
                      <w:lang w:val="en-US" w:eastAsia="zh-CN"/>
                    </w:rPr>
                    <w:t>2</w:t>
                  </w:r>
                  <w:r>
                    <w:rPr>
                      <w:rFonts w:hint="default" w:ascii="Calibri" w:hAnsi="Calibri" w:cs="宋体"/>
                      <w:color w:val="auto"/>
                      <w:sz w:val="21"/>
                      <w:szCs w:val="21"/>
                      <w:lang w:val="en-US" w:eastAsia="zh-CN"/>
                    </w:rPr>
                    <w:t>00</w:t>
                  </w:r>
                  <w:r>
                    <w:rPr>
                      <w:rFonts w:hint="eastAsia" w:ascii="Calibri" w:hAnsi="Calibri" w:cs="宋体"/>
                      <w:color w:val="auto"/>
                      <w:sz w:val="21"/>
                      <w:szCs w:val="21"/>
                      <w:lang w:val="en-US" w:eastAsia="zh-CN"/>
                    </w:rPr>
                    <w:t>t</w:t>
                  </w:r>
                  <w:r>
                    <w:rPr>
                      <w:rFonts w:hint="default" w:ascii="Calibri" w:hAnsi="Calibri" w:cs="宋体"/>
                      <w:color w:val="auto"/>
                      <w:sz w:val="21"/>
                      <w:szCs w:val="21"/>
                    </w:rPr>
                    <w:t>，高15m，</w:t>
                  </w:r>
                  <w:r>
                    <w:rPr>
                      <w:rFonts w:hint="eastAsia" w:ascii="Calibri" w:hAnsi="Calibri" w:cs="宋体"/>
                      <w:color w:val="auto"/>
                      <w:sz w:val="21"/>
                      <w:szCs w:val="21"/>
                      <w:lang w:val="en-US" w:eastAsia="zh-CN"/>
                    </w:rPr>
                    <w:t>矿粉</w:t>
                  </w:r>
                  <w:r>
                    <w:rPr>
                      <w:rFonts w:hint="default" w:ascii="Calibri" w:hAnsi="Calibri" w:cs="宋体"/>
                      <w:color w:val="auto"/>
                      <w:sz w:val="21"/>
                      <w:szCs w:val="21"/>
                    </w:rPr>
                    <w:t>储存</w:t>
                  </w:r>
                </w:p>
              </w:tc>
              <w:tc>
                <w:tcPr>
                  <w:tcW w:w="597" w:type="pct"/>
                  <w:noWrap w:val="0"/>
                  <w:vAlign w:val="center"/>
                </w:tcPr>
                <w:p>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tcBorders>
                    <w:top w:val="single" w:color="auto" w:sz="4" w:space="0"/>
                  </w:tcBorders>
                  <w:noWrap w:val="0"/>
                  <w:vAlign w:val="center"/>
                </w:tcPr>
                <w:p>
                  <w:pPr>
                    <w:pStyle w:val="46"/>
                    <w:spacing w:line="320" w:lineRule="exact"/>
                    <w:rPr>
                      <w:rFonts w:hint="default" w:ascii="Calibri" w:hAnsi="Calibri" w:cs="宋体"/>
                      <w:color w:val="auto"/>
                      <w:sz w:val="21"/>
                      <w:szCs w:val="21"/>
                    </w:rPr>
                  </w:pPr>
                  <w:r>
                    <w:rPr>
                      <w:rFonts w:hint="default" w:ascii="Calibri" w:hAnsi="Calibri" w:cs="宋体"/>
                      <w:color w:val="auto"/>
                      <w:sz w:val="21"/>
                      <w:szCs w:val="21"/>
                    </w:rPr>
                    <w:t>外加剂储罐（聚羧酸碱水剂）</w:t>
                  </w:r>
                </w:p>
              </w:tc>
              <w:tc>
                <w:tcPr>
                  <w:tcW w:w="2767" w:type="pct"/>
                  <w:noWrap w:val="0"/>
                  <w:vAlign w:val="center"/>
                </w:tcPr>
                <w:p>
                  <w:pPr>
                    <w:pStyle w:val="46"/>
                    <w:spacing w:line="320" w:lineRule="exact"/>
                    <w:rPr>
                      <w:rFonts w:hint="default" w:ascii="Calibri" w:hAnsi="Calibri" w:cs="宋体"/>
                      <w:color w:val="auto"/>
                      <w:sz w:val="21"/>
                      <w:szCs w:val="21"/>
                      <w:lang w:val="en-US"/>
                    </w:rPr>
                  </w:pPr>
                  <w:r>
                    <w:rPr>
                      <w:rFonts w:hint="default" w:ascii="Calibri" w:hAnsi="Calibri" w:cs="宋体"/>
                      <w:color w:val="auto"/>
                      <w:sz w:val="21"/>
                      <w:szCs w:val="21"/>
                      <w:lang w:val="en-US" w:eastAsia="zh-CN"/>
                    </w:rPr>
                    <w:t>2</w:t>
                  </w:r>
                  <w:r>
                    <w:rPr>
                      <w:rFonts w:hint="default" w:ascii="Calibri" w:hAnsi="Calibri" w:cs="宋体"/>
                      <w:color w:val="auto"/>
                      <w:sz w:val="21"/>
                      <w:szCs w:val="21"/>
                    </w:rPr>
                    <w:t>个，</w:t>
                  </w:r>
                  <w:r>
                    <w:rPr>
                      <w:rFonts w:hint="default" w:ascii="Calibri" w:hAnsi="Calibri" w:cs="宋体"/>
                      <w:color w:val="auto"/>
                      <w:sz w:val="21"/>
                      <w:szCs w:val="21"/>
                      <w:lang w:eastAsia="zh-CN"/>
                    </w:rPr>
                    <w:t>单个</w:t>
                  </w:r>
                  <w:r>
                    <w:rPr>
                      <w:rFonts w:hint="default" w:ascii="Calibri" w:hAnsi="Calibri" w:cs="宋体"/>
                      <w:color w:val="auto"/>
                      <w:sz w:val="21"/>
                      <w:szCs w:val="21"/>
                    </w:rPr>
                    <w:t>最大容积</w:t>
                  </w:r>
                  <w:r>
                    <w:rPr>
                      <w:rFonts w:hint="default" w:ascii="Calibri" w:hAnsi="Calibri" w:cs="宋体"/>
                      <w:color w:val="auto"/>
                      <w:sz w:val="21"/>
                      <w:szCs w:val="21"/>
                      <w:lang w:val="en-US" w:eastAsia="zh-CN"/>
                    </w:rPr>
                    <w:t>10m</w:t>
                  </w:r>
                  <w:r>
                    <w:rPr>
                      <w:rFonts w:hint="default" w:ascii="Calibri" w:hAnsi="Calibri" w:cs="宋体"/>
                      <w:color w:val="auto"/>
                      <w:sz w:val="21"/>
                      <w:szCs w:val="21"/>
                      <w:vertAlign w:val="superscript"/>
                      <w:lang w:val="en-US" w:eastAsia="zh-CN"/>
                    </w:rPr>
                    <w:t>3</w:t>
                  </w:r>
                </w:p>
              </w:tc>
              <w:tc>
                <w:tcPr>
                  <w:tcW w:w="597" w:type="pct"/>
                  <w:noWrap w:val="0"/>
                  <w:vAlign w:val="center"/>
                </w:tcPr>
                <w:p>
                  <w:pPr>
                    <w:spacing w:line="320" w:lineRule="exact"/>
                    <w:jc w:val="center"/>
                    <w:rPr>
                      <w:rFonts w:hint="eastAsia"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tcBorders>
                    <w:top w:val="single" w:color="auto" w:sz="4" w:space="0"/>
                  </w:tcBorders>
                  <w:noWrap w:val="0"/>
                  <w:vAlign w:val="center"/>
                </w:tcPr>
                <w:p>
                  <w:pPr>
                    <w:pStyle w:val="46"/>
                    <w:spacing w:line="320" w:lineRule="exact"/>
                    <w:rPr>
                      <w:rFonts w:hint="default" w:ascii="Calibri" w:hAnsi="Calibri" w:cs="宋体"/>
                      <w:color w:val="auto"/>
                      <w:sz w:val="21"/>
                      <w:szCs w:val="21"/>
                    </w:rPr>
                  </w:pPr>
                  <w:r>
                    <w:rPr>
                      <w:rFonts w:hint="default" w:ascii="Calibri" w:hAnsi="Calibri" w:cs="宋体"/>
                      <w:color w:val="auto"/>
                      <w:sz w:val="21"/>
                      <w:szCs w:val="21"/>
                    </w:rPr>
                    <w:t>运输系统</w:t>
                  </w:r>
                </w:p>
              </w:tc>
              <w:tc>
                <w:tcPr>
                  <w:tcW w:w="2767" w:type="pct"/>
                  <w:noWrap w:val="0"/>
                  <w:vAlign w:val="center"/>
                </w:tcPr>
                <w:p>
                  <w:pPr>
                    <w:pStyle w:val="46"/>
                    <w:spacing w:line="320" w:lineRule="exact"/>
                    <w:rPr>
                      <w:rFonts w:hint="default" w:ascii="Calibri" w:hAnsi="Calibri" w:cs="宋体"/>
                      <w:color w:val="auto"/>
                      <w:sz w:val="21"/>
                      <w:szCs w:val="21"/>
                    </w:rPr>
                  </w:pPr>
                  <w:r>
                    <w:rPr>
                      <w:rFonts w:hint="default" w:ascii="Calibri" w:hAnsi="Calibri"/>
                      <w:color w:val="auto"/>
                      <w:sz w:val="21"/>
                      <w:szCs w:val="21"/>
                      <w:lang w:eastAsia="zh-CN"/>
                    </w:rPr>
                    <w:t>站内运输依靠装载机、站外运输依靠罐车，本项目设置洗车台</w:t>
                  </w:r>
                </w:p>
              </w:tc>
              <w:tc>
                <w:tcPr>
                  <w:tcW w:w="597" w:type="pct"/>
                  <w:noWrap w:val="0"/>
                  <w:vAlign w:val="center"/>
                </w:tcPr>
                <w:p>
                  <w:pPr>
                    <w:spacing w:line="320" w:lineRule="exact"/>
                    <w:jc w:val="center"/>
                    <w:rPr>
                      <w:rFonts w:hint="eastAsia"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restar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辅助工程</w:t>
                  </w:r>
                </w:p>
              </w:tc>
              <w:tc>
                <w:tcPr>
                  <w:tcW w:w="1164" w:type="pct"/>
                  <w:noWrap w:val="0"/>
                  <w:vAlign w:val="center"/>
                </w:tcPr>
                <w:p>
                  <w:pPr>
                    <w:pStyle w:val="46"/>
                    <w:spacing w:line="320" w:lineRule="exact"/>
                    <w:rPr>
                      <w:rFonts w:hint="default" w:ascii="Calibri" w:hAnsi="Calibri" w:eastAsia="宋体" w:cs="宋体"/>
                      <w:color w:val="auto"/>
                      <w:sz w:val="21"/>
                      <w:szCs w:val="21"/>
                      <w:lang w:eastAsia="zh-CN"/>
                    </w:rPr>
                  </w:pPr>
                  <w:r>
                    <w:rPr>
                      <w:rFonts w:hint="eastAsia" w:ascii="Calibri" w:hAnsi="Calibri" w:cs="宋体"/>
                      <w:color w:val="auto"/>
                      <w:sz w:val="21"/>
                      <w:szCs w:val="21"/>
                      <w:lang w:val="en-US" w:eastAsia="zh-CN"/>
                    </w:rPr>
                    <w:t>1#</w:t>
                  </w:r>
                  <w:r>
                    <w:rPr>
                      <w:rFonts w:hint="default" w:ascii="Calibri" w:hAnsi="Calibri" w:cs="宋体"/>
                      <w:color w:val="auto"/>
                      <w:sz w:val="21"/>
                      <w:szCs w:val="21"/>
                    </w:rPr>
                    <w:t>办公</w:t>
                  </w:r>
                  <w:r>
                    <w:rPr>
                      <w:rFonts w:hint="default" w:ascii="Calibri" w:hAnsi="Calibri" w:cs="宋体"/>
                      <w:color w:val="auto"/>
                      <w:sz w:val="21"/>
                      <w:szCs w:val="21"/>
                      <w:lang w:eastAsia="zh-CN"/>
                    </w:rPr>
                    <w:t>楼</w:t>
                  </w:r>
                </w:p>
              </w:tc>
              <w:tc>
                <w:tcPr>
                  <w:tcW w:w="2767" w:type="pct"/>
                  <w:noWrap w:val="0"/>
                  <w:vAlign w:val="center"/>
                </w:tcPr>
                <w:p>
                  <w:pPr>
                    <w:pStyle w:val="46"/>
                    <w:spacing w:line="320" w:lineRule="exact"/>
                    <w:rPr>
                      <w:rFonts w:hint="default" w:ascii="Calibri" w:hAnsi="Calibri" w:cs="宋体"/>
                      <w:color w:val="auto"/>
                      <w:sz w:val="21"/>
                      <w:szCs w:val="21"/>
                    </w:rPr>
                  </w:pPr>
                  <w:r>
                    <w:rPr>
                      <w:rFonts w:hint="eastAsia" w:ascii="Calibri" w:hAnsi="Calibri" w:cs="宋体"/>
                      <w:color w:val="auto"/>
                      <w:sz w:val="21"/>
                      <w:szCs w:val="21"/>
                      <w:lang w:val="en-US" w:eastAsia="zh-CN"/>
                    </w:rPr>
                    <w:t>建筑</w:t>
                  </w:r>
                  <w:r>
                    <w:rPr>
                      <w:rFonts w:hint="default" w:ascii="Calibri" w:hAnsi="Calibri" w:cs="宋体"/>
                      <w:color w:val="auto"/>
                      <w:sz w:val="21"/>
                      <w:szCs w:val="21"/>
                    </w:rPr>
                    <w:t>面积</w:t>
                  </w:r>
                  <w:r>
                    <w:rPr>
                      <w:rFonts w:hint="eastAsia" w:ascii="Calibri" w:hAnsi="Calibri" w:cs="宋体"/>
                      <w:color w:val="auto"/>
                      <w:sz w:val="21"/>
                      <w:szCs w:val="21"/>
                      <w:lang w:val="en-US" w:eastAsia="zh-CN"/>
                    </w:rPr>
                    <w:t>568.92</w:t>
                  </w:r>
                  <w:r>
                    <w:rPr>
                      <w:rFonts w:hint="default" w:ascii="Calibri" w:hAnsi="Calibri" w:cs="宋体"/>
                      <w:color w:val="auto"/>
                      <w:sz w:val="21"/>
                      <w:szCs w:val="21"/>
                    </w:rPr>
                    <w:t>m</w:t>
                  </w:r>
                  <w:r>
                    <w:rPr>
                      <w:rFonts w:hint="default" w:ascii="Calibri" w:hAnsi="Calibri" w:cs="宋体"/>
                      <w:color w:val="auto"/>
                      <w:sz w:val="21"/>
                      <w:szCs w:val="21"/>
                      <w:vertAlign w:val="superscript"/>
                    </w:rPr>
                    <w:t>2</w:t>
                  </w:r>
                  <w:r>
                    <w:rPr>
                      <w:rFonts w:hint="default" w:ascii="Calibri" w:hAnsi="Calibri" w:cs="宋体"/>
                      <w:color w:val="auto"/>
                      <w:sz w:val="21"/>
                      <w:szCs w:val="21"/>
                    </w:rPr>
                    <w:t>，</w:t>
                  </w:r>
                  <w:r>
                    <w:rPr>
                      <w:rFonts w:hint="eastAsia" w:ascii="Calibri" w:hAnsi="Calibri" w:cs="宋体"/>
                      <w:color w:val="auto"/>
                      <w:sz w:val="21"/>
                      <w:szCs w:val="21"/>
                      <w:lang w:val="en-US" w:eastAsia="zh-CN"/>
                    </w:rPr>
                    <w:t>包含职工食堂宿舍，</w:t>
                  </w:r>
                  <w:r>
                    <w:rPr>
                      <w:rFonts w:hint="default" w:ascii="Calibri" w:hAnsi="Calibri" w:cs="宋体"/>
                      <w:color w:val="auto"/>
                      <w:sz w:val="21"/>
                      <w:szCs w:val="21"/>
                    </w:rPr>
                    <w:t>1层</w:t>
                  </w:r>
                </w:p>
              </w:tc>
              <w:tc>
                <w:tcPr>
                  <w:tcW w:w="597" w:type="pct"/>
                  <w:noWrap w:val="0"/>
                  <w:vAlign w:val="center"/>
                </w:tcPr>
                <w:p>
                  <w:pPr>
                    <w:spacing w:line="320" w:lineRule="exact"/>
                    <w:jc w:val="center"/>
                    <w:rPr>
                      <w:rFonts w:hint="default"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eastAsia" w:ascii="Calibri" w:hAnsi="Calibri" w:cs="宋体"/>
                      <w:color w:val="auto"/>
                      <w:sz w:val="21"/>
                      <w:szCs w:val="21"/>
                      <w:lang w:val="en-US" w:eastAsia="zh-CN"/>
                    </w:rPr>
                  </w:pPr>
                  <w:r>
                    <w:rPr>
                      <w:rFonts w:hint="eastAsia" w:ascii="Calibri" w:hAnsi="Calibri" w:cs="宋体"/>
                      <w:color w:val="auto"/>
                      <w:sz w:val="21"/>
                      <w:szCs w:val="21"/>
                      <w:lang w:val="en-US" w:eastAsia="zh-CN"/>
                    </w:rPr>
                    <w:t>2#</w:t>
                  </w:r>
                  <w:r>
                    <w:rPr>
                      <w:rFonts w:hint="default" w:ascii="Calibri" w:hAnsi="Calibri" w:cs="宋体"/>
                      <w:color w:val="auto"/>
                      <w:sz w:val="21"/>
                      <w:szCs w:val="21"/>
                    </w:rPr>
                    <w:t>办公</w:t>
                  </w:r>
                  <w:r>
                    <w:rPr>
                      <w:rFonts w:hint="default" w:ascii="Calibri" w:hAnsi="Calibri" w:cs="宋体"/>
                      <w:color w:val="auto"/>
                      <w:sz w:val="21"/>
                      <w:szCs w:val="21"/>
                      <w:lang w:eastAsia="zh-CN"/>
                    </w:rPr>
                    <w:t>楼</w:t>
                  </w:r>
                </w:p>
              </w:tc>
              <w:tc>
                <w:tcPr>
                  <w:tcW w:w="2767" w:type="pct"/>
                  <w:noWrap w:val="0"/>
                  <w:vAlign w:val="center"/>
                </w:tcPr>
                <w:p>
                  <w:pPr>
                    <w:pStyle w:val="46"/>
                    <w:spacing w:line="320" w:lineRule="exact"/>
                    <w:rPr>
                      <w:rFonts w:hint="default" w:ascii="Calibri" w:hAnsi="Calibri" w:eastAsia="宋体" w:cs="宋体"/>
                      <w:color w:val="auto"/>
                      <w:sz w:val="21"/>
                      <w:szCs w:val="21"/>
                      <w:lang w:val="en-US" w:eastAsia="zh-CN"/>
                    </w:rPr>
                  </w:pPr>
                  <w:r>
                    <w:rPr>
                      <w:rFonts w:hint="eastAsia" w:ascii="Calibri" w:hAnsi="Calibri" w:cs="宋体"/>
                      <w:color w:val="auto"/>
                      <w:sz w:val="21"/>
                      <w:szCs w:val="21"/>
                      <w:lang w:val="en-US" w:eastAsia="zh-CN"/>
                    </w:rPr>
                    <w:t>建筑</w:t>
                  </w:r>
                  <w:r>
                    <w:rPr>
                      <w:rFonts w:hint="default" w:ascii="Calibri" w:hAnsi="Calibri" w:cs="宋体"/>
                      <w:color w:val="auto"/>
                      <w:sz w:val="21"/>
                      <w:szCs w:val="21"/>
                    </w:rPr>
                    <w:t>面积</w:t>
                  </w:r>
                  <w:r>
                    <w:rPr>
                      <w:rFonts w:hint="eastAsia" w:ascii="Calibri" w:hAnsi="Calibri" w:cs="宋体"/>
                      <w:color w:val="auto"/>
                      <w:sz w:val="21"/>
                      <w:szCs w:val="21"/>
                      <w:lang w:val="en-US" w:eastAsia="zh-CN"/>
                    </w:rPr>
                    <w:t>360</w:t>
                  </w:r>
                  <w:r>
                    <w:rPr>
                      <w:rFonts w:hint="default" w:ascii="Calibri" w:hAnsi="Calibri" w:cs="宋体"/>
                      <w:color w:val="auto"/>
                      <w:sz w:val="21"/>
                      <w:szCs w:val="21"/>
                    </w:rPr>
                    <w:t>m</w:t>
                  </w:r>
                  <w:r>
                    <w:rPr>
                      <w:rFonts w:hint="default" w:ascii="Calibri" w:hAnsi="Calibri" w:cs="宋体"/>
                      <w:color w:val="auto"/>
                      <w:sz w:val="21"/>
                      <w:szCs w:val="21"/>
                      <w:vertAlign w:val="superscript"/>
                    </w:rPr>
                    <w:t>2</w:t>
                  </w:r>
                  <w:r>
                    <w:rPr>
                      <w:rFonts w:hint="default" w:ascii="Calibri" w:hAnsi="Calibri" w:cs="宋体"/>
                      <w:color w:val="auto"/>
                      <w:sz w:val="21"/>
                      <w:szCs w:val="21"/>
                    </w:rPr>
                    <w:t>，</w:t>
                  </w:r>
                  <w:r>
                    <w:rPr>
                      <w:rFonts w:hint="eastAsia" w:ascii="Calibri" w:hAnsi="Calibri" w:cs="宋体"/>
                      <w:color w:val="auto"/>
                      <w:sz w:val="21"/>
                      <w:szCs w:val="21"/>
                      <w:lang w:val="en-US" w:eastAsia="zh-CN"/>
                    </w:rPr>
                    <w:t>包含检验室，</w:t>
                  </w:r>
                  <w:r>
                    <w:rPr>
                      <w:rFonts w:hint="default" w:ascii="Calibri" w:hAnsi="Calibri" w:cs="宋体"/>
                      <w:color w:val="auto"/>
                      <w:sz w:val="21"/>
                      <w:szCs w:val="21"/>
                    </w:rPr>
                    <w:t>1层</w:t>
                  </w:r>
                </w:p>
              </w:tc>
              <w:tc>
                <w:tcPr>
                  <w:tcW w:w="597" w:type="pct"/>
                  <w:noWrap w:val="0"/>
                  <w:vAlign w:val="center"/>
                </w:tcPr>
                <w:p>
                  <w:pPr>
                    <w:spacing w:line="32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default" w:ascii="Calibri" w:hAnsi="Calibri" w:cs="宋体"/>
                      <w:color w:val="auto"/>
                      <w:sz w:val="21"/>
                      <w:szCs w:val="21"/>
                      <w:lang w:val="en-US" w:eastAsia="zh-CN"/>
                    </w:rPr>
                  </w:pPr>
                  <w:r>
                    <w:rPr>
                      <w:rFonts w:hint="eastAsia" w:ascii="Calibri" w:hAnsi="Calibri" w:cs="宋体"/>
                      <w:color w:val="auto"/>
                      <w:sz w:val="21"/>
                      <w:szCs w:val="21"/>
                      <w:lang w:val="en-US" w:eastAsia="zh-CN"/>
                    </w:rPr>
                    <w:t>维修车间</w:t>
                  </w:r>
                </w:p>
              </w:tc>
              <w:tc>
                <w:tcPr>
                  <w:tcW w:w="2767" w:type="pct"/>
                  <w:noWrap w:val="0"/>
                  <w:vAlign w:val="center"/>
                </w:tcPr>
                <w:p>
                  <w:pPr>
                    <w:pStyle w:val="46"/>
                    <w:spacing w:line="320" w:lineRule="exact"/>
                    <w:rPr>
                      <w:rFonts w:hint="default" w:ascii="Calibri" w:hAnsi="Calibri" w:eastAsia="宋体" w:cs="宋体"/>
                      <w:color w:val="auto"/>
                      <w:sz w:val="21"/>
                      <w:szCs w:val="21"/>
                      <w:lang w:val="en-US" w:eastAsia="zh-CN"/>
                    </w:rPr>
                  </w:pPr>
                  <w:r>
                    <w:rPr>
                      <w:rFonts w:hint="eastAsia" w:ascii="Calibri" w:hAnsi="Calibri" w:cs="宋体"/>
                      <w:color w:val="auto"/>
                      <w:sz w:val="21"/>
                      <w:szCs w:val="21"/>
                      <w:lang w:val="en-US" w:eastAsia="zh-CN"/>
                    </w:rPr>
                    <w:t>建筑面积450m</w:t>
                  </w:r>
                  <w:r>
                    <w:rPr>
                      <w:rFonts w:hint="eastAsia" w:ascii="Calibri" w:hAnsi="Calibri" w:cs="宋体"/>
                      <w:color w:val="auto"/>
                      <w:sz w:val="21"/>
                      <w:szCs w:val="21"/>
                      <w:vertAlign w:val="superscript"/>
                      <w:lang w:val="en-US" w:eastAsia="zh-CN"/>
                    </w:rPr>
                    <w:t>2</w:t>
                  </w:r>
                  <w:r>
                    <w:rPr>
                      <w:rFonts w:hint="eastAsia" w:ascii="Calibri" w:hAnsi="Calibri" w:cs="宋体"/>
                      <w:color w:val="auto"/>
                      <w:sz w:val="21"/>
                      <w:szCs w:val="21"/>
                      <w:lang w:val="en-US" w:eastAsia="zh-CN"/>
                    </w:rPr>
                    <w:t>，1层</w:t>
                  </w:r>
                </w:p>
              </w:tc>
              <w:tc>
                <w:tcPr>
                  <w:tcW w:w="597" w:type="pct"/>
                  <w:noWrap w:val="0"/>
                  <w:vAlign w:val="center"/>
                </w:tcPr>
                <w:p>
                  <w:pPr>
                    <w:spacing w:line="320" w:lineRule="exact"/>
                    <w:jc w:val="center"/>
                    <w:rPr>
                      <w:rFonts w:hint="eastAsia" w:ascii="Times New Roman" w:hAnsi="Times New Roman" w:eastAsia="宋体" w:cs="Times New Roman"/>
                      <w:color w:val="auto"/>
                      <w:sz w:val="21"/>
                      <w:szCs w:val="21"/>
                      <w:highlight w:val="none"/>
                      <w:lang w:val="en-US" w:eastAsia="zh-CN"/>
                    </w:rPr>
                  </w:pPr>
                  <w:r>
                    <w:rPr>
                      <w:rFonts w:hint="eastAsia"/>
                      <w:lang w:val="en-US" w:eastAsia="zh-CN"/>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eastAsia" w:ascii="Calibri" w:hAnsi="Calibri" w:eastAsia="宋体" w:cs="宋体"/>
                      <w:color w:val="auto"/>
                      <w:sz w:val="21"/>
                      <w:szCs w:val="21"/>
                      <w:lang w:eastAsia="zh-CN"/>
                    </w:rPr>
                  </w:pPr>
                  <w:r>
                    <w:rPr>
                      <w:rFonts w:hint="eastAsia" w:ascii="Calibri" w:hAnsi="Calibri" w:eastAsia="宋体" w:cs="宋体"/>
                      <w:color w:val="auto"/>
                      <w:sz w:val="21"/>
                      <w:szCs w:val="21"/>
                      <w:lang w:val="en-US" w:eastAsia="zh-CN"/>
                    </w:rPr>
                    <w:t>地磅</w:t>
                  </w:r>
                </w:p>
              </w:tc>
              <w:tc>
                <w:tcPr>
                  <w:tcW w:w="2767" w:type="pct"/>
                  <w:noWrap w:val="0"/>
                  <w:vAlign w:val="center"/>
                </w:tcPr>
                <w:p>
                  <w:pPr>
                    <w:pStyle w:val="46"/>
                    <w:spacing w:line="320" w:lineRule="exact"/>
                    <w:rPr>
                      <w:rFonts w:hint="default" w:ascii="Calibri" w:hAnsi="Calibri" w:eastAsia="宋体" w:cs="宋体"/>
                      <w:color w:val="auto"/>
                      <w:sz w:val="21"/>
                      <w:szCs w:val="21"/>
                      <w:lang w:eastAsia="zh-CN"/>
                    </w:rPr>
                  </w:pPr>
                  <w:r>
                    <w:rPr>
                      <w:rFonts w:hint="eastAsia" w:ascii="Calibri" w:hAnsi="Calibri" w:cs="宋体"/>
                      <w:color w:val="auto"/>
                      <w:sz w:val="21"/>
                      <w:szCs w:val="21"/>
                      <w:lang w:val="en-US" w:eastAsia="zh-CN"/>
                    </w:rPr>
                    <w:t>建筑</w:t>
                  </w:r>
                  <w:r>
                    <w:rPr>
                      <w:rFonts w:hint="default" w:ascii="Calibri" w:hAnsi="Calibri" w:cs="宋体"/>
                      <w:color w:val="auto"/>
                      <w:sz w:val="21"/>
                      <w:szCs w:val="21"/>
                    </w:rPr>
                    <w:t>面积</w:t>
                  </w:r>
                  <w:r>
                    <w:rPr>
                      <w:rFonts w:hint="default" w:ascii="Calibri" w:hAnsi="Calibri" w:cs="宋体"/>
                      <w:color w:val="auto"/>
                      <w:sz w:val="21"/>
                      <w:szCs w:val="21"/>
                      <w:lang w:val="en-US" w:eastAsia="zh-CN"/>
                    </w:rPr>
                    <w:t>50</w:t>
                  </w:r>
                  <w:r>
                    <w:rPr>
                      <w:rFonts w:hint="default" w:ascii="Calibri" w:hAnsi="Calibri" w:cs="宋体"/>
                      <w:color w:val="auto"/>
                      <w:sz w:val="21"/>
                      <w:szCs w:val="21"/>
                    </w:rPr>
                    <w:t>m</w:t>
                  </w:r>
                  <w:r>
                    <w:rPr>
                      <w:rFonts w:hint="default" w:ascii="Calibri" w:hAnsi="Calibri" w:cs="宋体"/>
                      <w:color w:val="auto"/>
                      <w:sz w:val="21"/>
                      <w:szCs w:val="21"/>
                      <w:vertAlign w:val="superscript"/>
                    </w:rPr>
                    <w:t>2</w:t>
                  </w:r>
                  <w:r>
                    <w:rPr>
                      <w:rFonts w:hint="default" w:ascii="Calibri" w:hAnsi="Calibri" w:cs="宋体"/>
                      <w:color w:val="auto"/>
                      <w:sz w:val="21"/>
                      <w:szCs w:val="21"/>
                    </w:rPr>
                    <w:t>，1层</w:t>
                  </w:r>
                </w:p>
              </w:tc>
              <w:tc>
                <w:tcPr>
                  <w:tcW w:w="597" w:type="pct"/>
                  <w:noWrap w:val="0"/>
                  <w:vAlign w:val="center"/>
                </w:tcPr>
                <w:p>
                  <w:pPr>
                    <w:spacing w:line="320" w:lineRule="exact"/>
                    <w:jc w:val="center"/>
                    <w:rPr>
                      <w:rFonts w:hint="default" w:ascii="Calibri" w:hAnsi="Calibri" w:eastAsia="宋体" w:cs="宋体"/>
                      <w:color w:val="auto"/>
                      <w:sz w:val="21"/>
                      <w:szCs w:val="21"/>
                      <w:lang w:val="en-US" w:eastAsia="zh-CN"/>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default" w:ascii="Calibri" w:hAnsi="Calibri" w:eastAsia="宋体" w:cs="宋体"/>
                      <w:color w:val="auto"/>
                      <w:sz w:val="21"/>
                      <w:szCs w:val="21"/>
                      <w:lang w:val="en-US" w:eastAsia="zh-CN"/>
                    </w:rPr>
                  </w:pPr>
                  <w:r>
                    <w:rPr>
                      <w:rFonts w:hint="eastAsia" w:ascii="Calibri" w:hAnsi="Calibri" w:eastAsia="宋体" w:cs="宋体"/>
                      <w:color w:val="auto"/>
                      <w:sz w:val="21"/>
                      <w:szCs w:val="21"/>
                      <w:lang w:val="en-US" w:eastAsia="zh-CN"/>
                    </w:rPr>
                    <w:t>门房</w:t>
                  </w:r>
                </w:p>
              </w:tc>
              <w:tc>
                <w:tcPr>
                  <w:tcW w:w="2767" w:type="pct"/>
                  <w:noWrap w:val="0"/>
                  <w:vAlign w:val="center"/>
                </w:tcPr>
                <w:p>
                  <w:pPr>
                    <w:pStyle w:val="46"/>
                    <w:spacing w:line="320" w:lineRule="exact"/>
                    <w:rPr>
                      <w:rFonts w:hint="default" w:ascii="Calibri" w:hAnsi="Calibri" w:eastAsia="宋体" w:cs="宋体"/>
                      <w:color w:val="auto"/>
                      <w:sz w:val="21"/>
                      <w:szCs w:val="21"/>
                      <w:lang w:val="en-US" w:eastAsia="zh-CN"/>
                    </w:rPr>
                  </w:pPr>
                  <w:r>
                    <w:rPr>
                      <w:rFonts w:hint="eastAsia" w:ascii="Calibri" w:hAnsi="Calibri" w:cs="宋体"/>
                      <w:color w:val="auto"/>
                      <w:sz w:val="21"/>
                      <w:szCs w:val="21"/>
                      <w:lang w:val="en-US" w:eastAsia="zh-CN"/>
                    </w:rPr>
                    <w:t>建筑面积30m</w:t>
                  </w:r>
                  <w:r>
                    <w:rPr>
                      <w:rFonts w:hint="eastAsia" w:ascii="Calibri" w:hAnsi="Calibri" w:cs="宋体"/>
                      <w:color w:val="auto"/>
                      <w:sz w:val="21"/>
                      <w:szCs w:val="21"/>
                      <w:vertAlign w:val="superscript"/>
                      <w:lang w:val="en-US" w:eastAsia="zh-CN"/>
                    </w:rPr>
                    <w:t>2</w:t>
                  </w:r>
                  <w:r>
                    <w:rPr>
                      <w:rFonts w:hint="eastAsia" w:ascii="Calibri" w:hAnsi="Calibri" w:cs="宋体"/>
                      <w:color w:val="auto"/>
                      <w:sz w:val="21"/>
                      <w:szCs w:val="21"/>
                      <w:lang w:val="en-US" w:eastAsia="zh-CN"/>
                    </w:rPr>
                    <w:t>，1层</w:t>
                  </w:r>
                </w:p>
              </w:tc>
              <w:tc>
                <w:tcPr>
                  <w:tcW w:w="597" w:type="pct"/>
                  <w:noWrap w:val="0"/>
                  <w:vAlign w:val="center"/>
                </w:tcPr>
                <w:p>
                  <w:pPr>
                    <w:spacing w:line="320" w:lineRule="exact"/>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default" w:ascii="Calibri" w:hAnsi="Calibri" w:eastAsia="宋体" w:cs="宋体"/>
                      <w:color w:val="auto"/>
                      <w:sz w:val="21"/>
                      <w:szCs w:val="21"/>
                      <w:lang w:eastAsia="zh-CN"/>
                    </w:rPr>
                  </w:pPr>
                  <w:r>
                    <w:rPr>
                      <w:rFonts w:hint="default" w:ascii="Calibri" w:hAnsi="Calibri" w:cs="宋体"/>
                      <w:color w:val="auto"/>
                      <w:sz w:val="21"/>
                      <w:szCs w:val="21"/>
                    </w:rPr>
                    <w:t>洗车</w:t>
                  </w:r>
                  <w:r>
                    <w:rPr>
                      <w:rFonts w:hint="default" w:ascii="Calibri" w:hAnsi="Calibri" w:cs="宋体"/>
                      <w:color w:val="auto"/>
                      <w:sz w:val="21"/>
                      <w:szCs w:val="21"/>
                      <w:lang w:eastAsia="zh-CN"/>
                    </w:rPr>
                    <w:t>台</w:t>
                  </w:r>
                </w:p>
              </w:tc>
              <w:tc>
                <w:tcPr>
                  <w:tcW w:w="2767" w:type="pct"/>
                  <w:noWrap w:val="0"/>
                  <w:vAlign w:val="center"/>
                </w:tcPr>
                <w:p>
                  <w:pPr>
                    <w:pStyle w:val="46"/>
                    <w:spacing w:line="320" w:lineRule="exact"/>
                    <w:rPr>
                      <w:rFonts w:hint="default" w:ascii="Calibri" w:hAnsi="Calibri" w:eastAsia="宋体" w:cs="宋体"/>
                      <w:color w:val="auto"/>
                      <w:sz w:val="21"/>
                      <w:szCs w:val="21"/>
                      <w:vertAlign w:val="baseline"/>
                      <w:lang w:eastAsia="zh-CN"/>
                    </w:rPr>
                  </w:pPr>
                  <w:r>
                    <w:rPr>
                      <w:rFonts w:hint="default" w:ascii="Calibri" w:hAnsi="Calibri" w:cs="宋体"/>
                      <w:color w:val="auto"/>
                      <w:sz w:val="21"/>
                      <w:szCs w:val="21"/>
                      <w:vertAlign w:val="baseline"/>
                      <w:lang w:eastAsia="zh-CN"/>
                    </w:rPr>
                    <w:t>设置三座沉淀池（</w:t>
                  </w:r>
                  <w:r>
                    <w:rPr>
                      <w:rFonts w:hint="default" w:ascii="Calibri" w:hAnsi="Calibri" w:cs="宋体"/>
                      <w:color w:val="auto"/>
                      <w:sz w:val="21"/>
                      <w:szCs w:val="21"/>
                      <w:vertAlign w:val="baseline"/>
                      <w:lang w:val="en-US" w:eastAsia="zh-CN"/>
                    </w:rPr>
                    <w:t>10m</w:t>
                  </w:r>
                  <w:r>
                    <w:rPr>
                      <w:rFonts w:hint="default" w:ascii="Calibri" w:hAnsi="Calibri" w:cs="宋体"/>
                      <w:color w:val="auto"/>
                      <w:sz w:val="21"/>
                      <w:szCs w:val="21"/>
                      <w:vertAlign w:val="superscript"/>
                      <w:lang w:val="en-US" w:eastAsia="zh-CN"/>
                    </w:rPr>
                    <w:t>3</w:t>
                  </w:r>
                  <w:r>
                    <w:rPr>
                      <w:rFonts w:hint="default" w:ascii="Calibri" w:hAnsi="Calibri" w:cs="宋体"/>
                      <w:color w:val="auto"/>
                      <w:sz w:val="21"/>
                      <w:szCs w:val="21"/>
                      <w:vertAlign w:val="baseline"/>
                      <w:lang w:eastAsia="zh-CN"/>
                    </w:rPr>
                    <w:t>）</w:t>
                  </w:r>
                </w:p>
              </w:tc>
              <w:tc>
                <w:tcPr>
                  <w:tcW w:w="597" w:type="pct"/>
                  <w:noWrap w:val="0"/>
                  <w:vAlign w:val="center"/>
                </w:tcPr>
                <w:p>
                  <w:pPr>
                    <w:spacing w:line="320" w:lineRule="exact"/>
                    <w:jc w:val="center"/>
                    <w:rPr>
                      <w:rFonts w:hint="default" w:ascii="Calibri" w:hAnsi="Calibri" w:cs="宋体"/>
                      <w:color w:val="auto"/>
                      <w:sz w:val="21"/>
                      <w:szCs w:val="21"/>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default" w:ascii="Calibri" w:hAnsi="Calibri" w:eastAsia="宋体" w:cs="宋体"/>
                      <w:color w:val="auto"/>
                      <w:sz w:val="21"/>
                      <w:szCs w:val="21"/>
                      <w:lang w:val="en-US" w:eastAsia="zh-CN"/>
                    </w:rPr>
                  </w:pPr>
                  <w:r>
                    <w:rPr>
                      <w:rFonts w:hint="eastAsia" w:ascii="Calibri" w:hAnsi="Calibri" w:cs="宋体"/>
                      <w:color w:val="auto"/>
                      <w:sz w:val="21"/>
                      <w:szCs w:val="21"/>
                      <w:lang w:val="en-US" w:eastAsia="zh-CN"/>
                    </w:rPr>
                    <w:t>消防水池</w:t>
                  </w:r>
                </w:p>
              </w:tc>
              <w:tc>
                <w:tcPr>
                  <w:tcW w:w="2767" w:type="pct"/>
                  <w:noWrap w:val="0"/>
                  <w:vAlign w:val="center"/>
                </w:tcPr>
                <w:p>
                  <w:pPr>
                    <w:pStyle w:val="46"/>
                    <w:spacing w:line="320" w:lineRule="exact"/>
                    <w:rPr>
                      <w:rFonts w:hint="default" w:ascii="Calibri" w:hAnsi="Calibri" w:cs="宋体"/>
                      <w:color w:val="auto"/>
                      <w:sz w:val="21"/>
                      <w:szCs w:val="21"/>
                      <w:vertAlign w:val="baseline"/>
                      <w:lang w:val="en-US" w:eastAsia="zh-CN"/>
                    </w:rPr>
                  </w:pPr>
                  <w:r>
                    <w:rPr>
                      <w:rFonts w:hint="eastAsia" w:ascii="Calibri" w:hAnsi="Calibri" w:cs="宋体"/>
                      <w:color w:val="auto"/>
                      <w:sz w:val="21"/>
                      <w:szCs w:val="21"/>
                      <w:vertAlign w:val="baseline"/>
                      <w:lang w:val="en-US" w:eastAsia="zh-CN"/>
                    </w:rPr>
                    <w:t>1座地下消防水池，建筑面积347m</w:t>
                  </w:r>
                  <w:r>
                    <w:rPr>
                      <w:rFonts w:hint="eastAsia" w:ascii="Calibri" w:hAnsi="Calibri" w:cs="宋体"/>
                      <w:color w:val="auto"/>
                      <w:sz w:val="21"/>
                      <w:szCs w:val="21"/>
                      <w:vertAlign w:val="superscript"/>
                      <w:lang w:val="en-US" w:eastAsia="zh-CN"/>
                    </w:rPr>
                    <w:t>2</w:t>
                  </w:r>
                  <w:r>
                    <w:rPr>
                      <w:rFonts w:hint="eastAsia" w:ascii="Calibri" w:hAnsi="Calibri" w:cs="宋体"/>
                      <w:color w:val="auto"/>
                      <w:sz w:val="21"/>
                      <w:szCs w:val="21"/>
                      <w:vertAlign w:val="baseline"/>
                      <w:lang w:val="en-US" w:eastAsia="zh-CN"/>
                    </w:rPr>
                    <w:t>，容积1000m</w:t>
                  </w:r>
                  <w:r>
                    <w:rPr>
                      <w:rFonts w:hint="eastAsia" w:ascii="Calibri" w:hAnsi="Calibri" w:cs="宋体"/>
                      <w:color w:val="auto"/>
                      <w:sz w:val="21"/>
                      <w:szCs w:val="21"/>
                      <w:vertAlign w:val="superscript"/>
                      <w:lang w:val="en-US" w:eastAsia="zh-CN"/>
                    </w:rPr>
                    <w:t>3</w:t>
                  </w:r>
                </w:p>
              </w:tc>
              <w:tc>
                <w:tcPr>
                  <w:tcW w:w="597" w:type="pct"/>
                  <w:noWrap w:val="0"/>
                  <w:vAlign w:val="center"/>
                </w:tcPr>
                <w:p>
                  <w:pPr>
                    <w:spacing w:line="320" w:lineRule="exact"/>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restar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公用</w:t>
                  </w:r>
                </w:p>
                <w:p>
                  <w:pPr>
                    <w:pStyle w:val="46"/>
                    <w:spacing w:line="320" w:lineRule="exact"/>
                    <w:rPr>
                      <w:rFonts w:hint="default" w:ascii="Calibri" w:hAnsi="Calibri" w:cs="宋体"/>
                      <w:sz w:val="21"/>
                      <w:szCs w:val="21"/>
                    </w:rPr>
                  </w:pPr>
                  <w:r>
                    <w:rPr>
                      <w:rFonts w:hint="default" w:ascii="Calibri" w:hAnsi="Calibri" w:cs="宋体"/>
                      <w:sz w:val="21"/>
                      <w:szCs w:val="21"/>
                    </w:rPr>
                    <w:t>工程</w:t>
                  </w:r>
                </w:p>
              </w:tc>
              <w:tc>
                <w:tcPr>
                  <w:tcW w:w="1164"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给水系统</w:t>
                  </w:r>
                </w:p>
              </w:tc>
              <w:tc>
                <w:tcPr>
                  <w:tcW w:w="276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由</w:t>
                  </w:r>
                  <w:r>
                    <w:rPr>
                      <w:rFonts w:hint="default" w:ascii="Calibri" w:hAnsi="Calibri" w:cs="宋体"/>
                      <w:sz w:val="21"/>
                      <w:szCs w:val="21"/>
                      <w:lang w:eastAsia="zh-CN"/>
                    </w:rPr>
                    <w:t>市政管网</w:t>
                  </w:r>
                  <w:r>
                    <w:rPr>
                      <w:rFonts w:hint="default" w:ascii="Calibri" w:hAnsi="Calibri" w:cs="宋体"/>
                      <w:sz w:val="21"/>
                      <w:szCs w:val="21"/>
                    </w:rPr>
                    <w:t>供给，新建厂区内给水管网</w:t>
                  </w:r>
                </w:p>
              </w:tc>
              <w:tc>
                <w:tcPr>
                  <w:tcW w:w="597" w:type="pct"/>
                  <w:noWrap w:val="0"/>
                  <w:vAlign w:val="center"/>
                </w:tcPr>
                <w:p>
                  <w:pPr>
                    <w:spacing w:line="320" w:lineRule="exact"/>
                    <w:jc w:val="center"/>
                    <w:rPr>
                      <w:rFonts w:hint="default" w:ascii="Calibri" w:hAnsi="Calibri" w:cs="宋体"/>
                      <w:sz w:val="21"/>
                      <w:szCs w:val="21"/>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排水系统</w:t>
                  </w:r>
                </w:p>
              </w:tc>
              <w:tc>
                <w:tcPr>
                  <w:tcW w:w="276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lang w:eastAsia="zh-CN"/>
                    </w:rPr>
                    <w:t>市政排水管网，</w:t>
                  </w:r>
                  <w:r>
                    <w:rPr>
                      <w:rFonts w:hint="default" w:ascii="Calibri" w:hAnsi="Calibri" w:cs="宋体"/>
                      <w:sz w:val="21"/>
                      <w:szCs w:val="21"/>
                    </w:rPr>
                    <w:t>新建厂区内排水管网</w:t>
                  </w:r>
                </w:p>
              </w:tc>
              <w:tc>
                <w:tcPr>
                  <w:tcW w:w="597" w:type="pct"/>
                  <w:noWrap w:val="0"/>
                  <w:vAlign w:val="center"/>
                </w:tcPr>
                <w:p>
                  <w:pPr>
                    <w:spacing w:line="320" w:lineRule="exact"/>
                    <w:jc w:val="center"/>
                    <w:rPr>
                      <w:rFonts w:hint="default" w:ascii="Calibri" w:hAnsi="Calibri" w:cs="宋体"/>
                      <w:sz w:val="21"/>
                      <w:szCs w:val="21"/>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供电系统</w:t>
                  </w:r>
                </w:p>
              </w:tc>
              <w:tc>
                <w:tcPr>
                  <w:tcW w:w="2767" w:type="pct"/>
                  <w:noWrap w:val="0"/>
                  <w:vAlign w:val="center"/>
                </w:tcPr>
                <w:p>
                  <w:pPr>
                    <w:pStyle w:val="46"/>
                    <w:spacing w:line="320" w:lineRule="exact"/>
                    <w:rPr>
                      <w:rFonts w:hint="default" w:ascii="Calibri" w:hAnsi="Calibri" w:eastAsia="宋体" w:cs="宋体"/>
                      <w:sz w:val="21"/>
                      <w:szCs w:val="21"/>
                      <w:lang w:eastAsia="zh-CN"/>
                    </w:rPr>
                  </w:pPr>
                  <w:r>
                    <w:rPr>
                      <w:rFonts w:hint="default" w:ascii="Calibri" w:hAnsi="Calibri" w:cs="宋体"/>
                      <w:sz w:val="21"/>
                      <w:szCs w:val="21"/>
                    </w:rPr>
                    <w:t>由</w:t>
                  </w:r>
                  <w:r>
                    <w:rPr>
                      <w:rFonts w:hint="default" w:ascii="Calibri" w:hAnsi="Calibri" w:cs="宋体"/>
                      <w:sz w:val="21"/>
                      <w:szCs w:val="21"/>
                      <w:lang w:eastAsia="zh-CN"/>
                    </w:rPr>
                    <w:t>市政电网提供</w:t>
                  </w:r>
                </w:p>
              </w:tc>
              <w:tc>
                <w:tcPr>
                  <w:tcW w:w="597" w:type="pct"/>
                  <w:noWrap w:val="0"/>
                  <w:vAlign w:val="center"/>
                </w:tcPr>
                <w:p>
                  <w:pPr>
                    <w:spacing w:line="320" w:lineRule="exact"/>
                    <w:jc w:val="center"/>
                    <w:rPr>
                      <w:rFonts w:hint="default" w:ascii="Calibri" w:hAnsi="Calibri" w:cs="宋体"/>
                      <w:sz w:val="21"/>
                      <w:szCs w:val="21"/>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供暖系统</w:t>
                  </w:r>
                </w:p>
              </w:tc>
              <w:tc>
                <w:tcPr>
                  <w:tcW w:w="2767" w:type="pct"/>
                  <w:noWrap w:val="0"/>
                  <w:vAlign w:val="center"/>
                </w:tcPr>
                <w:p>
                  <w:pPr>
                    <w:pStyle w:val="46"/>
                    <w:spacing w:line="320" w:lineRule="exact"/>
                    <w:rPr>
                      <w:rFonts w:hint="default" w:ascii="Calibri" w:hAnsi="Calibri"/>
                      <w:sz w:val="21"/>
                      <w:szCs w:val="21"/>
                    </w:rPr>
                  </w:pPr>
                  <w:r>
                    <w:rPr>
                      <w:rFonts w:hint="default" w:ascii="Calibri" w:hAnsi="Calibri"/>
                      <w:sz w:val="21"/>
                      <w:szCs w:val="21"/>
                    </w:rPr>
                    <w:t>采用电暖供暖</w:t>
                  </w:r>
                </w:p>
              </w:tc>
              <w:tc>
                <w:tcPr>
                  <w:tcW w:w="597" w:type="pct"/>
                  <w:noWrap w:val="0"/>
                  <w:vAlign w:val="center"/>
                </w:tcPr>
                <w:p>
                  <w:pPr>
                    <w:spacing w:line="320" w:lineRule="exact"/>
                    <w:jc w:val="center"/>
                    <w:rPr>
                      <w:rFonts w:hint="default" w:ascii="Calibri" w:hAnsi="Calibri" w:cs="宋体"/>
                      <w:sz w:val="21"/>
                      <w:szCs w:val="21"/>
                    </w:rPr>
                  </w:pPr>
                  <w:r>
                    <w:rPr>
                      <w:rFonts w:hint="default" w:ascii="Times New Roman" w:hAnsi="Times New Roman" w:eastAsia="宋体" w:cs="Times New Roman"/>
                      <w:color w:val="auto"/>
                      <w:sz w:val="21"/>
                      <w:szCs w:val="21"/>
                      <w:highlight w:val="none"/>
                    </w:rPr>
                    <w:t>新建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90" w:hRule="atLeast"/>
                <w:jc w:val="center"/>
              </w:trPr>
              <w:tc>
                <w:tcPr>
                  <w:tcW w:w="470" w:type="pct"/>
                  <w:vMerge w:val="restart"/>
                  <w:noWrap w:val="0"/>
                  <w:vAlign w:val="center"/>
                </w:tcPr>
                <w:p>
                  <w:pPr>
                    <w:pStyle w:val="46"/>
                    <w:spacing w:line="320" w:lineRule="exact"/>
                    <w:rPr>
                      <w:rFonts w:hint="default" w:ascii="Calibri" w:hAnsi="Calibri"/>
                      <w:sz w:val="21"/>
                      <w:szCs w:val="21"/>
                    </w:rPr>
                  </w:pPr>
                  <w:r>
                    <w:rPr>
                      <w:rFonts w:hint="default" w:ascii="Calibri" w:hAnsi="Calibri"/>
                      <w:sz w:val="21"/>
                      <w:szCs w:val="21"/>
                    </w:rPr>
                    <w:t>环保工程</w:t>
                  </w:r>
                </w:p>
              </w:tc>
              <w:tc>
                <w:tcPr>
                  <w:tcW w:w="1164" w:type="pct"/>
                  <w:vMerge w:val="restar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废气</w:t>
                  </w:r>
                </w:p>
              </w:tc>
              <w:tc>
                <w:tcPr>
                  <w:tcW w:w="276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lang w:val="en-US" w:eastAsia="zh-CN"/>
                    </w:rPr>
                    <w:t>上料产生的粉尘通过采取</w:t>
                  </w:r>
                  <w:r>
                    <w:rPr>
                      <w:rFonts w:hint="eastAsia" w:ascii="Calibri" w:hAnsi="Calibri" w:cs="宋体"/>
                      <w:sz w:val="21"/>
                      <w:szCs w:val="21"/>
                      <w:lang w:val="en-US" w:eastAsia="zh-CN"/>
                    </w:rPr>
                    <w:t>喷淋</w:t>
                  </w:r>
                  <w:r>
                    <w:rPr>
                      <w:rFonts w:hint="default" w:ascii="Calibri" w:hAnsi="Calibri" w:cs="宋体"/>
                      <w:sz w:val="21"/>
                      <w:szCs w:val="21"/>
                      <w:lang w:val="en-US" w:eastAsia="zh-CN"/>
                    </w:rPr>
                    <w:t>降尘措施</w:t>
                  </w:r>
                  <w:r>
                    <w:rPr>
                      <w:rFonts w:hint="eastAsia" w:ascii="Calibri" w:hAnsi="Calibri" w:cs="宋体"/>
                      <w:sz w:val="21"/>
                      <w:szCs w:val="21"/>
                      <w:lang w:val="en-US" w:eastAsia="zh-CN"/>
                    </w:rPr>
                    <w:t>以及</w:t>
                  </w:r>
                  <w:r>
                    <w:rPr>
                      <w:rFonts w:hint="default" w:ascii="Calibri" w:hAnsi="Calibri" w:cs="宋体"/>
                      <w:sz w:val="21"/>
                      <w:szCs w:val="21"/>
                      <w:lang w:val="en-US" w:eastAsia="zh-CN"/>
                    </w:rPr>
                    <w:t>设置封闭式上料仓，减少无组织排放</w:t>
                  </w:r>
                </w:p>
              </w:tc>
              <w:tc>
                <w:tcPr>
                  <w:tcW w:w="59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846" w:hRule="atLeast"/>
                <w:jc w:val="center"/>
              </w:trPr>
              <w:tc>
                <w:tcPr>
                  <w:tcW w:w="470" w:type="pct"/>
                  <w:vMerge w:val="continue"/>
                  <w:noWrap w:val="0"/>
                  <w:vAlign w:val="center"/>
                </w:tcPr>
                <w:p>
                  <w:pPr>
                    <w:pStyle w:val="46"/>
                    <w:spacing w:line="320" w:lineRule="exact"/>
                    <w:rPr>
                      <w:rFonts w:hint="default" w:ascii="Calibri" w:hAnsi="Calibri"/>
                      <w:sz w:val="21"/>
                      <w:szCs w:val="21"/>
                    </w:rPr>
                  </w:pPr>
                </w:p>
              </w:tc>
              <w:tc>
                <w:tcPr>
                  <w:tcW w:w="1164" w:type="pct"/>
                  <w:vMerge w:val="continue"/>
                  <w:noWrap w:val="0"/>
                  <w:vAlign w:val="center"/>
                </w:tcPr>
                <w:p>
                  <w:pPr>
                    <w:pStyle w:val="46"/>
                    <w:spacing w:line="320" w:lineRule="exact"/>
                    <w:rPr>
                      <w:rFonts w:hint="default" w:ascii="Calibri" w:hAnsi="Calibri" w:cs="宋体"/>
                      <w:sz w:val="21"/>
                      <w:szCs w:val="21"/>
                    </w:rPr>
                  </w:pPr>
                </w:p>
              </w:tc>
              <w:tc>
                <w:tcPr>
                  <w:tcW w:w="2767" w:type="pct"/>
                  <w:noWrap w:val="0"/>
                  <w:vAlign w:val="center"/>
                </w:tcPr>
                <w:p>
                  <w:pPr>
                    <w:pStyle w:val="46"/>
                    <w:spacing w:line="320" w:lineRule="exact"/>
                    <w:rPr>
                      <w:rFonts w:hint="default" w:ascii="Calibri" w:hAnsi="Calibri" w:cs="宋体"/>
                      <w:sz w:val="21"/>
                      <w:szCs w:val="21"/>
                      <w:lang w:eastAsia="zh-CN"/>
                    </w:rPr>
                  </w:pPr>
                  <w:r>
                    <w:rPr>
                      <w:rFonts w:hint="default" w:ascii="Calibri" w:hAnsi="Calibri" w:cs="宋体"/>
                      <w:sz w:val="21"/>
                      <w:szCs w:val="21"/>
                    </w:rPr>
                    <w:t>水泥</w:t>
                  </w:r>
                  <w:r>
                    <w:rPr>
                      <w:rFonts w:hint="default" w:ascii="Calibri" w:hAnsi="Calibri" w:cs="宋体"/>
                      <w:sz w:val="21"/>
                      <w:szCs w:val="21"/>
                      <w:lang w:eastAsia="zh-CN"/>
                    </w:rPr>
                    <w:t>、</w:t>
                  </w:r>
                  <w:r>
                    <w:rPr>
                      <w:rFonts w:hint="eastAsia" w:ascii="Calibri" w:hAnsi="Calibri" w:cs="宋体"/>
                      <w:sz w:val="21"/>
                      <w:szCs w:val="21"/>
                      <w:lang w:val="en-US" w:eastAsia="zh-CN"/>
                    </w:rPr>
                    <w:t>矿粉、</w:t>
                  </w:r>
                  <w:r>
                    <w:rPr>
                      <w:rFonts w:hint="default" w:ascii="Calibri" w:hAnsi="Calibri" w:cs="宋体"/>
                      <w:sz w:val="21"/>
                      <w:szCs w:val="21"/>
                      <w:lang w:eastAsia="zh-CN"/>
                    </w:rPr>
                    <w:t>粉煤灰</w:t>
                  </w:r>
                  <w:r>
                    <w:rPr>
                      <w:rFonts w:hint="default" w:ascii="Calibri" w:hAnsi="Calibri" w:cs="宋体"/>
                      <w:sz w:val="21"/>
                      <w:szCs w:val="21"/>
                    </w:rPr>
                    <w:t>筒仓</w:t>
                  </w:r>
                  <w:r>
                    <w:rPr>
                      <w:rFonts w:hint="default" w:ascii="Calibri" w:hAnsi="Calibri" w:cs="宋体"/>
                      <w:sz w:val="21"/>
                      <w:szCs w:val="21"/>
                      <w:lang w:eastAsia="zh-CN"/>
                    </w:rPr>
                    <w:t>各配有仓顶除尘器（共</w:t>
                  </w:r>
                  <w:r>
                    <w:rPr>
                      <w:rFonts w:hint="eastAsia" w:ascii="Calibri" w:hAnsi="Calibri" w:cs="宋体"/>
                      <w:sz w:val="21"/>
                      <w:szCs w:val="21"/>
                      <w:lang w:val="en-US" w:eastAsia="zh-CN"/>
                    </w:rPr>
                    <w:t>8</w:t>
                  </w:r>
                  <w:r>
                    <w:rPr>
                      <w:rFonts w:hint="default" w:ascii="Calibri" w:hAnsi="Calibri" w:cs="宋体"/>
                      <w:sz w:val="21"/>
                      <w:szCs w:val="21"/>
                      <w:lang w:val="en-US" w:eastAsia="zh-CN"/>
                    </w:rPr>
                    <w:t>台</w:t>
                  </w:r>
                  <w:r>
                    <w:rPr>
                      <w:rFonts w:hint="default" w:ascii="Calibri" w:hAnsi="Calibri" w:cs="宋体"/>
                      <w:sz w:val="21"/>
                      <w:szCs w:val="21"/>
                      <w:lang w:eastAsia="zh-CN"/>
                    </w:rPr>
                    <w:t>），粉尘经滤芯式仓顶除尘器处理后仓顶</w:t>
                  </w:r>
                  <w:r>
                    <w:rPr>
                      <w:rFonts w:hint="eastAsia" w:ascii="Calibri" w:hAnsi="Calibri" w:cs="宋体"/>
                      <w:sz w:val="21"/>
                      <w:szCs w:val="21"/>
                      <w:lang w:val="en-US" w:eastAsia="zh-CN"/>
                    </w:rPr>
                    <w:t>无组织</w:t>
                  </w:r>
                  <w:r>
                    <w:rPr>
                      <w:rFonts w:hint="default" w:ascii="Calibri" w:hAnsi="Calibri" w:cs="宋体"/>
                      <w:sz w:val="21"/>
                      <w:szCs w:val="21"/>
                      <w:lang w:eastAsia="zh-CN"/>
                    </w:rPr>
                    <w:t>排放</w:t>
                  </w:r>
                </w:p>
              </w:tc>
              <w:tc>
                <w:tcPr>
                  <w:tcW w:w="597" w:type="pct"/>
                  <w:noWrap w:val="0"/>
                  <w:vAlign w:val="center"/>
                </w:tcPr>
                <w:p>
                  <w:pPr>
                    <w:pStyle w:val="46"/>
                    <w:spacing w:line="320" w:lineRule="exact"/>
                    <w:rPr>
                      <w:rFonts w:hint="default" w:ascii="Calibri" w:hAnsi="Calibri"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846" w:hRule="atLeast"/>
                <w:jc w:val="center"/>
              </w:trPr>
              <w:tc>
                <w:tcPr>
                  <w:tcW w:w="470" w:type="pct"/>
                  <w:vMerge w:val="continue"/>
                  <w:noWrap w:val="0"/>
                  <w:vAlign w:val="center"/>
                </w:tcPr>
                <w:p>
                  <w:pPr>
                    <w:pStyle w:val="46"/>
                    <w:spacing w:line="320" w:lineRule="exact"/>
                    <w:rPr>
                      <w:rFonts w:hint="default" w:ascii="Calibri" w:hAnsi="Calibri"/>
                      <w:sz w:val="21"/>
                      <w:szCs w:val="21"/>
                    </w:rPr>
                  </w:pPr>
                </w:p>
              </w:tc>
              <w:tc>
                <w:tcPr>
                  <w:tcW w:w="1164" w:type="pct"/>
                  <w:vMerge w:val="continue"/>
                  <w:noWrap w:val="0"/>
                  <w:vAlign w:val="center"/>
                </w:tcPr>
                <w:p>
                  <w:pPr>
                    <w:pStyle w:val="46"/>
                    <w:spacing w:line="320" w:lineRule="exact"/>
                    <w:rPr>
                      <w:rFonts w:hint="default" w:ascii="Calibri" w:hAnsi="Calibri" w:cs="宋体"/>
                      <w:sz w:val="21"/>
                      <w:szCs w:val="21"/>
                    </w:rPr>
                  </w:pPr>
                </w:p>
              </w:tc>
              <w:tc>
                <w:tcPr>
                  <w:tcW w:w="2767" w:type="pct"/>
                  <w:noWrap w:val="0"/>
                  <w:vAlign w:val="center"/>
                </w:tcPr>
                <w:p>
                  <w:pPr>
                    <w:pStyle w:val="46"/>
                    <w:spacing w:line="320" w:lineRule="exact"/>
                    <w:rPr>
                      <w:rFonts w:hint="default" w:ascii="Calibri" w:hAnsi="Calibri" w:cs="宋体"/>
                      <w:sz w:val="21"/>
                      <w:szCs w:val="21"/>
                      <w:lang w:val="en-US" w:eastAsia="zh-CN"/>
                    </w:rPr>
                  </w:pPr>
                  <w:r>
                    <w:rPr>
                      <w:rFonts w:hint="default" w:ascii="Calibri" w:hAnsi="Calibri" w:cs="宋体"/>
                      <w:sz w:val="21"/>
                      <w:szCs w:val="21"/>
                      <w:lang w:val="en-US" w:eastAsia="zh-CN"/>
                    </w:rPr>
                    <w:t>砂石料输送采用封闭式皮带进行，两座拌合楼搅拌产生的粉尘各设置1套</w:t>
                  </w:r>
                  <w:r>
                    <w:rPr>
                      <w:rFonts w:hint="default" w:ascii="Calibri" w:hAnsi="Calibri" w:cs="宋体"/>
                      <w:sz w:val="21"/>
                      <w:szCs w:val="21"/>
                      <w:lang w:eastAsia="zh-CN"/>
                    </w:rPr>
                    <w:t>负压脉冲反吹式布袋除尘器</w:t>
                  </w:r>
                  <w:r>
                    <w:rPr>
                      <w:rFonts w:hint="default" w:ascii="Calibri" w:hAnsi="Calibri" w:cs="宋体"/>
                      <w:sz w:val="21"/>
                      <w:szCs w:val="21"/>
                      <w:lang w:val="en-US" w:eastAsia="zh-CN"/>
                    </w:rPr>
                    <w:t>处理后无组织排放</w:t>
                  </w:r>
                </w:p>
              </w:tc>
              <w:tc>
                <w:tcPr>
                  <w:tcW w:w="597" w:type="pct"/>
                  <w:noWrap w:val="0"/>
                  <w:vAlign w:val="center"/>
                </w:tcPr>
                <w:p>
                  <w:pPr>
                    <w:pStyle w:val="46"/>
                    <w:spacing w:line="320" w:lineRule="exact"/>
                    <w:rPr>
                      <w:rFonts w:hint="default" w:ascii="Calibri" w:hAnsi="Calibri" w:eastAsia="宋体" w:cs="宋体"/>
                      <w:sz w:val="21"/>
                      <w:szCs w:val="21"/>
                      <w:lang w:val="en-US" w:eastAsia="zh-CN"/>
                    </w:rPr>
                  </w:pPr>
                  <w:r>
                    <w:rPr>
                      <w:rFonts w:hint="default" w:ascii="Calibri" w:hAnsi="Calibri" w:cs="宋体"/>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spacing w:line="300" w:lineRule="atLeast"/>
                    <w:jc w:val="center"/>
                    <w:rPr>
                      <w:rFonts w:hint="default" w:ascii="Calibri" w:hAnsi="Calibri" w:cs="宋体"/>
                      <w:sz w:val="21"/>
                      <w:szCs w:val="21"/>
                    </w:rPr>
                  </w:pPr>
                  <w:r>
                    <w:rPr>
                      <w:rFonts w:hint="default" w:ascii="Calibri" w:hAnsi="Calibri" w:cs="宋体"/>
                      <w:sz w:val="21"/>
                      <w:szCs w:val="21"/>
                    </w:rPr>
                    <w:t>噪声</w:t>
                  </w:r>
                </w:p>
              </w:tc>
              <w:tc>
                <w:tcPr>
                  <w:tcW w:w="2767" w:type="pct"/>
                  <w:noWrap w:val="0"/>
                  <w:vAlign w:val="center"/>
                </w:tcPr>
                <w:p>
                  <w:pPr>
                    <w:spacing w:line="300" w:lineRule="atLeast"/>
                    <w:jc w:val="center"/>
                    <w:rPr>
                      <w:rFonts w:hint="default" w:ascii="Calibri" w:hAnsi="Calibri" w:cs="宋体"/>
                      <w:sz w:val="21"/>
                      <w:szCs w:val="21"/>
                    </w:rPr>
                  </w:pPr>
                  <w:r>
                    <w:rPr>
                      <w:rFonts w:hint="default" w:ascii="Calibri" w:hAnsi="Calibri" w:cs="宋体"/>
                      <w:sz w:val="21"/>
                      <w:szCs w:val="21"/>
                      <w:lang w:eastAsia="zh-CN"/>
                    </w:rPr>
                    <w:t>选用</w:t>
                  </w:r>
                  <w:r>
                    <w:rPr>
                      <w:rFonts w:hint="default" w:ascii="Calibri" w:hAnsi="Calibri" w:cs="宋体"/>
                      <w:sz w:val="21"/>
                      <w:szCs w:val="21"/>
                    </w:rPr>
                    <w:t>低噪声设备、减振、绿化等</w:t>
                  </w:r>
                </w:p>
              </w:tc>
              <w:tc>
                <w:tcPr>
                  <w:tcW w:w="59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spacing w:line="300" w:lineRule="atLeast"/>
                    <w:jc w:val="center"/>
                    <w:rPr>
                      <w:rFonts w:hint="default" w:ascii="Calibri" w:hAnsi="Calibri" w:cs="宋体"/>
                      <w:sz w:val="21"/>
                      <w:szCs w:val="21"/>
                    </w:rPr>
                  </w:pPr>
                  <w:r>
                    <w:rPr>
                      <w:rFonts w:hint="default" w:ascii="Calibri" w:hAnsi="Calibri" w:cs="宋体"/>
                      <w:sz w:val="21"/>
                      <w:szCs w:val="21"/>
                    </w:rPr>
                    <w:t>固废</w:t>
                  </w:r>
                </w:p>
              </w:tc>
              <w:tc>
                <w:tcPr>
                  <w:tcW w:w="2767" w:type="pct"/>
                  <w:noWrap w:val="0"/>
                  <w:vAlign w:val="center"/>
                </w:tcPr>
                <w:p>
                  <w:pPr>
                    <w:spacing w:line="300" w:lineRule="atLeast"/>
                    <w:jc w:val="center"/>
                    <w:rPr>
                      <w:rFonts w:hint="default" w:ascii="Calibri" w:hAnsi="Calibri"/>
                      <w:sz w:val="21"/>
                      <w:szCs w:val="21"/>
                    </w:rPr>
                  </w:pPr>
                  <w:r>
                    <w:rPr>
                      <w:rFonts w:hint="default" w:ascii="Calibri" w:hAnsi="Calibri"/>
                      <w:sz w:val="21"/>
                      <w:szCs w:val="21"/>
                    </w:rPr>
                    <w:t>垃圾桶、垃圾箱，</w:t>
                  </w:r>
                  <w:r>
                    <w:rPr>
                      <w:rFonts w:hint="eastAsia" w:ascii="Calibri" w:hAnsi="Calibri"/>
                      <w:sz w:val="21"/>
                      <w:szCs w:val="21"/>
                      <w:lang w:eastAsia="zh-CN"/>
                    </w:rPr>
                    <w:t>一般固体废物贮存库</w:t>
                  </w:r>
                  <w:r>
                    <w:rPr>
                      <w:rFonts w:hint="default" w:ascii="Calibri" w:hAnsi="Calibri"/>
                      <w:sz w:val="21"/>
                      <w:szCs w:val="21"/>
                    </w:rPr>
                    <w:t>（</w:t>
                  </w:r>
                  <w:r>
                    <w:rPr>
                      <w:rFonts w:hint="default" w:ascii="Calibri" w:hAnsi="Calibri"/>
                      <w:sz w:val="21"/>
                      <w:szCs w:val="21"/>
                      <w:lang w:eastAsia="zh-CN"/>
                    </w:rPr>
                    <w:t>10m</w:t>
                  </w:r>
                  <w:r>
                    <w:rPr>
                      <w:rFonts w:hint="default" w:ascii="Calibri" w:hAnsi="Calibri"/>
                      <w:sz w:val="21"/>
                      <w:szCs w:val="21"/>
                      <w:vertAlign w:val="superscript"/>
                      <w:lang w:eastAsia="zh-CN"/>
                    </w:rPr>
                    <w:t>2</w:t>
                  </w:r>
                  <w:r>
                    <w:rPr>
                      <w:rFonts w:hint="default" w:ascii="Calibri" w:hAnsi="Calibri"/>
                      <w:sz w:val="21"/>
                      <w:szCs w:val="21"/>
                    </w:rPr>
                    <w:t>），</w:t>
                  </w:r>
                  <w:r>
                    <w:rPr>
                      <w:rFonts w:hint="eastAsia" w:ascii="Calibri" w:hAnsi="Calibri"/>
                      <w:sz w:val="21"/>
                      <w:szCs w:val="21"/>
                      <w:lang w:eastAsia="zh-CN"/>
                    </w:rPr>
                    <w:t>危险废物贮存库</w:t>
                  </w:r>
                  <w:r>
                    <w:rPr>
                      <w:rFonts w:hint="default" w:ascii="Calibri" w:hAnsi="Calibri"/>
                      <w:sz w:val="21"/>
                      <w:szCs w:val="21"/>
                    </w:rPr>
                    <w:t>（</w:t>
                  </w:r>
                  <w:r>
                    <w:rPr>
                      <w:rFonts w:hint="eastAsia" w:ascii="Calibri" w:hAnsi="Calibri"/>
                      <w:sz w:val="21"/>
                      <w:szCs w:val="21"/>
                      <w:lang w:val="en-US" w:eastAsia="zh-CN"/>
                    </w:rPr>
                    <w:t>10</w:t>
                  </w:r>
                  <w:r>
                    <w:rPr>
                      <w:rFonts w:hint="default" w:ascii="Calibri" w:hAnsi="Calibri"/>
                      <w:sz w:val="21"/>
                      <w:szCs w:val="21"/>
                    </w:rPr>
                    <w:t>m</w:t>
                  </w:r>
                  <w:r>
                    <w:rPr>
                      <w:rFonts w:hint="default" w:ascii="Calibri" w:hAnsi="Calibri"/>
                      <w:sz w:val="21"/>
                      <w:szCs w:val="21"/>
                      <w:vertAlign w:val="superscript"/>
                    </w:rPr>
                    <w:t>2</w:t>
                  </w:r>
                  <w:r>
                    <w:rPr>
                      <w:rFonts w:hint="default" w:ascii="Calibri" w:hAnsi="Calibri"/>
                      <w:sz w:val="21"/>
                      <w:szCs w:val="21"/>
                    </w:rPr>
                    <w:t>）</w:t>
                  </w:r>
                </w:p>
              </w:tc>
              <w:tc>
                <w:tcPr>
                  <w:tcW w:w="59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0" w:type="pct"/>
                  <w:vMerge w:val="continue"/>
                  <w:noWrap w:val="0"/>
                  <w:vAlign w:val="center"/>
                </w:tcPr>
                <w:p>
                  <w:pPr>
                    <w:pStyle w:val="46"/>
                    <w:spacing w:line="320" w:lineRule="exact"/>
                    <w:rPr>
                      <w:rFonts w:hint="default" w:ascii="Calibri" w:hAnsi="Calibri" w:cs="宋体"/>
                      <w:sz w:val="21"/>
                      <w:szCs w:val="21"/>
                    </w:rPr>
                  </w:pPr>
                </w:p>
              </w:tc>
              <w:tc>
                <w:tcPr>
                  <w:tcW w:w="1164" w:type="pct"/>
                  <w:noWrap w:val="0"/>
                  <w:vAlign w:val="center"/>
                </w:tcPr>
                <w:p>
                  <w:pPr>
                    <w:spacing w:line="300" w:lineRule="atLeast"/>
                    <w:jc w:val="center"/>
                    <w:rPr>
                      <w:rFonts w:hint="default" w:ascii="Calibri" w:hAnsi="Calibri" w:cs="宋体"/>
                      <w:sz w:val="21"/>
                      <w:szCs w:val="21"/>
                    </w:rPr>
                  </w:pPr>
                  <w:r>
                    <w:rPr>
                      <w:rFonts w:hint="default" w:ascii="Calibri" w:hAnsi="Calibri" w:cs="宋体"/>
                      <w:sz w:val="21"/>
                      <w:szCs w:val="21"/>
                    </w:rPr>
                    <w:t>废水</w:t>
                  </w:r>
                </w:p>
              </w:tc>
              <w:tc>
                <w:tcPr>
                  <w:tcW w:w="2767" w:type="pct"/>
                  <w:noWrap w:val="0"/>
                  <w:vAlign w:val="center"/>
                </w:tcPr>
                <w:p>
                  <w:pPr>
                    <w:spacing w:line="300" w:lineRule="atLeast"/>
                    <w:jc w:val="center"/>
                    <w:rPr>
                      <w:rFonts w:hint="default" w:ascii="Calibri" w:hAnsi="Calibri" w:eastAsia="宋体"/>
                      <w:color w:val="0000FF"/>
                      <w:sz w:val="21"/>
                      <w:szCs w:val="21"/>
                      <w:lang w:val="en-US" w:eastAsia="zh-CN"/>
                    </w:rPr>
                  </w:pPr>
                  <w:r>
                    <w:rPr>
                      <w:rFonts w:hint="default" w:ascii="Calibri" w:hAnsi="Calibri"/>
                      <w:sz w:val="21"/>
                      <w:szCs w:val="21"/>
                    </w:rPr>
                    <w:t>食堂废水经隔油池预处理后再与其他生活污水一并收集到化粪池（</w:t>
                  </w:r>
                  <w:r>
                    <w:rPr>
                      <w:rFonts w:hint="eastAsia" w:ascii="Calibri" w:hAnsi="Calibri"/>
                      <w:sz w:val="21"/>
                      <w:szCs w:val="21"/>
                      <w:lang w:val="en-US" w:eastAsia="zh-CN"/>
                    </w:rPr>
                    <w:t>10</w:t>
                  </w:r>
                  <w:r>
                    <w:rPr>
                      <w:rFonts w:hint="default" w:ascii="Calibri" w:hAnsi="Calibri"/>
                      <w:sz w:val="21"/>
                      <w:szCs w:val="21"/>
                    </w:rPr>
                    <w:t>m</w:t>
                  </w:r>
                  <w:r>
                    <w:rPr>
                      <w:rFonts w:hint="default" w:ascii="Calibri" w:hAnsi="Calibri"/>
                      <w:sz w:val="21"/>
                      <w:szCs w:val="21"/>
                      <w:vertAlign w:val="superscript"/>
                    </w:rPr>
                    <w:t>3</w:t>
                  </w:r>
                  <w:r>
                    <w:rPr>
                      <w:rFonts w:hint="default" w:ascii="Calibri" w:hAnsi="Calibri"/>
                      <w:sz w:val="21"/>
                      <w:szCs w:val="21"/>
                    </w:rPr>
                    <w:t>）</w:t>
                  </w:r>
                  <w:r>
                    <w:rPr>
                      <w:rFonts w:hint="eastAsia" w:ascii="Calibri" w:hAnsi="Calibri"/>
                      <w:sz w:val="21"/>
                      <w:szCs w:val="21"/>
                      <w:lang w:val="en-US" w:eastAsia="zh-CN"/>
                    </w:rPr>
                    <w:t>通过市政污水管网排入轮台县污水处理厂</w:t>
                  </w:r>
                  <w:r>
                    <w:rPr>
                      <w:rFonts w:hint="default" w:ascii="Calibri" w:hAnsi="Calibri"/>
                      <w:sz w:val="21"/>
                      <w:szCs w:val="21"/>
                    </w:rPr>
                    <w:t>。洗车废水</w:t>
                  </w:r>
                  <w:r>
                    <w:rPr>
                      <w:rFonts w:hint="default" w:ascii="Calibri" w:hAnsi="Calibri"/>
                      <w:sz w:val="21"/>
                      <w:szCs w:val="21"/>
                      <w:lang w:eastAsia="zh-CN"/>
                    </w:rPr>
                    <w:t>、检验废水</w:t>
                  </w:r>
                  <w:r>
                    <w:rPr>
                      <w:rFonts w:hint="default" w:ascii="Calibri" w:hAnsi="Calibri"/>
                      <w:sz w:val="21"/>
                      <w:szCs w:val="21"/>
                    </w:rPr>
                    <w:t>经三级沉淀池（3×10m</w:t>
                  </w:r>
                  <w:r>
                    <w:rPr>
                      <w:rFonts w:hint="default" w:ascii="Calibri" w:hAnsi="Calibri"/>
                      <w:sz w:val="21"/>
                      <w:szCs w:val="21"/>
                      <w:vertAlign w:val="superscript"/>
                    </w:rPr>
                    <w:t>3</w:t>
                  </w:r>
                  <w:r>
                    <w:rPr>
                      <w:rFonts w:hint="default" w:ascii="Calibri" w:hAnsi="Calibri"/>
                      <w:sz w:val="21"/>
                      <w:szCs w:val="21"/>
                    </w:rPr>
                    <w:t>）沉淀后</w:t>
                  </w:r>
                  <w:r>
                    <w:rPr>
                      <w:rFonts w:hint="eastAsia" w:ascii="Calibri" w:hAnsi="Calibri"/>
                      <w:sz w:val="21"/>
                      <w:szCs w:val="21"/>
                      <w:lang w:val="en-US" w:eastAsia="zh-CN"/>
                    </w:rPr>
                    <w:t>循环使用，不外排</w:t>
                  </w:r>
                </w:p>
              </w:tc>
              <w:tc>
                <w:tcPr>
                  <w:tcW w:w="597" w:type="pct"/>
                  <w:noWrap w:val="0"/>
                  <w:vAlign w:val="center"/>
                </w:tcPr>
                <w:p>
                  <w:pPr>
                    <w:pStyle w:val="46"/>
                    <w:spacing w:line="320" w:lineRule="exact"/>
                    <w:rPr>
                      <w:rFonts w:hint="default" w:ascii="Calibri" w:hAnsi="Calibri" w:cs="宋体"/>
                      <w:sz w:val="21"/>
                      <w:szCs w:val="21"/>
                    </w:rPr>
                  </w:pPr>
                  <w:r>
                    <w:rPr>
                      <w:rFonts w:hint="default" w:ascii="Calibri" w:hAnsi="Calibri" w:cs="宋体"/>
                      <w:sz w:val="21"/>
                      <w:szCs w:val="21"/>
                    </w:rPr>
                    <w:t>/</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b/>
                <w:bCs/>
                <w:sz w:val="24"/>
              </w:rPr>
            </w:pPr>
            <w:r>
              <w:rPr>
                <w:rFonts w:hint="eastAsia"/>
                <w:b/>
                <w:bCs/>
                <w:sz w:val="24"/>
                <w:lang w:eastAsia="zh-CN"/>
              </w:rPr>
              <w:t>四</w:t>
            </w:r>
            <w:r>
              <w:rPr>
                <w:rFonts w:hint="eastAsia"/>
                <w:b/>
                <w:bCs/>
                <w:sz w:val="24"/>
              </w:rPr>
              <w:t>、</w:t>
            </w:r>
            <w:r>
              <w:rPr>
                <w:b/>
                <w:bCs/>
                <w:sz w:val="24"/>
              </w:rPr>
              <w:t>产品方案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本项目混凝土强度等级为C</w:t>
            </w:r>
            <w:r>
              <w:rPr>
                <w:rFonts w:hint="eastAsia"/>
                <w:sz w:val="24"/>
                <w:lang w:val="en-US" w:eastAsia="zh-CN"/>
              </w:rPr>
              <w:t>20</w:t>
            </w:r>
            <w:r>
              <w:rPr>
                <w:sz w:val="24"/>
              </w:rPr>
              <w:t>-C</w:t>
            </w:r>
            <w:r>
              <w:rPr>
                <w:rFonts w:hint="eastAsia"/>
                <w:sz w:val="24"/>
                <w:lang w:val="en-US" w:eastAsia="zh-CN"/>
              </w:rPr>
              <w:t>60，</w:t>
            </w:r>
            <w:r>
              <w:rPr>
                <w:sz w:val="24"/>
              </w:rPr>
              <w:t>混凝土规格根据市场需求调整</w:t>
            </w:r>
            <w:r>
              <w:rPr>
                <w:rFonts w:hint="eastAsia"/>
                <w:sz w:val="24"/>
              </w:rPr>
              <w:t>，</w:t>
            </w:r>
            <w:r>
              <w:rPr>
                <w:sz w:val="24"/>
              </w:rPr>
              <w:t>产品方案</w:t>
            </w:r>
            <w:r>
              <w:rPr>
                <w:rFonts w:hint="eastAsia"/>
                <w:sz w:val="24"/>
                <w:lang w:eastAsia="zh-CN"/>
              </w:rPr>
              <w:t>见表</w:t>
            </w:r>
            <w:r>
              <w:rPr>
                <w:rFonts w:hint="eastAsia"/>
                <w:sz w:val="24"/>
                <w:lang w:val="en-US" w:eastAsia="zh-CN"/>
              </w:rPr>
              <w:t>2-2</w:t>
            </w:r>
            <w:r>
              <w:rPr>
                <w:sz w:val="24"/>
              </w:rPr>
              <w:t>。</w:t>
            </w:r>
          </w:p>
          <w:p>
            <w:pPr>
              <w:spacing w:line="520" w:lineRule="exact"/>
              <w:ind w:firstLine="482" w:firstLineChars="200"/>
              <w:jc w:val="center"/>
              <w:rPr>
                <w:b/>
                <w:sz w:val="24"/>
              </w:rPr>
            </w:pPr>
            <w:r>
              <w:rPr>
                <w:b/>
                <w:sz w:val="24"/>
              </w:rPr>
              <w:t>表</w:t>
            </w:r>
            <w:r>
              <w:rPr>
                <w:rFonts w:hint="eastAsia"/>
                <w:b/>
                <w:sz w:val="24"/>
                <w:lang w:val="en-US" w:eastAsia="zh-CN"/>
              </w:rPr>
              <w:t>2-2</w:t>
            </w:r>
            <w:r>
              <w:rPr>
                <w:rFonts w:hint="eastAsia"/>
                <w:b/>
                <w:sz w:val="24"/>
              </w:rPr>
              <w:t xml:space="preserve">    </w:t>
            </w:r>
            <w:r>
              <w:rPr>
                <w:b/>
                <w:sz w:val="24"/>
              </w:rPr>
              <w:t>项目产品方案</w:t>
            </w:r>
          </w:p>
          <w:tbl>
            <w:tblPr>
              <w:tblStyle w:val="21"/>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102"/>
              <w:gridCol w:w="1316"/>
              <w:gridCol w:w="1988"/>
              <w:gridCol w:w="1760"/>
              <w:gridCol w:w="120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312" w:hRule="atLeast"/>
              </w:trPr>
              <w:tc>
                <w:tcPr>
                  <w:tcW w:w="1255" w:type="pct"/>
                  <w:tcBorders>
                    <w:bottom w:val="single" w:color="auto" w:sz="4" w:space="0"/>
                  </w:tcBorders>
                  <w:noWrap w:val="0"/>
                  <w:vAlign w:val="center"/>
                </w:tcPr>
                <w:p>
                  <w:pPr>
                    <w:adjustRightInd w:val="0"/>
                    <w:snapToGrid w:val="0"/>
                    <w:ind w:right="-1"/>
                    <w:contextualSpacing/>
                    <w:jc w:val="center"/>
                    <w:rPr>
                      <w:rFonts w:hint="default" w:ascii="Times New Roman" w:hAnsi="Times New Roman" w:eastAsia="宋体" w:cs="Times New Roman"/>
                      <w:szCs w:val="21"/>
                    </w:rPr>
                  </w:pPr>
                  <w:r>
                    <w:rPr>
                      <w:rFonts w:hint="default" w:ascii="Times New Roman" w:hAnsi="Times New Roman" w:eastAsia="宋体" w:cs="Times New Roman"/>
                      <w:szCs w:val="21"/>
                    </w:rPr>
                    <w:t>产品名称</w:t>
                  </w:r>
                </w:p>
              </w:tc>
              <w:tc>
                <w:tcPr>
                  <w:tcW w:w="786" w:type="pct"/>
                  <w:tcBorders>
                    <w:bottom w:val="single" w:color="auto" w:sz="4" w:space="0"/>
                    <w:right w:val="single" w:color="auto" w:sz="4" w:space="0"/>
                  </w:tcBorders>
                  <w:noWrap w:val="0"/>
                  <w:vAlign w:val="center"/>
                </w:tcPr>
                <w:p>
                  <w:pPr>
                    <w:adjustRightInd w:val="0"/>
                    <w:snapToGrid w:val="0"/>
                    <w:ind w:right="-1"/>
                    <w:contextualSpacing/>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产品</w:t>
                  </w:r>
                  <w:r>
                    <w:rPr>
                      <w:rFonts w:hint="default" w:ascii="Times New Roman" w:hAnsi="Times New Roman" w:eastAsia="宋体" w:cs="Times New Roman"/>
                      <w:szCs w:val="21"/>
                    </w:rPr>
                    <w:t>规格</w:t>
                  </w:r>
                </w:p>
              </w:tc>
              <w:tc>
                <w:tcPr>
                  <w:tcW w:w="1187" w:type="pct"/>
                  <w:tcBorders>
                    <w:left w:val="single" w:color="auto" w:sz="4" w:space="0"/>
                    <w:bottom w:val="single" w:color="auto" w:sz="4" w:space="0"/>
                    <w:right w:val="single" w:color="auto" w:sz="4" w:space="0"/>
                  </w:tcBorders>
                  <w:noWrap w:val="0"/>
                  <w:vAlign w:val="center"/>
                </w:tcPr>
                <w:p>
                  <w:pPr>
                    <w:adjustRightInd w:val="0"/>
                    <w:snapToGrid w:val="0"/>
                    <w:ind w:right="-1"/>
                    <w:contextualSpacing/>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val="en-US" w:eastAsia="zh-CN"/>
                    </w:rPr>
                    <w:t>生产能力</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lang w:val="en-US" w:eastAsia="zh-CN"/>
                    </w:rPr>
                    <w:t>m</w:t>
                  </w:r>
                  <w:r>
                    <w:rPr>
                      <w:rFonts w:hint="default" w:ascii="Times New Roman" w:hAnsi="Times New Roman" w:eastAsia="宋体" w:cs="Times New Roman"/>
                      <w:szCs w:val="21"/>
                      <w:vertAlign w:val="superscript"/>
                      <w:lang w:val="en-US" w:eastAsia="zh-CN"/>
                    </w:rPr>
                    <w:t>3</w:t>
                  </w:r>
                  <w:r>
                    <w:rPr>
                      <w:rFonts w:hint="default" w:ascii="Times New Roman" w:hAnsi="Times New Roman" w:eastAsia="宋体" w:cs="Times New Roman"/>
                      <w:szCs w:val="21"/>
                    </w:rPr>
                    <w:t>/a</w:t>
                  </w:r>
                  <w:r>
                    <w:rPr>
                      <w:rFonts w:hint="default" w:ascii="Times New Roman" w:hAnsi="Times New Roman" w:eastAsia="宋体" w:cs="Times New Roman"/>
                      <w:szCs w:val="21"/>
                      <w:lang w:eastAsia="zh-CN"/>
                    </w:rPr>
                    <w:t>）</w:t>
                  </w:r>
                </w:p>
              </w:tc>
              <w:tc>
                <w:tcPr>
                  <w:tcW w:w="1051" w:type="pct"/>
                  <w:tcBorders>
                    <w:bottom w:val="single" w:color="auto" w:sz="4" w:space="0"/>
                  </w:tcBorders>
                  <w:noWrap w:val="0"/>
                  <w:vAlign w:val="center"/>
                </w:tcPr>
                <w:p>
                  <w:pPr>
                    <w:adjustRightInd w:val="0"/>
                    <w:snapToGrid w:val="0"/>
                    <w:ind w:right="-1"/>
                    <w:contextualSpacing/>
                    <w:jc w:val="center"/>
                    <w:rPr>
                      <w:rFonts w:hint="default" w:ascii="Times New Roman" w:hAnsi="Times New Roman" w:eastAsia="宋体" w:cs="Times New Roman"/>
                      <w:szCs w:val="21"/>
                    </w:rPr>
                  </w:pPr>
                  <w:r>
                    <w:rPr>
                      <w:rFonts w:hint="default" w:ascii="Times New Roman" w:hAnsi="Times New Roman" w:eastAsia="宋体" w:cs="Times New Roman"/>
                      <w:szCs w:val="21"/>
                    </w:rPr>
                    <w:t>质量标准</w:t>
                  </w:r>
                </w:p>
              </w:tc>
              <w:tc>
                <w:tcPr>
                  <w:tcW w:w="719" w:type="pct"/>
                  <w:tcBorders>
                    <w:bottom w:val="single" w:color="auto" w:sz="4" w:space="0"/>
                  </w:tcBorders>
                  <w:noWrap w:val="0"/>
                  <w:vAlign w:val="center"/>
                </w:tcPr>
                <w:p>
                  <w:pPr>
                    <w:adjustRightInd w:val="0"/>
                    <w:snapToGrid w:val="0"/>
                    <w:ind w:right="-1"/>
                    <w:contextualSpacing/>
                    <w:jc w:val="center"/>
                    <w:rPr>
                      <w:rFonts w:hint="default" w:ascii="Times New Roman" w:hAnsi="Times New Roman" w:eastAsia="宋体" w:cs="Times New Roman"/>
                      <w:szCs w:val="21"/>
                    </w:rPr>
                  </w:pPr>
                  <w:r>
                    <w:rPr>
                      <w:rFonts w:hint="default" w:ascii="Times New Roman" w:hAnsi="Times New Roman" w:eastAsia="宋体" w:cs="Times New Roman"/>
                      <w:szCs w:val="21"/>
                    </w:rPr>
                    <w:t>年运行</w:t>
                  </w:r>
                  <w:r>
                    <w:rPr>
                      <w:rFonts w:hint="default" w:ascii="Times New Roman" w:hAnsi="Times New Roman" w:eastAsia="宋体" w:cs="Times New Roman"/>
                      <w:szCs w:val="21"/>
                      <w:lang w:eastAsia="zh-CN"/>
                    </w:rPr>
                    <w:t>天数、</w:t>
                  </w:r>
                  <w:r>
                    <w:rPr>
                      <w:rFonts w:hint="default" w:ascii="Times New Roman" w:hAnsi="Times New Roman" w:eastAsia="宋体" w:cs="Times New Roman"/>
                      <w:szCs w:val="21"/>
                    </w:rPr>
                    <w:t>时数h/a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2" w:hRule="atLeast"/>
              </w:trPr>
              <w:tc>
                <w:tcPr>
                  <w:tcW w:w="1255" w:type="pct"/>
                  <w:noWrap w:val="0"/>
                  <w:vAlign w:val="center"/>
                </w:tcPr>
                <w:p>
                  <w:pPr>
                    <w:adjustRightInd w:val="0"/>
                    <w:snapToGrid w:val="0"/>
                    <w:ind w:right="-1"/>
                    <w:contextualSpacing/>
                    <w:jc w:val="center"/>
                    <w:rPr>
                      <w:rFonts w:hint="default" w:ascii="Times New Roman" w:hAnsi="Times New Roman" w:eastAsia="宋体" w:cs="Times New Roman"/>
                      <w:szCs w:val="21"/>
                      <w:lang w:eastAsia="zh-CN"/>
                    </w:rPr>
                  </w:pPr>
                  <w:r>
                    <w:rPr>
                      <w:rFonts w:hint="eastAsia" w:ascii="Times New Roman" w:hAnsi="Times New Roman" w:eastAsia="宋体" w:cs="Times New Roman"/>
                      <w:szCs w:val="21"/>
                      <w:lang w:eastAsia="zh-CN"/>
                    </w:rPr>
                    <w:t>商品混凝土</w:t>
                  </w:r>
                </w:p>
              </w:tc>
              <w:tc>
                <w:tcPr>
                  <w:tcW w:w="786" w:type="pct"/>
                  <w:tcBorders>
                    <w:right w:val="single" w:color="auto" w:sz="4" w:space="0"/>
                  </w:tcBorders>
                  <w:noWrap w:val="0"/>
                  <w:vAlign w:val="center"/>
                </w:tcPr>
                <w:p>
                  <w:pPr>
                    <w:adjustRightInd w:val="0"/>
                    <w:snapToGrid w:val="0"/>
                    <w:ind w:right="-1"/>
                    <w:contextualSpacing/>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C</w:t>
                  </w:r>
                  <w:r>
                    <w:rPr>
                      <w:rFonts w:hint="eastAsia" w:ascii="Times New Roman" w:hAnsi="Times New Roman" w:eastAsia="宋体" w:cs="Times New Roman"/>
                      <w:szCs w:val="21"/>
                      <w:lang w:val="en-US" w:eastAsia="zh-CN"/>
                    </w:rPr>
                    <w:t>2</w:t>
                  </w:r>
                  <w:r>
                    <w:rPr>
                      <w:rFonts w:hint="default" w:ascii="Times New Roman" w:hAnsi="Times New Roman" w:eastAsia="宋体" w:cs="Times New Roman"/>
                      <w:szCs w:val="21"/>
                      <w:lang w:val="en-US" w:eastAsia="zh-CN"/>
                    </w:rPr>
                    <w:t>0-C</w:t>
                  </w:r>
                  <w:r>
                    <w:rPr>
                      <w:rFonts w:hint="eastAsia" w:ascii="Times New Roman" w:hAnsi="Times New Roman" w:eastAsia="宋体" w:cs="Times New Roman"/>
                      <w:szCs w:val="21"/>
                      <w:lang w:val="en-US" w:eastAsia="zh-CN"/>
                    </w:rPr>
                    <w:t>60</w:t>
                  </w:r>
                </w:p>
              </w:tc>
              <w:tc>
                <w:tcPr>
                  <w:tcW w:w="1187" w:type="pct"/>
                  <w:tcBorders>
                    <w:left w:val="single" w:color="auto" w:sz="4" w:space="0"/>
                    <w:right w:val="single" w:color="auto" w:sz="4" w:space="0"/>
                  </w:tcBorders>
                  <w:noWrap w:val="0"/>
                  <w:vAlign w:val="center"/>
                </w:tcPr>
                <w:p>
                  <w:pPr>
                    <w:adjustRightInd w:val="0"/>
                    <w:snapToGrid w:val="0"/>
                    <w:ind w:right="-1"/>
                    <w:contextualSpacing/>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w:t>
                  </w:r>
                  <w:r>
                    <w:rPr>
                      <w:rFonts w:hint="default" w:ascii="Times New Roman" w:hAnsi="Times New Roman" w:eastAsia="宋体" w:cs="Times New Roman"/>
                      <w:szCs w:val="21"/>
                    </w:rPr>
                    <w:t>万</w:t>
                  </w:r>
                </w:p>
              </w:tc>
              <w:tc>
                <w:tcPr>
                  <w:tcW w:w="1051" w:type="pct"/>
                  <w:noWrap w:val="0"/>
                  <w:vAlign w:val="center"/>
                </w:tcPr>
                <w:p>
                  <w:pPr>
                    <w:adjustRightInd w:val="0"/>
                    <w:snapToGrid w:val="0"/>
                    <w:ind w:right="-1"/>
                    <w:contextualSpacing/>
                    <w:jc w:val="center"/>
                    <w:rPr>
                      <w:rFonts w:hint="default" w:ascii="Times New Roman" w:hAnsi="Times New Roman" w:eastAsia="宋体" w:cs="Times New Roman"/>
                      <w:szCs w:val="21"/>
                    </w:rPr>
                  </w:pPr>
                  <w:r>
                    <w:rPr>
                      <w:rFonts w:hint="default" w:ascii="Times New Roman" w:hAnsi="Times New Roman" w:eastAsia="宋体" w:cs="Times New Roman"/>
                      <w:szCs w:val="21"/>
                    </w:rPr>
                    <w:t>《预拌混凝土》</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GB/T 14902-2012</w:t>
                  </w:r>
                  <w:r>
                    <w:rPr>
                      <w:rFonts w:hint="eastAsia" w:ascii="Times New Roman" w:hAnsi="Times New Roman" w:eastAsia="宋体" w:cs="Times New Roman"/>
                      <w:szCs w:val="21"/>
                      <w:lang w:eastAsia="zh-CN"/>
                    </w:rPr>
                    <w:t>）</w:t>
                  </w:r>
                </w:p>
              </w:tc>
              <w:tc>
                <w:tcPr>
                  <w:tcW w:w="719" w:type="pct"/>
                  <w:noWrap w:val="0"/>
                  <w:vAlign w:val="center"/>
                </w:tcPr>
                <w:p>
                  <w:pPr>
                    <w:adjustRightInd w:val="0"/>
                    <w:snapToGrid w:val="0"/>
                    <w:ind w:right="-1"/>
                    <w:contextualSpacing/>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270</w:t>
                  </w:r>
                  <w:r>
                    <w:rPr>
                      <w:rFonts w:hint="default" w:ascii="Times New Roman" w:hAnsi="Times New Roman" w:eastAsia="宋体" w:cs="Times New Roman"/>
                      <w:szCs w:val="21"/>
                      <w:lang w:val="en-US" w:eastAsia="zh-CN"/>
                    </w:rPr>
                    <w:t>天、</w:t>
                  </w:r>
                  <w:r>
                    <w:rPr>
                      <w:rFonts w:hint="eastAsia" w:ascii="Times New Roman" w:hAnsi="Times New Roman" w:cs="Times New Roman"/>
                      <w:sz w:val="21"/>
                      <w:szCs w:val="21"/>
                      <w:lang w:val="en-US" w:eastAsia="zh-CN"/>
                    </w:rPr>
                    <w:t>2160</w:t>
                  </w:r>
                  <w:r>
                    <w:rPr>
                      <w:rFonts w:hint="default" w:ascii="Times New Roman" w:hAnsi="Times New Roman" w:eastAsia="宋体" w:cs="Times New Roman"/>
                      <w:szCs w:val="21"/>
                      <w:lang w:val="en-US" w:eastAsia="zh-CN"/>
                    </w:rPr>
                    <w:t>小时</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sz w:val="24"/>
                <w:lang w:val="en-US" w:eastAsia="zh-CN"/>
              </w:rPr>
            </w:pPr>
            <w:r>
              <w:rPr>
                <w:rFonts w:hint="eastAsia"/>
                <w:b/>
                <w:bCs/>
                <w:sz w:val="24"/>
                <w:lang w:eastAsia="zh-CN"/>
              </w:rPr>
              <w:t>五</w:t>
            </w:r>
            <w:r>
              <w:rPr>
                <w:rFonts w:hint="eastAsia"/>
                <w:b/>
                <w:bCs/>
                <w:sz w:val="24"/>
              </w:rPr>
              <w:t>、主要生产设施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rPr>
            </w:pPr>
            <w:r>
              <w:rPr>
                <w:rFonts w:hint="eastAsia" w:ascii="宋体" w:hAnsi="宋体" w:cs="宋体"/>
                <w:b w:val="0"/>
                <w:bCs w:val="0"/>
                <w:sz w:val="24"/>
              </w:rPr>
              <w:t>本项目主要</w:t>
            </w:r>
            <w:r>
              <w:rPr>
                <w:rFonts w:hint="eastAsia" w:ascii="宋体" w:hAnsi="宋体" w:cs="宋体"/>
                <w:b w:val="0"/>
                <w:bCs w:val="0"/>
                <w:sz w:val="24"/>
                <w:lang w:eastAsia="zh-CN"/>
              </w:rPr>
              <w:t>生产</w:t>
            </w:r>
            <w:r>
              <w:rPr>
                <w:rFonts w:hint="eastAsia" w:ascii="宋体" w:hAnsi="宋体" w:cs="宋体"/>
                <w:b w:val="0"/>
                <w:bCs w:val="0"/>
                <w:sz w:val="24"/>
              </w:rPr>
              <w:t>设施</w:t>
            </w:r>
            <w:r>
              <w:rPr>
                <w:rFonts w:hint="eastAsia" w:ascii="宋体" w:hAnsi="宋体" w:cs="宋体"/>
                <w:b w:val="0"/>
                <w:bCs w:val="0"/>
                <w:sz w:val="24"/>
                <w:lang w:eastAsia="zh-CN"/>
              </w:rPr>
              <w:t>见表</w:t>
            </w:r>
            <w:r>
              <w:rPr>
                <w:rFonts w:hint="eastAsia" w:ascii="宋体" w:hAnsi="宋体" w:cs="宋体"/>
                <w:b w:val="0"/>
                <w:bCs w:val="0"/>
                <w:sz w:val="24"/>
                <w:lang w:val="en-US" w:eastAsia="zh-CN"/>
              </w:rPr>
              <w:t>2-3</w:t>
            </w:r>
            <w:r>
              <w:rPr>
                <w:rFonts w:hint="eastAsia"/>
                <w:b w:val="0"/>
                <w:bCs w:val="0"/>
              </w:rPr>
              <w:t>。</w:t>
            </w:r>
          </w:p>
          <w:p>
            <w:pPr>
              <w:spacing w:line="520" w:lineRule="exact"/>
              <w:ind w:firstLine="482" w:firstLineChars="200"/>
              <w:jc w:val="center"/>
              <w:rPr>
                <w:rFonts w:hint="eastAsia" w:ascii="宋体" w:hAnsi="宋体" w:cs="宋体"/>
                <w:b/>
                <w:bCs/>
                <w:sz w:val="24"/>
              </w:rPr>
            </w:pPr>
            <w:r>
              <w:rPr>
                <w:rFonts w:hint="eastAsia" w:ascii="宋体" w:hAnsi="宋体" w:cs="宋体"/>
                <w:b/>
                <w:bCs/>
                <w:sz w:val="24"/>
              </w:rPr>
              <w:t>表</w:t>
            </w:r>
            <w:r>
              <w:rPr>
                <w:rFonts w:hint="eastAsia" w:ascii="宋体" w:hAnsi="宋体" w:cs="宋体"/>
                <w:b/>
                <w:bCs/>
                <w:sz w:val="24"/>
                <w:lang w:val="en-US" w:eastAsia="zh-CN"/>
              </w:rPr>
              <w:t xml:space="preserve">2-3 </w:t>
            </w:r>
            <w:r>
              <w:rPr>
                <w:rFonts w:hint="eastAsia" w:ascii="宋体" w:hAnsi="宋体" w:cs="宋体"/>
                <w:b/>
                <w:bCs/>
                <w:sz w:val="24"/>
              </w:rPr>
              <w:t xml:space="preserve"> 主要生产设施一览表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030"/>
              <w:gridCol w:w="896"/>
              <w:gridCol w:w="1113"/>
              <w:gridCol w:w="1978"/>
              <w:gridCol w:w="433"/>
              <w:gridCol w:w="517"/>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858" w:type="dxa"/>
                  <w:noWrap w:val="0"/>
                  <w:vAlign w:val="center"/>
                </w:tcPr>
                <w:p>
                  <w:pPr>
                    <w:adjustRightInd w:val="0"/>
                    <w:snapToGrid w:val="0"/>
                    <w:ind w:right="-1"/>
                    <w:contextualSpacing/>
                    <w:jc w:val="center"/>
                    <w:rPr>
                      <w:sz w:val="21"/>
                      <w:szCs w:val="21"/>
                    </w:rPr>
                  </w:pPr>
                  <w:r>
                    <w:rPr>
                      <w:sz w:val="21"/>
                      <w:szCs w:val="21"/>
                    </w:rPr>
                    <w:t>序号</w:t>
                  </w:r>
                </w:p>
              </w:tc>
              <w:tc>
                <w:tcPr>
                  <w:tcW w:w="1030" w:type="dxa"/>
                  <w:noWrap w:val="0"/>
                  <w:vAlign w:val="center"/>
                </w:tcPr>
                <w:p>
                  <w:pPr>
                    <w:adjustRightInd w:val="0"/>
                    <w:snapToGrid w:val="0"/>
                    <w:ind w:right="-1"/>
                    <w:contextualSpacing/>
                    <w:jc w:val="center"/>
                    <w:rPr>
                      <w:sz w:val="21"/>
                      <w:szCs w:val="21"/>
                    </w:rPr>
                  </w:pPr>
                  <w:r>
                    <w:rPr>
                      <w:sz w:val="21"/>
                      <w:szCs w:val="21"/>
                    </w:rPr>
                    <w:t>主要生产单元</w:t>
                  </w:r>
                </w:p>
              </w:tc>
              <w:tc>
                <w:tcPr>
                  <w:tcW w:w="896" w:type="dxa"/>
                  <w:noWrap w:val="0"/>
                  <w:vAlign w:val="center"/>
                </w:tcPr>
                <w:p>
                  <w:pPr>
                    <w:adjustRightInd w:val="0"/>
                    <w:snapToGrid w:val="0"/>
                    <w:ind w:right="-1"/>
                    <w:contextualSpacing/>
                    <w:jc w:val="center"/>
                    <w:rPr>
                      <w:sz w:val="21"/>
                      <w:szCs w:val="21"/>
                    </w:rPr>
                  </w:pPr>
                  <w:r>
                    <w:rPr>
                      <w:sz w:val="21"/>
                      <w:szCs w:val="21"/>
                    </w:rPr>
                    <w:t>主要工艺</w:t>
                  </w:r>
                </w:p>
              </w:tc>
              <w:tc>
                <w:tcPr>
                  <w:tcW w:w="1113" w:type="dxa"/>
                  <w:noWrap w:val="0"/>
                  <w:vAlign w:val="center"/>
                </w:tcPr>
                <w:p>
                  <w:pPr>
                    <w:adjustRightInd w:val="0"/>
                    <w:snapToGrid w:val="0"/>
                    <w:ind w:right="-1"/>
                    <w:contextualSpacing/>
                    <w:jc w:val="center"/>
                    <w:rPr>
                      <w:sz w:val="21"/>
                      <w:szCs w:val="21"/>
                    </w:rPr>
                  </w:pPr>
                  <w:r>
                    <w:rPr>
                      <w:sz w:val="21"/>
                      <w:szCs w:val="21"/>
                    </w:rPr>
                    <w:t>名称</w:t>
                  </w:r>
                </w:p>
              </w:tc>
              <w:tc>
                <w:tcPr>
                  <w:tcW w:w="1978" w:type="dxa"/>
                  <w:noWrap w:val="0"/>
                  <w:vAlign w:val="center"/>
                </w:tcPr>
                <w:p>
                  <w:pPr>
                    <w:adjustRightInd w:val="0"/>
                    <w:snapToGrid w:val="0"/>
                    <w:ind w:right="-1"/>
                    <w:contextualSpacing/>
                    <w:jc w:val="center"/>
                    <w:rPr>
                      <w:sz w:val="21"/>
                      <w:szCs w:val="21"/>
                    </w:rPr>
                  </w:pPr>
                  <w:r>
                    <w:rPr>
                      <w:sz w:val="21"/>
                      <w:szCs w:val="21"/>
                    </w:rPr>
                    <w:t>技术规格</w:t>
                  </w:r>
                </w:p>
              </w:tc>
              <w:tc>
                <w:tcPr>
                  <w:tcW w:w="433" w:type="dxa"/>
                  <w:noWrap w:val="0"/>
                  <w:vAlign w:val="center"/>
                </w:tcPr>
                <w:p>
                  <w:pPr>
                    <w:adjustRightInd w:val="0"/>
                    <w:snapToGrid w:val="0"/>
                    <w:ind w:right="-1"/>
                    <w:contextualSpacing/>
                    <w:jc w:val="center"/>
                    <w:rPr>
                      <w:sz w:val="21"/>
                      <w:szCs w:val="21"/>
                    </w:rPr>
                  </w:pPr>
                  <w:r>
                    <w:rPr>
                      <w:sz w:val="21"/>
                      <w:szCs w:val="21"/>
                    </w:rPr>
                    <w:t>单位</w:t>
                  </w:r>
                </w:p>
              </w:tc>
              <w:tc>
                <w:tcPr>
                  <w:tcW w:w="517" w:type="dxa"/>
                  <w:noWrap w:val="0"/>
                  <w:vAlign w:val="center"/>
                </w:tcPr>
                <w:p>
                  <w:pPr>
                    <w:adjustRightInd w:val="0"/>
                    <w:snapToGrid w:val="0"/>
                    <w:ind w:right="-1"/>
                    <w:contextualSpacing/>
                    <w:jc w:val="center"/>
                    <w:rPr>
                      <w:sz w:val="21"/>
                      <w:szCs w:val="21"/>
                    </w:rPr>
                  </w:pPr>
                  <w:r>
                    <w:rPr>
                      <w:sz w:val="21"/>
                      <w:szCs w:val="21"/>
                    </w:rPr>
                    <w:t>数量</w:t>
                  </w:r>
                </w:p>
              </w:tc>
              <w:tc>
                <w:tcPr>
                  <w:tcW w:w="1558" w:type="dxa"/>
                  <w:noWrap w:val="0"/>
                  <w:vAlign w:val="center"/>
                </w:tcPr>
                <w:p>
                  <w:pPr>
                    <w:adjustRightInd w:val="0"/>
                    <w:snapToGrid w:val="0"/>
                    <w:ind w:right="-1"/>
                    <w:contextualSpacing/>
                    <w:jc w:val="center"/>
                    <w:rPr>
                      <w:sz w:val="21"/>
                      <w:szCs w:val="21"/>
                    </w:rPr>
                  </w:pPr>
                  <w:r>
                    <w:rPr>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contextualSpacing/>
                    <w:jc w:val="center"/>
                    <w:rPr>
                      <w:rFonts w:hint="default" w:eastAsia="宋体"/>
                      <w:sz w:val="21"/>
                      <w:szCs w:val="21"/>
                      <w:lang w:val="en-US" w:eastAsia="zh-CN"/>
                    </w:rPr>
                  </w:pPr>
                  <w:r>
                    <w:rPr>
                      <w:rFonts w:hint="eastAsia"/>
                      <w:sz w:val="21"/>
                      <w:szCs w:val="21"/>
                      <w:lang w:val="en-US" w:eastAsia="zh-CN"/>
                    </w:rPr>
                    <w:t>1</w:t>
                  </w:r>
                </w:p>
              </w:tc>
              <w:tc>
                <w:tcPr>
                  <w:tcW w:w="1030" w:type="dxa"/>
                  <w:vMerge w:val="restart"/>
                  <w:noWrap w:val="0"/>
                  <w:vAlign w:val="center"/>
                </w:tcPr>
                <w:p>
                  <w:pPr>
                    <w:adjustRightInd w:val="0"/>
                    <w:snapToGrid w:val="0"/>
                    <w:ind w:right="-1"/>
                    <w:contextualSpacing/>
                    <w:jc w:val="center"/>
                    <w:rPr>
                      <w:sz w:val="21"/>
                      <w:szCs w:val="21"/>
                    </w:rPr>
                  </w:pPr>
                  <w:r>
                    <w:rPr>
                      <w:sz w:val="21"/>
                      <w:szCs w:val="21"/>
                    </w:rPr>
                    <w:t>骨料预处理系统</w:t>
                  </w:r>
                </w:p>
              </w:tc>
              <w:tc>
                <w:tcPr>
                  <w:tcW w:w="896" w:type="dxa"/>
                  <w:vMerge w:val="restart"/>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rPr>
                    <w:t>砂石料</w:t>
                  </w:r>
                  <w:r>
                    <w:rPr>
                      <w:rFonts w:hint="eastAsia"/>
                      <w:sz w:val="21"/>
                      <w:szCs w:val="21"/>
                      <w:lang w:eastAsia="zh-CN"/>
                    </w:rPr>
                    <w:t>上料</w:t>
                  </w:r>
                </w:p>
              </w:tc>
              <w:tc>
                <w:tcPr>
                  <w:tcW w:w="1113" w:type="dxa"/>
                  <w:noWrap w:val="0"/>
                  <w:vAlign w:val="center"/>
                </w:tcPr>
                <w:p>
                  <w:pPr>
                    <w:adjustRightInd w:val="0"/>
                    <w:snapToGrid w:val="0"/>
                    <w:ind w:right="-1"/>
                    <w:contextualSpacing/>
                    <w:jc w:val="center"/>
                    <w:rPr>
                      <w:rFonts w:hint="eastAsia"/>
                      <w:sz w:val="21"/>
                      <w:szCs w:val="21"/>
                    </w:rPr>
                  </w:pPr>
                  <w:r>
                    <w:rPr>
                      <w:rFonts w:hint="eastAsia"/>
                      <w:sz w:val="21"/>
                      <w:szCs w:val="21"/>
                      <w:lang w:val="en-US" w:eastAsia="zh-CN"/>
                    </w:rPr>
                    <w:t>2仓式</w:t>
                  </w:r>
                  <w:r>
                    <w:rPr>
                      <w:rFonts w:hint="eastAsia"/>
                      <w:sz w:val="21"/>
                      <w:szCs w:val="21"/>
                    </w:rPr>
                    <w:t>料仓</w:t>
                  </w:r>
                </w:p>
              </w:tc>
              <w:tc>
                <w:tcPr>
                  <w:tcW w:w="1978" w:type="dxa"/>
                  <w:noWrap w:val="0"/>
                  <w:vAlign w:val="center"/>
                </w:tcPr>
                <w:p>
                  <w:pPr>
                    <w:adjustRightInd w:val="0"/>
                    <w:snapToGrid w:val="0"/>
                    <w:ind w:right="-1"/>
                    <w:contextualSpacing/>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单仓容积</w:t>
                  </w:r>
                  <w:r>
                    <w:rPr>
                      <w:rFonts w:hint="default" w:ascii="Times New Roman" w:hAnsi="Times New Roman" w:cs="Times New Roman"/>
                      <w:color w:val="auto"/>
                      <w:sz w:val="21"/>
                      <w:szCs w:val="21"/>
                      <w:lang w:val="en-US" w:eastAsia="zh-CN"/>
                    </w:rPr>
                    <w:t>350</w:t>
                  </w:r>
                  <w:r>
                    <w:rPr>
                      <w:rFonts w:hint="default" w:ascii="Times New Roman" w:hAnsi="Times New Roman" w:cs="Times New Roman"/>
                      <w:color w:val="auto"/>
                      <w:sz w:val="21"/>
                      <w:szCs w:val="21"/>
                    </w:rPr>
                    <w:t>m³</w:t>
                  </w:r>
                </w:p>
              </w:tc>
              <w:tc>
                <w:tcPr>
                  <w:tcW w:w="43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个</w:t>
                  </w:r>
                </w:p>
              </w:tc>
              <w:tc>
                <w:tcPr>
                  <w:tcW w:w="517"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2</w:t>
                  </w:r>
                </w:p>
              </w:tc>
              <w:tc>
                <w:tcPr>
                  <w:tcW w:w="1558" w:type="dxa"/>
                  <w:noWrap w:val="0"/>
                  <w:vAlign w:val="center"/>
                </w:tcPr>
                <w:p>
                  <w:pPr>
                    <w:adjustRightInd w:val="0"/>
                    <w:snapToGrid w:val="0"/>
                    <w:ind w:right="-1"/>
                    <w:contextualSpacing/>
                    <w:jc w:val="center"/>
                    <w:rPr>
                      <w:rFonts w:hint="eastAsia"/>
                      <w:sz w:val="21"/>
                      <w:szCs w:val="21"/>
                    </w:rPr>
                  </w:pPr>
                  <w:r>
                    <w:rPr>
                      <w:rFonts w:hint="eastAsia"/>
                      <w:sz w:val="21"/>
                      <w:szCs w:val="21"/>
                    </w:rPr>
                    <w:t>砂石料上料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858" w:type="dxa"/>
                  <w:noWrap w:val="0"/>
                  <w:vAlign w:val="center"/>
                </w:tcPr>
                <w:p>
                  <w:pPr>
                    <w:adjustRightInd w:val="0"/>
                    <w:snapToGrid w:val="0"/>
                    <w:ind w:right="-1"/>
                    <w:contextualSpacing/>
                    <w:jc w:val="center"/>
                    <w:rPr>
                      <w:rFonts w:hint="eastAsia" w:eastAsia="宋体"/>
                      <w:sz w:val="21"/>
                      <w:szCs w:val="21"/>
                      <w:lang w:val="en-US" w:eastAsia="zh-CN"/>
                    </w:rPr>
                  </w:pPr>
                  <w:r>
                    <w:rPr>
                      <w:rFonts w:hint="eastAsia"/>
                      <w:sz w:val="21"/>
                      <w:szCs w:val="21"/>
                      <w:lang w:val="en-US" w:eastAsia="zh-CN"/>
                    </w:rPr>
                    <w:t>2</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rFonts w:hint="eastAsia"/>
                      <w:sz w:val="21"/>
                      <w:szCs w:val="21"/>
                    </w:rPr>
                  </w:pPr>
                </w:p>
              </w:tc>
              <w:tc>
                <w:tcPr>
                  <w:tcW w:w="1113" w:type="dxa"/>
                  <w:noWrap w:val="0"/>
                  <w:vAlign w:val="center"/>
                </w:tcPr>
                <w:p>
                  <w:pPr>
                    <w:adjustRightInd w:val="0"/>
                    <w:snapToGrid w:val="0"/>
                    <w:ind w:right="-1"/>
                    <w:contextualSpacing/>
                    <w:jc w:val="center"/>
                    <w:rPr>
                      <w:rFonts w:hint="eastAsia"/>
                      <w:sz w:val="21"/>
                      <w:szCs w:val="21"/>
                    </w:rPr>
                  </w:pPr>
                  <w:r>
                    <w:rPr>
                      <w:sz w:val="21"/>
                      <w:szCs w:val="21"/>
                    </w:rPr>
                    <w:t>传输皮带</w:t>
                  </w:r>
                </w:p>
              </w:tc>
              <w:tc>
                <w:tcPr>
                  <w:tcW w:w="1978" w:type="dxa"/>
                  <w:noWrap w:val="0"/>
                  <w:vAlign w:val="center"/>
                </w:tcPr>
                <w:p>
                  <w:pPr>
                    <w:adjustRightInd w:val="0"/>
                    <w:snapToGrid w:val="0"/>
                    <w:ind w:right="-1"/>
                    <w:contextualSpacing/>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宽1000mm</w:t>
                  </w:r>
                </w:p>
              </w:tc>
              <w:tc>
                <w:tcPr>
                  <w:tcW w:w="433" w:type="dxa"/>
                  <w:noWrap w:val="0"/>
                  <w:vAlign w:val="center"/>
                </w:tcPr>
                <w:p>
                  <w:pPr>
                    <w:adjustRightInd w:val="0"/>
                    <w:snapToGrid w:val="0"/>
                    <w:ind w:right="-1"/>
                    <w:contextualSpacing/>
                    <w:jc w:val="center"/>
                    <w:rPr>
                      <w:rFonts w:hint="eastAsia"/>
                      <w:sz w:val="21"/>
                      <w:szCs w:val="21"/>
                    </w:rPr>
                  </w:pPr>
                  <w:r>
                    <w:rPr>
                      <w:sz w:val="21"/>
                      <w:szCs w:val="21"/>
                    </w:rPr>
                    <w:t>组</w:t>
                  </w:r>
                </w:p>
              </w:tc>
              <w:tc>
                <w:tcPr>
                  <w:tcW w:w="517" w:type="dxa"/>
                  <w:noWrap w:val="0"/>
                  <w:vAlign w:val="center"/>
                </w:tcPr>
                <w:p>
                  <w:pPr>
                    <w:adjustRightInd w:val="0"/>
                    <w:snapToGrid w:val="0"/>
                    <w:ind w:right="-1"/>
                    <w:contextualSpacing/>
                    <w:jc w:val="center"/>
                    <w:rPr>
                      <w:rFonts w:hint="default" w:eastAsia="宋体"/>
                      <w:sz w:val="21"/>
                      <w:szCs w:val="21"/>
                      <w:lang w:val="en-US" w:eastAsia="zh-CN"/>
                    </w:rPr>
                  </w:pPr>
                  <w:r>
                    <w:rPr>
                      <w:rFonts w:hint="eastAsia"/>
                      <w:sz w:val="21"/>
                      <w:szCs w:val="21"/>
                      <w:lang w:val="en-US" w:eastAsia="zh-CN"/>
                    </w:rPr>
                    <w:t>6</w:t>
                  </w:r>
                </w:p>
              </w:tc>
              <w:tc>
                <w:tcPr>
                  <w:tcW w:w="1558" w:type="dxa"/>
                  <w:noWrap w:val="0"/>
                  <w:vAlign w:val="center"/>
                </w:tcPr>
                <w:p>
                  <w:pPr>
                    <w:adjustRightInd w:val="0"/>
                    <w:snapToGrid w:val="0"/>
                    <w:ind w:right="-1"/>
                    <w:contextualSpacing/>
                    <w:jc w:val="center"/>
                    <w:rPr>
                      <w:rFonts w:hint="eastAsia"/>
                      <w:sz w:val="21"/>
                      <w:szCs w:val="21"/>
                    </w:rPr>
                  </w:pPr>
                  <w:r>
                    <w:rPr>
                      <w:sz w:val="21"/>
                      <w:szCs w:val="21"/>
                    </w:rPr>
                    <w:t>砂石料</w:t>
                  </w:r>
                  <w:r>
                    <w:rPr>
                      <w:rFonts w:hint="eastAsia"/>
                      <w:sz w:val="21"/>
                      <w:szCs w:val="21"/>
                    </w:rPr>
                    <w:t>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rightChars="0"/>
                    <w:contextualSpacing/>
                    <w:jc w:val="center"/>
                    <w:rPr>
                      <w:rFonts w:hint="eastAsia"/>
                      <w:sz w:val="21"/>
                      <w:szCs w:val="21"/>
                      <w:lang w:val="en-US" w:eastAsia="zh-CN"/>
                    </w:rPr>
                  </w:pPr>
                  <w:r>
                    <w:rPr>
                      <w:rFonts w:hint="eastAsia"/>
                      <w:sz w:val="21"/>
                      <w:szCs w:val="21"/>
                      <w:lang w:val="en-US" w:eastAsia="zh-CN"/>
                    </w:rPr>
                    <w:t>3</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rFonts w:hint="eastAsia"/>
                      <w:sz w:val="21"/>
                      <w:szCs w:val="21"/>
                    </w:rPr>
                  </w:pPr>
                </w:p>
              </w:tc>
              <w:tc>
                <w:tcPr>
                  <w:tcW w:w="111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喷淋系统</w:t>
                  </w:r>
                </w:p>
              </w:tc>
              <w:tc>
                <w:tcPr>
                  <w:tcW w:w="1978" w:type="dxa"/>
                  <w:noWrap w:val="0"/>
                  <w:vAlign w:val="center"/>
                </w:tcPr>
                <w:p>
                  <w:pPr>
                    <w:adjustRightInd w:val="0"/>
                    <w:snapToGrid w:val="0"/>
                    <w:ind w:right="-1"/>
                    <w:contextualSpacing/>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HJ60</w:t>
                  </w:r>
                </w:p>
              </w:tc>
              <w:tc>
                <w:tcPr>
                  <w:tcW w:w="43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套</w:t>
                  </w:r>
                </w:p>
              </w:tc>
              <w:tc>
                <w:tcPr>
                  <w:tcW w:w="517" w:type="dxa"/>
                  <w:noWrap w:val="0"/>
                  <w:vAlign w:val="center"/>
                </w:tcPr>
                <w:p>
                  <w:pPr>
                    <w:adjustRightInd w:val="0"/>
                    <w:snapToGrid w:val="0"/>
                    <w:ind w:right="-1"/>
                    <w:contextualSpacing/>
                    <w:jc w:val="center"/>
                    <w:rPr>
                      <w:rFonts w:hint="default"/>
                      <w:sz w:val="21"/>
                      <w:szCs w:val="21"/>
                      <w:lang w:val="en-US" w:eastAsia="zh-CN"/>
                    </w:rPr>
                  </w:pPr>
                  <w:r>
                    <w:rPr>
                      <w:rFonts w:hint="eastAsia"/>
                      <w:sz w:val="21"/>
                      <w:szCs w:val="21"/>
                      <w:lang w:val="en-US" w:eastAsia="zh-CN"/>
                    </w:rPr>
                    <w:t>1</w:t>
                  </w:r>
                </w:p>
              </w:tc>
              <w:tc>
                <w:tcPr>
                  <w:tcW w:w="1558"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储料</w:t>
                  </w:r>
                  <w:r>
                    <w:rPr>
                      <w:rFonts w:hint="eastAsia"/>
                      <w:sz w:val="21"/>
                      <w:szCs w:val="21"/>
                      <w:lang w:eastAsia="zh-CN"/>
                    </w:rPr>
                    <w:t>抑尘设施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858" w:type="dxa"/>
                  <w:noWrap w:val="0"/>
                  <w:vAlign w:val="center"/>
                </w:tcPr>
                <w:p>
                  <w:pPr>
                    <w:adjustRightInd w:val="0"/>
                    <w:snapToGrid w:val="0"/>
                    <w:ind w:right="-1" w:rightChars="0"/>
                    <w:contextualSpacing/>
                    <w:jc w:val="center"/>
                    <w:rPr>
                      <w:rFonts w:hint="eastAsia" w:eastAsia="宋体"/>
                      <w:sz w:val="21"/>
                      <w:szCs w:val="21"/>
                      <w:lang w:val="en-US" w:eastAsia="zh-CN"/>
                    </w:rPr>
                  </w:pPr>
                  <w:r>
                    <w:rPr>
                      <w:rFonts w:hint="eastAsia"/>
                      <w:sz w:val="21"/>
                      <w:szCs w:val="21"/>
                      <w:lang w:val="en-US" w:eastAsia="zh-CN"/>
                    </w:rPr>
                    <w:t>4</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restart"/>
                  <w:noWrap w:val="0"/>
                  <w:vAlign w:val="center"/>
                </w:tcPr>
                <w:p>
                  <w:pPr>
                    <w:adjustRightInd w:val="0"/>
                    <w:snapToGrid w:val="0"/>
                    <w:ind w:right="-1"/>
                    <w:contextualSpacing/>
                    <w:jc w:val="center"/>
                    <w:rPr>
                      <w:sz w:val="21"/>
                      <w:szCs w:val="21"/>
                    </w:rPr>
                  </w:pPr>
                  <w:r>
                    <w:rPr>
                      <w:sz w:val="21"/>
                      <w:szCs w:val="21"/>
                    </w:rPr>
                    <w:t>粉料储存、供应</w:t>
                  </w:r>
                </w:p>
              </w:tc>
              <w:tc>
                <w:tcPr>
                  <w:tcW w:w="1113" w:type="dxa"/>
                  <w:noWrap w:val="0"/>
                  <w:vAlign w:val="center"/>
                </w:tcPr>
                <w:p>
                  <w:pPr>
                    <w:adjustRightInd w:val="0"/>
                    <w:snapToGrid w:val="0"/>
                    <w:ind w:right="-1"/>
                    <w:contextualSpacing/>
                    <w:jc w:val="center"/>
                    <w:rPr>
                      <w:color w:val="auto"/>
                      <w:sz w:val="21"/>
                      <w:szCs w:val="21"/>
                    </w:rPr>
                  </w:pPr>
                  <w:r>
                    <w:rPr>
                      <w:color w:val="auto"/>
                      <w:sz w:val="21"/>
                      <w:szCs w:val="21"/>
                    </w:rPr>
                    <w:t>螺旋输送器</w:t>
                  </w:r>
                </w:p>
              </w:tc>
              <w:tc>
                <w:tcPr>
                  <w:tcW w:w="1978" w:type="dxa"/>
                  <w:noWrap w:val="0"/>
                  <w:vAlign w:val="center"/>
                </w:tcPr>
                <w:p>
                  <w:pPr>
                    <w:adjustRightInd w:val="0"/>
                    <w:snapToGrid w:val="0"/>
                    <w:ind w:right="-1"/>
                    <w:contextualSpacing/>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功率：</w:t>
                  </w:r>
                  <w:r>
                    <w:rPr>
                      <w:rFonts w:hint="default" w:ascii="Times New Roman" w:hAnsi="Times New Roman" w:cs="Times New Roman"/>
                      <w:color w:val="auto"/>
                      <w:sz w:val="21"/>
                      <w:szCs w:val="21"/>
                      <w:lang w:val="en-US" w:eastAsia="zh-CN"/>
                    </w:rPr>
                    <w:t>2</w:t>
                  </w:r>
                  <w:r>
                    <w:rPr>
                      <w:rFonts w:hint="eastAsia" w:ascii="Times New Roman" w:hAnsi="Times New Roman" w:cs="Times New Roman"/>
                      <w:color w:val="auto"/>
                      <w:sz w:val="21"/>
                      <w:szCs w:val="21"/>
                      <w:lang w:val="en-US" w:eastAsia="zh-CN"/>
                    </w:rPr>
                    <w:t>kW</w:t>
                  </w:r>
                </w:p>
              </w:tc>
              <w:tc>
                <w:tcPr>
                  <w:tcW w:w="433" w:type="dxa"/>
                  <w:noWrap w:val="0"/>
                  <w:vAlign w:val="center"/>
                </w:tcPr>
                <w:p>
                  <w:pPr>
                    <w:adjustRightInd w:val="0"/>
                    <w:snapToGrid w:val="0"/>
                    <w:ind w:right="-1"/>
                    <w:contextualSpacing/>
                    <w:jc w:val="center"/>
                    <w:rPr>
                      <w:color w:val="auto"/>
                      <w:sz w:val="21"/>
                      <w:szCs w:val="21"/>
                    </w:rPr>
                  </w:pPr>
                  <w:r>
                    <w:rPr>
                      <w:color w:val="auto"/>
                      <w:sz w:val="21"/>
                      <w:szCs w:val="21"/>
                    </w:rPr>
                    <w:t>套</w:t>
                  </w:r>
                </w:p>
              </w:tc>
              <w:tc>
                <w:tcPr>
                  <w:tcW w:w="517" w:type="dxa"/>
                  <w:noWrap w:val="0"/>
                  <w:vAlign w:val="center"/>
                </w:tcPr>
                <w:p>
                  <w:pPr>
                    <w:adjustRightInd w:val="0"/>
                    <w:snapToGrid w:val="0"/>
                    <w:ind w:right="-1"/>
                    <w:contextualSpacing/>
                    <w:jc w:val="center"/>
                    <w:rPr>
                      <w:rFonts w:hint="eastAsia" w:eastAsia="宋体"/>
                      <w:color w:val="auto"/>
                      <w:sz w:val="21"/>
                      <w:szCs w:val="21"/>
                      <w:lang w:eastAsia="zh-CN"/>
                    </w:rPr>
                  </w:pPr>
                  <w:r>
                    <w:rPr>
                      <w:rFonts w:hint="eastAsia"/>
                      <w:color w:val="auto"/>
                      <w:sz w:val="21"/>
                      <w:szCs w:val="21"/>
                      <w:lang w:val="en-US" w:eastAsia="zh-CN"/>
                    </w:rPr>
                    <w:t>8</w:t>
                  </w:r>
                </w:p>
              </w:tc>
              <w:tc>
                <w:tcPr>
                  <w:tcW w:w="1558" w:type="dxa"/>
                  <w:noWrap w:val="0"/>
                  <w:vAlign w:val="center"/>
                </w:tcPr>
                <w:p>
                  <w:pPr>
                    <w:adjustRightInd w:val="0"/>
                    <w:snapToGrid w:val="0"/>
                    <w:ind w:right="-1"/>
                    <w:contextualSpacing/>
                    <w:jc w:val="center"/>
                    <w:rPr>
                      <w:color w:val="auto"/>
                      <w:sz w:val="21"/>
                      <w:szCs w:val="21"/>
                    </w:rPr>
                  </w:pPr>
                  <w:r>
                    <w:rPr>
                      <w:color w:val="auto"/>
                      <w:sz w:val="21"/>
                      <w:szCs w:val="21"/>
                    </w:rPr>
                    <w:t>水泥</w:t>
                  </w:r>
                  <w:r>
                    <w:rPr>
                      <w:rFonts w:hint="eastAsia"/>
                      <w:color w:val="auto"/>
                      <w:sz w:val="21"/>
                      <w:szCs w:val="21"/>
                      <w:lang w:eastAsia="zh-CN"/>
                    </w:rPr>
                    <w:t>、粉煤灰</w:t>
                  </w:r>
                  <w:r>
                    <w:rPr>
                      <w:color w:val="auto"/>
                      <w:sz w:val="21"/>
                      <w:szCs w:val="21"/>
                    </w:rPr>
                    <w:t>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858" w:type="dxa"/>
                  <w:noWrap w:val="0"/>
                  <w:vAlign w:val="center"/>
                </w:tcPr>
                <w:p>
                  <w:pPr>
                    <w:adjustRightInd w:val="0"/>
                    <w:snapToGrid w:val="0"/>
                    <w:ind w:right="-1" w:rightChars="0"/>
                    <w:contextualSpacing/>
                    <w:jc w:val="center"/>
                    <w:rPr>
                      <w:rFonts w:hint="eastAsia" w:eastAsia="宋体"/>
                      <w:sz w:val="21"/>
                      <w:szCs w:val="21"/>
                      <w:lang w:val="en-US" w:eastAsia="zh-CN"/>
                    </w:rPr>
                  </w:pPr>
                  <w:r>
                    <w:rPr>
                      <w:rFonts w:hint="eastAsia"/>
                      <w:sz w:val="21"/>
                      <w:szCs w:val="21"/>
                      <w:lang w:val="en-US" w:eastAsia="zh-CN"/>
                    </w:rPr>
                    <w:t>6</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rFonts w:hint="eastAsia"/>
                      <w:sz w:val="21"/>
                      <w:szCs w:val="21"/>
                    </w:rPr>
                  </w:pPr>
                </w:p>
              </w:tc>
              <w:tc>
                <w:tcPr>
                  <w:tcW w:w="1113" w:type="dxa"/>
                  <w:noWrap w:val="0"/>
                  <w:vAlign w:val="center"/>
                </w:tcPr>
                <w:p>
                  <w:pPr>
                    <w:adjustRightInd w:val="0"/>
                    <w:snapToGrid w:val="0"/>
                    <w:ind w:right="-1"/>
                    <w:contextualSpacing/>
                    <w:jc w:val="center"/>
                    <w:rPr>
                      <w:color w:val="auto"/>
                      <w:sz w:val="21"/>
                      <w:szCs w:val="21"/>
                    </w:rPr>
                  </w:pPr>
                  <w:r>
                    <w:rPr>
                      <w:color w:val="auto"/>
                      <w:sz w:val="21"/>
                      <w:szCs w:val="21"/>
                    </w:rPr>
                    <w:t>水泥筒仓</w:t>
                  </w:r>
                </w:p>
              </w:tc>
              <w:tc>
                <w:tcPr>
                  <w:tcW w:w="1978" w:type="dxa"/>
                  <w:noWrap w:val="0"/>
                  <w:vAlign w:val="center"/>
                </w:tcPr>
                <w:p>
                  <w:pPr>
                    <w:adjustRightInd w:val="0"/>
                    <w:snapToGrid w:val="0"/>
                    <w:ind w:right="-1"/>
                    <w:contextualSpacing/>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容积</w:t>
                  </w:r>
                  <w:r>
                    <w:rPr>
                      <w:rFonts w:hint="eastAsia" w:ascii="Times New Roman" w:hAnsi="Times New Roman" w:cs="Times New Roman"/>
                      <w:color w:val="auto"/>
                      <w:sz w:val="21"/>
                      <w:szCs w:val="21"/>
                      <w:lang w:val="en-US" w:eastAsia="zh-CN"/>
                    </w:rPr>
                    <w:t>200t</w:t>
                  </w:r>
                </w:p>
              </w:tc>
              <w:tc>
                <w:tcPr>
                  <w:tcW w:w="433" w:type="dxa"/>
                  <w:noWrap w:val="0"/>
                  <w:vAlign w:val="center"/>
                </w:tcPr>
                <w:p>
                  <w:pPr>
                    <w:adjustRightInd w:val="0"/>
                    <w:snapToGrid w:val="0"/>
                    <w:ind w:right="-1"/>
                    <w:contextualSpacing/>
                    <w:jc w:val="center"/>
                    <w:rPr>
                      <w:color w:val="auto"/>
                      <w:sz w:val="21"/>
                      <w:szCs w:val="21"/>
                    </w:rPr>
                  </w:pPr>
                  <w:r>
                    <w:rPr>
                      <w:color w:val="auto"/>
                      <w:sz w:val="21"/>
                      <w:szCs w:val="21"/>
                    </w:rPr>
                    <w:t>个</w:t>
                  </w:r>
                </w:p>
              </w:tc>
              <w:tc>
                <w:tcPr>
                  <w:tcW w:w="517" w:type="dxa"/>
                  <w:noWrap w:val="0"/>
                  <w:vAlign w:val="center"/>
                </w:tcPr>
                <w:p>
                  <w:pPr>
                    <w:adjustRightInd w:val="0"/>
                    <w:snapToGrid w:val="0"/>
                    <w:ind w:right="-1"/>
                    <w:contextualSpacing/>
                    <w:jc w:val="center"/>
                    <w:rPr>
                      <w:rFonts w:hint="eastAsia" w:eastAsia="宋体"/>
                      <w:color w:val="auto"/>
                      <w:sz w:val="21"/>
                      <w:szCs w:val="21"/>
                      <w:lang w:eastAsia="zh-CN"/>
                    </w:rPr>
                  </w:pPr>
                  <w:r>
                    <w:rPr>
                      <w:rFonts w:hint="eastAsia"/>
                      <w:color w:val="auto"/>
                      <w:sz w:val="21"/>
                      <w:szCs w:val="21"/>
                      <w:lang w:val="en-US" w:eastAsia="zh-CN"/>
                    </w:rPr>
                    <w:t>4</w:t>
                  </w:r>
                </w:p>
              </w:tc>
              <w:tc>
                <w:tcPr>
                  <w:tcW w:w="1558" w:type="dxa"/>
                  <w:noWrap w:val="0"/>
                  <w:vAlign w:val="center"/>
                </w:tcPr>
                <w:p>
                  <w:pPr>
                    <w:adjustRightInd w:val="0"/>
                    <w:snapToGrid w:val="0"/>
                    <w:ind w:right="-1"/>
                    <w:contextualSpacing/>
                    <w:jc w:val="center"/>
                    <w:rPr>
                      <w:color w:val="auto"/>
                      <w:sz w:val="21"/>
                      <w:szCs w:val="21"/>
                    </w:rPr>
                  </w:pPr>
                  <w:r>
                    <w:rPr>
                      <w:color w:val="auto"/>
                      <w:sz w:val="21"/>
                      <w:szCs w:val="21"/>
                    </w:rPr>
                    <w:t>水泥贮存及供给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858" w:type="dxa"/>
                  <w:noWrap w:val="0"/>
                  <w:vAlign w:val="center"/>
                </w:tcPr>
                <w:p>
                  <w:pPr>
                    <w:adjustRightInd w:val="0"/>
                    <w:snapToGrid w:val="0"/>
                    <w:ind w:right="-1" w:rightChars="0"/>
                    <w:contextualSpacing/>
                    <w:jc w:val="center"/>
                    <w:rPr>
                      <w:rFonts w:hint="eastAsia" w:eastAsia="宋体"/>
                      <w:sz w:val="21"/>
                      <w:szCs w:val="21"/>
                      <w:lang w:val="en-US" w:eastAsia="zh-CN"/>
                    </w:rPr>
                  </w:pPr>
                  <w:r>
                    <w:rPr>
                      <w:rFonts w:hint="eastAsia"/>
                      <w:sz w:val="21"/>
                      <w:szCs w:val="21"/>
                      <w:lang w:val="en-US" w:eastAsia="zh-CN"/>
                    </w:rPr>
                    <w:t>7</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rFonts w:hint="eastAsia"/>
                      <w:sz w:val="21"/>
                      <w:szCs w:val="21"/>
                    </w:rPr>
                  </w:pPr>
                </w:p>
              </w:tc>
              <w:tc>
                <w:tcPr>
                  <w:tcW w:w="1113" w:type="dxa"/>
                  <w:noWrap w:val="0"/>
                  <w:vAlign w:val="center"/>
                </w:tcPr>
                <w:p>
                  <w:pPr>
                    <w:adjustRightInd w:val="0"/>
                    <w:snapToGrid w:val="0"/>
                    <w:ind w:right="-1"/>
                    <w:contextualSpacing/>
                    <w:jc w:val="center"/>
                    <w:rPr>
                      <w:rFonts w:hint="eastAsia" w:eastAsia="宋体"/>
                      <w:color w:val="auto"/>
                      <w:sz w:val="21"/>
                      <w:szCs w:val="21"/>
                      <w:lang w:eastAsia="zh-CN"/>
                    </w:rPr>
                  </w:pPr>
                  <w:r>
                    <w:rPr>
                      <w:rFonts w:hint="eastAsia"/>
                      <w:color w:val="auto"/>
                      <w:sz w:val="21"/>
                      <w:szCs w:val="21"/>
                      <w:lang w:eastAsia="zh-CN"/>
                    </w:rPr>
                    <w:t>粉煤灰筒仓</w:t>
                  </w:r>
                </w:p>
              </w:tc>
              <w:tc>
                <w:tcPr>
                  <w:tcW w:w="1978" w:type="dxa"/>
                  <w:noWrap w:val="0"/>
                  <w:vAlign w:val="center"/>
                </w:tcPr>
                <w:p>
                  <w:pPr>
                    <w:adjustRightInd w:val="0"/>
                    <w:snapToGrid w:val="0"/>
                    <w:ind w:right="-1"/>
                    <w:contextualSpacing/>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rPr>
                    <w:t>容积</w:t>
                  </w: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lang w:val="en-US" w:eastAsia="zh-CN"/>
                    </w:rPr>
                    <w:t>00</w:t>
                  </w:r>
                  <w:r>
                    <w:rPr>
                      <w:rFonts w:hint="eastAsia" w:ascii="Times New Roman" w:hAnsi="Times New Roman" w:cs="Times New Roman"/>
                      <w:color w:val="auto"/>
                      <w:sz w:val="21"/>
                      <w:szCs w:val="21"/>
                      <w:lang w:val="en-US" w:eastAsia="zh-CN"/>
                    </w:rPr>
                    <w:t>t</w:t>
                  </w:r>
                </w:p>
              </w:tc>
              <w:tc>
                <w:tcPr>
                  <w:tcW w:w="433" w:type="dxa"/>
                  <w:noWrap w:val="0"/>
                  <w:vAlign w:val="center"/>
                </w:tcPr>
                <w:p>
                  <w:pPr>
                    <w:adjustRightInd w:val="0"/>
                    <w:snapToGrid w:val="0"/>
                    <w:ind w:right="-1"/>
                    <w:contextualSpacing/>
                    <w:jc w:val="center"/>
                    <w:rPr>
                      <w:rFonts w:hint="eastAsia" w:eastAsia="宋体"/>
                      <w:color w:val="auto"/>
                      <w:sz w:val="21"/>
                      <w:szCs w:val="21"/>
                      <w:lang w:eastAsia="zh-CN"/>
                    </w:rPr>
                  </w:pPr>
                  <w:r>
                    <w:rPr>
                      <w:rFonts w:hint="eastAsia"/>
                      <w:color w:val="auto"/>
                      <w:sz w:val="21"/>
                      <w:szCs w:val="21"/>
                      <w:lang w:eastAsia="zh-CN"/>
                    </w:rPr>
                    <w:t>个</w:t>
                  </w:r>
                </w:p>
              </w:tc>
              <w:tc>
                <w:tcPr>
                  <w:tcW w:w="517" w:type="dxa"/>
                  <w:noWrap w:val="0"/>
                  <w:vAlign w:val="center"/>
                </w:tcPr>
                <w:p>
                  <w:pPr>
                    <w:adjustRightInd w:val="0"/>
                    <w:snapToGrid w:val="0"/>
                    <w:ind w:right="-1"/>
                    <w:contextualSpacing/>
                    <w:jc w:val="center"/>
                    <w:rPr>
                      <w:rFonts w:hint="eastAsia" w:eastAsia="宋体"/>
                      <w:color w:val="auto"/>
                      <w:sz w:val="21"/>
                      <w:szCs w:val="21"/>
                      <w:lang w:val="en-US" w:eastAsia="zh-CN"/>
                    </w:rPr>
                  </w:pPr>
                  <w:r>
                    <w:rPr>
                      <w:rFonts w:hint="eastAsia"/>
                      <w:color w:val="auto"/>
                      <w:sz w:val="21"/>
                      <w:szCs w:val="21"/>
                      <w:lang w:val="en-US" w:eastAsia="zh-CN"/>
                    </w:rPr>
                    <w:t>2</w:t>
                  </w:r>
                </w:p>
              </w:tc>
              <w:tc>
                <w:tcPr>
                  <w:tcW w:w="1558" w:type="dxa"/>
                  <w:noWrap w:val="0"/>
                  <w:vAlign w:val="center"/>
                </w:tcPr>
                <w:p>
                  <w:pPr>
                    <w:adjustRightInd w:val="0"/>
                    <w:snapToGrid w:val="0"/>
                    <w:ind w:right="-1"/>
                    <w:contextualSpacing/>
                    <w:jc w:val="center"/>
                    <w:rPr>
                      <w:color w:val="auto"/>
                      <w:sz w:val="21"/>
                      <w:szCs w:val="21"/>
                    </w:rPr>
                  </w:pPr>
                  <w:r>
                    <w:rPr>
                      <w:rFonts w:hint="eastAsia"/>
                      <w:color w:val="auto"/>
                      <w:sz w:val="21"/>
                      <w:szCs w:val="21"/>
                      <w:lang w:eastAsia="zh-CN"/>
                    </w:rPr>
                    <w:t>粉煤灰</w:t>
                  </w:r>
                  <w:r>
                    <w:rPr>
                      <w:color w:val="auto"/>
                      <w:sz w:val="21"/>
                      <w:szCs w:val="21"/>
                    </w:rPr>
                    <w:t>贮存及供给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rightChars="0"/>
                    <w:contextualSpacing/>
                    <w:jc w:val="center"/>
                    <w:rPr>
                      <w:rFonts w:hint="eastAsia"/>
                      <w:sz w:val="21"/>
                      <w:szCs w:val="21"/>
                      <w:lang w:val="en-US" w:eastAsia="zh-CN"/>
                    </w:rPr>
                  </w:pPr>
                  <w:r>
                    <w:rPr>
                      <w:rFonts w:hint="eastAsia"/>
                      <w:sz w:val="21"/>
                      <w:szCs w:val="21"/>
                      <w:lang w:val="en-US" w:eastAsia="zh-CN"/>
                    </w:rPr>
                    <w:t>8</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rFonts w:hint="eastAsia"/>
                      <w:sz w:val="21"/>
                      <w:szCs w:val="21"/>
                    </w:rPr>
                  </w:pPr>
                </w:p>
              </w:tc>
              <w:tc>
                <w:tcPr>
                  <w:tcW w:w="1113" w:type="dxa"/>
                  <w:noWrap w:val="0"/>
                  <w:vAlign w:val="center"/>
                </w:tcPr>
                <w:p>
                  <w:pPr>
                    <w:adjustRightInd w:val="0"/>
                    <w:snapToGrid w:val="0"/>
                    <w:ind w:right="-1"/>
                    <w:contextualSpacing/>
                    <w:jc w:val="center"/>
                    <w:rPr>
                      <w:rFonts w:hint="default"/>
                      <w:color w:val="auto"/>
                      <w:sz w:val="21"/>
                      <w:szCs w:val="21"/>
                      <w:lang w:val="en-US" w:eastAsia="zh-CN"/>
                    </w:rPr>
                  </w:pPr>
                  <w:r>
                    <w:rPr>
                      <w:rFonts w:hint="eastAsia"/>
                      <w:color w:val="auto"/>
                      <w:sz w:val="21"/>
                      <w:szCs w:val="21"/>
                      <w:lang w:val="en-US" w:eastAsia="zh-CN"/>
                    </w:rPr>
                    <w:t>矿粉筒仓</w:t>
                  </w:r>
                </w:p>
              </w:tc>
              <w:tc>
                <w:tcPr>
                  <w:tcW w:w="1978" w:type="dxa"/>
                  <w:noWrap w:val="0"/>
                  <w:vAlign w:val="center"/>
                </w:tcPr>
                <w:p>
                  <w:pPr>
                    <w:adjustRightInd w:val="0"/>
                    <w:snapToGrid w:val="0"/>
                    <w:ind w:right="-1"/>
                    <w:contextualSpacing/>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容积</w:t>
                  </w: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lang w:val="en-US" w:eastAsia="zh-CN"/>
                    </w:rPr>
                    <w:t>00</w:t>
                  </w:r>
                  <w:r>
                    <w:rPr>
                      <w:rFonts w:hint="eastAsia" w:ascii="Times New Roman" w:hAnsi="Times New Roman" w:cs="Times New Roman"/>
                      <w:color w:val="auto"/>
                      <w:sz w:val="21"/>
                      <w:szCs w:val="21"/>
                      <w:lang w:val="en-US" w:eastAsia="zh-CN"/>
                    </w:rPr>
                    <w:t>t</w:t>
                  </w:r>
                </w:p>
              </w:tc>
              <w:tc>
                <w:tcPr>
                  <w:tcW w:w="433" w:type="dxa"/>
                  <w:noWrap w:val="0"/>
                  <w:vAlign w:val="center"/>
                </w:tcPr>
                <w:p>
                  <w:pPr>
                    <w:adjustRightInd w:val="0"/>
                    <w:snapToGrid w:val="0"/>
                    <w:ind w:right="-1"/>
                    <w:contextualSpacing/>
                    <w:jc w:val="center"/>
                    <w:rPr>
                      <w:rFonts w:hint="default"/>
                      <w:color w:val="auto"/>
                      <w:sz w:val="21"/>
                      <w:szCs w:val="21"/>
                      <w:lang w:val="en-US" w:eastAsia="zh-CN"/>
                    </w:rPr>
                  </w:pPr>
                  <w:r>
                    <w:rPr>
                      <w:rFonts w:hint="eastAsia"/>
                      <w:color w:val="auto"/>
                      <w:sz w:val="21"/>
                      <w:szCs w:val="21"/>
                      <w:lang w:val="en-US" w:eastAsia="zh-CN"/>
                    </w:rPr>
                    <w:t>个</w:t>
                  </w:r>
                </w:p>
              </w:tc>
              <w:tc>
                <w:tcPr>
                  <w:tcW w:w="517" w:type="dxa"/>
                  <w:noWrap w:val="0"/>
                  <w:vAlign w:val="center"/>
                </w:tcPr>
                <w:p>
                  <w:pPr>
                    <w:adjustRightInd w:val="0"/>
                    <w:snapToGrid w:val="0"/>
                    <w:ind w:right="-1"/>
                    <w:contextualSpacing/>
                    <w:jc w:val="center"/>
                    <w:rPr>
                      <w:rFonts w:hint="default"/>
                      <w:color w:val="auto"/>
                      <w:sz w:val="21"/>
                      <w:szCs w:val="21"/>
                      <w:lang w:val="en-US" w:eastAsia="zh-CN"/>
                    </w:rPr>
                  </w:pPr>
                  <w:r>
                    <w:rPr>
                      <w:rFonts w:hint="eastAsia"/>
                      <w:color w:val="auto"/>
                      <w:sz w:val="21"/>
                      <w:szCs w:val="21"/>
                      <w:lang w:val="en-US" w:eastAsia="zh-CN"/>
                    </w:rPr>
                    <w:t>2</w:t>
                  </w:r>
                </w:p>
              </w:tc>
              <w:tc>
                <w:tcPr>
                  <w:tcW w:w="1558" w:type="dxa"/>
                  <w:noWrap w:val="0"/>
                  <w:vAlign w:val="center"/>
                </w:tcPr>
                <w:p>
                  <w:pPr>
                    <w:adjustRightInd w:val="0"/>
                    <w:snapToGrid w:val="0"/>
                    <w:ind w:right="-1"/>
                    <w:contextualSpacing/>
                    <w:jc w:val="center"/>
                    <w:rPr>
                      <w:rFonts w:hint="eastAsia"/>
                      <w:color w:val="auto"/>
                      <w:sz w:val="21"/>
                      <w:szCs w:val="21"/>
                      <w:lang w:eastAsia="zh-CN"/>
                    </w:rPr>
                  </w:pPr>
                  <w:r>
                    <w:rPr>
                      <w:rFonts w:hint="eastAsia"/>
                      <w:color w:val="auto"/>
                      <w:sz w:val="21"/>
                      <w:szCs w:val="21"/>
                      <w:lang w:val="en-US" w:eastAsia="zh-CN"/>
                    </w:rPr>
                    <w:t>矿粉</w:t>
                  </w:r>
                  <w:r>
                    <w:rPr>
                      <w:color w:val="auto"/>
                      <w:sz w:val="21"/>
                      <w:szCs w:val="21"/>
                    </w:rPr>
                    <w:t>贮存及供给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rightChars="0"/>
                    <w:contextualSpacing/>
                    <w:jc w:val="center"/>
                    <w:rPr>
                      <w:rFonts w:hint="eastAsia"/>
                      <w:sz w:val="21"/>
                      <w:szCs w:val="21"/>
                      <w:lang w:val="en-US" w:eastAsia="zh-CN"/>
                    </w:rPr>
                  </w:pPr>
                  <w:r>
                    <w:rPr>
                      <w:rFonts w:hint="eastAsia"/>
                      <w:sz w:val="21"/>
                      <w:szCs w:val="21"/>
                      <w:lang w:val="en-US" w:eastAsia="zh-CN"/>
                    </w:rPr>
                    <w:t>9</w:t>
                  </w:r>
                </w:p>
              </w:tc>
              <w:tc>
                <w:tcPr>
                  <w:tcW w:w="1030" w:type="dxa"/>
                  <w:vMerge w:val="continue"/>
                  <w:noWrap w:val="0"/>
                  <w:vAlign w:val="center"/>
                </w:tcPr>
                <w:p>
                  <w:pPr>
                    <w:adjustRightInd w:val="0"/>
                    <w:snapToGrid w:val="0"/>
                    <w:ind w:right="-1"/>
                    <w:contextualSpacing/>
                    <w:jc w:val="center"/>
                    <w:rPr>
                      <w:sz w:val="21"/>
                      <w:szCs w:val="21"/>
                    </w:rPr>
                  </w:pPr>
                </w:p>
              </w:tc>
              <w:tc>
                <w:tcPr>
                  <w:tcW w:w="896" w:type="dxa"/>
                  <w:noWrap w:val="0"/>
                  <w:vAlign w:val="center"/>
                </w:tcPr>
                <w:p>
                  <w:pPr>
                    <w:adjustRightInd w:val="0"/>
                    <w:snapToGrid w:val="0"/>
                    <w:ind w:right="-1"/>
                    <w:contextualSpacing/>
                    <w:jc w:val="center"/>
                    <w:rPr>
                      <w:rFonts w:hint="eastAsia" w:eastAsia="宋体"/>
                      <w:sz w:val="21"/>
                      <w:szCs w:val="21"/>
                      <w:lang w:val="en-US" w:eastAsia="zh-CN"/>
                    </w:rPr>
                  </w:pPr>
                  <w:r>
                    <w:rPr>
                      <w:rFonts w:hint="eastAsia"/>
                      <w:sz w:val="21"/>
                      <w:szCs w:val="21"/>
                      <w:lang w:val="en-US" w:eastAsia="zh-CN"/>
                    </w:rPr>
                    <w:t>除尘</w:t>
                  </w:r>
                </w:p>
              </w:tc>
              <w:tc>
                <w:tcPr>
                  <w:tcW w:w="1113" w:type="dxa"/>
                  <w:noWrap w:val="0"/>
                  <w:vAlign w:val="center"/>
                </w:tcPr>
                <w:p>
                  <w:pPr>
                    <w:adjustRightInd w:val="0"/>
                    <w:snapToGrid w:val="0"/>
                    <w:ind w:right="-1"/>
                    <w:contextualSpacing/>
                    <w:jc w:val="center"/>
                    <w:rPr>
                      <w:rFonts w:hint="default"/>
                      <w:color w:val="auto"/>
                      <w:sz w:val="21"/>
                      <w:szCs w:val="21"/>
                      <w:lang w:val="en-US" w:eastAsia="zh-CN"/>
                    </w:rPr>
                  </w:pPr>
                  <w:r>
                    <w:rPr>
                      <w:rFonts w:hint="eastAsia"/>
                      <w:color w:val="auto"/>
                      <w:sz w:val="21"/>
                      <w:szCs w:val="21"/>
                      <w:lang w:val="en-US" w:eastAsia="zh-CN"/>
                    </w:rPr>
                    <w:t>仓顶除尘器</w:t>
                  </w:r>
                </w:p>
              </w:tc>
              <w:tc>
                <w:tcPr>
                  <w:tcW w:w="1978" w:type="dxa"/>
                  <w:noWrap w:val="0"/>
                  <w:vAlign w:val="center"/>
                </w:tcPr>
                <w:p>
                  <w:pPr>
                    <w:adjustRightInd w:val="0"/>
                    <w:snapToGrid w:val="0"/>
                    <w:ind w:right="-1" w:rightChars="0"/>
                    <w:contextualSpacing/>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脉冲滤筒式除尘器</w:t>
                  </w:r>
                </w:p>
              </w:tc>
              <w:tc>
                <w:tcPr>
                  <w:tcW w:w="433" w:type="dxa"/>
                  <w:noWrap w:val="0"/>
                  <w:vAlign w:val="center"/>
                </w:tcPr>
                <w:p>
                  <w:pPr>
                    <w:adjustRightInd w:val="0"/>
                    <w:snapToGrid w:val="0"/>
                    <w:ind w:right="-1" w:rightChars="0"/>
                    <w:contextualSpacing/>
                    <w:jc w:val="center"/>
                    <w:rPr>
                      <w:rFonts w:hint="eastAsia"/>
                      <w:color w:val="auto"/>
                      <w:sz w:val="21"/>
                      <w:szCs w:val="21"/>
                      <w:lang w:eastAsia="zh-CN"/>
                    </w:rPr>
                  </w:pPr>
                  <w:r>
                    <w:rPr>
                      <w:rFonts w:hint="eastAsia"/>
                      <w:color w:val="auto"/>
                      <w:sz w:val="21"/>
                      <w:szCs w:val="21"/>
                      <w:lang w:eastAsia="zh-CN"/>
                    </w:rPr>
                    <w:t>套</w:t>
                  </w:r>
                </w:p>
              </w:tc>
              <w:tc>
                <w:tcPr>
                  <w:tcW w:w="517" w:type="dxa"/>
                  <w:noWrap w:val="0"/>
                  <w:vAlign w:val="center"/>
                </w:tcPr>
                <w:p>
                  <w:pPr>
                    <w:adjustRightInd w:val="0"/>
                    <w:snapToGrid w:val="0"/>
                    <w:ind w:right="-1" w:rightChars="0"/>
                    <w:contextualSpacing/>
                    <w:jc w:val="center"/>
                    <w:rPr>
                      <w:rFonts w:hint="eastAsia"/>
                      <w:color w:val="auto"/>
                      <w:sz w:val="21"/>
                      <w:szCs w:val="21"/>
                      <w:lang w:val="en-US" w:eastAsia="zh-CN"/>
                    </w:rPr>
                  </w:pPr>
                  <w:r>
                    <w:rPr>
                      <w:rFonts w:hint="eastAsia"/>
                      <w:color w:val="auto"/>
                      <w:sz w:val="21"/>
                      <w:szCs w:val="21"/>
                      <w:lang w:val="en-US" w:eastAsia="zh-CN"/>
                    </w:rPr>
                    <w:t>8</w:t>
                  </w:r>
                </w:p>
              </w:tc>
              <w:tc>
                <w:tcPr>
                  <w:tcW w:w="1558" w:type="dxa"/>
                  <w:noWrap w:val="0"/>
                  <w:vAlign w:val="center"/>
                </w:tcPr>
                <w:p>
                  <w:pPr>
                    <w:adjustRightInd w:val="0"/>
                    <w:snapToGrid w:val="0"/>
                    <w:ind w:right="-1" w:rightChars="0"/>
                    <w:contextualSpacing/>
                    <w:jc w:val="center"/>
                    <w:rPr>
                      <w:rFonts w:hint="eastAsia"/>
                      <w:color w:val="auto"/>
                      <w:sz w:val="21"/>
                      <w:szCs w:val="21"/>
                      <w:lang w:eastAsia="zh-CN"/>
                    </w:rPr>
                  </w:pPr>
                  <w:r>
                    <w:rPr>
                      <w:rFonts w:hint="eastAsia"/>
                      <w:color w:val="auto"/>
                      <w:sz w:val="21"/>
                      <w:szCs w:val="21"/>
                      <w:lang w:eastAsia="zh-CN"/>
                    </w:rPr>
                    <w:t>粉料筒仓除尘设施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rightChars="0"/>
                    <w:contextualSpacing/>
                    <w:jc w:val="center"/>
                    <w:rPr>
                      <w:rFonts w:hint="eastAsia" w:eastAsia="宋体"/>
                      <w:sz w:val="21"/>
                      <w:szCs w:val="21"/>
                      <w:lang w:val="en-US" w:eastAsia="zh-CN"/>
                    </w:rPr>
                  </w:pPr>
                  <w:r>
                    <w:rPr>
                      <w:rFonts w:hint="eastAsia"/>
                      <w:sz w:val="21"/>
                      <w:szCs w:val="21"/>
                      <w:lang w:val="en-US" w:eastAsia="zh-CN"/>
                    </w:rPr>
                    <w:t>10</w:t>
                  </w:r>
                </w:p>
              </w:tc>
              <w:tc>
                <w:tcPr>
                  <w:tcW w:w="1030" w:type="dxa"/>
                  <w:noWrap w:val="0"/>
                  <w:vAlign w:val="center"/>
                </w:tcPr>
                <w:p>
                  <w:pPr>
                    <w:adjustRightInd w:val="0"/>
                    <w:snapToGrid w:val="0"/>
                    <w:ind w:right="-1"/>
                    <w:contextualSpacing/>
                    <w:jc w:val="center"/>
                    <w:rPr>
                      <w:sz w:val="21"/>
                      <w:szCs w:val="21"/>
                    </w:rPr>
                  </w:pPr>
                  <w:r>
                    <w:rPr>
                      <w:rFonts w:hint="eastAsia"/>
                      <w:sz w:val="21"/>
                      <w:szCs w:val="21"/>
                    </w:rPr>
                    <w:t>供水系统</w:t>
                  </w:r>
                </w:p>
              </w:tc>
              <w:tc>
                <w:tcPr>
                  <w:tcW w:w="896" w:type="dxa"/>
                  <w:noWrap w:val="0"/>
                  <w:vAlign w:val="center"/>
                </w:tcPr>
                <w:p>
                  <w:pPr>
                    <w:adjustRightInd w:val="0"/>
                    <w:snapToGrid w:val="0"/>
                    <w:ind w:right="-1"/>
                    <w:contextualSpacing/>
                    <w:jc w:val="center"/>
                    <w:rPr>
                      <w:rFonts w:hint="eastAsia"/>
                      <w:sz w:val="21"/>
                      <w:szCs w:val="21"/>
                    </w:rPr>
                  </w:pPr>
                  <w:r>
                    <w:rPr>
                      <w:rFonts w:hint="eastAsia"/>
                      <w:sz w:val="21"/>
                      <w:szCs w:val="21"/>
                    </w:rPr>
                    <w:t>供水</w:t>
                  </w:r>
                </w:p>
              </w:tc>
              <w:tc>
                <w:tcPr>
                  <w:tcW w:w="1113" w:type="dxa"/>
                  <w:noWrap w:val="0"/>
                  <w:vAlign w:val="center"/>
                </w:tcPr>
                <w:p>
                  <w:pPr>
                    <w:adjustRightInd w:val="0"/>
                    <w:snapToGrid w:val="0"/>
                    <w:ind w:right="-1"/>
                    <w:contextualSpacing/>
                    <w:jc w:val="center"/>
                    <w:rPr>
                      <w:sz w:val="21"/>
                      <w:szCs w:val="21"/>
                    </w:rPr>
                  </w:pPr>
                  <w:r>
                    <w:rPr>
                      <w:rFonts w:hint="eastAsia"/>
                      <w:sz w:val="21"/>
                      <w:szCs w:val="21"/>
                    </w:rPr>
                    <w:t>潜</w:t>
                  </w:r>
                  <w:r>
                    <w:rPr>
                      <w:sz w:val="21"/>
                      <w:szCs w:val="21"/>
                    </w:rPr>
                    <w:t>水泵</w:t>
                  </w:r>
                </w:p>
              </w:tc>
              <w:tc>
                <w:tcPr>
                  <w:tcW w:w="1978" w:type="dxa"/>
                  <w:noWrap w:val="0"/>
                  <w:vAlign w:val="center"/>
                </w:tcPr>
                <w:p>
                  <w:pPr>
                    <w:adjustRightInd w:val="0"/>
                    <w:snapToGrid w:val="0"/>
                    <w:ind w:right="-1"/>
                    <w:contextualSpacing/>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0m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w:t>
                  </w:r>
                </w:p>
              </w:tc>
              <w:tc>
                <w:tcPr>
                  <w:tcW w:w="433" w:type="dxa"/>
                  <w:noWrap w:val="0"/>
                  <w:vAlign w:val="center"/>
                </w:tcPr>
                <w:p>
                  <w:pPr>
                    <w:adjustRightInd w:val="0"/>
                    <w:snapToGrid w:val="0"/>
                    <w:ind w:right="-1"/>
                    <w:contextualSpacing/>
                    <w:jc w:val="center"/>
                    <w:rPr>
                      <w:sz w:val="21"/>
                      <w:szCs w:val="21"/>
                    </w:rPr>
                  </w:pPr>
                  <w:r>
                    <w:rPr>
                      <w:sz w:val="21"/>
                      <w:szCs w:val="21"/>
                    </w:rPr>
                    <w:t>台</w:t>
                  </w:r>
                </w:p>
              </w:tc>
              <w:tc>
                <w:tcPr>
                  <w:tcW w:w="517"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2</w:t>
                  </w:r>
                </w:p>
              </w:tc>
              <w:tc>
                <w:tcPr>
                  <w:tcW w:w="1558" w:type="dxa"/>
                  <w:noWrap w:val="0"/>
                  <w:vAlign w:val="center"/>
                </w:tcPr>
                <w:p>
                  <w:pPr>
                    <w:adjustRightInd w:val="0"/>
                    <w:snapToGrid w:val="0"/>
                    <w:ind w:right="-1"/>
                    <w:contextualSpacing/>
                    <w:jc w:val="center"/>
                    <w:rPr>
                      <w:sz w:val="21"/>
                      <w:szCs w:val="21"/>
                    </w:rPr>
                  </w:pPr>
                  <w:r>
                    <w:rPr>
                      <w:sz w:val="21"/>
                      <w:szCs w:val="21"/>
                    </w:rPr>
                    <w:t>水的供给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rightChars="0"/>
                    <w:contextualSpacing/>
                    <w:jc w:val="center"/>
                    <w:rPr>
                      <w:rFonts w:hint="eastAsia" w:eastAsia="宋体"/>
                      <w:sz w:val="21"/>
                      <w:szCs w:val="21"/>
                      <w:lang w:val="en-US" w:eastAsia="zh-CN"/>
                    </w:rPr>
                  </w:pPr>
                  <w:r>
                    <w:rPr>
                      <w:rFonts w:hint="eastAsia"/>
                      <w:sz w:val="21"/>
                      <w:szCs w:val="21"/>
                      <w:lang w:val="en-US" w:eastAsia="zh-CN"/>
                    </w:rPr>
                    <w:t>11</w:t>
                  </w:r>
                </w:p>
              </w:tc>
              <w:tc>
                <w:tcPr>
                  <w:tcW w:w="1030" w:type="dxa"/>
                  <w:vMerge w:val="restart"/>
                  <w:noWrap w:val="0"/>
                  <w:vAlign w:val="center"/>
                </w:tcPr>
                <w:p>
                  <w:pPr>
                    <w:adjustRightInd w:val="0"/>
                    <w:snapToGrid w:val="0"/>
                    <w:ind w:right="-1"/>
                    <w:contextualSpacing/>
                    <w:jc w:val="center"/>
                    <w:rPr>
                      <w:rFonts w:hint="eastAsia"/>
                      <w:sz w:val="21"/>
                      <w:szCs w:val="21"/>
                    </w:rPr>
                  </w:pPr>
                  <w:r>
                    <w:rPr>
                      <w:rFonts w:hint="eastAsia"/>
                      <w:sz w:val="21"/>
                      <w:szCs w:val="21"/>
                    </w:rPr>
                    <w:t>拌合系统</w:t>
                  </w:r>
                </w:p>
              </w:tc>
              <w:tc>
                <w:tcPr>
                  <w:tcW w:w="896" w:type="dxa"/>
                  <w:noWrap w:val="0"/>
                  <w:vAlign w:val="center"/>
                </w:tcPr>
                <w:p>
                  <w:pPr>
                    <w:adjustRightInd w:val="0"/>
                    <w:snapToGrid w:val="0"/>
                    <w:ind w:right="-1"/>
                    <w:contextualSpacing/>
                    <w:jc w:val="center"/>
                    <w:rPr>
                      <w:rFonts w:hint="eastAsia"/>
                      <w:sz w:val="21"/>
                      <w:szCs w:val="21"/>
                    </w:rPr>
                  </w:pPr>
                  <w:r>
                    <w:rPr>
                      <w:rFonts w:hint="eastAsia"/>
                      <w:sz w:val="21"/>
                      <w:szCs w:val="21"/>
                    </w:rPr>
                    <w:t>搅拌</w:t>
                  </w:r>
                </w:p>
              </w:tc>
              <w:tc>
                <w:tcPr>
                  <w:tcW w:w="1113" w:type="dxa"/>
                  <w:noWrap w:val="0"/>
                  <w:vAlign w:val="center"/>
                </w:tcPr>
                <w:p>
                  <w:pPr>
                    <w:adjustRightInd w:val="0"/>
                    <w:snapToGrid w:val="0"/>
                    <w:ind w:right="-1"/>
                    <w:contextualSpacing/>
                    <w:jc w:val="center"/>
                    <w:rPr>
                      <w:rFonts w:hint="eastAsia"/>
                      <w:sz w:val="21"/>
                      <w:szCs w:val="21"/>
                    </w:rPr>
                  </w:pPr>
                  <w:r>
                    <w:rPr>
                      <w:rFonts w:hint="eastAsia"/>
                      <w:sz w:val="21"/>
                      <w:szCs w:val="21"/>
                    </w:rPr>
                    <w:t>搅拌主机</w:t>
                  </w:r>
                </w:p>
              </w:tc>
              <w:tc>
                <w:tcPr>
                  <w:tcW w:w="1978" w:type="dxa"/>
                  <w:noWrap w:val="0"/>
                  <w:vAlign w:val="center"/>
                </w:tcPr>
                <w:p>
                  <w:pPr>
                    <w:adjustRightInd w:val="0"/>
                    <w:snapToGrid w:val="0"/>
                    <w:ind w:right="-1"/>
                    <w:contextualSpacing/>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搅拌能力：</w:t>
                  </w:r>
                  <w:r>
                    <w:rPr>
                      <w:rFonts w:hint="eastAsia" w:ascii="Times New Roman" w:hAnsi="Times New Roman" w:cs="Times New Roman"/>
                      <w:color w:val="auto"/>
                      <w:sz w:val="21"/>
                      <w:szCs w:val="21"/>
                      <w:lang w:val="en-US" w:eastAsia="zh-CN"/>
                    </w:rPr>
                    <w:t>180</w:t>
                  </w:r>
                  <w:r>
                    <w:rPr>
                      <w:rFonts w:hint="default" w:ascii="Times New Roman" w:hAnsi="Times New Roman" w:cs="Times New Roman"/>
                      <w:color w:val="auto"/>
                      <w:sz w:val="21"/>
                      <w:szCs w:val="21"/>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rPr>
                    <w:t>/h</w:t>
                  </w:r>
                </w:p>
              </w:tc>
              <w:tc>
                <w:tcPr>
                  <w:tcW w:w="43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套</w:t>
                  </w:r>
                </w:p>
              </w:tc>
              <w:tc>
                <w:tcPr>
                  <w:tcW w:w="517"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2</w:t>
                  </w:r>
                </w:p>
              </w:tc>
              <w:tc>
                <w:tcPr>
                  <w:tcW w:w="1558" w:type="dxa"/>
                  <w:noWrap w:val="0"/>
                  <w:vAlign w:val="center"/>
                </w:tcPr>
                <w:p>
                  <w:pPr>
                    <w:adjustRightInd w:val="0"/>
                    <w:snapToGrid w:val="0"/>
                    <w:ind w:right="-1"/>
                    <w:contextualSpacing/>
                    <w:jc w:val="center"/>
                    <w:rPr>
                      <w:rFonts w:hint="eastAsia"/>
                      <w:sz w:val="21"/>
                      <w:szCs w:val="21"/>
                    </w:rPr>
                  </w:pPr>
                  <w:r>
                    <w:rPr>
                      <w:rFonts w:hint="eastAsia"/>
                      <w:sz w:val="21"/>
                      <w:szCs w:val="21"/>
                      <w:lang w:eastAsia="zh-CN"/>
                    </w:rPr>
                    <w:t>商品混凝土</w:t>
                  </w:r>
                  <w:r>
                    <w:rPr>
                      <w:rFonts w:hint="eastAsia"/>
                      <w:sz w:val="21"/>
                      <w:szCs w:val="21"/>
                    </w:rPr>
                    <w:t>搅拌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858" w:type="dxa"/>
                  <w:noWrap w:val="0"/>
                  <w:vAlign w:val="center"/>
                </w:tcPr>
                <w:p>
                  <w:pPr>
                    <w:adjustRightInd w:val="0"/>
                    <w:snapToGrid w:val="0"/>
                    <w:ind w:right="-1" w:rightChars="0"/>
                    <w:contextualSpacing/>
                    <w:jc w:val="center"/>
                    <w:rPr>
                      <w:rFonts w:hint="eastAsia" w:eastAsia="宋体"/>
                      <w:sz w:val="21"/>
                      <w:szCs w:val="21"/>
                      <w:lang w:val="en-US" w:eastAsia="zh-CN"/>
                    </w:rPr>
                  </w:pPr>
                  <w:r>
                    <w:rPr>
                      <w:rFonts w:hint="eastAsia"/>
                      <w:sz w:val="21"/>
                      <w:szCs w:val="21"/>
                      <w:lang w:val="en-US" w:eastAsia="zh-CN"/>
                    </w:rPr>
                    <w:t>12</w:t>
                  </w:r>
                </w:p>
              </w:tc>
              <w:tc>
                <w:tcPr>
                  <w:tcW w:w="1030" w:type="dxa"/>
                  <w:vMerge w:val="continue"/>
                  <w:noWrap w:val="0"/>
                  <w:vAlign w:val="center"/>
                </w:tcPr>
                <w:p>
                  <w:pPr>
                    <w:adjustRightInd w:val="0"/>
                    <w:snapToGrid w:val="0"/>
                    <w:ind w:right="-1"/>
                    <w:contextualSpacing/>
                    <w:jc w:val="center"/>
                    <w:rPr>
                      <w:rFonts w:hint="eastAsia"/>
                      <w:sz w:val="21"/>
                      <w:szCs w:val="21"/>
                    </w:rPr>
                  </w:pPr>
                </w:p>
              </w:tc>
              <w:tc>
                <w:tcPr>
                  <w:tcW w:w="896" w:type="dxa"/>
                  <w:noWrap w:val="0"/>
                  <w:vAlign w:val="center"/>
                </w:tcPr>
                <w:p>
                  <w:pPr>
                    <w:adjustRightInd w:val="0"/>
                    <w:snapToGrid w:val="0"/>
                    <w:ind w:right="-1"/>
                    <w:contextualSpacing/>
                    <w:jc w:val="center"/>
                    <w:rPr>
                      <w:rFonts w:hint="eastAsia"/>
                      <w:sz w:val="21"/>
                      <w:szCs w:val="21"/>
                    </w:rPr>
                  </w:pPr>
                  <w:r>
                    <w:rPr>
                      <w:rFonts w:hint="eastAsia"/>
                      <w:sz w:val="21"/>
                      <w:szCs w:val="21"/>
                    </w:rPr>
                    <w:t>除尘</w:t>
                  </w:r>
                </w:p>
              </w:tc>
              <w:tc>
                <w:tcPr>
                  <w:tcW w:w="111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布袋除尘器</w:t>
                  </w:r>
                </w:p>
              </w:tc>
              <w:tc>
                <w:tcPr>
                  <w:tcW w:w="1978" w:type="dxa"/>
                  <w:noWrap w:val="0"/>
                  <w:vAlign w:val="center"/>
                </w:tcPr>
                <w:p>
                  <w:pPr>
                    <w:adjustRightInd w:val="0"/>
                    <w:snapToGrid w:val="0"/>
                    <w:ind w:right="-1"/>
                    <w:contextualSpacing/>
                    <w:jc w:val="center"/>
                    <w:rPr>
                      <w:rFonts w:hint="default" w:eastAsia="宋体"/>
                      <w:color w:val="auto"/>
                      <w:sz w:val="21"/>
                      <w:szCs w:val="21"/>
                      <w:lang w:val="en-US" w:eastAsia="zh-CN"/>
                    </w:rPr>
                  </w:pPr>
                  <w:r>
                    <w:rPr>
                      <w:rFonts w:hint="eastAsia"/>
                      <w:sz w:val="21"/>
                      <w:szCs w:val="21"/>
                    </w:rPr>
                    <w:t>负压脉冲反吹式除尘器</w:t>
                  </w:r>
                </w:p>
              </w:tc>
              <w:tc>
                <w:tcPr>
                  <w:tcW w:w="433" w:type="dxa"/>
                  <w:noWrap w:val="0"/>
                  <w:vAlign w:val="center"/>
                </w:tcPr>
                <w:p>
                  <w:pPr>
                    <w:adjustRightInd w:val="0"/>
                    <w:snapToGrid w:val="0"/>
                    <w:ind w:right="-1"/>
                    <w:contextualSpacing/>
                    <w:jc w:val="center"/>
                    <w:rPr>
                      <w:sz w:val="21"/>
                      <w:szCs w:val="21"/>
                    </w:rPr>
                  </w:pPr>
                  <w:r>
                    <w:rPr>
                      <w:sz w:val="21"/>
                      <w:szCs w:val="21"/>
                    </w:rPr>
                    <w:t>套</w:t>
                  </w:r>
                </w:p>
              </w:tc>
              <w:tc>
                <w:tcPr>
                  <w:tcW w:w="517"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2</w:t>
                  </w:r>
                </w:p>
              </w:tc>
              <w:tc>
                <w:tcPr>
                  <w:tcW w:w="1558" w:type="dxa"/>
                  <w:noWrap w:val="0"/>
                  <w:vAlign w:val="center"/>
                </w:tcPr>
                <w:p>
                  <w:pPr>
                    <w:adjustRightInd w:val="0"/>
                    <w:snapToGrid w:val="0"/>
                    <w:ind w:right="-1"/>
                    <w:contextualSpacing/>
                    <w:jc w:val="center"/>
                    <w:rPr>
                      <w:rFonts w:hint="eastAsia"/>
                      <w:sz w:val="21"/>
                      <w:szCs w:val="21"/>
                    </w:rPr>
                  </w:pPr>
                  <w:r>
                    <w:rPr>
                      <w:sz w:val="21"/>
                      <w:szCs w:val="21"/>
                    </w:rPr>
                    <w:t>处理砂石料</w:t>
                  </w:r>
                  <w:r>
                    <w:rPr>
                      <w:rFonts w:hint="eastAsia"/>
                      <w:sz w:val="21"/>
                      <w:szCs w:val="21"/>
                    </w:rPr>
                    <w:t>输送</w:t>
                  </w:r>
                  <w:r>
                    <w:rPr>
                      <w:sz w:val="21"/>
                      <w:szCs w:val="21"/>
                    </w:rPr>
                    <w:t>搅拌产生的</w:t>
                  </w:r>
                  <w:r>
                    <w:rPr>
                      <w:rFonts w:hint="eastAsia"/>
                      <w:sz w:val="21"/>
                      <w:szCs w:val="21"/>
                    </w:rPr>
                    <w:t>粉尘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rightChars="0"/>
                    <w:contextualSpacing/>
                    <w:jc w:val="center"/>
                    <w:rPr>
                      <w:rFonts w:hint="default" w:eastAsia="宋体"/>
                      <w:sz w:val="21"/>
                      <w:szCs w:val="21"/>
                      <w:lang w:val="en-US" w:eastAsia="zh-CN"/>
                    </w:rPr>
                  </w:pPr>
                  <w:r>
                    <w:rPr>
                      <w:rFonts w:hint="eastAsia"/>
                      <w:sz w:val="21"/>
                      <w:szCs w:val="21"/>
                      <w:lang w:val="en-US" w:eastAsia="zh-CN"/>
                    </w:rPr>
                    <w:t>13</w:t>
                  </w:r>
                </w:p>
              </w:tc>
              <w:tc>
                <w:tcPr>
                  <w:tcW w:w="1030" w:type="dxa"/>
                  <w:vMerge w:val="restart"/>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公用单元</w:t>
                  </w:r>
                </w:p>
              </w:tc>
              <w:tc>
                <w:tcPr>
                  <w:tcW w:w="896" w:type="dxa"/>
                  <w:vMerge w:val="restart"/>
                  <w:noWrap w:val="0"/>
                  <w:vAlign w:val="center"/>
                </w:tcPr>
                <w:p>
                  <w:pPr>
                    <w:adjustRightInd w:val="0"/>
                    <w:snapToGrid w:val="0"/>
                    <w:ind w:right="-1"/>
                    <w:contextualSpacing/>
                    <w:jc w:val="center"/>
                    <w:rPr>
                      <w:rFonts w:hint="eastAsia"/>
                      <w:sz w:val="21"/>
                      <w:szCs w:val="21"/>
                    </w:rPr>
                  </w:pPr>
                  <w:r>
                    <w:rPr>
                      <w:rFonts w:hint="eastAsia"/>
                      <w:sz w:val="21"/>
                      <w:szCs w:val="21"/>
                    </w:rPr>
                    <w:t>辅助</w:t>
                  </w:r>
                </w:p>
                <w:p>
                  <w:pPr>
                    <w:adjustRightInd w:val="0"/>
                    <w:snapToGrid w:val="0"/>
                    <w:ind w:right="-1"/>
                    <w:contextualSpacing/>
                    <w:jc w:val="center"/>
                    <w:rPr>
                      <w:rFonts w:hint="eastAsia" w:eastAsia="宋体"/>
                      <w:sz w:val="21"/>
                      <w:szCs w:val="21"/>
                      <w:lang w:eastAsia="zh-CN"/>
                    </w:rPr>
                  </w:pPr>
                  <w:r>
                    <w:rPr>
                      <w:rFonts w:hint="eastAsia"/>
                      <w:sz w:val="21"/>
                      <w:szCs w:val="21"/>
                      <w:lang w:eastAsia="zh-CN"/>
                    </w:rPr>
                    <w:t>系统</w:t>
                  </w:r>
                </w:p>
              </w:tc>
              <w:tc>
                <w:tcPr>
                  <w:tcW w:w="1113" w:type="dxa"/>
                  <w:noWrap w:val="0"/>
                  <w:vAlign w:val="center"/>
                </w:tcPr>
                <w:p>
                  <w:pPr>
                    <w:adjustRightInd w:val="0"/>
                    <w:snapToGrid w:val="0"/>
                    <w:ind w:right="-1"/>
                    <w:contextualSpacing/>
                    <w:jc w:val="center"/>
                    <w:rPr>
                      <w:sz w:val="21"/>
                      <w:szCs w:val="21"/>
                    </w:rPr>
                  </w:pPr>
                  <w:r>
                    <w:rPr>
                      <w:sz w:val="21"/>
                      <w:szCs w:val="21"/>
                    </w:rPr>
                    <w:t>计量系统</w:t>
                  </w:r>
                </w:p>
              </w:tc>
              <w:tc>
                <w:tcPr>
                  <w:tcW w:w="1978" w:type="dxa"/>
                  <w:noWrap w:val="0"/>
                  <w:vAlign w:val="center"/>
                </w:tcPr>
                <w:p>
                  <w:pPr>
                    <w:adjustRightInd w:val="0"/>
                    <w:snapToGrid w:val="0"/>
                    <w:ind w:right="-1"/>
                    <w:contextualSpacing/>
                    <w:jc w:val="center"/>
                    <w:rPr>
                      <w:sz w:val="21"/>
                      <w:szCs w:val="21"/>
                    </w:rPr>
                  </w:pPr>
                  <w:r>
                    <w:rPr>
                      <w:sz w:val="21"/>
                      <w:szCs w:val="21"/>
                    </w:rPr>
                    <w:t>/</w:t>
                  </w:r>
                </w:p>
              </w:tc>
              <w:tc>
                <w:tcPr>
                  <w:tcW w:w="433" w:type="dxa"/>
                  <w:noWrap w:val="0"/>
                  <w:vAlign w:val="center"/>
                </w:tcPr>
                <w:p>
                  <w:pPr>
                    <w:adjustRightInd w:val="0"/>
                    <w:snapToGrid w:val="0"/>
                    <w:ind w:right="-1"/>
                    <w:contextualSpacing/>
                    <w:jc w:val="center"/>
                    <w:rPr>
                      <w:sz w:val="21"/>
                      <w:szCs w:val="21"/>
                    </w:rPr>
                  </w:pPr>
                  <w:r>
                    <w:rPr>
                      <w:sz w:val="21"/>
                      <w:szCs w:val="21"/>
                    </w:rPr>
                    <w:t>套</w:t>
                  </w:r>
                </w:p>
              </w:tc>
              <w:tc>
                <w:tcPr>
                  <w:tcW w:w="517"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2</w:t>
                  </w:r>
                </w:p>
              </w:tc>
              <w:tc>
                <w:tcPr>
                  <w:tcW w:w="1558" w:type="dxa"/>
                  <w:noWrap w:val="0"/>
                  <w:vAlign w:val="center"/>
                </w:tcPr>
                <w:p>
                  <w:pPr>
                    <w:adjustRightInd w:val="0"/>
                    <w:snapToGrid w:val="0"/>
                    <w:ind w:right="-1"/>
                    <w:contextualSpacing/>
                    <w:jc w:val="center"/>
                    <w:rPr>
                      <w:sz w:val="21"/>
                      <w:szCs w:val="21"/>
                    </w:rPr>
                  </w:pPr>
                  <w:r>
                    <w:rPr>
                      <w:sz w:val="21"/>
                      <w:szCs w:val="21"/>
                    </w:rPr>
                    <w:t>比例供料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58" w:type="dxa"/>
                  <w:noWrap w:val="0"/>
                  <w:vAlign w:val="center"/>
                </w:tcPr>
                <w:p>
                  <w:pPr>
                    <w:adjustRightInd w:val="0"/>
                    <w:snapToGrid w:val="0"/>
                    <w:ind w:right="-1" w:rightChars="0"/>
                    <w:contextualSpacing/>
                    <w:jc w:val="center"/>
                    <w:rPr>
                      <w:rFonts w:hint="default" w:eastAsia="宋体"/>
                      <w:sz w:val="21"/>
                      <w:szCs w:val="21"/>
                      <w:lang w:val="en-US" w:eastAsia="zh-CN"/>
                    </w:rPr>
                  </w:pPr>
                  <w:r>
                    <w:rPr>
                      <w:rFonts w:hint="eastAsia"/>
                      <w:sz w:val="21"/>
                      <w:szCs w:val="21"/>
                      <w:lang w:val="en-US" w:eastAsia="zh-CN"/>
                    </w:rPr>
                    <w:t>14</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sz w:val="21"/>
                      <w:szCs w:val="21"/>
                    </w:rPr>
                  </w:pPr>
                </w:p>
              </w:tc>
              <w:tc>
                <w:tcPr>
                  <w:tcW w:w="1113" w:type="dxa"/>
                  <w:noWrap w:val="0"/>
                  <w:vAlign w:val="center"/>
                </w:tcPr>
                <w:p>
                  <w:pPr>
                    <w:adjustRightInd w:val="0"/>
                    <w:snapToGrid w:val="0"/>
                    <w:ind w:right="-1"/>
                    <w:contextualSpacing/>
                    <w:jc w:val="center"/>
                    <w:rPr>
                      <w:sz w:val="21"/>
                      <w:szCs w:val="21"/>
                    </w:rPr>
                  </w:pPr>
                  <w:r>
                    <w:rPr>
                      <w:sz w:val="21"/>
                      <w:szCs w:val="21"/>
                    </w:rPr>
                    <w:t>控制系统</w:t>
                  </w:r>
                </w:p>
              </w:tc>
              <w:tc>
                <w:tcPr>
                  <w:tcW w:w="1978" w:type="dxa"/>
                  <w:noWrap w:val="0"/>
                  <w:vAlign w:val="center"/>
                </w:tcPr>
                <w:p>
                  <w:pPr>
                    <w:adjustRightInd w:val="0"/>
                    <w:snapToGrid w:val="0"/>
                    <w:ind w:right="-1"/>
                    <w:contextualSpacing/>
                    <w:jc w:val="center"/>
                    <w:rPr>
                      <w:sz w:val="21"/>
                      <w:szCs w:val="21"/>
                    </w:rPr>
                  </w:pPr>
                  <w:r>
                    <w:rPr>
                      <w:sz w:val="21"/>
                      <w:szCs w:val="21"/>
                    </w:rPr>
                    <w:t>/</w:t>
                  </w:r>
                </w:p>
              </w:tc>
              <w:tc>
                <w:tcPr>
                  <w:tcW w:w="433" w:type="dxa"/>
                  <w:noWrap w:val="0"/>
                  <w:vAlign w:val="center"/>
                </w:tcPr>
                <w:p>
                  <w:pPr>
                    <w:adjustRightInd w:val="0"/>
                    <w:snapToGrid w:val="0"/>
                    <w:ind w:right="-1"/>
                    <w:contextualSpacing/>
                    <w:jc w:val="center"/>
                    <w:rPr>
                      <w:sz w:val="21"/>
                      <w:szCs w:val="21"/>
                    </w:rPr>
                  </w:pPr>
                  <w:r>
                    <w:rPr>
                      <w:sz w:val="21"/>
                      <w:szCs w:val="21"/>
                    </w:rPr>
                    <w:t>套</w:t>
                  </w:r>
                </w:p>
              </w:tc>
              <w:tc>
                <w:tcPr>
                  <w:tcW w:w="517"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2</w:t>
                  </w:r>
                </w:p>
              </w:tc>
              <w:tc>
                <w:tcPr>
                  <w:tcW w:w="1558" w:type="dxa"/>
                  <w:noWrap w:val="0"/>
                  <w:vAlign w:val="center"/>
                </w:tcPr>
                <w:p>
                  <w:pPr>
                    <w:adjustRightInd w:val="0"/>
                    <w:snapToGrid w:val="0"/>
                    <w:ind w:right="-1"/>
                    <w:contextualSpacing/>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4" w:hRule="atLeast"/>
              </w:trPr>
              <w:tc>
                <w:tcPr>
                  <w:tcW w:w="858" w:type="dxa"/>
                  <w:noWrap w:val="0"/>
                  <w:vAlign w:val="center"/>
                </w:tcPr>
                <w:p>
                  <w:pPr>
                    <w:adjustRightInd w:val="0"/>
                    <w:snapToGrid w:val="0"/>
                    <w:ind w:right="-1" w:rightChars="0"/>
                    <w:contextualSpacing/>
                    <w:jc w:val="center"/>
                    <w:rPr>
                      <w:rFonts w:hint="default" w:eastAsia="宋体"/>
                      <w:sz w:val="21"/>
                      <w:szCs w:val="21"/>
                      <w:lang w:val="en-US" w:eastAsia="zh-CN"/>
                    </w:rPr>
                  </w:pPr>
                  <w:r>
                    <w:rPr>
                      <w:rFonts w:hint="eastAsia" w:eastAsia="宋体"/>
                      <w:sz w:val="21"/>
                      <w:szCs w:val="21"/>
                      <w:lang w:val="en-US" w:eastAsia="zh-CN"/>
                    </w:rPr>
                    <w:t>15</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sz w:val="21"/>
                      <w:szCs w:val="21"/>
                    </w:rPr>
                  </w:pPr>
                </w:p>
              </w:tc>
              <w:tc>
                <w:tcPr>
                  <w:tcW w:w="1113" w:type="dxa"/>
                  <w:noWrap w:val="0"/>
                  <w:vAlign w:val="center"/>
                </w:tcPr>
                <w:p>
                  <w:pPr>
                    <w:adjustRightInd w:val="0"/>
                    <w:snapToGrid w:val="0"/>
                    <w:ind w:right="-1"/>
                    <w:contextualSpacing/>
                    <w:jc w:val="center"/>
                    <w:rPr>
                      <w:sz w:val="21"/>
                      <w:szCs w:val="21"/>
                    </w:rPr>
                  </w:pPr>
                  <w:r>
                    <w:rPr>
                      <w:sz w:val="21"/>
                      <w:szCs w:val="21"/>
                    </w:rPr>
                    <w:t>空压机</w:t>
                  </w:r>
                </w:p>
              </w:tc>
              <w:tc>
                <w:tcPr>
                  <w:tcW w:w="1978" w:type="dxa"/>
                  <w:noWrap w:val="0"/>
                  <w:vAlign w:val="center"/>
                </w:tcPr>
                <w:p>
                  <w:pPr>
                    <w:adjustRightInd w:val="0"/>
                    <w:snapToGrid w:val="0"/>
                    <w:ind w:right="-1"/>
                    <w:contextualSpacing/>
                    <w:jc w:val="center"/>
                    <w:rPr>
                      <w:sz w:val="21"/>
                      <w:szCs w:val="21"/>
                    </w:rPr>
                  </w:pPr>
                  <w:r>
                    <w:rPr>
                      <w:sz w:val="21"/>
                      <w:szCs w:val="21"/>
                    </w:rPr>
                    <w:t>/</w:t>
                  </w:r>
                </w:p>
              </w:tc>
              <w:tc>
                <w:tcPr>
                  <w:tcW w:w="433" w:type="dxa"/>
                  <w:noWrap w:val="0"/>
                  <w:vAlign w:val="center"/>
                </w:tcPr>
                <w:p>
                  <w:pPr>
                    <w:adjustRightInd w:val="0"/>
                    <w:snapToGrid w:val="0"/>
                    <w:ind w:right="-1"/>
                    <w:contextualSpacing/>
                    <w:jc w:val="center"/>
                    <w:rPr>
                      <w:sz w:val="21"/>
                      <w:szCs w:val="21"/>
                    </w:rPr>
                  </w:pPr>
                  <w:r>
                    <w:rPr>
                      <w:sz w:val="21"/>
                      <w:szCs w:val="21"/>
                    </w:rPr>
                    <w:t>组</w:t>
                  </w:r>
                </w:p>
              </w:tc>
              <w:tc>
                <w:tcPr>
                  <w:tcW w:w="517"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8</w:t>
                  </w:r>
                </w:p>
              </w:tc>
              <w:tc>
                <w:tcPr>
                  <w:tcW w:w="1558" w:type="dxa"/>
                  <w:noWrap w:val="0"/>
                  <w:vAlign w:val="center"/>
                </w:tcPr>
                <w:p>
                  <w:pPr>
                    <w:adjustRightInd w:val="0"/>
                    <w:snapToGrid w:val="0"/>
                    <w:ind w:right="-1"/>
                    <w:contextualSpacing/>
                    <w:jc w:val="center"/>
                    <w:rPr>
                      <w:sz w:val="21"/>
                      <w:szCs w:val="21"/>
                    </w:rPr>
                  </w:pPr>
                  <w:r>
                    <w:rPr>
                      <w:sz w:val="21"/>
                      <w:szCs w:val="21"/>
                    </w:rPr>
                    <w:t>气动源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4" w:hRule="atLeast"/>
              </w:trPr>
              <w:tc>
                <w:tcPr>
                  <w:tcW w:w="858" w:type="dxa"/>
                  <w:noWrap w:val="0"/>
                  <w:vAlign w:val="center"/>
                </w:tcPr>
                <w:p>
                  <w:pPr>
                    <w:adjustRightInd w:val="0"/>
                    <w:snapToGrid w:val="0"/>
                    <w:ind w:right="-1" w:rightChars="0"/>
                    <w:contextualSpacing/>
                    <w:jc w:val="center"/>
                    <w:rPr>
                      <w:rFonts w:hint="default" w:eastAsia="宋体"/>
                      <w:sz w:val="21"/>
                      <w:szCs w:val="21"/>
                      <w:lang w:val="en-US" w:eastAsia="zh-CN"/>
                    </w:rPr>
                  </w:pPr>
                  <w:r>
                    <w:rPr>
                      <w:rFonts w:hint="eastAsia"/>
                      <w:lang w:val="en-US" w:eastAsia="zh-CN"/>
                    </w:rPr>
                    <w:t>16</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sz w:val="21"/>
                      <w:szCs w:val="21"/>
                    </w:rPr>
                  </w:pPr>
                </w:p>
              </w:tc>
              <w:tc>
                <w:tcPr>
                  <w:tcW w:w="1113" w:type="dxa"/>
                  <w:noWrap w:val="0"/>
                  <w:vAlign w:val="center"/>
                </w:tcPr>
                <w:p>
                  <w:pPr>
                    <w:adjustRightInd w:val="0"/>
                    <w:snapToGrid w:val="0"/>
                    <w:ind w:right="-1"/>
                    <w:contextualSpacing/>
                    <w:jc w:val="center"/>
                    <w:rPr>
                      <w:rFonts w:hint="eastAsia" w:eastAsia="宋体"/>
                      <w:sz w:val="21"/>
                      <w:szCs w:val="21"/>
                      <w:lang w:val="en-US" w:eastAsia="zh-CN"/>
                    </w:rPr>
                  </w:pPr>
                  <w:r>
                    <w:rPr>
                      <w:rFonts w:hint="eastAsia"/>
                      <w:sz w:val="21"/>
                      <w:szCs w:val="21"/>
                      <w:lang w:val="en-US" w:eastAsia="zh-CN"/>
                    </w:rPr>
                    <w:t>装载机</w:t>
                  </w:r>
                </w:p>
              </w:tc>
              <w:tc>
                <w:tcPr>
                  <w:tcW w:w="1978" w:type="dxa"/>
                  <w:noWrap w:val="0"/>
                  <w:vAlign w:val="center"/>
                </w:tcPr>
                <w:p>
                  <w:pPr>
                    <w:adjustRightInd w:val="0"/>
                    <w:snapToGrid w:val="0"/>
                    <w:ind w:right="-1"/>
                    <w:contextualSpacing/>
                    <w:jc w:val="center"/>
                    <w:rPr>
                      <w:rFonts w:hint="default" w:eastAsia="宋体"/>
                      <w:sz w:val="21"/>
                      <w:szCs w:val="21"/>
                      <w:lang w:val="en-US" w:eastAsia="zh-CN"/>
                    </w:rPr>
                  </w:pPr>
                  <w:r>
                    <w:rPr>
                      <w:rFonts w:hint="eastAsia"/>
                      <w:sz w:val="21"/>
                      <w:szCs w:val="21"/>
                      <w:lang w:val="en-US" w:eastAsia="zh-CN"/>
                    </w:rPr>
                    <w:t>10t</w:t>
                  </w:r>
                </w:p>
              </w:tc>
              <w:tc>
                <w:tcPr>
                  <w:tcW w:w="433" w:type="dxa"/>
                  <w:noWrap w:val="0"/>
                  <w:vAlign w:val="center"/>
                </w:tcPr>
                <w:p>
                  <w:pPr>
                    <w:adjustRightInd w:val="0"/>
                    <w:snapToGrid w:val="0"/>
                    <w:ind w:right="-1"/>
                    <w:contextualSpacing/>
                    <w:jc w:val="center"/>
                    <w:rPr>
                      <w:rFonts w:hint="eastAsia" w:eastAsia="宋体"/>
                      <w:sz w:val="21"/>
                      <w:szCs w:val="21"/>
                      <w:lang w:val="en-US" w:eastAsia="zh-CN"/>
                    </w:rPr>
                  </w:pPr>
                  <w:r>
                    <w:rPr>
                      <w:rFonts w:hint="eastAsia"/>
                      <w:sz w:val="21"/>
                      <w:szCs w:val="21"/>
                      <w:lang w:val="en-US" w:eastAsia="zh-CN"/>
                    </w:rPr>
                    <w:t>辆</w:t>
                  </w:r>
                </w:p>
              </w:tc>
              <w:tc>
                <w:tcPr>
                  <w:tcW w:w="517" w:type="dxa"/>
                  <w:noWrap w:val="0"/>
                  <w:vAlign w:val="center"/>
                </w:tcPr>
                <w:p>
                  <w:pPr>
                    <w:adjustRightInd w:val="0"/>
                    <w:snapToGrid w:val="0"/>
                    <w:ind w:right="-1"/>
                    <w:contextualSpacing/>
                    <w:jc w:val="center"/>
                    <w:rPr>
                      <w:rFonts w:hint="default"/>
                      <w:sz w:val="21"/>
                      <w:szCs w:val="21"/>
                      <w:lang w:val="en-US" w:eastAsia="zh-CN"/>
                    </w:rPr>
                  </w:pPr>
                  <w:r>
                    <w:rPr>
                      <w:rFonts w:hint="eastAsia"/>
                      <w:sz w:val="21"/>
                      <w:szCs w:val="21"/>
                      <w:lang w:val="en-US" w:eastAsia="zh-CN"/>
                    </w:rPr>
                    <w:t>2</w:t>
                  </w:r>
                </w:p>
              </w:tc>
              <w:tc>
                <w:tcPr>
                  <w:tcW w:w="1558" w:type="dxa"/>
                  <w:noWrap w:val="0"/>
                  <w:vAlign w:val="center"/>
                </w:tcPr>
                <w:p>
                  <w:pPr>
                    <w:adjustRightInd w:val="0"/>
                    <w:snapToGrid w:val="0"/>
                    <w:ind w:right="-1"/>
                    <w:contextualSpacing/>
                    <w:jc w:val="center"/>
                    <w:rPr>
                      <w:sz w:val="21"/>
                      <w:szCs w:val="21"/>
                    </w:rPr>
                  </w:pPr>
                  <w:r>
                    <w:rPr>
                      <w:rFonts w:hint="eastAsia"/>
                      <w:sz w:val="21"/>
                      <w:szCs w:val="21"/>
                      <w:lang w:eastAsia="zh-CN"/>
                    </w:rPr>
                    <w:t>砂石料装卸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4" w:hRule="atLeast"/>
              </w:trPr>
              <w:tc>
                <w:tcPr>
                  <w:tcW w:w="858" w:type="dxa"/>
                  <w:noWrap w:val="0"/>
                  <w:vAlign w:val="center"/>
                </w:tcPr>
                <w:p>
                  <w:pPr>
                    <w:adjustRightInd w:val="0"/>
                    <w:snapToGrid w:val="0"/>
                    <w:ind w:right="-1" w:rightChars="0"/>
                    <w:contextualSpacing/>
                    <w:jc w:val="center"/>
                    <w:rPr>
                      <w:rFonts w:hint="default"/>
                      <w:sz w:val="21"/>
                      <w:szCs w:val="21"/>
                      <w:lang w:val="en-US" w:eastAsia="zh-CN"/>
                    </w:rPr>
                  </w:pPr>
                  <w:r>
                    <w:rPr>
                      <w:rFonts w:hint="eastAsia"/>
                      <w:sz w:val="21"/>
                      <w:szCs w:val="21"/>
                      <w:lang w:val="en-US" w:eastAsia="zh-CN"/>
                    </w:rPr>
                    <w:t>17</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sz w:val="21"/>
                      <w:szCs w:val="21"/>
                    </w:rPr>
                  </w:pPr>
                </w:p>
              </w:tc>
              <w:tc>
                <w:tcPr>
                  <w:tcW w:w="111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val="en-US" w:eastAsia="zh-CN"/>
                    </w:rPr>
                    <w:t>泵车</w:t>
                  </w:r>
                </w:p>
              </w:tc>
              <w:tc>
                <w:tcPr>
                  <w:tcW w:w="1978" w:type="dxa"/>
                  <w:noWrap w:val="0"/>
                  <w:vAlign w:val="center"/>
                </w:tcPr>
                <w:p>
                  <w:pPr>
                    <w:adjustRightInd w:val="0"/>
                    <w:snapToGrid w:val="0"/>
                    <w:ind w:right="-1"/>
                    <w:contextualSpacing/>
                    <w:jc w:val="center"/>
                    <w:rPr>
                      <w:rFonts w:hint="default" w:eastAsia="宋体"/>
                      <w:sz w:val="21"/>
                      <w:szCs w:val="21"/>
                      <w:lang w:val="en-US" w:eastAsia="zh-CN"/>
                    </w:rPr>
                  </w:pPr>
                  <w:r>
                    <w:rPr>
                      <w:rFonts w:hint="eastAsia"/>
                      <w:sz w:val="21"/>
                      <w:szCs w:val="21"/>
                      <w:lang w:val="en-US" w:eastAsia="zh-CN"/>
                    </w:rPr>
                    <w:t>10t</w:t>
                  </w:r>
                </w:p>
              </w:tc>
              <w:tc>
                <w:tcPr>
                  <w:tcW w:w="43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辆</w:t>
                  </w:r>
                </w:p>
              </w:tc>
              <w:tc>
                <w:tcPr>
                  <w:tcW w:w="517" w:type="dxa"/>
                  <w:noWrap w:val="0"/>
                  <w:vAlign w:val="center"/>
                </w:tcPr>
                <w:p>
                  <w:pPr>
                    <w:adjustRightInd w:val="0"/>
                    <w:snapToGrid w:val="0"/>
                    <w:ind w:right="-1"/>
                    <w:contextualSpacing/>
                    <w:jc w:val="center"/>
                    <w:rPr>
                      <w:rFonts w:hint="default"/>
                      <w:sz w:val="21"/>
                      <w:szCs w:val="21"/>
                      <w:lang w:val="en-US" w:eastAsia="zh-CN"/>
                    </w:rPr>
                  </w:pPr>
                  <w:r>
                    <w:rPr>
                      <w:rFonts w:hint="eastAsia"/>
                      <w:sz w:val="21"/>
                      <w:szCs w:val="21"/>
                      <w:lang w:val="en-US" w:eastAsia="zh-CN"/>
                    </w:rPr>
                    <w:t>6</w:t>
                  </w:r>
                </w:p>
              </w:tc>
              <w:tc>
                <w:tcPr>
                  <w:tcW w:w="1558" w:type="dxa"/>
                  <w:noWrap w:val="0"/>
                  <w:vAlign w:val="center"/>
                </w:tcPr>
                <w:p>
                  <w:pPr>
                    <w:adjustRightInd w:val="0"/>
                    <w:snapToGrid w:val="0"/>
                    <w:ind w:right="-1"/>
                    <w:contextualSpacing/>
                    <w:jc w:val="center"/>
                    <w:rPr>
                      <w:rFonts w:hint="default" w:eastAsia="宋体"/>
                      <w:sz w:val="21"/>
                      <w:szCs w:val="21"/>
                      <w:lang w:val="en-US" w:eastAsia="zh-CN"/>
                    </w:rPr>
                  </w:pPr>
                  <w:r>
                    <w:rPr>
                      <w:rFonts w:hint="eastAsia"/>
                      <w:sz w:val="21"/>
                      <w:szCs w:val="21"/>
                      <w:lang w:eastAsia="zh-CN"/>
                    </w:rPr>
                    <w:t>混凝土</w:t>
                  </w:r>
                  <w:r>
                    <w:rPr>
                      <w:rFonts w:hint="eastAsia"/>
                      <w:sz w:val="21"/>
                      <w:szCs w:val="21"/>
                      <w:lang w:val="en-US" w:eastAsia="zh-CN"/>
                    </w:rPr>
                    <w:t>泵送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858" w:type="dxa"/>
                  <w:noWrap w:val="0"/>
                  <w:vAlign w:val="center"/>
                </w:tcPr>
                <w:p>
                  <w:pPr>
                    <w:adjustRightInd w:val="0"/>
                    <w:snapToGrid w:val="0"/>
                    <w:ind w:right="-1" w:rightChars="0"/>
                    <w:contextualSpacing/>
                    <w:jc w:val="center"/>
                    <w:rPr>
                      <w:rFonts w:hint="default"/>
                      <w:sz w:val="21"/>
                      <w:szCs w:val="21"/>
                      <w:lang w:val="en-US" w:eastAsia="zh-CN"/>
                    </w:rPr>
                  </w:pPr>
                  <w:r>
                    <w:rPr>
                      <w:rFonts w:hint="eastAsia" w:eastAsia="宋体"/>
                      <w:sz w:val="21"/>
                      <w:szCs w:val="21"/>
                      <w:lang w:val="en-US" w:eastAsia="zh-CN"/>
                    </w:rPr>
                    <w:t>18</w:t>
                  </w:r>
                </w:p>
              </w:tc>
              <w:tc>
                <w:tcPr>
                  <w:tcW w:w="1030" w:type="dxa"/>
                  <w:vMerge w:val="continue"/>
                  <w:noWrap w:val="0"/>
                  <w:vAlign w:val="center"/>
                </w:tcPr>
                <w:p>
                  <w:pPr>
                    <w:adjustRightInd w:val="0"/>
                    <w:snapToGrid w:val="0"/>
                    <w:ind w:right="-1"/>
                    <w:contextualSpacing/>
                    <w:jc w:val="center"/>
                    <w:rPr>
                      <w:sz w:val="21"/>
                      <w:szCs w:val="21"/>
                    </w:rPr>
                  </w:pPr>
                </w:p>
              </w:tc>
              <w:tc>
                <w:tcPr>
                  <w:tcW w:w="896" w:type="dxa"/>
                  <w:vMerge w:val="continue"/>
                  <w:noWrap w:val="0"/>
                  <w:vAlign w:val="center"/>
                </w:tcPr>
                <w:p>
                  <w:pPr>
                    <w:adjustRightInd w:val="0"/>
                    <w:snapToGrid w:val="0"/>
                    <w:ind w:right="-1"/>
                    <w:contextualSpacing/>
                    <w:jc w:val="center"/>
                    <w:rPr>
                      <w:sz w:val="21"/>
                      <w:szCs w:val="21"/>
                    </w:rPr>
                  </w:pPr>
                </w:p>
              </w:tc>
              <w:tc>
                <w:tcPr>
                  <w:tcW w:w="1113" w:type="dxa"/>
                  <w:noWrap w:val="0"/>
                  <w:vAlign w:val="center"/>
                </w:tcPr>
                <w:p>
                  <w:pPr>
                    <w:adjustRightInd w:val="0"/>
                    <w:snapToGrid w:val="0"/>
                    <w:ind w:right="-1"/>
                    <w:contextualSpacing/>
                    <w:jc w:val="center"/>
                    <w:rPr>
                      <w:rFonts w:hint="eastAsia"/>
                      <w:sz w:val="21"/>
                      <w:szCs w:val="21"/>
                      <w:lang w:eastAsia="zh-CN"/>
                    </w:rPr>
                  </w:pPr>
                  <w:r>
                    <w:rPr>
                      <w:rFonts w:hint="eastAsia"/>
                      <w:sz w:val="21"/>
                      <w:szCs w:val="21"/>
                      <w:lang w:val="en-US" w:eastAsia="zh-CN"/>
                    </w:rPr>
                    <w:t>搅拌车</w:t>
                  </w:r>
                </w:p>
              </w:tc>
              <w:tc>
                <w:tcPr>
                  <w:tcW w:w="1978" w:type="dxa"/>
                  <w:noWrap w:val="0"/>
                  <w:vAlign w:val="center"/>
                </w:tcPr>
                <w:p>
                  <w:pPr>
                    <w:adjustRightInd w:val="0"/>
                    <w:snapToGrid w:val="0"/>
                    <w:ind w:right="-1"/>
                    <w:contextualSpacing/>
                    <w:jc w:val="center"/>
                    <w:rPr>
                      <w:rFonts w:hint="default"/>
                      <w:sz w:val="21"/>
                      <w:szCs w:val="21"/>
                      <w:lang w:val="en-US" w:eastAsia="zh-CN"/>
                    </w:rPr>
                  </w:pPr>
                  <w:r>
                    <w:rPr>
                      <w:rFonts w:hint="eastAsia"/>
                      <w:sz w:val="21"/>
                      <w:szCs w:val="21"/>
                      <w:lang w:val="en-US" w:eastAsia="zh-CN"/>
                    </w:rPr>
                    <w:t>10m</w:t>
                  </w:r>
                  <w:r>
                    <w:rPr>
                      <w:rFonts w:hint="eastAsia"/>
                      <w:sz w:val="21"/>
                      <w:szCs w:val="21"/>
                      <w:vertAlign w:val="superscript"/>
                      <w:lang w:val="en-US" w:eastAsia="zh-CN"/>
                    </w:rPr>
                    <w:t>3</w:t>
                  </w:r>
                </w:p>
              </w:tc>
              <w:tc>
                <w:tcPr>
                  <w:tcW w:w="43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辆</w:t>
                  </w:r>
                </w:p>
              </w:tc>
              <w:tc>
                <w:tcPr>
                  <w:tcW w:w="517" w:type="dxa"/>
                  <w:noWrap w:val="0"/>
                  <w:vAlign w:val="center"/>
                </w:tcPr>
                <w:p>
                  <w:pPr>
                    <w:adjustRightInd w:val="0"/>
                    <w:snapToGrid w:val="0"/>
                    <w:ind w:right="-1"/>
                    <w:contextualSpacing/>
                    <w:jc w:val="center"/>
                    <w:rPr>
                      <w:rFonts w:hint="default"/>
                      <w:sz w:val="21"/>
                      <w:szCs w:val="21"/>
                      <w:lang w:val="en-US" w:eastAsia="zh-CN"/>
                    </w:rPr>
                  </w:pPr>
                  <w:r>
                    <w:rPr>
                      <w:rFonts w:hint="eastAsia"/>
                      <w:sz w:val="21"/>
                      <w:szCs w:val="21"/>
                      <w:lang w:val="en-US" w:eastAsia="zh-CN"/>
                    </w:rPr>
                    <w:t>20</w:t>
                  </w:r>
                </w:p>
              </w:tc>
              <w:tc>
                <w:tcPr>
                  <w:tcW w:w="1558"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混凝土运输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4" w:hRule="atLeast"/>
              </w:trPr>
              <w:tc>
                <w:tcPr>
                  <w:tcW w:w="858" w:type="dxa"/>
                  <w:noWrap w:val="0"/>
                  <w:vAlign w:val="center"/>
                </w:tcPr>
                <w:p>
                  <w:pPr>
                    <w:adjustRightInd w:val="0"/>
                    <w:snapToGrid w:val="0"/>
                    <w:ind w:right="-1"/>
                    <w:contextualSpacing/>
                    <w:jc w:val="center"/>
                    <w:rPr>
                      <w:rFonts w:hint="default" w:eastAsia="宋体"/>
                      <w:sz w:val="21"/>
                      <w:szCs w:val="21"/>
                      <w:lang w:val="en-US" w:eastAsia="zh-CN"/>
                    </w:rPr>
                  </w:pPr>
                  <w:r>
                    <w:rPr>
                      <w:rFonts w:hint="eastAsia" w:eastAsia="宋体"/>
                      <w:sz w:val="21"/>
                      <w:szCs w:val="21"/>
                      <w:lang w:val="en-US" w:eastAsia="zh-CN"/>
                    </w:rPr>
                    <w:t>19</w:t>
                  </w:r>
                </w:p>
              </w:tc>
              <w:tc>
                <w:tcPr>
                  <w:tcW w:w="1030" w:type="dxa"/>
                  <w:vMerge w:val="continue"/>
                  <w:noWrap w:val="0"/>
                  <w:vAlign w:val="center"/>
                </w:tcPr>
                <w:p>
                  <w:pPr>
                    <w:adjustRightInd w:val="0"/>
                    <w:snapToGrid w:val="0"/>
                    <w:ind w:right="-1"/>
                    <w:contextualSpacing/>
                    <w:jc w:val="center"/>
                    <w:rPr>
                      <w:rFonts w:hint="eastAsia" w:eastAsia="宋体"/>
                      <w:sz w:val="21"/>
                      <w:szCs w:val="21"/>
                      <w:lang w:eastAsia="zh-CN"/>
                    </w:rPr>
                  </w:pPr>
                </w:p>
              </w:tc>
              <w:tc>
                <w:tcPr>
                  <w:tcW w:w="896" w:type="dxa"/>
                  <w:vMerge w:val="continue"/>
                  <w:noWrap w:val="0"/>
                  <w:vAlign w:val="center"/>
                </w:tcPr>
                <w:p>
                  <w:pPr>
                    <w:adjustRightInd w:val="0"/>
                    <w:snapToGrid w:val="0"/>
                    <w:ind w:right="-1"/>
                    <w:contextualSpacing/>
                    <w:jc w:val="center"/>
                    <w:rPr>
                      <w:rFonts w:hint="eastAsia" w:eastAsia="宋体"/>
                      <w:sz w:val="21"/>
                      <w:szCs w:val="21"/>
                      <w:lang w:eastAsia="zh-CN"/>
                    </w:rPr>
                  </w:pPr>
                </w:p>
              </w:tc>
              <w:tc>
                <w:tcPr>
                  <w:tcW w:w="111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检验设备</w:t>
                  </w:r>
                </w:p>
              </w:tc>
              <w:tc>
                <w:tcPr>
                  <w:tcW w:w="1978" w:type="dxa"/>
                  <w:noWrap w:val="0"/>
                  <w:vAlign w:val="center"/>
                </w:tcPr>
                <w:p>
                  <w:pPr>
                    <w:adjustRightInd w:val="0"/>
                    <w:snapToGrid w:val="0"/>
                    <w:ind w:right="-1"/>
                    <w:contextualSpacing/>
                    <w:jc w:val="center"/>
                    <w:rPr>
                      <w:rFonts w:hint="eastAsia" w:eastAsia="宋体"/>
                      <w:sz w:val="21"/>
                      <w:szCs w:val="21"/>
                      <w:lang w:val="en-US" w:eastAsia="zh-CN"/>
                    </w:rPr>
                  </w:pPr>
                  <w:r>
                    <w:rPr>
                      <w:rFonts w:hint="eastAsia"/>
                      <w:sz w:val="21"/>
                      <w:szCs w:val="21"/>
                      <w:lang w:val="en-US" w:eastAsia="zh-CN"/>
                    </w:rPr>
                    <w:t>/</w:t>
                  </w:r>
                </w:p>
              </w:tc>
              <w:tc>
                <w:tcPr>
                  <w:tcW w:w="433"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套</w:t>
                  </w:r>
                </w:p>
              </w:tc>
              <w:tc>
                <w:tcPr>
                  <w:tcW w:w="517" w:type="dxa"/>
                  <w:noWrap w:val="0"/>
                  <w:vAlign w:val="center"/>
                </w:tcPr>
                <w:p>
                  <w:pPr>
                    <w:adjustRightInd w:val="0"/>
                    <w:snapToGrid w:val="0"/>
                    <w:ind w:right="-1"/>
                    <w:contextualSpacing/>
                    <w:jc w:val="center"/>
                    <w:rPr>
                      <w:rFonts w:hint="eastAsia" w:eastAsia="宋体"/>
                      <w:sz w:val="21"/>
                      <w:szCs w:val="21"/>
                      <w:lang w:val="en-US" w:eastAsia="zh-CN"/>
                    </w:rPr>
                  </w:pPr>
                  <w:r>
                    <w:rPr>
                      <w:rFonts w:hint="eastAsia"/>
                      <w:sz w:val="21"/>
                      <w:szCs w:val="21"/>
                      <w:lang w:val="en-US" w:eastAsia="zh-CN"/>
                    </w:rPr>
                    <w:t>1</w:t>
                  </w:r>
                </w:p>
              </w:tc>
              <w:tc>
                <w:tcPr>
                  <w:tcW w:w="1558" w:type="dxa"/>
                  <w:noWrap w:val="0"/>
                  <w:vAlign w:val="center"/>
                </w:tcPr>
                <w:p>
                  <w:pPr>
                    <w:adjustRightInd w:val="0"/>
                    <w:snapToGrid w:val="0"/>
                    <w:ind w:right="-1"/>
                    <w:contextualSpacing/>
                    <w:jc w:val="center"/>
                    <w:rPr>
                      <w:rFonts w:hint="eastAsia" w:eastAsia="宋体"/>
                      <w:sz w:val="21"/>
                      <w:szCs w:val="21"/>
                      <w:lang w:eastAsia="zh-CN"/>
                    </w:rPr>
                  </w:pPr>
                  <w:r>
                    <w:rPr>
                      <w:rFonts w:hint="eastAsia"/>
                      <w:sz w:val="21"/>
                      <w:szCs w:val="21"/>
                      <w:lang w:eastAsia="zh-CN"/>
                    </w:rPr>
                    <w:t>配比及样品检验</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4"/>
              </w:rPr>
            </w:pPr>
            <w:r>
              <w:rPr>
                <w:rFonts w:hint="eastAsia"/>
                <w:b/>
                <w:sz w:val="24"/>
                <w:lang w:eastAsia="zh-CN"/>
              </w:rPr>
              <w:t>六、</w:t>
            </w:r>
            <w:r>
              <w:rPr>
                <w:rFonts w:hint="eastAsia" w:ascii="宋体" w:hAnsi="宋体" w:cs="宋体"/>
                <w:b/>
                <w:bCs/>
                <w:sz w:val="24"/>
              </w:rPr>
              <w:t>主要原辅材料和能源消耗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本项目主要生产</w:t>
            </w:r>
            <w:r>
              <w:rPr>
                <w:sz w:val="24"/>
              </w:rPr>
              <w:t>C</w:t>
            </w:r>
            <w:r>
              <w:rPr>
                <w:rFonts w:hint="eastAsia"/>
                <w:sz w:val="24"/>
                <w:lang w:val="en-US" w:eastAsia="zh-CN"/>
              </w:rPr>
              <w:t>20</w:t>
            </w:r>
            <w:r>
              <w:rPr>
                <w:rFonts w:hint="eastAsia"/>
                <w:sz w:val="24"/>
              </w:rPr>
              <w:t>-C</w:t>
            </w:r>
            <w:r>
              <w:rPr>
                <w:rFonts w:hint="eastAsia"/>
                <w:sz w:val="24"/>
                <w:lang w:val="en-US" w:eastAsia="zh-CN"/>
              </w:rPr>
              <w:t>60</w:t>
            </w:r>
            <w:r>
              <w:rPr>
                <w:rFonts w:hint="eastAsia"/>
                <w:sz w:val="24"/>
              </w:rPr>
              <w:t>强度</w:t>
            </w:r>
            <w:r>
              <w:rPr>
                <w:rFonts w:hint="eastAsia" w:ascii="宋体" w:hAnsi="宋体" w:cs="宋体"/>
                <w:sz w:val="24"/>
                <w:lang w:eastAsia="zh-CN"/>
              </w:rPr>
              <w:t>商品混凝土</w:t>
            </w:r>
            <w:r>
              <w:rPr>
                <w:rFonts w:hint="eastAsia" w:ascii="宋体" w:hAnsi="宋体" w:cs="宋体"/>
                <w:sz w:val="24"/>
              </w:rPr>
              <w:t>，各主要原辅材料及品质设计需要进行配比，按照《普通混凝土配合比设计规程》（JGJ55-2011）要求，混凝土的质量品质要经过试验进行确定。所需主要原辅材料、能源消耗及来源见</w:t>
            </w:r>
            <w:r>
              <w:rPr>
                <w:rFonts w:hint="eastAsia" w:ascii="宋体" w:hAnsi="宋体" w:cs="宋体"/>
                <w:sz w:val="24"/>
                <w:lang w:eastAsia="zh-CN"/>
              </w:rPr>
              <w:t>表</w:t>
            </w:r>
            <w:r>
              <w:rPr>
                <w:rFonts w:hint="eastAsia" w:ascii="宋体" w:hAnsi="宋体" w:cs="宋体"/>
                <w:sz w:val="24"/>
                <w:lang w:val="en-US" w:eastAsia="zh-CN"/>
              </w:rPr>
              <w:t>2-4</w:t>
            </w:r>
            <w:r>
              <w:rPr>
                <w:rFonts w:hint="eastAsia" w:ascii="宋体" w:hAnsi="宋体" w:cs="宋体"/>
                <w:sz w:val="24"/>
              </w:rPr>
              <w:t>。</w:t>
            </w:r>
          </w:p>
          <w:p>
            <w:pPr>
              <w:pStyle w:val="53"/>
              <w:jc w:val="center"/>
              <w:rPr>
                <w:b/>
                <w:bCs/>
              </w:rPr>
            </w:pPr>
            <w:r>
              <w:rPr>
                <w:rFonts w:hint="eastAsia" w:hAnsi="宋体"/>
                <w:b/>
                <w:bCs/>
              </w:rPr>
              <w:t>表</w:t>
            </w:r>
            <w:r>
              <w:rPr>
                <w:rFonts w:hint="eastAsia" w:hAnsi="宋体"/>
                <w:b/>
                <w:bCs/>
                <w:lang w:val="en-US" w:eastAsia="zh-CN"/>
              </w:rPr>
              <w:t>2-4</w:t>
            </w:r>
            <w:r>
              <w:rPr>
                <w:rFonts w:hint="eastAsia" w:hAnsi="宋体"/>
                <w:b/>
                <w:bCs/>
              </w:rPr>
              <w:t xml:space="preserve"> </w:t>
            </w:r>
            <w:r>
              <w:rPr>
                <w:rFonts w:hint="eastAsia" w:hAnsi="宋体"/>
                <w:b/>
                <w:bCs/>
                <w:lang w:val="en-US" w:eastAsia="zh-CN"/>
              </w:rPr>
              <w:t xml:space="preserve"> </w:t>
            </w:r>
            <w:r>
              <w:rPr>
                <w:rFonts w:hint="eastAsia" w:hAnsi="宋体"/>
                <w:b/>
                <w:bCs/>
              </w:rPr>
              <w:t xml:space="preserve"> 项目主要原辅材料、能源消耗和来源一览表</w:t>
            </w:r>
          </w:p>
          <w:tbl>
            <w:tblPr>
              <w:tblStyle w:val="2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818"/>
              <w:gridCol w:w="1033"/>
              <w:gridCol w:w="1002"/>
              <w:gridCol w:w="1152"/>
              <w:gridCol w:w="1544"/>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48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名称</w:t>
                  </w: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名称</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单位</w:t>
                  </w:r>
                </w:p>
              </w:tc>
              <w:tc>
                <w:tcPr>
                  <w:tcW w:w="687"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年耗量</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来源</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488" w:type="pct"/>
                  <w:vMerge w:val="restar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商品混凝土</w:t>
                  </w: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石子</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t/a</w:t>
                  </w:r>
                </w:p>
              </w:tc>
              <w:tc>
                <w:tcPr>
                  <w:tcW w:w="687" w:type="pct"/>
                  <w:noWrap w:val="0"/>
                  <w:vAlign w:val="center"/>
                </w:tcPr>
                <w:p>
                  <w:pPr>
                    <w:pStyle w:val="5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180090</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外购，车辆运输</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位于原材料堆仓，原料料场内储存，固态，</w:t>
                  </w:r>
                  <w:r>
                    <w:rPr>
                      <w:rFonts w:hint="eastAsia" w:ascii="Times New Roman" w:cs="Times New Roman"/>
                      <w:sz w:val="21"/>
                      <w:szCs w:val="21"/>
                      <w:lang w:eastAsia="zh-CN"/>
                    </w:rPr>
                    <w:t>密度</w:t>
                  </w:r>
                  <w:r>
                    <w:rPr>
                      <w:rFonts w:hint="eastAsia" w:ascii="Times New Roman" w:cs="Times New Roman"/>
                      <w:sz w:val="21"/>
                      <w:szCs w:val="21"/>
                      <w:lang w:val="en-US" w:eastAsia="zh-CN"/>
                    </w:rPr>
                    <w:t>2.3t/m</w:t>
                  </w:r>
                  <w:r>
                    <w:rPr>
                      <w:rFonts w:hint="eastAsia" w:ascii="Times New Roman" w:cs="Times New Roman"/>
                      <w:sz w:val="21"/>
                      <w:szCs w:val="21"/>
                      <w:vertAlign w:val="superscript"/>
                      <w:lang w:val="en-US" w:eastAsia="zh-CN"/>
                    </w:rPr>
                    <w:t>3</w:t>
                  </w:r>
                  <w:r>
                    <w:rPr>
                      <w:rFonts w:hint="default" w:ascii="Times New Roman" w:hAnsi="Times New Roman" w:cs="Times New Roman"/>
                      <w:sz w:val="21"/>
                      <w:szCs w:val="21"/>
                    </w:rPr>
                    <w:t>，粒径</w:t>
                  </w:r>
                  <w:r>
                    <w:rPr>
                      <w:rFonts w:hint="eastAsia" w:ascii="Times New Roman" w:hAnsi="Times New Roman" w:cs="Times New Roman"/>
                      <w:sz w:val="21"/>
                      <w:szCs w:val="21"/>
                      <w:lang w:val="en-US" w:eastAsia="zh-CN"/>
                    </w:rPr>
                    <w:t>0.5c</w:t>
                  </w:r>
                  <w:r>
                    <w:rPr>
                      <w:rFonts w:hint="default" w:ascii="Times New Roman" w:hAnsi="Times New Roman" w:cs="Times New Roman"/>
                      <w:sz w:val="21"/>
                      <w:szCs w:val="21"/>
                    </w:rPr>
                    <w:t>m</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5c</w:t>
                  </w:r>
                  <w:r>
                    <w:rPr>
                      <w:rFonts w:hint="default" w:ascii="Times New Roman" w:hAnsi="Times New Roman" w:cs="Times New Roman"/>
                      <w:sz w:val="21"/>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488" w:type="pct"/>
                  <w:vMerge w:val="continue"/>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砂子</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t/a</w:t>
                  </w:r>
                </w:p>
              </w:tc>
              <w:tc>
                <w:tcPr>
                  <w:tcW w:w="687" w:type="pct"/>
                  <w:noWrap w:val="0"/>
                  <w:vAlign w:val="center"/>
                </w:tcPr>
                <w:p>
                  <w:pPr>
                    <w:pStyle w:val="53"/>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62100</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外购，车辆运输</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位于原材料堆仓，原料场内储存，</w:t>
                  </w:r>
                  <w:r>
                    <w:rPr>
                      <w:rFonts w:hint="eastAsia" w:ascii="Times New Roman" w:cs="Times New Roman"/>
                      <w:sz w:val="21"/>
                      <w:szCs w:val="21"/>
                      <w:lang w:eastAsia="zh-CN"/>
                    </w:rPr>
                    <w:t>密度</w:t>
                  </w:r>
                  <w:r>
                    <w:rPr>
                      <w:rFonts w:hint="eastAsia" w:ascii="Times New Roman" w:cs="Times New Roman"/>
                      <w:sz w:val="21"/>
                      <w:szCs w:val="21"/>
                      <w:lang w:val="en-US" w:eastAsia="zh-CN"/>
                    </w:rPr>
                    <w:t>2.3t/m</w:t>
                  </w:r>
                  <w:r>
                    <w:rPr>
                      <w:rFonts w:hint="eastAsia" w:ascii="Times New Roman" w:cs="Times New Roman"/>
                      <w:sz w:val="21"/>
                      <w:szCs w:val="21"/>
                      <w:vertAlign w:val="superscript"/>
                      <w:lang w:val="en-US" w:eastAsia="zh-CN"/>
                    </w:rPr>
                    <w:t>3</w:t>
                  </w:r>
                  <w:r>
                    <w:rPr>
                      <w:rFonts w:hint="eastAsia" w:ascii="Times New Roman" w:cs="Times New Roman"/>
                      <w:sz w:val="21"/>
                      <w:szCs w:val="21"/>
                      <w:vertAlign w:val="baseline"/>
                      <w:lang w:val="en-US" w:eastAsia="zh-CN"/>
                    </w:rPr>
                    <w:t>，</w:t>
                  </w:r>
                  <w:r>
                    <w:rPr>
                      <w:rFonts w:hint="default" w:ascii="Times New Roman" w:hAnsi="Times New Roman" w:cs="Times New Roman"/>
                      <w:sz w:val="21"/>
                      <w:szCs w:val="21"/>
                    </w:rPr>
                    <w:t>固态，粒径3mm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488" w:type="pct"/>
                  <w:vMerge w:val="continue"/>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水泥</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t/a</w:t>
                  </w:r>
                </w:p>
              </w:tc>
              <w:tc>
                <w:tcPr>
                  <w:tcW w:w="687" w:type="pct"/>
                  <w:noWrap w:val="0"/>
                  <w:vAlign w:val="center"/>
                </w:tcPr>
                <w:p>
                  <w:pPr>
                    <w:pStyle w:val="53"/>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45892</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外购，专用罐拉运</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eastAsia" w:ascii="Times New Roman" w:hAnsi="Times New Roman" w:cs="Times New Roman"/>
                      <w:sz w:val="21"/>
                      <w:szCs w:val="21"/>
                      <w:lang w:val="en-US" w:eastAsia="zh-CN"/>
                    </w:rPr>
                    <w:t>4</w:t>
                  </w:r>
                  <w:r>
                    <w:rPr>
                      <w:rFonts w:hint="default" w:ascii="Times New Roman" w:hAnsi="Times New Roman" w:cs="Times New Roman"/>
                      <w:sz w:val="21"/>
                      <w:szCs w:val="21"/>
                    </w:rPr>
                    <w:t>个</w:t>
                  </w:r>
                  <w:r>
                    <w:rPr>
                      <w:rFonts w:hint="eastAsia" w:ascii="Times New Roman" w:hAnsi="Times New Roman" w:cs="Times New Roman"/>
                      <w:sz w:val="21"/>
                      <w:szCs w:val="21"/>
                      <w:lang w:val="en-US" w:eastAsia="zh-CN"/>
                    </w:rPr>
                    <w:t>200t</w:t>
                  </w:r>
                  <w:r>
                    <w:rPr>
                      <w:rFonts w:hint="default" w:ascii="Times New Roman" w:hAnsi="Times New Roman" w:cs="Times New Roman"/>
                      <w:sz w:val="21"/>
                      <w:szCs w:val="21"/>
                    </w:rPr>
                    <w:t>水泥筒仓储存，</w:t>
                  </w:r>
                  <w:r>
                    <w:rPr>
                      <w:rFonts w:hint="eastAsia" w:ascii="Times New Roman" w:cs="Times New Roman"/>
                      <w:sz w:val="21"/>
                      <w:szCs w:val="21"/>
                      <w:lang w:eastAsia="zh-CN"/>
                    </w:rPr>
                    <w:t>密度</w:t>
                  </w:r>
                  <w:r>
                    <w:rPr>
                      <w:rFonts w:hint="eastAsia" w:ascii="Times New Roman" w:cs="Times New Roman"/>
                      <w:sz w:val="21"/>
                      <w:szCs w:val="21"/>
                      <w:lang w:val="en-US" w:eastAsia="zh-CN"/>
                    </w:rPr>
                    <w:t>1.4t/m</w:t>
                  </w:r>
                  <w:r>
                    <w:rPr>
                      <w:rFonts w:hint="eastAsia" w:ascii="Times New Roman" w:cs="Times New Roman"/>
                      <w:sz w:val="21"/>
                      <w:szCs w:val="21"/>
                      <w:vertAlign w:val="superscript"/>
                      <w:lang w:val="en-US" w:eastAsia="zh-CN"/>
                    </w:rPr>
                    <w:t>3</w:t>
                  </w:r>
                  <w:r>
                    <w:rPr>
                      <w:rFonts w:hint="default" w:ascii="Times New Roman" w:hAnsi="Times New Roman" w:cs="Times New Roman"/>
                      <w:sz w:val="21"/>
                      <w:szCs w:val="21"/>
                    </w:rPr>
                    <w:t>，粉状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4</w:t>
                  </w:r>
                </w:p>
              </w:tc>
              <w:tc>
                <w:tcPr>
                  <w:tcW w:w="488" w:type="pct"/>
                  <w:vMerge w:val="continue"/>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粉煤灰</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sz w:val="21"/>
                      <w:szCs w:val="21"/>
                    </w:rPr>
                    <w:t>t</w:t>
                  </w:r>
                  <w:r>
                    <w:rPr>
                      <w:rFonts w:hint="default" w:ascii="Times New Roman" w:hAnsi="Times New Roman" w:cs="Times New Roman"/>
                      <w:color w:val="auto"/>
                      <w:sz w:val="21"/>
                      <w:szCs w:val="21"/>
                    </w:rPr>
                    <w:t>/a</w:t>
                  </w:r>
                </w:p>
              </w:tc>
              <w:tc>
                <w:tcPr>
                  <w:tcW w:w="687" w:type="pct"/>
                  <w:noWrap w:val="0"/>
                  <w:vAlign w:val="center"/>
                </w:tcPr>
                <w:p>
                  <w:pPr>
                    <w:pStyle w:val="53"/>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36576</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外购，专用罐拉运</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2个</w:t>
                  </w:r>
                  <w:r>
                    <w:rPr>
                      <w:rFonts w:hint="eastAsia" w:ascii="Times New Roman" w:hAnsi="Times New Roman" w:cs="Times New Roman"/>
                      <w:sz w:val="21"/>
                      <w:szCs w:val="21"/>
                      <w:lang w:val="en-US" w:eastAsia="zh-CN"/>
                    </w:rPr>
                    <w:t>200t</w:t>
                  </w:r>
                  <w:r>
                    <w:rPr>
                      <w:rFonts w:hint="default" w:ascii="Times New Roman" w:hAnsi="Times New Roman" w:cs="Times New Roman"/>
                      <w:sz w:val="21"/>
                      <w:szCs w:val="21"/>
                    </w:rPr>
                    <w:t>粉煤灰筒仓储存，</w:t>
                  </w:r>
                  <w:r>
                    <w:rPr>
                      <w:rFonts w:hint="eastAsia" w:ascii="Times New Roman" w:cs="Times New Roman"/>
                      <w:sz w:val="21"/>
                      <w:szCs w:val="21"/>
                      <w:lang w:eastAsia="zh-CN"/>
                    </w:rPr>
                    <w:t>密度</w:t>
                  </w:r>
                  <w:r>
                    <w:rPr>
                      <w:rFonts w:hint="eastAsia" w:ascii="Times New Roman" w:cs="Times New Roman"/>
                      <w:sz w:val="21"/>
                      <w:szCs w:val="21"/>
                      <w:lang w:val="en-US" w:eastAsia="zh-CN"/>
                    </w:rPr>
                    <w:t>2.4t/m</w:t>
                  </w:r>
                  <w:r>
                    <w:rPr>
                      <w:rFonts w:hint="eastAsia" w:ascii="Times New Roman" w:cs="Times New Roman"/>
                      <w:sz w:val="21"/>
                      <w:szCs w:val="21"/>
                      <w:vertAlign w:val="superscript"/>
                      <w:lang w:val="en-US" w:eastAsia="zh-CN"/>
                    </w:rPr>
                    <w:t>3</w:t>
                  </w:r>
                  <w:r>
                    <w:rPr>
                      <w:rFonts w:hint="default" w:ascii="Times New Roman" w:hAnsi="Times New Roman" w:cs="Times New Roman"/>
                      <w:sz w:val="21"/>
                      <w:szCs w:val="21"/>
                    </w:rPr>
                    <w:t>，粉状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488" w:type="pct"/>
                  <w:vMerge w:val="continue"/>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矿粉</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t/a</w:t>
                  </w:r>
                </w:p>
              </w:tc>
              <w:tc>
                <w:tcPr>
                  <w:tcW w:w="687"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44196</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外购，专用罐拉运</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2个</w:t>
                  </w:r>
                  <w:r>
                    <w:rPr>
                      <w:rFonts w:hint="eastAsia" w:ascii="Times New Roman" w:hAnsi="Times New Roman" w:cs="Times New Roman"/>
                      <w:sz w:val="21"/>
                      <w:szCs w:val="21"/>
                      <w:lang w:val="en-US" w:eastAsia="zh-CN"/>
                    </w:rPr>
                    <w:t>200t矿粉</w:t>
                  </w:r>
                  <w:r>
                    <w:rPr>
                      <w:rFonts w:hint="default" w:ascii="Times New Roman" w:hAnsi="Times New Roman" w:cs="Times New Roman"/>
                      <w:sz w:val="21"/>
                      <w:szCs w:val="21"/>
                    </w:rPr>
                    <w:t>筒仓储存，</w:t>
                  </w:r>
                  <w:r>
                    <w:rPr>
                      <w:rFonts w:hint="eastAsia" w:ascii="Times New Roman" w:cs="Times New Roman"/>
                      <w:sz w:val="21"/>
                      <w:szCs w:val="21"/>
                      <w:lang w:eastAsia="zh-CN"/>
                    </w:rPr>
                    <w:t>密度</w:t>
                  </w:r>
                  <w:r>
                    <w:rPr>
                      <w:rFonts w:hint="eastAsia" w:ascii="Times New Roman" w:cs="Times New Roman"/>
                      <w:sz w:val="21"/>
                      <w:szCs w:val="21"/>
                      <w:lang w:val="en-US" w:eastAsia="zh-CN"/>
                    </w:rPr>
                    <w:t>2.9t/m</w:t>
                  </w:r>
                  <w:r>
                    <w:rPr>
                      <w:rFonts w:hint="eastAsia" w:ascii="Times New Roman" w:cs="Times New Roman"/>
                      <w:sz w:val="21"/>
                      <w:szCs w:val="21"/>
                      <w:vertAlign w:val="superscript"/>
                      <w:lang w:val="en-US" w:eastAsia="zh-CN"/>
                    </w:rPr>
                    <w:t>3</w:t>
                  </w:r>
                  <w:r>
                    <w:rPr>
                      <w:rFonts w:hint="default" w:ascii="Times New Roman" w:hAnsi="Times New Roman" w:cs="Times New Roman"/>
                      <w:sz w:val="21"/>
                      <w:szCs w:val="21"/>
                    </w:rPr>
                    <w:t>，粉状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w:t>
                  </w:r>
                </w:p>
              </w:tc>
              <w:tc>
                <w:tcPr>
                  <w:tcW w:w="488" w:type="pct"/>
                  <w:vMerge w:val="continue"/>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rPr>
                  </w:pP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外加剂（聚羧酸减水剂）</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sz w:val="21"/>
                      <w:szCs w:val="21"/>
                    </w:rPr>
                    <w:t>t</w:t>
                  </w:r>
                  <w:r>
                    <w:rPr>
                      <w:rFonts w:hint="default" w:ascii="Times New Roman" w:hAnsi="Times New Roman" w:cs="Times New Roman"/>
                      <w:color w:val="auto"/>
                      <w:sz w:val="21"/>
                      <w:szCs w:val="21"/>
                    </w:rPr>
                    <w:t>/a</w:t>
                  </w:r>
                </w:p>
              </w:tc>
              <w:tc>
                <w:tcPr>
                  <w:tcW w:w="687" w:type="pct"/>
                  <w:noWrap w:val="0"/>
                  <w:vAlign w:val="center"/>
                </w:tcPr>
                <w:p>
                  <w:pPr>
                    <w:pStyle w:val="53"/>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1728</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外购，专用</w:t>
                  </w:r>
                  <w:r>
                    <w:rPr>
                      <w:rFonts w:hint="eastAsia" w:ascii="Times New Roman" w:hAnsi="Times New Roman" w:cs="Times New Roman"/>
                      <w:color w:val="auto"/>
                      <w:sz w:val="21"/>
                      <w:szCs w:val="21"/>
                      <w:lang w:eastAsia="zh-CN"/>
                    </w:rPr>
                    <w:t>罐</w:t>
                  </w:r>
                  <w:r>
                    <w:rPr>
                      <w:rFonts w:hint="default" w:ascii="Times New Roman" w:hAnsi="Times New Roman" w:cs="Times New Roman"/>
                      <w:color w:val="auto"/>
                      <w:sz w:val="21"/>
                      <w:szCs w:val="21"/>
                    </w:rPr>
                    <w:t>拉运</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个</w:t>
                  </w:r>
                  <w:r>
                    <w:rPr>
                      <w:rFonts w:hint="eastAsia"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rPr>
                    <w:t>0m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罐储存，</w:t>
                  </w:r>
                  <w:r>
                    <w:rPr>
                      <w:rFonts w:hint="eastAsia" w:ascii="Times New Roman" w:cs="Times New Roman"/>
                      <w:sz w:val="21"/>
                      <w:szCs w:val="21"/>
                      <w:lang w:eastAsia="zh-CN"/>
                    </w:rPr>
                    <w:t>密度</w:t>
                  </w:r>
                  <w:r>
                    <w:rPr>
                      <w:rFonts w:hint="eastAsia" w:ascii="Times New Roman" w:cs="Times New Roman"/>
                      <w:sz w:val="21"/>
                      <w:szCs w:val="21"/>
                      <w:lang w:val="en-US" w:eastAsia="zh-CN"/>
                    </w:rPr>
                    <w:t>1.2t/m</w:t>
                  </w:r>
                  <w:r>
                    <w:rPr>
                      <w:rFonts w:hint="eastAsia" w:ascii="Times New Roman" w:cs="Times New Roman"/>
                      <w:sz w:val="21"/>
                      <w:szCs w:val="21"/>
                      <w:vertAlign w:val="superscript"/>
                      <w:lang w:val="en-US" w:eastAsia="zh-CN"/>
                    </w:rPr>
                    <w:t>3</w:t>
                  </w:r>
                  <w:r>
                    <w:rPr>
                      <w:rFonts w:hint="default" w:ascii="Times New Roman" w:hAnsi="Times New Roman" w:cs="Times New Roman"/>
                      <w:sz w:val="21"/>
                      <w:szCs w:val="21"/>
                    </w:rPr>
                    <w:t>，</w:t>
                  </w:r>
                  <w:r>
                    <w:rPr>
                      <w:rFonts w:hint="default" w:ascii="Times New Roman" w:hAnsi="Times New Roman" w:cs="Times New Roman"/>
                      <w:color w:val="auto"/>
                      <w:sz w:val="21"/>
                      <w:szCs w:val="21"/>
                    </w:rPr>
                    <w:t>液态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w:t>
                  </w:r>
                </w:p>
              </w:tc>
              <w:tc>
                <w:tcPr>
                  <w:tcW w:w="488" w:type="pct"/>
                  <w:vMerge w:val="restar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资源、能源</w:t>
                  </w: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用水</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/a</w:t>
                  </w:r>
                </w:p>
              </w:tc>
              <w:tc>
                <w:tcPr>
                  <w:tcW w:w="687"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31890</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市政管网供给</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w:t>
                  </w:r>
                </w:p>
              </w:tc>
              <w:tc>
                <w:tcPr>
                  <w:tcW w:w="488" w:type="pct"/>
                  <w:vMerge w:val="continue"/>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p>
              </w:tc>
              <w:tc>
                <w:tcPr>
                  <w:tcW w:w="616"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用电</w:t>
                  </w:r>
                </w:p>
              </w:tc>
              <w:tc>
                <w:tcPr>
                  <w:tcW w:w="598"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kWh/a</w:t>
                  </w:r>
                </w:p>
              </w:tc>
              <w:tc>
                <w:tcPr>
                  <w:tcW w:w="687"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700000</w:t>
                  </w:r>
                </w:p>
              </w:tc>
              <w:tc>
                <w:tcPr>
                  <w:tcW w:w="921"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当地市政电网提供</w:t>
                  </w:r>
                </w:p>
              </w:tc>
              <w:tc>
                <w:tcPr>
                  <w:tcW w:w="1250" w:type="pct"/>
                  <w:noWrap w:val="0"/>
                  <w:vAlign w:val="center"/>
                </w:tcPr>
                <w:p>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bl>
          <w:p>
            <w:pPr>
              <w:spacing w:line="360" w:lineRule="auto"/>
              <w:ind w:firstLine="480" w:firstLineChars="200"/>
              <w:rPr>
                <w:rFonts w:hint="eastAsia"/>
                <w:sz w:val="24"/>
              </w:rPr>
            </w:pPr>
            <w:r>
              <w:rPr>
                <w:rFonts w:hint="eastAsia"/>
                <w:sz w:val="24"/>
              </w:rPr>
              <w:t>原辅材料性质：</w:t>
            </w:r>
          </w:p>
          <w:p>
            <w:pPr>
              <w:spacing w:line="360" w:lineRule="auto"/>
              <w:ind w:firstLine="480" w:firstLineChars="200"/>
              <w:rPr>
                <w:rFonts w:hint="eastAsia" w:eastAsia="宋体"/>
                <w:sz w:val="24"/>
                <w:lang w:eastAsia="zh-CN"/>
              </w:rPr>
            </w:pPr>
            <w:r>
              <w:rPr>
                <w:rFonts w:hint="eastAsia"/>
                <w:sz w:val="24"/>
              </w:rPr>
              <w:t>水泥：加水拌和成塑性浆体，能胶结砂、石等材料既能在空气中硬化又能在水中硬化的粉末状水硬性胶凝材料。广泛应用于土木建筑、水利、国防等工程</w:t>
            </w:r>
            <w:r>
              <w:rPr>
                <w:rFonts w:hint="eastAsia"/>
                <w:sz w:val="24"/>
                <w:lang w:eastAsia="zh-CN"/>
              </w:rPr>
              <w:t>。</w:t>
            </w:r>
          </w:p>
          <w:p>
            <w:pPr>
              <w:spacing w:line="360" w:lineRule="auto"/>
              <w:ind w:firstLine="480" w:firstLineChars="200"/>
              <w:rPr>
                <w:rFonts w:hint="eastAsia"/>
                <w:sz w:val="24"/>
              </w:rPr>
            </w:pPr>
            <w:r>
              <w:rPr>
                <w:rFonts w:hint="eastAsia"/>
                <w:sz w:val="24"/>
              </w:rPr>
              <w:t>粉煤灰：是从煤燃烧后的烟气中收捕下来的细灰，粉煤灰是燃煤电厂排出的主要固体废物。我国火电厂粉煤灰的主要氧化物组成为</w:t>
            </w:r>
            <w:r>
              <w:rPr>
                <w:rFonts w:hint="eastAsia"/>
                <w:sz w:val="24"/>
                <w:lang w:eastAsia="zh-CN"/>
              </w:rPr>
              <w:t>：</w:t>
            </w:r>
            <w:r>
              <w:rPr>
                <w:rFonts w:hint="eastAsia"/>
                <w:sz w:val="24"/>
              </w:rPr>
              <w:t>SiO</w:t>
            </w:r>
            <w:r>
              <w:rPr>
                <w:rFonts w:hint="eastAsia"/>
                <w:sz w:val="24"/>
                <w:vertAlign w:val="subscript"/>
              </w:rPr>
              <w:t>2</w:t>
            </w:r>
            <w:r>
              <w:rPr>
                <w:rFonts w:hint="eastAsia"/>
                <w:sz w:val="24"/>
              </w:rPr>
              <w:t>、Al</w:t>
            </w:r>
            <w:r>
              <w:rPr>
                <w:rFonts w:hint="eastAsia"/>
                <w:sz w:val="24"/>
                <w:vertAlign w:val="subscript"/>
              </w:rPr>
              <w:t>2</w:t>
            </w:r>
            <w:r>
              <w:rPr>
                <w:rFonts w:hint="eastAsia"/>
                <w:sz w:val="24"/>
              </w:rPr>
              <w:t>O</w:t>
            </w:r>
            <w:r>
              <w:rPr>
                <w:rFonts w:hint="eastAsia"/>
                <w:sz w:val="24"/>
                <w:vertAlign w:val="subscript"/>
              </w:rPr>
              <w:t>3</w:t>
            </w:r>
            <w:r>
              <w:rPr>
                <w:rFonts w:hint="eastAsia"/>
                <w:sz w:val="24"/>
              </w:rPr>
              <w:t>、FeO、Fe</w:t>
            </w:r>
            <w:r>
              <w:rPr>
                <w:rFonts w:hint="eastAsia"/>
                <w:sz w:val="24"/>
                <w:vertAlign w:val="subscript"/>
              </w:rPr>
              <w:t>2</w:t>
            </w:r>
            <w:r>
              <w:rPr>
                <w:rFonts w:hint="eastAsia"/>
                <w:sz w:val="24"/>
              </w:rPr>
              <w:t>O</w:t>
            </w:r>
            <w:r>
              <w:rPr>
                <w:rFonts w:hint="eastAsia"/>
                <w:sz w:val="24"/>
                <w:vertAlign w:val="subscript"/>
              </w:rPr>
              <w:t>3</w:t>
            </w:r>
            <w:r>
              <w:rPr>
                <w:rFonts w:hint="eastAsia"/>
                <w:sz w:val="24"/>
              </w:rPr>
              <w:t>、CaO、TiO</w:t>
            </w:r>
            <w:r>
              <w:rPr>
                <w:rFonts w:hint="eastAsia"/>
                <w:sz w:val="24"/>
                <w:vertAlign w:val="subscript"/>
              </w:rPr>
              <w:t>2</w:t>
            </w:r>
            <w:r>
              <w:rPr>
                <w:rFonts w:hint="eastAsia"/>
                <w:sz w:val="24"/>
              </w:rPr>
              <w:t>等。随着电力工业的发展，燃煤电厂的粉煤灰排放量逐年增加，成为我国当前排量较大的工业废渣之一。大量的粉煤灰不加处理，就会产生扬尘，污染大气</w:t>
            </w:r>
            <w:r>
              <w:rPr>
                <w:rFonts w:hint="eastAsia"/>
                <w:sz w:val="24"/>
                <w:lang w:eastAsia="zh-CN"/>
              </w:rPr>
              <w:t>；</w:t>
            </w:r>
            <w:r>
              <w:rPr>
                <w:rFonts w:hint="eastAsia"/>
                <w:sz w:val="24"/>
              </w:rPr>
              <w:t>若排入水系会造成河流淤塞，而其中的有毒化学物质还会对人体和生物造成危害。但粉煤灰可资源化利用，如作为混凝土的掺合料等。</w:t>
            </w:r>
          </w:p>
          <w:p>
            <w:pPr>
              <w:spacing w:line="360" w:lineRule="auto"/>
              <w:ind w:firstLine="480" w:firstLineChars="200"/>
              <w:rPr>
                <w:sz w:val="24"/>
              </w:rPr>
            </w:pPr>
            <w:r>
              <w:rPr>
                <w:rFonts w:hint="eastAsia"/>
                <w:sz w:val="24"/>
              </w:rPr>
              <w:t>矿粉：矿粉是符合工程要求的石粉及其代用品的统称，是将矿石粉碎加工后 的产物。矿渣粉是将水淬粒化高炉矿渣经过粉磨达到规定细度的一种具有潜在活 性的矿物掺合料，是一种</w:t>
            </w:r>
            <w:r>
              <w:rPr>
                <w:rFonts w:hint="eastAsia"/>
                <w:sz w:val="24"/>
                <w:lang w:eastAsia="zh-CN"/>
              </w:rPr>
              <w:t>新型</w:t>
            </w:r>
            <w:r>
              <w:rPr>
                <w:rFonts w:hint="eastAsia"/>
                <w:sz w:val="24"/>
              </w:rPr>
              <w:t>的建筑材料。可作为混凝土的掺和料取代部分水泥，是生产高性能混凝土的组成材料之一，也是目前商品混凝土公司广泛采用的原材料之一。化学成分与普通硅酸盐水泥非常相近，为粉末状态，无味</w:t>
            </w:r>
          </w:p>
          <w:p>
            <w:pPr>
              <w:spacing w:line="360" w:lineRule="auto"/>
              <w:ind w:firstLine="480" w:firstLineChars="200"/>
              <w:rPr>
                <w:sz w:val="24"/>
              </w:rPr>
            </w:pPr>
            <w:r>
              <w:rPr>
                <w:sz w:val="24"/>
              </w:rPr>
              <w:t>聚羧酸减水剂：是一种高性能减水剂，是水泥混凝土运用中的一种水泥分散剂。广泛应用于公路、桥梁、大坝、隧道、高层建筑等工程。本项目使用的聚羧酸减水剂不易燃，不易爆，可以安全使用汽车运输，有利于混凝土的耐久性</w:t>
            </w:r>
            <w:r>
              <w:rPr>
                <w:rFonts w:hint="eastAsia"/>
                <w:sz w:val="24"/>
              </w:rPr>
              <w:t>，</w:t>
            </w:r>
            <w:r>
              <w:rPr>
                <w:sz w:val="24"/>
              </w:rPr>
              <w:t>生产过程无污染，不含甲醛，符合ISO14000环境保护管理国际标准，</w:t>
            </w:r>
            <w:r>
              <w:rPr>
                <w:rFonts w:hint="eastAsia"/>
                <w:sz w:val="24"/>
                <w:lang w:eastAsia="zh-CN"/>
              </w:rPr>
              <w:t>是一</w:t>
            </w:r>
            <w:r>
              <w:rPr>
                <w:sz w:val="24"/>
              </w:rPr>
              <w:t>种绿色环保产品，且使用量较小，故不会对操作工人产生健康损害及污染环境。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七、公用工程</w:t>
            </w:r>
          </w:p>
          <w:p>
            <w:pPr>
              <w:spacing w:line="360" w:lineRule="auto"/>
              <w:ind w:firstLine="480" w:firstLineChars="200"/>
              <w:rPr>
                <w:rFonts w:hint="default" w:eastAsia="宋体"/>
                <w:color w:val="auto"/>
                <w:sz w:val="24"/>
                <w:lang w:val="en-US" w:eastAsia="zh-CN"/>
              </w:rPr>
            </w:pPr>
            <w:r>
              <w:rPr>
                <w:rFonts w:hint="eastAsia"/>
                <w:color w:val="auto"/>
                <w:sz w:val="24"/>
                <w:lang w:val="en-US" w:eastAsia="zh-CN"/>
              </w:rPr>
              <w:t>1.供排水</w:t>
            </w:r>
          </w:p>
          <w:p>
            <w:pPr>
              <w:spacing w:line="360" w:lineRule="auto"/>
              <w:ind w:firstLine="480" w:firstLineChars="200"/>
              <w:rPr>
                <w:rFonts w:hint="eastAsia"/>
                <w:color w:val="auto"/>
                <w:sz w:val="24"/>
              </w:rPr>
            </w:pPr>
            <w:r>
              <w:rPr>
                <w:rFonts w:hint="eastAsia"/>
                <w:color w:val="auto"/>
                <w:sz w:val="24"/>
              </w:rPr>
              <w:t>①混凝土拌合用水：根据《工业用水定额：预拌混凝土及水泥制品》中预拌混凝土及水泥制品用水定额表可知，本项目为预拌混凝土，单位产品用水量为0.15m</w:t>
            </w:r>
            <w:r>
              <w:rPr>
                <w:rFonts w:hint="eastAsia"/>
                <w:color w:val="auto"/>
                <w:sz w:val="24"/>
                <w:vertAlign w:val="superscript"/>
              </w:rPr>
              <w:t>3</w:t>
            </w:r>
            <w:r>
              <w:rPr>
                <w:rFonts w:hint="eastAsia"/>
                <w:color w:val="auto"/>
                <w:sz w:val="24"/>
              </w:rPr>
              <w:t>/m</w:t>
            </w:r>
            <w:r>
              <w:rPr>
                <w:rFonts w:hint="eastAsia"/>
                <w:color w:val="auto"/>
                <w:sz w:val="24"/>
                <w:vertAlign w:val="superscript"/>
              </w:rPr>
              <w:t>3</w:t>
            </w:r>
            <w:r>
              <w:rPr>
                <w:rFonts w:hint="eastAsia"/>
                <w:color w:val="auto"/>
                <w:sz w:val="24"/>
              </w:rPr>
              <w:t>，本项目生产混凝土：</w:t>
            </w:r>
            <w:r>
              <w:rPr>
                <w:rFonts w:hint="eastAsia"/>
                <w:color w:val="auto"/>
                <w:sz w:val="24"/>
                <w:lang w:val="en-US" w:eastAsia="zh-CN"/>
              </w:rPr>
              <w:t>20</w:t>
            </w:r>
            <w:r>
              <w:rPr>
                <w:rFonts w:hint="eastAsia"/>
                <w:color w:val="auto"/>
                <w:sz w:val="24"/>
              </w:rPr>
              <w:t>万m</w:t>
            </w:r>
            <w:r>
              <w:rPr>
                <w:rFonts w:hint="eastAsia"/>
                <w:color w:val="auto"/>
                <w:sz w:val="24"/>
                <w:vertAlign w:val="superscript"/>
              </w:rPr>
              <w:t>3</w:t>
            </w:r>
            <w:r>
              <w:rPr>
                <w:rFonts w:hint="eastAsia"/>
                <w:color w:val="auto"/>
                <w:sz w:val="24"/>
              </w:rPr>
              <w:t>/a，则混凝土搅拌用水约</w:t>
            </w:r>
            <w:r>
              <w:rPr>
                <w:rFonts w:hint="eastAsia"/>
                <w:color w:val="auto"/>
                <w:sz w:val="24"/>
                <w:lang w:val="en-US" w:eastAsia="zh-CN"/>
              </w:rPr>
              <w:t>30000</w:t>
            </w:r>
            <w:r>
              <w:rPr>
                <w:rFonts w:hint="eastAsia"/>
                <w:color w:val="auto"/>
                <w:sz w:val="24"/>
              </w:rPr>
              <w:t>m</w:t>
            </w:r>
            <w:r>
              <w:rPr>
                <w:rFonts w:hint="eastAsia"/>
                <w:color w:val="auto"/>
                <w:sz w:val="24"/>
                <w:vertAlign w:val="superscript"/>
              </w:rPr>
              <w:t>3</w:t>
            </w:r>
            <w:r>
              <w:rPr>
                <w:rFonts w:hint="eastAsia"/>
                <w:color w:val="auto"/>
                <w:sz w:val="24"/>
              </w:rPr>
              <w:t>/a。</w:t>
            </w:r>
          </w:p>
          <w:p>
            <w:pPr>
              <w:spacing w:line="360" w:lineRule="auto"/>
              <w:ind w:firstLine="480" w:firstLineChars="200"/>
              <w:rPr>
                <w:rFonts w:hint="eastAsia"/>
                <w:color w:val="auto"/>
                <w:sz w:val="24"/>
              </w:rPr>
            </w:pPr>
            <w:r>
              <w:rPr>
                <w:rFonts w:hint="eastAsia"/>
                <w:color w:val="auto"/>
                <w:sz w:val="24"/>
              </w:rPr>
              <w:t>②运输车辆</w:t>
            </w:r>
            <w:r>
              <w:rPr>
                <w:rFonts w:hint="eastAsia"/>
                <w:color w:val="auto"/>
                <w:sz w:val="24"/>
                <w:lang w:eastAsia="zh-CN"/>
              </w:rPr>
              <w:t>、</w:t>
            </w:r>
            <w:r>
              <w:rPr>
                <w:rFonts w:hint="eastAsia"/>
                <w:color w:val="auto"/>
                <w:sz w:val="24"/>
                <w:lang w:val="en-US" w:eastAsia="zh-CN"/>
              </w:rPr>
              <w:t>生产设备</w:t>
            </w:r>
            <w:r>
              <w:rPr>
                <w:rFonts w:hint="eastAsia"/>
                <w:color w:val="auto"/>
                <w:sz w:val="24"/>
              </w:rPr>
              <w:t>清洗用水：生产设备因生产节奏或设备检修需暂停生产，为防止混凝土凝固，必须将设备冲洗干净</w:t>
            </w:r>
            <w:r>
              <w:rPr>
                <w:rFonts w:hint="eastAsia"/>
                <w:color w:val="auto"/>
                <w:sz w:val="24"/>
                <w:lang w:eastAsia="zh-CN"/>
              </w:rPr>
              <w:t>，</w:t>
            </w:r>
            <w:r>
              <w:rPr>
                <w:rFonts w:hint="eastAsia"/>
                <w:color w:val="auto"/>
                <w:sz w:val="24"/>
                <w:lang w:val="en-US" w:eastAsia="zh-CN"/>
              </w:rPr>
              <w:t>项目</w:t>
            </w:r>
            <w:r>
              <w:rPr>
                <w:rFonts w:hint="eastAsia"/>
                <w:color w:val="auto"/>
                <w:sz w:val="24"/>
              </w:rPr>
              <w:t>设置车辆冲洗平台，</w:t>
            </w:r>
            <w:r>
              <w:rPr>
                <w:rFonts w:hint="eastAsia"/>
                <w:color w:val="auto"/>
                <w:sz w:val="24"/>
                <w:lang w:val="en-US" w:eastAsia="zh-CN"/>
              </w:rPr>
              <w:t>车辆</w:t>
            </w:r>
            <w:r>
              <w:rPr>
                <w:rFonts w:hint="eastAsia"/>
                <w:color w:val="auto"/>
                <w:sz w:val="24"/>
              </w:rPr>
              <w:t>冲洗废水</w:t>
            </w:r>
            <w:r>
              <w:rPr>
                <w:rFonts w:hint="eastAsia"/>
                <w:color w:val="auto"/>
                <w:sz w:val="24"/>
                <w:lang w:eastAsia="zh-CN"/>
              </w:rPr>
              <w:t>、</w:t>
            </w:r>
            <w:r>
              <w:rPr>
                <w:rFonts w:hint="eastAsia"/>
                <w:color w:val="auto"/>
                <w:sz w:val="24"/>
                <w:lang w:val="en-US" w:eastAsia="zh-CN"/>
              </w:rPr>
              <w:t>设备冲洗废水排入</w:t>
            </w:r>
            <w:r>
              <w:rPr>
                <w:rFonts w:hint="eastAsia"/>
                <w:color w:val="auto"/>
                <w:sz w:val="24"/>
              </w:rPr>
              <w:t>沉淀池。</w:t>
            </w:r>
            <w:r>
              <w:rPr>
                <w:rFonts w:hint="eastAsia"/>
                <w:color w:val="auto"/>
                <w:sz w:val="24"/>
                <w:lang w:val="en-US" w:eastAsia="zh-CN"/>
              </w:rPr>
              <w:t>根据建设单位资料提供</w:t>
            </w:r>
            <w:r>
              <w:rPr>
                <w:rFonts w:hint="eastAsia"/>
                <w:color w:val="auto"/>
                <w:sz w:val="24"/>
              </w:rPr>
              <w:t>，</w:t>
            </w:r>
            <w:r>
              <w:rPr>
                <w:rFonts w:hint="eastAsia"/>
                <w:color w:val="auto"/>
                <w:sz w:val="24"/>
                <w:lang w:val="en-US" w:eastAsia="zh-CN"/>
              </w:rPr>
              <w:t>车辆、</w:t>
            </w:r>
            <w:r>
              <w:rPr>
                <w:rFonts w:hint="eastAsia"/>
                <w:color w:val="auto"/>
                <w:sz w:val="24"/>
              </w:rPr>
              <w:t>生产设备平均每天冲洗</w:t>
            </w:r>
            <w:r>
              <w:rPr>
                <w:rFonts w:hint="eastAsia"/>
                <w:color w:val="auto"/>
                <w:sz w:val="24"/>
                <w:lang w:val="en-US" w:eastAsia="zh-CN"/>
              </w:rPr>
              <w:t>1</w:t>
            </w:r>
            <w:r>
              <w:rPr>
                <w:rFonts w:hint="eastAsia"/>
                <w:color w:val="auto"/>
                <w:sz w:val="24"/>
              </w:rPr>
              <w:t>次，每次</w:t>
            </w:r>
            <w:r>
              <w:rPr>
                <w:rFonts w:hint="eastAsia"/>
                <w:color w:val="auto"/>
                <w:sz w:val="24"/>
                <w:lang w:val="en-US" w:eastAsia="zh-CN"/>
              </w:rPr>
              <w:t>生产设备用水</w:t>
            </w:r>
            <w:r>
              <w:rPr>
                <w:rFonts w:hint="eastAsia"/>
                <w:color w:val="auto"/>
                <w:sz w:val="24"/>
              </w:rPr>
              <w:t>按</w:t>
            </w:r>
            <w:r>
              <w:rPr>
                <w:rFonts w:hint="eastAsia"/>
                <w:color w:val="auto"/>
                <w:sz w:val="24"/>
                <w:lang w:val="en-US" w:eastAsia="zh-CN"/>
              </w:rPr>
              <w:t>2</w:t>
            </w:r>
            <w:r>
              <w:rPr>
                <w:rFonts w:hint="eastAsia"/>
                <w:color w:val="auto"/>
                <w:sz w:val="24"/>
              </w:rPr>
              <w:t>m</w:t>
            </w:r>
            <w:r>
              <w:rPr>
                <w:rFonts w:hint="eastAsia"/>
                <w:color w:val="auto"/>
                <w:sz w:val="24"/>
                <w:vertAlign w:val="superscript"/>
              </w:rPr>
              <w:t>3</w:t>
            </w:r>
            <w:r>
              <w:rPr>
                <w:rFonts w:hint="eastAsia"/>
                <w:color w:val="auto"/>
                <w:sz w:val="24"/>
              </w:rPr>
              <w:t>/次计</w:t>
            </w:r>
            <w:r>
              <w:rPr>
                <w:rFonts w:hint="eastAsia"/>
                <w:color w:val="auto"/>
                <w:sz w:val="24"/>
                <w:lang w:eastAsia="zh-CN"/>
              </w:rPr>
              <w:t>，</w:t>
            </w:r>
            <w:r>
              <w:rPr>
                <w:rFonts w:hint="eastAsia"/>
                <w:color w:val="auto"/>
                <w:sz w:val="24"/>
              </w:rPr>
              <w:t>项目运输车辆</w:t>
            </w:r>
            <w:r>
              <w:rPr>
                <w:rFonts w:hint="eastAsia"/>
                <w:color w:val="auto"/>
                <w:sz w:val="24"/>
                <w:lang w:eastAsia="zh-CN"/>
              </w:rPr>
              <w:t>、</w:t>
            </w:r>
            <w:r>
              <w:rPr>
                <w:rFonts w:hint="eastAsia"/>
                <w:color w:val="auto"/>
                <w:sz w:val="24"/>
                <w:lang w:val="en-US" w:eastAsia="zh-CN"/>
              </w:rPr>
              <w:t>生产设备</w:t>
            </w:r>
            <w:r>
              <w:rPr>
                <w:rFonts w:hint="eastAsia"/>
                <w:color w:val="auto"/>
                <w:sz w:val="24"/>
              </w:rPr>
              <w:t>清洗用水新鲜用水量约</w:t>
            </w:r>
            <w:r>
              <w:rPr>
                <w:rFonts w:hint="eastAsia"/>
                <w:color w:val="auto"/>
                <w:sz w:val="24"/>
                <w:lang w:val="en-US" w:eastAsia="zh-CN"/>
              </w:rPr>
              <w:t>1080</w:t>
            </w:r>
            <w:r>
              <w:rPr>
                <w:rFonts w:hint="eastAsia"/>
                <w:color w:val="auto"/>
                <w:sz w:val="24"/>
              </w:rPr>
              <w:t>m</w:t>
            </w:r>
            <w:r>
              <w:rPr>
                <w:rFonts w:hint="eastAsia"/>
                <w:color w:val="auto"/>
                <w:sz w:val="24"/>
                <w:vertAlign w:val="superscript"/>
              </w:rPr>
              <w:t>3</w:t>
            </w:r>
            <w:r>
              <w:rPr>
                <w:rFonts w:hint="eastAsia"/>
                <w:color w:val="auto"/>
                <w:sz w:val="24"/>
              </w:rPr>
              <w:t>/a，循环用水系数按0.8计，则循环用水量为</w:t>
            </w:r>
            <w:r>
              <w:rPr>
                <w:rFonts w:hint="eastAsia"/>
                <w:color w:val="auto"/>
                <w:sz w:val="24"/>
                <w:lang w:val="en-US" w:eastAsia="zh-CN"/>
              </w:rPr>
              <w:t>864</w:t>
            </w:r>
            <w:r>
              <w:rPr>
                <w:rFonts w:hint="eastAsia"/>
                <w:color w:val="auto"/>
                <w:sz w:val="24"/>
              </w:rPr>
              <w:t>m</w:t>
            </w:r>
            <w:r>
              <w:rPr>
                <w:rFonts w:hint="eastAsia"/>
                <w:color w:val="auto"/>
                <w:sz w:val="24"/>
                <w:vertAlign w:val="superscript"/>
              </w:rPr>
              <w:t>3</w:t>
            </w:r>
            <w:r>
              <w:rPr>
                <w:rFonts w:hint="eastAsia"/>
                <w:color w:val="auto"/>
                <w:sz w:val="24"/>
              </w:rPr>
              <w:t>/a，进入沉淀池处理后循环使用</w:t>
            </w:r>
            <w:r>
              <w:rPr>
                <w:rFonts w:hint="eastAsia"/>
                <w:color w:val="auto"/>
                <w:sz w:val="24"/>
                <w:lang w:eastAsia="zh-CN"/>
              </w:rPr>
              <w:t>，</w:t>
            </w:r>
            <w:r>
              <w:rPr>
                <w:rFonts w:hint="eastAsia"/>
                <w:color w:val="auto"/>
                <w:sz w:val="24"/>
              </w:rPr>
              <w:t>不外排。</w:t>
            </w:r>
          </w:p>
          <w:p>
            <w:pPr>
              <w:spacing w:line="360" w:lineRule="auto"/>
              <w:ind w:firstLine="480" w:firstLineChars="200"/>
              <w:rPr>
                <w:rFonts w:hint="eastAsia"/>
                <w:color w:val="auto"/>
                <w:sz w:val="24"/>
              </w:rPr>
            </w:pPr>
            <w:r>
              <w:rPr>
                <w:rFonts w:hint="eastAsia"/>
                <w:color w:val="auto"/>
                <w:sz w:val="24"/>
              </w:rPr>
              <w:t>③</w:t>
            </w:r>
            <w:r>
              <w:rPr>
                <w:rFonts w:hint="eastAsia"/>
                <w:color w:val="auto"/>
                <w:sz w:val="24"/>
                <w:lang w:val="en-US" w:eastAsia="zh-CN"/>
              </w:rPr>
              <w:t>抑尘</w:t>
            </w:r>
            <w:r>
              <w:rPr>
                <w:rFonts w:hint="eastAsia"/>
                <w:color w:val="auto"/>
                <w:sz w:val="24"/>
              </w:rPr>
              <w:t>用水：</w:t>
            </w:r>
            <w:r>
              <w:rPr>
                <w:rFonts w:hint="eastAsia"/>
                <w:color w:val="auto"/>
                <w:sz w:val="24"/>
                <w:lang w:val="en-US" w:eastAsia="zh-CN"/>
              </w:rPr>
              <w:t>堆仓、厂区道路等需要洒水抑尘，堆仓、厂区道路抑尘面积约2400m</w:t>
            </w:r>
            <w:r>
              <w:rPr>
                <w:rFonts w:hint="eastAsia"/>
                <w:color w:val="auto"/>
                <w:sz w:val="24"/>
                <w:vertAlign w:val="superscript"/>
                <w:lang w:val="en-US" w:eastAsia="zh-CN"/>
              </w:rPr>
              <w:t>2</w:t>
            </w:r>
            <w:r>
              <w:rPr>
                <w:rFonts w:hint="eastAsia"/>
                <w:color w:val="auto"/>
                <w:sz w:val="24"/>
                <w:lang w:val="en-US" w:eastAsia="zh-CN"/>
              </w:rPr>
              <w:t>，洒水系数按2L/m</w:t>
            </w:r>
            <w:r>
              <w:rPr>
                <w:rFonts w:hint="eastAsia"/>
                <w:color w:val="auto"/>
                <w:sz w:val="24"/>
                <w:vertAlign w:val="superscript"/>
                <w:lang w:val="en-US" w:eastAsia="zh-CN"/>
              </w:rPr>
              <w:t>2</w:t>
            </w:r>
            <w:r>
              <w:rPr>
                <w:rFonts w:hint="eastAsia"/>
                <w:color w:val="auto"/>
                <w:sz w:val="24"/>
                <w:lang w:val="en-US" w:eastAsia="zh-CN"/>
              </w:rPr>
              <w:t>・次计，每日洒水1次，年洒水天数按270天计</w:t>
            </w:r>
            <w:r>
              <w:rPr>
                <w:rFonts w:hint="eastAsia"/>
                <w:color w:val="auto"/>
                <w:sz w:val="24"/>
              </w:rPr>
              <w:t>，</w:t>
            </w:r>
            <w:r>
              <w:rPr>
                <w:rFonts w:hint="eastAsia"/>
                <w:color w:val="auto"/>
                <w:sz w:val="24"/>
                <w:lang w:val="en-US" w:eastAsia="zh-CN"/>
              </w:rPr>
              <w:t>则项目洒水</w:t>
            </w:r>
            <w:r>
              <w:rPr>
                <w:rFonts w:hint="eastAsia"/>
                <w:color w:val="auto"/>
                <w:sz w:val="24"/>
              </w:rPr>
              <w:t>的用水量</w:t>
            </w:r>
            <w:r>
              <w:rPr>
                <w:rFonts w:hint="eastAsia"/>
                <w:color w:val="auto"/>
                <w:sz w:val="24"/>
                <w:lang w:val="en-US" w:eastAsia="zh-CN"/>
              </w:rPr>
              <w:t>为1296m</w:t>
            </w:r>
            <w:r>
              <w:rPr>
                <w:rFonts w:hint="eastAsia"/>
                <w:color w:val="auto"/>
                <w:sz w:val="24"/>
                <w:vertAlign w:val="superscript"/>
                <w:lang w:val="en-US" w:eastAsia="zh-CN"/>
              </w:rPr>
              <w:t>3</w:t>
            </w:r>
            <w:r>
              <w:rPr>
                <w:rFonts w:hint="eastAsia"/>
                <w:color w:val="auto"/>
                <w:sz w:val="24"/>
                <w:lang w:val="en-US" w:eastAsia="zh-CN"/>
              </w:rPr>
              <w:t>/a，</w:t>
            </w:r>
            <w:r>
              <w:rPr>
                <w:rFonts w:hint="eastAsia"/>
                <w:color w:val="auto"/>
                <w:sz w:val="24"/>
              </w:rPr>
              <w:t>全部自然蒸发。</w:t>
            </w:r>
          </w:p>
          <w:p>
            <w:pPr>
              <w:spacing w:line="360" w:lineRule="auto"/>
              <w:ind w:firstLine="480" w:firstLineChars="200"/>
              <w:rPr>
                <w:rFonts w:hint="eastAsia" w:ascii="宋体" w:hAnsi="宋体" w:eastAsia="宋体" w:cs="宋体"/>
                <w:color w:val="auto"/>
                <w:sz w:val="24"/>
                <w:lang w:val="en-US" w:eastAsia="zh-CN"/>
              </w:rPr>
            </w:pPr>
            <w:r>
              <w:rPr>
                <w:rFonts w:hint="eastAsia"/>
                <w:color w:val="auto"/>
                <w:sz w:val="24"/>
              </w:rPr>
              <w:t>④</w:t>
            </w:r>
            <w:r>
              <w:rPr>
                <w:rFonts w:hint="eastAsia" w:ascii="宋体" w:hAnsi="宋体" w:cs="宋体"/>
                <w:kern w:val="0"/>
                <w:sz w:val="24"/>
              </w:rPr>
              <w:t>检验室对</w:t>
            </w:r>
            <w:r>
              <w:rPr>
                <w:rFonts w:hint="eastAsia" w:ascii="宋体" w:hAnsi="宋体" w:cs="宋体"/>
                <w:kern w:val="0"/>
                <w:sz w:val="24"/>
                <w:lang w:eastAsia="zh-CN"/>
              </w:rPr>
              <w:t>原辅料</w:t>
            </w:r>
            <w:r>
              <w:rPr>
                <w:rFonts w:hint="eastAsia" w:ascii="宋体" w:hAnsi="宋体" w:cs="宋体"/>
                <w:kern w:val="0"/>
                <w:sz w:val="24"/>
              </w:rPr>
              <w:t>及产品进行质量检测，主要包括原料细度</w:t>
            </w:r>
            <w:r>
              <w:rPr>
                <w:rFonts w:hint="eastAsia" w:ascii="宋体" w:hAnsi="宋体" w:cs="宋体"/>
                <w:kern w:val="0"/>
                <w:sz w:val="24"/>
                <w:lang w:eastAsia="zh-CN"/>
              </w:rPr>
              <w:t>，产品的</w:t>
            </w:r>
            <w:r>
              <w:rPr>
                <w:rFonts w:hint="eastAsia" w:ascii="宋体" w:hAnsi="宋体" w:cs="宋体"/>
                <w:kern w:val="0"/>
                <w:sz w:val="24"/>
              </w:rPr>
              <w:t>坍落度、扩展度、抗水渗透性能等，通过检验仪器</w:t>
            </w:r>
            <w:r>
              <w:rPr>
                <w:rFonts w:hint="eastAsia" w:ascii="宋体" w:hAnsi="宋体" w:cs="宋体"/>
                <w:kern w:val="0"/>
                <w:sz w:val="24"/>
                <w:lang w:eastAsia="zh-CN"/>
              </w:rPr>
              <w:t>设施</w:t>
            </w:r>
            <w:r>
              <w:rPr>
                <w:rFonts w:hint="eastAsia" w:ascii="宋体" w:hAnsi="宋体" w:cs="宋体"/>
                <w:kern w:val="0"/>
                <w:sz w:val="24"/>
              </w:rPr>
              <w:t>进行试验，全为物理检验不需要添加化学试剂</w:t>
            </w:r>
            <w:r>
              <w:rPr>
                <w:rFonts w:hint="eastAsia"/>
                <w:sz w:val="24"/>
              </w:rPr>
              <w:t>，</w:t>
            </w:r>
            <w:r>
              <w:rPr>
                <w:rFonts w:hint="eastAsia"/>
                <w:sz w:val="24"/>
                <w:lang w:eastAsia="zh-CN"/>
              </w:rPr>
              <w:t>检测完成后需要对仪器进行清洗，</w:t>
            </w:r>
            <w:r>
              <w:rPr>
                <w:rFonts w:hint="eastAsia"/>
                <w:sz w:val="24"/>
              </w:rPr>
              <w:t>检验室</w:t>
            </w:r>
            <w:r>
              <w:rPr>
                <w:rFonts w:hint="eastAsia"/>
                <w:sz w:val="24"/>
                <w:lang w:eastAsia="zh-CN"/>
              </w:rPr>
              <w:t>清洗</w:t>
            </w:r>
            <w:r>
              <w:rPr>
                <w:rFonts w:hint="eastAsia"/>
                <w:sz w:val="24"/>
              </w:rPr>
              <w:t>用水量</w:t>
            </w:r>
            <w:r>
              <w:rPr>
                <w:sz w:val="24"/>
              </w:rPr>
              <w:t>约为</w:t>
            </w:r>
            <w:r>
              <w:rPr>
                <w:rFonts w:hint="eastAsia"/>
                <w:sz w:val="24"/>
                <w:lang w:val="en-US" w:eastAsia="zh-CN"/>
              </w:rPr>
              <w:t>1</w:t>
            </w:r>
            <w:r>
              <w:rPr>
                <w:sz w:val="24"/>
              </w:rPr>
              <w:t>m</w:t>
            </w:r>
            <w:r>
              <w:rPr>
                <w:sz w:val="24"/>
                <w:vertAlign w:val="superscript"/>
              </w:rPr>
              <w:t>3</w:t>
            </w:r>
            <w:r>
              <w:rPr>
                <w:sz w:val="24"/>
              </w:rPr>
              <w:t>/d</w:t>
            </w:r>
            <w:r>
              <w:rPr>
                <w:rFonts w:hint="eastAsia"/>
                <w:sz w:val="24"/>
                <w:lang w:eastAsia="zh-CN"/>
              </w:rPr>
              <w:t>（</w:t>
            </w:r>
            <w:r>
              <w:rPr>
                <w:rFonts w:hint="eastAsia"/>
                <w:sz w:val="24"/>
                <w:lang w:val="en-US" w:eastAsia="zh-CN"/>
              </w:rPr>
              <w:t>270m</w:t>
            </w:r>
            <w:r>
              <w:rPr>
                <w:rFonts w:hint="eastAsia"/>
                <w:sz w:val="24"/>
                <w:vertAlign w:val="superscript"/>
                <w:lang w:val="en-US" w:eastAsia="zh-CN"/>
              </w:rPr>
              <w:t>3</w:t>
            </w:r>
            <w:r>
              <w:rPr>
                <w:rFonts w:hint="eastAsia"/>
                <w:sz w:val="24"/>
                <w:lang w:val="en-US" w:eastAsia="zh-CN"/>
              </w:rPr>
              <w:t>/a</w:t>
            </w:r>
            <w:r>
              <w:rPr>
                <w:rFonts w:hint="eastAsia"/>
                <w:sz w:val="24"/>
                <w:lang w:eastAsia="zh-CN"/>
              </w:rPr>
              <w:t>），</w:t>
            </w:r>
            <w:r>
              <w:rPr>
                <w:rFonts w:hint="eastAsia"/>
                <w:color w:val="auto"/>
                <w:sz w:val="24"/>
              </w:rPr>
              <w:t>排水系数按0.8计</w:t>
            </w:r>
            <w:r>
              <w:rPr>
                <w:rFonts w:hint="eastAsia"/>
                <w:color w:val="auto"/>
                <w:sz w:val="24"/>
                <w:lang w:eastAsia="zh-CN"/>
              </w:rPr>
              <w:t>，</w:t>
            </w:r>
            <w:r>
              <w:rPr>
                <w:rFonts w:hint="eastAsia"/>
                <w:color w:val="auto"/>
                <w:sz w:val="24"/>
                <w:lang w:val="en-US" w:eastAsia="zh-CN"/>
              </w:rPr>
              <w:t>检验室清洗废水216m</w:t>
            </w:r>
            <w:r>
              <w:rPr>
                <w:rFonts w:hint="eastAsia"/>
                <w:color w:val="auto"/>
                <w:sz w:val="24"/>
                <w:vertAlign w:val="superscript"/>
                <w:lang w:val="en-US" w:eastAsia="zh-CN"/>
              </w:rPr>
              <w:t>3</w:t>
            </w:r>
            <w:r>
              <w:rPr>
                <w:rFonts w:hint="eastAsia"/>
                <w:color w:val="auto"/>
                <w:sz w:val="24"/>
                <w:lang w:val="en-US" w:eastAsia="zh-CN"/>
              </w:rPr>
              <w:t>/a。</w:t>
            </w:r>
            <w:r>
              <w:rPr>
                <w:rFonts w:hint="eastAsia"/>
                <w:sz w:val="24"/>
                <w:lang w:val="en-US" w:eastAsia="zh-CN"/>
              </w:rPr>
              <w:t>全部排入沉淀池</w:t>
            </w:r>
            <w:r>
              <w:rPr>
                <w:rFonts w:hint="eastAsia"/>
                <w:color w:val="auto"/>
                <w:sz w:val="24"/>
              </w:rPr>
              <w:t>处理后循环使用</w:t>
            </w:r>
            <w:r>
              <w:rPr>
                <w:rFonts w:hint="eastAsia"/>
                <w:color w:val="auto"/>
                <w:sz w:val="24"/>
                <w:lang w:eastAsia="zh-CN"/>
              </w:rPr>
              <w:t>，</w:t>
            </w:r>
            <w:r>
              <w:rPr>
                <w:rFonts w:hint="eastAsia"/>
                <w:color w:val="auto"/>
                <w:sz w:val="24"/>
              </w:rPr>
              <w:t>不外排</w:t>
            </w:r>
            <w:r>
              <w:rPr>
                <w:rFonts w:hint="eastAsia"/>
                <w:color w:val="auto"/>
                <w:sz w:val="24"/>
                <w:lang w:eastAsia="zh-CN"/>
              </w:rPr>
              <w:t>。</w:t>
            </w:r>
          </w:p>
          <w:p>
            <w:pPr>
              <w:spacing w:line="360" w:lineRule="auto"/>
              <w:ind w:firstLine="480" w:firstLineChars="200"/>
              <w:rPr>
                <w:rFonts w:hint="eastAsia" w:eastAsia="宋体"/>
                <w:color w:val="auto"/>
                <w:sz w:val="24"/>
                <w:lang w:val="en-US" w:eastAsia="zh-CN"/>
              </w:rPr>
            </w:pPr>
            <w:r>
              <w:rPr>
                <w:rFonts w:hint="eastAsia"/>
                <w:color w:val="auto"/>
                <w:sz w:val="24"/>
              </w:rPr>
              <w:t>⑤生活用水：该项目劳动定员</w:t>
            </w:r>
            <w:r>
              <w:rPr>
                <w:rFonts w:hint="eastAsia"/>
                <w:color w:val="auto"/>
                <w:sz w:val="24"/>
                <w:lang w:val="en-US" w:eastAsia="zh-CN"/>
              </w:rPr>
              <w:t>12</w:t>
            </w:r>
            <w:r>
              <w:rPr>
                <w:rFonts w:hint="eastAsia"/>
                <w:color w:val="auto"/>
                <w:sz w:val="24"/>
              </w:rPr>
              <w:t>人，根据用水定额每人每天100L，则生活用水量为</w:t>
            </w:r>
            <w:r>
              <w:rPr>
                <w:rFonts w:hint="eastAsia"/>
                <w:color w:val="auto"/>
                <w:sz w:val="24"/>
                <w:lang w:val="en-US" w:eastAsia="zh-CN"/>
              </w:rPr>
              <w:t>1.2</w:t>
            </w:r>
            <w:r>
              <w:rPr>
                <w:rFonts w:hint="eastAsia"/>
                <w:color w:val="auto"/>
                <w:sz w:val="24"/>
              </w:rPr>
              <w:t>m</w:t>
            </w:r>
            <w:r>
              <w:rPr>
                <w:rFonts w:hint="eastAsia"/>
                <w:color w:val="auto"/>
                <w:sz w:val="24"/>
                <w:vertAlign w:val="superscript"/>
              </w:rPr>
              <w:t>3</w:t>
            </w:r>
            <w:r>
              <w:rPr>
                <w:rFonts w:hint="eastAsia"/>
                <w:color w:val="auto"/>
                <w:sz w:val="24"/>
              </w:rPr>
              <w:t>/d（</w:t>
            </w:r>
            <w:r>
              <w:rPr>
                <w:rFonts w:hint="eastAsia"/>
                <w:color w:val="auto"/>
                <w:sz w:val="24"/>
                <w:lang w:val="en-US" w:eastAsia="zh-CN"/>
              </w:rPr>
              <w:t>324</w:t>
            </w:r>
            <w:r>
              <w:rPr>
                <w:rFonts w:hint="eastAsia"/>
                <w:color w:val="auto"/>
                <w:sz w:val="24"/>
              </w:rPr>
              <w:t>m</w:t>
            </w:r>
            <w:r>
              <w:rPr>
                <w:rFonts w:hint="eastAsia"/>
                <w:color w:val="auto"/>
                <w:sz w:val="24"/>
                <w:vertAlign w:val="superscript"/>
              </w:rPr>
              <w:t>3</w:t>
            </w:r>
            <w:r>
              <w:rPr>
                <w:rFonts w:hint="eastAsia"/>
                <w:color w:val="auto"/>
                <w:sz w:val="24"/>
              </w:rPr>
              <w:t>/a）。排水系数按0.8计，则生活污水排放量约为</w:t>
            </w:r>
            <w:r>
              <w:rPr>
                <w:rFonts w:hint="eastAsia"/>
                <w:color w:val="auto"/>
                <w:sz w:val="24"/>
                <w:lang w:val="en-US" w:eastAsia="zh-CN"/>
              </w:rPr>
              <w:t>0.96</w:t>
            </w:r>
            <w:r>
              <w:rPr>
                <w:rFonts w:hint="eastAsia"/>
                <w:color w:val="auto"/>
                <w:sz w:val="24"/>
              </w:rPr>
              <w:t>m</w:t>
            </w:r>
            <w:r>
              <w:rPr>
                <w:rFonts w:hint="eastAsia"/>
                <w:color w:val="auto"/>
                <w:sz w:val="24"/>
                <w:vertAlign w:val="superscript"/>
              </w:rPr>
              <w:t>3</w:t>
            </w:r>
            <w:r>
              <w:rPr>
                <w:rFonts w:hint="eastAsia"/>
                <w:color w:val="auto"/>
                <w:sz w:val="24"/>
              </w:rPr>
              <w:t>/d（</w:t>
            </w:r>
            <w:r>
              <w:rPr>
                <w:rFonts w:hint="eastAsia"/>
                <w:color w:val="auto"/>
                <w:sz w:val="24"/>
                <w:lang w:val="en-US" w:eastAsia="zh-CN"/>
              </w:rPr>
              <w:t>259.2</w:t>
            </w:r>
            <w:r>
              <w:rPr>
                <w:rFonts w:hint="eastAsia"/>
                <w:color w:val="auto"/>
                <w:sz w:val="24"/>
              </w:rPr>
              <w:t>m</w:t>
            </w:r>
            <w:r>
              <w:rPr>
                <w:rFonts w:hint="eastAsia"/>
                <w:color w:val="auto"/>
                <w:sz w:val="24"/>
                <w:vertAlign w:val="superscript"/>
              </w:rPr>
              <w:t>3</w:t>
            </w:r>
            <w:r>
              <w:rPr>
                <w:rFonts w:hint="eastAsia"/>
                <w:color w:val="auto"/>
                <w:sz w:val="24"/>
              </w:rPr>
              <w:t>/a）。经化粪池预处理后</w:t>
            </w:r>
            <w:r>
              <w:rPr>
                <w:rFonts w:hint="eastAsia"/>
                <w:color w:val="auto"/>
                <w:sz w:val="24"/>
                <w:lang w:val="en-US" w:eastAsia="zh-CN"/>
              </w:rPr>
              <w:t>排入市政管网最终进入轮台县</w:t>
            </w:r>
            <w:r>
              <w:rPr>
                <w:rFonts w:hint="eastAsia"/>
                <w:color w:val="auto"/>
                <w:sz w:val="24"/>
              </w:rPr>
              <w:t>污水处理厂</w:t>
            </w:r>
            <w:r>
              <w:rPr>
                <w:rFonts w:hint="eastAsia"/>
                <w:color w:val="auto"/>
                <w:sz w:val="24"/>
                <w:lang w:val="en-US" w:eastAsia="zh-CN"/>
              </w:rPr>
              <w:t>处理。</w:t>
            </w:r>
          </w:p>
          <w:p>
            <w:pPr>
              <w:spacing w:line="360" w:lineRule="auto"/>
              <w:ind w:firstLine="480" w:firstLineChars="200"/>
              <w:rPr>
                <w:rFonts w:hint="eastAsia" w:eastAsia="宋体"/>
                <w:color w:val="auto"/>
                <w:sz w:val="24"/>
                <w:lang w:eastAsia="zh-CN"/>
              </w:rPr>
            </w:pPr>
            <w:r>
              <w:rPr>
                <w:rFonts w:hint="eastAsia"/>
                <w:color w:val="auto"/>
                <w:sz w:val="24"/>
              </w:rPr>
              <w:t>本项目水平衡见</w:t>
            </w:r>
            <w:r>
              <w:rPr>
                <w:rFonts w:hint="eastAsia"/>
                <w:color w:val="auto"/>
                <w:sz w:val="24"/>
                <w:lang w:eastAsia="zh-CN"/>
              </w:rPr>
              <w:t>图</w:t>
            </w:r>
            <w:r>
              <w:rPr>
                <w:rFonts w:hint="eastAsia"/>
                <w:color w:val="auto"/>
                <w:sz w:val="24"/>
                <w:lang w:val="en-US" w:eastAsia="zh-CN"/>
              </w:rPr>
              <w:t>2-1</w:t>
            </w:r>
            <w:r>
              <w:rPr>
                <w:rFonts w:hint="eastAsia"/>
                <w:color w:val="auto"/>
                <w:sz w:val="24"/>
                <w:lang w:eastAsia="zh-CN"/>
              </w:rPr>
              <w:t>：</w:t>
            </w:r>
          </w:p>
          <w:p>
            <w:pPr>
              <w:spacing w:line="520" w:lineRule="exact"/>
              <w:rPr>
                <w:rFonts w:hint="eastAsia" w:ascii="宋体" w:hAnsi="宋体" w:cs="宋体"/>
                <w:b/>
                <w:bCs/>
                <w:color w:val="auto"/>
                <w:sz w:val="24"/>
              </w:rPr>
            </w:pPr>
          </w:p>
          <w:p>
            <w:pPr>
              <w:spacing w:line="520" w:lineRule="exact"/>
              <w:rPr>
                <w:rFonts w:hint="eastAsia" w:ascii="宋体" w:hAnsi="宋体" w:cs="宋体"/>
                <w:b/>
                <w:bCs/>
                <w:color w:val="auto"/>
                <w:sz w:val="24"/>
              </w:rPr>
            </w:pPr>
          </w:p>
          <w:p>
            <w:pPr>
              <w:spacing w:line="520" w:lineRule="exact"/>
              <w:rPr>
                <w:rFonts w:hint="eastAsia" w:ascii="宋体" w:hAnsi="宋体" w:cs="宋体"/>
                <w:b/>
                <w:bCs/>
                <w:color w:val="auto"/>
                <w:sz w:val="24"/>
              </w:rPr>
            </w:pPr>
          </w:p>
          <w:p>
            <w:pPr>
              <w:spacing w:line="520" w:lineRule="exact"/>
              <w:rPr>
                <w:rFonts w:hint="eastAsia" w:ascii="宋体" w:hAnsi="宋体" w:cs="宋体"/>
                <w:b/>
                <w:bCs/>
                <w:color w:val="auto"/>
                <w:sz w:val="24"/>
              </w:rPr>
            </w:pPr>
          </w:p>
          <w:p>
            <w:pPr>
              <w:spacing w:line="520" w:lineRule="exact"/>
              <w:rPr>
                <w:rFonts w:hint="eastAsia" w:ascii="宋体" w:hAnsi="宋体" w:cs="宋体"/>
                <w:b/>
                <w:bCs/>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pStyle w:val="12"/>
              <w:rPr>
                <w:rFonts w:hint="eastAsia" w:ascii="宋体" w:hAnsi="宋体" w:cs="宋体"/>
                <w:b/>
                <w:bCs w:val="0"/>
                <w:color w:val="auto"/>
                <w:sz w:val="24"/>
              </w:rPr>
            </w:pPr>
          </w:p>
          <w:p>
            <w:pPr>
              <w:spacing w:line="520" w:lineRule="exact"/>
              <w:rPr>
                <w:rFonts w:hint="eastAsia" w:ascii="宋体" w:hAnsi="宋体" w:cs="宋体"/>
                <w:b/>
                <w:bCs/>
                <w:color w:val="auto"/>
                <w:sz w:val="24"/>
              </w:rPr>
            </w:pPr>
            <w:r>
              <w:rPr>
                <w:color w:val="auto"/>
                <w:sz w:val="24"/>
              </w:rPr>
              <mc:AlternateContent>
                <mc:Choice Requires="wps">
                  <w:drawing>
                    <wp:anchor distT="0" distB="0" distL="114300" distR="114300" simplePos="0" relativeHeight="251735040" behindDoc="0" locked="0" layoutInCell="1" allowOverlap="1">
                      <wp:simplePos x="0" y="0"/>
                      <wp:positionH relativeFrom="column">
                        <wp:posOffset>2054860</wp:posOffset>
                      </wp:positionH>
                      <wp:positionV relativeFrom="paragraph">
                        <wp:posOffset>154940</wp:posOffset>
                      </wp:positionV>
                      <wp:extent cx="2464435" cy="469265"/>
                      <wp:effectExtent l="0" t="0" r="0" b="0"/>
                      <wp:wrapNone/>
                      <wp:docPr id="72"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rPr>
                                    <w:t>沉淀池沉淀后</w:t>
                                  </w:r>
                                  <w:r>
                                    <w:rPr>
                                      <w:rFonts w:hint="eastAsia"/>
                                      <w:lang w:val="en-US" w:eastAsia="zh-CN"/>
                                    </w:rPr>
                                    <w:t>循环利用</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161.8pt;margin-top:12.2pt;height:36.95pt;width:194.05pt;z-index:251735040;mso-width-relative:page;mso-height-relative:page;" filled="f" stroked="f" coordsize="21600,21600" o:gfxdata="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yah4q2QAAAAkBAAAPAAAAAAAAAAEAIAAAACIAAABkcnMvZG93bnJldi54&#10;bWxQSwECFAAUAAAACACHTuJAjhMdTDICAABEBAAADgAAAAAAAAABACAAAAAoAQAAZHJzL2Uyb0Rv&#10;Yy54bWxQSwUGAAAAAAYABgBZAQAAzAU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rPr>
                              <w:t>沉淀池沉淀后</w:t>
                            </w:r>
                            <w:r>
                              <w:rPr>
                                <w:rFonts w:hint="eastAsia"/>
                                <w:lang w:val="en-US" w:eastAsia="zh-CN"/>
                              </w:rPr>
                              <w:t>循环利用</w:t>
                            </w:r>
                          </w:p>
                        </w:txbxContent>
                      </v:textbox>
                    </v:shape>
                  </w:pict>
                </mc:Fallback>
              </mc:AlternateContent>
            </w:r>
          </w:p>
          <w:p>
            <w:pPr>
              <w:spacing w:line="520" w:lineRule="exact"/>
              <w:rPr>
                <w:rFonts w:hint="eastAsia" w:ascii="宋体" w:hAnsi="宋体" w:cs="宋体"/>
                <w:b/>
                <w:bCs/>
                <w:color w:val="auto"/>
                <w:sz w:val="24"/>
              </w:rPr>
            </w:pPr>
            <w:r>
              <w:rPr>
                <w:color w:val="auto"/>
              </w:rPr>
              <mc:AlternateContent>
                <mc:Choice Requires="wps">
                  <w:drawing>
                    <wp:anchor distT="0" distB="0" distL="114300" distR="114300" simplePos="0" relativeHeight="251741184" behindDoc="0" locked="0" layoutInCell="1" allowOverlap="1">
                      <wp:simplePos x="0" y="0"/>
                      <wp:positionH relativeFrom="column">
                        <wp:posOffset>3227070</wp:posOffset>
                      </wp:positionH>
                      <wp:positionV relativeFrom="paragraph">
                        <wp:posOffset>140970</wp:posOffset>
                      </wp:positionV>
                      <wp:extent cx="1049655" cy="333375"/>
                      <wp:effectExtent l="0" t="0" r="0" b="0"/>
                      <wp:wrapNone/>
                      <wp:docPr id="78" name="矩形 62"/>
                      <wp:cNvGraphicFramePr/>
                      <a:graphic xmlns:a="http://schemas.openxmlformats.org/drawingml/2006/main">
                        <a:graphicData uri="http://schemas.microsoft.com/office/word/2010/wordprocessingShape">
                          <wps:wsp>
                            <wps:cNvSpPr/>
                            <wps:spPr>
                              <a:xfrm>
                                <a:off x="5045710" y="1101090"/>
                                <a:ext cx="1229360" cy="333375"/>
                              </a:xfrm>
                              <a:prstGeom prst="rect">
                                <a:avLst/>
                              </a:prstGeom>
                              <a:noFill/>
                              <a:ln w="25400" cap="flat" cmpd="sng" algn="ctr">
                                <a:noFill/>
                                <a:prstDash val="solid"/>
                              </a:ln>
                              <a:effectLst/>
                            </wps:spPr>
                            <wps:txbx>
                              <w:txbxContent>
                                <w:p>
                                  <w:pPr>
                                    <w:jc w:val="center"/>
                                    <w:rPr>
                                      <w:rFonts w:hint="default" w:eastAsia="宋体"/>
                                      <w:color w:val="000000"/>
                                      <w:lang w:val="en-US" w:eastAsia="zh-CN"/>
                                    </w:rPr>
                                  </w:pPr>
                                  <w:r>
                                    <w:rPr>
                                      <w:rFonts w:hint="eastAsia"/>
                                      <w:color w:val="000000"/>
                                    </w:rPr>
                                    <w:t>损耗</w:t>
                                  </w:r>
                                  <w:r>
                                    <w:rPr>
                                      <w:rFonts w:hint="eastAsia"/>
                                      <w:color w:val="000000"/>
                                      <w:lang w:val="en-US" w:eastAsia="zh-CN"/>
                                    </w:rPr>
                                    <w:t>216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2" o:spid="_x0000_s1026" o:spt="1" style="position:absolute;left:0pt;margin-left:254.1pt;margin-top:11.1pt;height:26.25pt;width:82.65pt;z-index:251741184;v-text-anchor:middle;mso-width-relative:page;mso-height-relative:page;" filled="f" stroked="f" coordsize="21600,21600" o:gfxdata="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9SV8JdkAAAAJAQAADwAAAAAAAAABACAAAAAiAAAAZHJzL2Rvd25yZXYueG1sUEsBAhQA&#10;FAAAAAgAh07iQKIZ20NjAgAAsgQAAA4AAAAAAAAAAQAgAAAAKAEAAGRycy9lMm9Eb2MueG1sUEsF&#10;BgAAAAAGAAYAWQEAAP0FAAAAAA==&#10;">
                      <v:fill on="f" focussize="0,0"/>
                      <v:stroke on="f" weight="2pt"/>
                      <v:imagedata o:title=""/>
                      <o:lock v:ext="edit" aspectratio="f"/>
                      <v:textbox>
                        <w:txbxContent>
                          <w:p>
                            <w:pPr>
                              <w:jc w:val="center"/>
                              <w:rPr>
                                <w:rFonts w:hint="default" w:eastAsia="宋体"/>
                                <w:color w:val="000000"/>
                                <w:lang w:val="en-US" w:eastAsia="zh-CN"/>
                              </w:rPr>
                            </w:pPr>
                            <w:r>
                              <w:rPr>
                                <w:rFonts w:hint="eastAsia"/>
                                <w:color w:val="000000"/>
                              </w:rPr>
                              <w:t>损耗</w:t>
                            </w:r>
                            <w:r>
                              <w:rPr>
                                <w:rFonts w:hint="eastAsia"/>
                                <w:color w:val="000000"/>
                                <w:lang w:val="en-US" w:eastAsia="zh-CN"/>
                              </w:rPr>
                              <w:t>216</w:t>
                            </w:r>
                          </w:p>
                        </w:txbxContent>
                      </v:textbox>
                    </v:rect>
                  </w:pict>
                </mc:Fallback>
              </mc:AlternateContent>
            </w:r>
            <w:r>
              <w:rPr>
                <w:color w:val="auto"/>
                <w:sz w:val="24"/>
              </w:rPr>
              <mc:AlternateContent>
                <mc:Choice Requires="wps">
                  <w:drawing>
                    <wp:anchor distT="0" distB="0" distL="114300" distR="114300" simplePos="0" relativeHeight="251728896" behindDoc="0" locked="0" layoutInCell="1" allowOverlap="1">
                      <wp:simplePos x="0" y="0"/>
                      <wp:positionH relativeFrom="column">
                        <wp:posOffset>4533900</wp:posOffset>
                      </wp:positionH>
                      <wp:positionV relativeFrom="paragraph">
                        <wp:posOffset>106680</wp:posOffset>
                      </wp:positionV>
                      <wp:extent cx="12700" cy="1956435"/>
                      <wp:effectExtent l="4445" t="0" r="20955" b="5715"/>
                      <wp:wrapNone/>
                      <wp:docPr id="66" name="直线 47"/>
                      <wp:cNvGraphicFramePr/>
                      <a:graphic xmlns:a="http://schemas.openxmlformats.org/drawingml/2006/main">
                        <a:graphicData uri="http://schemas.microsoft.com/office/word/2010/wordprocessingShape">
                          <wps:wsp>
                            <wps:cNvCnPr/>
                            <wps:spPr>
                              <a:xfrm flipH="1">
                                <a:off x="0" y="0"/>
                                <a:ext cx="12700" cy="19564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 o:spid="_x0000_s1026" o:spt="20" style="position:absolute;left:0pt;flip:x;margin-left:357pt;margin-top:8.4pt;height:154.05pt;width:1pt;z-index:251728896;mso-width-relative:page;mso-height-relative:page;" filled="f" stroked="t" coordsize="21600,21600" o:gfxdata="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lERxtgAAAAKAQAADwAAAAAAAAABACAAAAAiAAAAZHJzL2Rvd25yZXYueG1sUEsB&#10;AhQAFAAAAAgAh07iQMs+TUP1AQAA6wMAAA4AAAAAAAAAAQAgAAAAJwEAAGRycy9lMm9Eb2MueG1s&#10;UEsFBgAAAAAGAAYAWQEAAI4FA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729920" behindDoc="0" locked="0" layoutInCell="1" allowOverlap="1">
                      <wp:simplePos x="0" y="0"/>
                      <wp:positionH relativeFrom="column">
                        <wp:posOffset>1837055</wp:posOffset>
                      </wp:positionH>
                      <wp:positionV relativeFrom="paragraph">
                        <wp:posOffset>88265</wp:posOffset>
                      </wp:positionV>
                      <wp:extent cx="2700655" cy="1156970"/>
                      <wp:effectExtent l="48895" t="4445" r="12700" b="635"/>
                      <wp:wrapNone/>
                      <wp:docPr id="67" name="自选图形 49"/>
                      <wp:cNvGraphicFramePr/>
                      <a:graphic xmlns:a="http://schemas.openxmlformats.org/drawingml/2006/main">
                        <a:graphicData uri="http://schemas.microsoft.com/office/word/2010/wordprocessingShape">
                          <wps:wsp>
                            <wps:cNvCnPr>
                              <a:endCxn id="52" idx="0"/>
                            </wps:cNvCnPr>
                            <wps:spPr>
                              <a:xfrm rot="-10800000" flipV="1">
                                <a:off x="0" y="0"/>
                                <a:ext cx="2700655" cy="1156970"/>
                              </a:xfrm>
                              <a:prstGeom prst="bentConnector2">
                                <a:avLst/>
                              </a:prstGeom>
                              <a:ln w="9525" cap="flat" cmpd="sng">
                                <a:solidFill>
                                  <a:srgbClr val="000000"/>
                                </a:solidFill>
                                <a:prstDash val="solid"/>
                                <a:miter/>
                                <a:headEnd type="none" w="med" len="med"/>
                                <a:tailEnd type="arrow" w="med" len="med"/>
                              </a:ln>
                            </wps:spPr>
                            <wps:bodyPr/>
                          </wps:wsp>
                        </a:graphicData>
                      </a:graphic>
                    </wp:anchor>
                  </w:drawing>
                </mc:Choice>
                <mc:Fallback>
                  <w:pict>
                    <v:shape id="自选图形 49" o:spid="_x0000_s1026" o:spt="33" type="#_x0000_t33" style="position:absolute;left:0pt;flip:y;margin-left:144.65pt;margin-top:6.95pt;height:91.1pt;width:212.65pt;rotation:11796480f;z-index:251729920;mso-width-relative:page;mso-height-relative:page;" filled="f" stroked="t" coordsize="21600,21600" o:gfxdata="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HR&#10;RQTWAAAACgEAAA8AAAAAAAAAAQAgAAAAIgAAAGRycy9kb3ducmV2LnhtbFBLAQIUABQAAAAIAIdO&#10;4kAH/CkAJQIAADQEAAAOAAAAAAAAAAEAIAAAACUBAABkcnMvZTJvRG9jLnhtbFBLBQYAAAAABgAG&#10;AFkBAAC8BQAAAAA=&#10;">
                      <v:fill on="f" focussize="0,0"/>
                      <v:stroke color="#000000" joinstyle="miter" endarrow="open"/>
                      <v:imagedata o:title=""/>
                      <o:lock v:ext="edit" aspectratio="f"/>
                    </v:shape>
                  </w:pict>
                </mc:Fallback>
              </mc:AlternateContent>
            </w:r>
            <w:r>
              <w:rPr>
                <w:color w:val="auto"/>
                <w:sz w:val="24"/>
              </w:rPr>
              <mc:AlternateContent>
                <mc:Choice Requires="wps">
                  <w:drawing>
                    <wp:anchor distT="0" distB="0" distL="114300" distR="114300" simplePos="0" relativeHeight="251719680" behindDoc="0" locked="0" layoutInCell="1" allowOverlap="1">
                      <wp:simplePos x="0" y="0"/>
                      <wp:positionH relativeFrom="column">
                        <wp:posOffset>3285490</wp:posOffset>
                      </wp:positionH>
                      <wp:positionV relativeFrom="paragraph">
                        <wp:posOffset>165100</wp:posOffset>
                      </wp:positionV>
                      <wp:extent cx="929005" cy="295910"/>
                      <wp:effectExtent l="0" t="0" r="0" b="0"/>
                      <wp:wrapNone/>
                      <wp:docPr id="57"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258.7pt;margin-top:13pt;height:23.3pt;width:73.15pt;z-index:251719680;mso-width-relative:page;mso-height-relative:page;" filled="f" stroked="f" coordsize="21600,21600" o:gfxdata="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xhRCTYAAAACQEAAA8AAAAAAAAAAQAgAAAAIgAAAGRycy9kb3ducmV2Lnht&#10;bFBLAQIUABQAAAAIAIdO4kAv5ZfWMgIAAEQEAAAOAAAAAAAAAAEAIAAAACcBAABkcnMvZTJvRG9j&#10;LnhtbFBLBQYAAAAABgAGAFkBAADLBQAAAAA=&#10;">
                      <v:fill on="f" focussize="0,0"/>
                      <v:stroke on="f" weight="0.25pt" miterlimit="8" joinstyle="miter"/>
                      <v:imagedata o:title=""/>
                      <o:lock v:ext="edit" aspectratio="f"/>
                      <v:textbox>
                        <w:txbxContent>
                          <w:p>
                            <w:pPr>
                              <w:jc w:val="center"/>
                            </w:pPr>
                          </w:p>
                        </w:txbxContent>
                      </v:textbox>
                    </v:shape>
                  </w:pict>
                </mc:Fallback>
              </mc:AlternateContent>
            </w:r>
          </w:p>
          <w:p>
            <w:pPr>
              <w:pStyle w:val="12"/>
              <w:rPr>
                <w:rFonts w:hint="eastAsia"/>
                <w:color w:val="auto"/>
              </w:rPr>
            </w:pPr>
            <w:r>
              <w:rPr>
                <w:color w:val="auto"/>
                <w:sz w:val="24"/>
              </w:rPr>
              <mc:AlternateContent>
                <mc:Choice Requires="wps">
                  <w:drawing>
                    <wp:anchor distT="0" distB="0" distL="114300" distR="114300" simplePos="0" relativeHeight="251755520" behindDoc="0" locked="0" layoutInCell="1" allowOverlap="1">
                      <wp:simplePos x="0" y="0"/>
                      <wp:positionH relativeFrom="column">
                        <wp:posOffset>1147445</wp:posOffset>
                      </wp:positionH>
                      <wp:positionV relativeFrom="paragraph">
                        <wp:posOffset>92075</wp:posOffset>
                      </wp:positionV>
                      <wp:extent cx="929005" cy="267335"/>
                      <wp:effectExtent l="0" t="0" r="0" b="0"/>
                      <wp:wrapNone/>
                      <wp:docPr id="94"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lang w:val="en-US"/>
                                    </w:rPr>
                                  </w:pPr>
                                  <w:r>
                                    <w:rPr>
                                      <w:rFonts w:hint="eastAsia"/>
                                      <w:lang w:val="en-US" w:eastAsia="zh-CN"/>
                                    </w:rPr>
                                    <w:t>1080</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90.35pt;margin-top:7.25pt;height:21.05pt;width:73.15pt;z-index:251755520;mso-width-relative:page;mso-height-relative:page;" filled="f" stroked="f" coordsize="21600,21600" o:gfxdata="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bTER1wAAAAkBAAAPAAAAAAAAAAEAIAAAACIAAABkcnMvZG93bnJldi54bWxQ&#10;SwECFAAUAAAACACHTuJAihiXDTECAABEBAAADgAAAAAAAAABACAAAAAmAQAAZHJzL2Uyb0RvYy54&#10;bWxQSwUGAAAAAAYABgBZAQAAyQUAAAAA&#10;">
                      <v:fill on="f" focussize="0,0"/>
                      <v:stroke on="f" weight="0.25pt" miterlimit="8" joinstyle="miter"/>
                      <v:imagedata o:title=""/>
                      <o:lock v:ext="edit" aspectratio="f"/>
                      <v:textbox>
                        <w:txbxContent>
                          <w:p>
                            <w:pPr>
                              <w:jc w:val="center"/>
                              <w:rPr>
                                <w:rFonts w:hint="default"/>
                                <w:lang w:val="en-US"/>
                              </w:rPr>
                            </w:pPr>
                            <w:r>
                              <w:rPr>
                                <w:rFonts w:hint="eastAsia"/>
                                <w:lang w:val="en-US" w:eastAsia="zh-CN"/>
                              </w:rPr>
                              <w:t>1080</w:t>
                            </w:r>
                          </w:p>
                        </w:txbxContent>
                      </v:textbox>
                    </v:shape>
                  </w:pict>
                </mc:Fallback>
              </mc:AlternateContent>
            </w:r>
            <w:r>
              <w:rPr>
                <w:color w:val="auto"/>
              </w:rPr>
              <mc:AlternateContent>
                <mc:Choice Requires="wps">
                  <w:drawing>
                    <wp:anchor distT="0" distB="0" distL="114300" distR="114300" simplePos="0" relativeHeight="251720704" behindDoc="0" locked="0" layoutInCell="1" allowOverlap="1">
                      <wp:simplePos x="0" y="0"/>
                      <wp:positionH relativeFrom="column">
                        <wp:posOffset>3571240</wp:posOffset>
                      </wp:positionH>
                      <wp:positionV relativeFrom="paragraph">
                        <wp:posOffset>120650</wp:posOffset>
                      </wp:positionV>
                      <wp:extent cx="283845" cy="196850"/>
                      <wp:effectExtent l="5080" t="0" r="45720" b="1905"/>
                      <wp:wrapNone/>
                      <wp:docPr id="58" name="曲线连接符 61"/>
                      <wp:cNvGraphicFramePr/>
                      <a:graphic xmlns:a="http://schemas.openxmlformats.org/drawingml/2006/main">
                        <a:graphicData uri="http://schemas.microsoft.com/office/word/2010/wordprocessingShape">
                          <wps:wsp>
                            <wps:cNvCnPr/>
                            <wps:spPr>
                              <a:xfrm rot="-5400000">
                                <a:off x="0" y="0"/>
                                <a:ext cx="283845" cy="196850"/>
                              </a:xfrm>
                              <a:prstGeom prst="curvedConnector3">
                                <a:avLst>
                                  <a:gd name="adj1" fmla="val 50000"/>
                                </a:avLst>
                              </a:prstGeom>
                              <a:ln w="9525" cap="flat" cmpd="sng">
                                <a:solidFill>
                                  <a:srgbClr val="000000"/>
                                </a:solidFill>
                                <a:prstDash val="solid"/>
                                <a:headEnd type="none" w="med" len="med"/>
                                <a:tailEnd type="arrow" w="med" len="med"/>
                              </a:ln>
                            </wps:spPr>
                            <wps:bodyPr/>
                          </wps:wsp>
                        </a:graphicData>
                      </a:graphic>
                    </wp:anchor>
                  </w:drawing>
                </mc:Choice>
                <mc:Fallback>
                  <w:pict>
                    <v:shape id="曲线连接符 61" o:spid="_x0000_s1026" o:spt="38" type="#_x0000_t38" style="position:absolute;left:0pt;margin-left:281.2pt;margin-top:9.5pt;height:15.5pt;width:22.35pt;rotation:-5898240f;z-index:251720704;mso-width-relative:page;mso-height-relative:page;" filled="f" stroked="t" coordsize="21600,21600" o:gfxdata="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3Zik&#10;yNUAAAAJAQAADwAAAAAAAAABACAAAAAiAAAAZHJzL2Rvd25yZXYueG1sUEsBAhQAFAAAAAgAh07i&#10;QN8a/MUlAgAAJwQAAA4AAAAAAAAAAQAgAAAAJAEAAGRycy9lMm9Eb2MueG1sUEsFBgAAAAAGAAYA&#10;WQEAALsFAAAAAA==&#10;" adj="10800">
                      <v:fill on="f" focussize="0,0"/>
                      <v:stroke color="#000000" joinstyle="round" endarrow="open"/>
                      <v:imagedata o:title=""/>
                      <o:lock v:ext="edit" aspectratio="f"/>
                    </v:shape>
                  </w:pict>
                </mc:Fallback>
              </mc:AlternateContent>
            </w:r>
          </w:p>
          <w:p>
            <w:pPr>
              <w:spacing w:line="520" w:lineRule="exact"/>
              <w:rPr>
                <w:color w:val="auto"/>
                <w:sz w:val="24"/>
              </w:rPr>
            </w:pPr>
            <w:r>
              <w:rPr>
                <w:color w:val="auto"/>
                <w:sz w:val="24"/>
              </w:rPr>
              <mc:AlternateContent>
                <mc:Choice Requires="wps">
                  <w:drawing>
                    <wp:anchor distT="0" distB="0" distL="114300" distR="114300" simplePos="0" relativeHeight="251717632" behindDoc="0" locked="0" layoutInCell="1" allowOverlap="1">
                      <wp:simplePos x="0" y="0"/>
                      <wp:positionH relativeFrom="column">
                        <wp:posOffset>2556510</wp:posOffset>
                      </wp:positionH>
                      <wp:positionV relativeFrom="paragraph">
                        <wp:posOffset>38100</wp:posOffset>
                      </wp:positionV>
                      <wp:extent cx="929005" cy="239395"/>
                      <wp:effectExtent l="0" t="0" r="0" b="0"/>
                      <wp:wrapNone/>
                      <wp:docPr id="55"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1080</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201.3pt;margin-top:3pt;height:18.85pt;width:73.15pt;z-index:251717632;mso-width-relative:page;mso-height-relative:page;" filled="f" stroked="f" coordsize="21600,21600" o:gfxdata="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XrUA/WAAAACAEAAA8AAAAAAAAAAQAgAAAAIgAAAGRycy9kb3ducmV2LnhtbFBL&#10;AQIUABQAAAAIAIdO4kBQSQZEMQIAAEQEAAAOAAAAAAAAAAEAIAAAACUBAABkcnMvZTJvRG9jLnht&#10;bFBLBQYAAAAABgAGAFkBAADI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1080</w:t>
                            </w:r>
                          </w:p>
                        </w:txbxContent>
                      </v:textbox>
                    </v:shape>
                  </w:pict>
                </mc:Fallback>
              </mc:AlternateContent>
            </w:r>
            <w:r>
              <w:rPr>
                <w:color w:val="auto"/>
                <w:sz w:val="24"/>
              </w:rPr>
              <mc:AlternateContent>
                <mc:Choice Requires="wps">
                  <w:drawing>
                    <wp:anchor distT="0" distB="0" distL="114300" distR="114300" simplePos="0" relativeHeight="251725824" behindDoc="0" locked="0" layoutInCell="1" allowOverlap="1">
                      <wp:simplePos x="0" y="0"/>
                      <wp:positionH relativeFrom="column">
                        <wp:posOffset>2703195</wp:posOffset>
                      </wp:positionH>
                      <wp:positionV relativeFrom="paragraph">
                        <wp:posOffset>313690</wp:posOffset>
                      </wp:positionV>
                      <wp:extent cx="22860" cy="2545715"/>
                      <wp:effectExtent l="4445" t="0" r="10795" b="6985"/>
                      <wp:wrapNone/>
                      <wp:docPr id="63" name="直线 53"/>
                      <wp:cNvGraphicFramePr/>
                      <a:graphic xmlns:a="http://schemas.openxmlformats.org/drawingml/2006/main">
                        <a:graphicData uri="http://schemas.microsoft.com/office/word/2010/wordprocessingShape">
                          <wps:wsp>
                            <wps:cNvCnPr/>
                            <wps:spPr>
                              <a:xfrm flipH="1">
                                <a:off x="0" y="0"/>
                                <a:ext cx="22860" cy="25457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 o:spid="_x0000_s1026" o:spt="20" style="position:absolute;left:0pt;flip:x;margin-left:212.85pt;margin-top:24.7pt;height:200.45pt;width:1.8pt;z-index:251725824;mso-width-relative:page;mso-height-relative:page;" filled="f" stroked="t" coordsize="21600,21600" o:gfxdata="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d7oS2AAAAAoBAAAPAAAAAAAAAAEAIAAAACIAAABkcnMvZG93bnJldi54bWxQSwEC&#10;FAAUAAAACACHTuJAg7b3XPQBAADrAwAADgAAAAAAAAABACAAAAAnAQAAZHJzL2Uyb0RvYy54bWxQ&#10;SwUGAAAAAAYABgBZAQAAjQ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742208" behindDoc="0" locked="0" layoutInCell="1" allowOverlap="1">
                      <wp:simplePos x="0" y="0"/>
                      <wp:positionH relativeFrom="column">
                        <wp:posOffset>3887470</wp:posOffset>
                      </wp:positionH>
                      <wp:positionV relativeFrom="paragraph">
                        <wp:posOffset>13970</wp:posOffset>
                      </wp:positionV>
                      <wp:extent cx="929005" cy="267335"/>
                      <wp:effectExtent l="0" t="0" r="0" b="0"/>
                      <wp:wrapNone/>
                      <wp:docPr id="79"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864</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306.1pt;margin-top:1.1pt;height:21.05pt;width:73.15pt;z-index:251742208;mso-width-relative:page;mso-height-relative:page;" filled="f" stroked="f" coordsize="21600,21600" o:gfxdata="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zZgbvYAAAACAEAAA8AAAAAAAAAAQAgAAAAIgAAAGRycy9kb3ducmV2Lnht&#10;bFBLAQIUABQAAAAIAIdO4kDRUaldMgIAAEQEAAAOAAAAAAAAAAEAIAAAACcBAABkcnMvZTJvRG9j&#10;LnhtbFBLBQYAAAAABgAGAFkBAADL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864</w:t>
                            </w:r>
                          </w:p>
                        </w:txbxContent>
                      </v:textbox>
                    </v:shape>
                  </w:pict>
                </mc:Fallback>
              </mc:AlternateContent>
            </w:r>
            <w:r>
              <w:rPr>
                <w:color w:val="auto"/>
                <w:sz w:val="24"/>
              </w:rPr>
              <mc:AlternateContent>
                <mc:Choice Requires="wps">
                  <w:drawing>
                    <wp:anchor distT="0" distB="0" distL="114300" distR="114300" simplePos="0" relativeHeight="251727872" behindDoc="0" locked="0" layoutInCell="1" allowOverlap="1">
                      <wp:simplePos x="0" y="0"/>
                      <wp:positionH relativeFrom="column">
                        <wp:posOffset>4046855</wp:posOffset>
                      </wp:positionH>
                      <wp:positionV relativeFrom="paragraph">
                        <wp:posOffset>318770</wp:posOffset>
                      </wp:positionV>
                      <wp:extent cx="506730" cy="635"/>
                      <wp:effectExtent l="0" t="0" r="0" b="0"/>
                      <wp:wrapNone/>
                      <wp:docPr id="65" name="直线 55"/>
                      <wp:cNvGraphicFramePr/>
                      <a:graphic xmlns:a="http://schemas.openxmlformats.org/drawingml/2006/main">
                        <a:graphicData uri="http://schemas.microsoft.com/office/word/2010/wordprocessingShape">
                          <wps:wsp>
                            <wps:cNvCnPr/>
                            <wps:spPr>
                              <a:xfrm>
                                <a:off x="0" y="0"/>
                                <a:ext cx="50673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 o:spid="_x0000_s1026" o:spt="20" style="position:absolute;left:0pt;margin-left:318.65pt;margin-top:25.1pt;height:0.05pt;width:39.9pt;z-index:251727872;mso-width-relative:page;mso-height-relative:page;" filled="f" stroked="t" coordsize="21600,21600" o:gfxdata="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Z&#10;rBdx1wAAAAkBAAAPAAAAAAAAAAEAIAAAACIAAABkcnMvZG93bnJldi54bWxQSwECFAAUAAAACACH&#10;TuJA0ooCruwBAADeAwAADgAAAAAAAAABACAAAAAmAQAAZHJzL2Uyb0RvYy54bWxQSwUGAAAAAAYA&#10;BgBZAQAAhA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723776" behindDoc="0" locked="0" layoutInCell="1" allowOverlap="1">
                      <wp:simplePos x="0" y="0"/>
                      <wp:positionH relativeFrom="column">
                        <wp:posOffset>3231515</wp:posOffset>
                      </wp:positionH>
                      <wp:positionV relativeFrom="paragraph">
                        <wp:posOffset>67945</wp:posOffset>
                      </wp:positionV>
                      <wp:extent cx="804545" cy="487045"/>
                      <wp:effectExtent l="4445" t="4445" r="10160" b="22860"/>
                      <wp:wrapNone/>
                      <wp:docPr id="6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882015" cy="342900"/>
                              </a:xfrm>
                              <a:prstGeom prst="rect">
                                <a:avLst/>
                              </a:prstGeom>
                              <a:solidFill>
                                <a:srgbClr val="FFFFFF"/>
                              </a:solidFill>
                              <a:ln w="3175">
                                <a:solidFill>
                                  <a:srgbClr val="000000"/>
                                </a:solidFill>
                                <a:miter lim="800000"/>
                              </a:ln>
                              <a:effectLst/>
                            </wps:spPr>
                            <wps:txbx>
                              <w:txbxContent>
                                <w:p>
                                  <w:pPr>
                                    <w:jc w:val="center"/>
                                    <w:rPr>
                                      <w:rFonts w:hint="eastAsia"/>
                                    </w:rPr>
                                  </w:pPr>
                                  <w:r>
                                    <w:rPr>
                                      <w:rFonts w:hint="eastAsia"/>
                                    </w:rPr>
                                    <w:t>设备</w:t>
                                  </w:r>
                                  <w:r>
                                    <w:rPr>
                                      <w:rFonts w:hint="eastAsia"/>
                                      <w:lang w:eastAsia="zh-CN"/>
                                    </w:rPr>
                                    <w:t>、</w:t>
                                  </w:r>
                                  <w:r>
                                    <w:rPr>
                                      <w:rFonts w:hint="eastAsia"/>
                                    </w:rPr>
                                    <w:t>车辆冲洗水</w:t>
                                  </w:r>
                                </w:p>
                              </w:txbxContent>
                            </wps:txbx>
                            <wps:bodyPr rot="0" vert="horz" wrap="square" lIns="91440" tIns="45720" rIns="91440" bIns="45720" anchor="t" anchorCtr="0" upright="1">
                              <a:noAutofit/>
                            </wps:bodyPr>
                          </wps:wsp>
                        </a:graphicData>
                      </a:graphic>
                    </wp:anchor>
                  </w:drawing>
                </mc:Choice>
                <mc:Fallback>
                  <w:pict>
                    <v:shape id="文本框 90" o:spid="_x0000_s1026" o:spt="202" type="#_x0000_t202" style="position:absolute;left:0pt;margin-left:254.45pt;margin-top:5.35pt;height:38.35pt;width:63.35pt;z-index:251723776;mso-width-relative:page;mso-height-relative:page;" fillcolor="#FFFFFF" filled="t" stroked="t" coordsize="21600,21600" o:gfxdata="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qnHn7WAAAACQEAAA8AAAAAAAAAAQAgAAAA&#10;IgAAAGRycy9kb3ducmV2LnhtbFBLAQIUABQAAAAIAIdO4kCI+heYRgIAAJYEAAAOAAAAAAAAAAEA&#10;IAAAACUBAABkcnMvZTJvRG9jLnhtbFBLBQYAAAAABgAGAFkBAADdBQAAAAA=&#10;">
                      <v:fill on="t" focussize="0,0"/>
                      <v:stroke weight="0.25pt" color="#000000" miterlimit="8" joinstyle="miter"/>
                      <v:imagedata o:title=""/>
                      <o:lock v:ext="edit" aspectratio="f"/>
                      <v:textbox>
                        <w:txbxContent>
                          <w:p>
                            <w:pPr>
                              <w:jc w:val="center"/>
                              <w:rPr>
                                <w:rFonts w:hint="eastAsia"/>
                              </w:rPr>
                            </w:pPr>
                            <w:r>
                              <w:rPr>
                                <w:rFonts w:hint="eastAsia"/>
                              </w:rPr>
                              <w:t>设备</w:t>
                            </w:r>
                            <w:r>
                              <w:rPr>
                                <w:rFonts w:hint="eastAsia"/>
                                <w:lang w:eastAsia="zh-CN"/>
                              </w:rPr>
                              <w:t>、</w:t>
                            </w:r>
                            <w:r>
                              <w:rPr>
                                <w:rFonts w:hint="eastAsia"/>
                              </w:rPr>
                              <w:t>车辆冲洗水</w:t>
                            </w:r>
                          </w:p>
                        </w:txbxContent>
                      </v:textbox>
                    </v:shape>
                  </w:pict>
                </mc:Fallback>
              </mc:AlternateContent>
            </w:r>
            <w:r>
              <w:rPr>
                <w:color w:val="auto"/>
                <w:sz w:val="24"/>
              </w:rPr>
              <mc:AlternateContent>
                <mc:Choice Requires="wps">
                  <w:drawing>
                    <wp:anchor distT="0" distB="0" distL="114300" distR="114300" simplePos="0" relativeHeight="251715584" behindDoc="0" locked="0" layoutInCell="1" allowOverlap="1">
                      <wp:simplePos x="0" y="0"/>
                      <wp:positionH relativeFrom="column">
                        <wp:posOffset>2724785</wp:posOffset>
                      </wp:positionH>
                      <wp:positionV relativeFrom="paragraph">
                        <wp:posOffset>323215</wp:posOffset>
                      </wp:positionV>
                      <wp:extent cx="530860" cy="635"/>
                      <wp:effectExtent l="0" t="48895" r="2540" b="64770"/>
                      <wp:wrapNone/>
                      <wp:docPr id="53" name="直线 657"/>
                      <wp:cNvGraphicFramePr/>
                      <a:graphic xmlns:a="http://schemas.openxmlformats.org/drawingml/2006/main">
                        <a:graphicData uri="http://schemas.microsoft.com/office/word/2010/wordprocessingShape">
                          <wps:wsp>
                            <wps:cNvCnPr/>
                            <wps:spPr>
                              <a:xfrm>
                                <a:off x="0" y="0"/>
                                <a:ext cx="530860"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657" o:spid="_x0000_s1026" o:spt="20" style="position:absolute;left:0pt;margin-left:214.55pt;margin-top:25.45pt;height:0.05pt;width:41.8pt;z-index:251715584;mso-width-relative:page;mso-height-relative:page;" filled="f" stroked="t" coordsize="21600,21600" o:gfxdata="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gDIva2QAAAAkBAAAPAAAAAAAAAAEAIAAAACIAAABkcnMvZG93bnJldi54bWxQSwECFAAU&#10;AAAACACHTuJAFXLwofABAADgAwAADgAAAAAAAAABACAAAAAoAQAAZHJzL2Uyb0RvYy54bWxQSwUG&#10;AAAAAAYABgBZAQAAigUAAAAA&#10;">
                      <v:fill on="f" focussize="0,0"/>
                      <v:stroke color="#000000" joinstyle="round" endarrow="open"/>
                      <v:imagedata o:title=""/>
                      <o:lock v:ext="edit" aspectratio="f"/>
                    </v:line>
                  </w:pict>
                </mc:Fallback>
              </mc:AlternateContent>
            </w:r>
          </w:p>
          <w:p>
            <w:pPr>
              <w:spacing w:line="520" w:lineRule="exact"/>
              <w:rPr>
                <w:color w:val="auto"/>
                <w:sz w:val="24"/>
              </w:rPr>
            </w:pPr>
            <w:r>
              <w:rPr>
                <w:color w:val="auto"/>
                <w:sz w:val="24"/>
              </w:rPr>
              <mc:AlternateContent>
                <mc:Choice Requires="wps">
                  <w:drawing>
                    <wp:anchor distT="0" distB="0" distL="114300" distR="114300" simplePos="0" relativeHeight="251739136" behindDoc="0" locked="0" layoutInCell="1" allowOverlap="1">
                      <wp:simplePos x="0" y="0"/>
                      <wp:positionH relativeFrom="column">
                        <wp:posOffset>2030730</wp:posOffset>
                      </wp:positionH>
                      <wp:positionV relativeFrom="paragraph">
                        <wp:posOffset>165735</wp:posOffset>
                      </wp:positionV>
                      <wp:extent cx="929005" cy="469265"/>
                      <wp:effectExtent l="0" t="0" r="0" b="0"/>
                      <wp:wrapNone/>
                      <wp:docPr id="76"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32646</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159.9pt;margin-top:13.05pt;height:36.95pt;width:73.15pt;z-index:251739136;mso-width-relative:page;mso-height-relative:page;" filled="f" stroked="f" coordsize="21600,21600" o:gfxdata="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nYAto1gAAAAoBAAAPAAAAAAAAAAEAIAAAACIAAABkcnMvZG93bnJldi54bWxQ&#10;SwECFAAUAAAACACHTuJAMU1PsjICAABEBAAADgAAAAAAAAABACAAAAAlAQAAZHJzL2Uyb0RvYy54&#10;bWxQSwUGAAAAAAYABgBZAQAAyQU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32646</w:t>
                            </w:r>
                          </w:p>
                        </w:txbxContent>
                      </v:textbox>
                    </v:shape>
                  </w:pict>
                </mc:Fallback>
              </mc:AlternateContent>
            </w:r>
            <w:r>
              <w:rPr>
                <w:color w:val="auto"/>
                <w:sz w:val="24"/>
              </w:rPr>
              <mc:AlternateContent>
                <mc:Choice Requires="wps">
                  <w:drawing>
                    <wp:anchor distT="0" distB="0" distL="114300" distR="114300" simplePos="0" relativeHeight="251738112" behindDoc="0" locked="0" layoutInCell="1" allowOverlap="1">
                      <wp:simplePos x="0" y="0"/>
                      <wp:positionH relativeFrom="column">
                        <wp:posOffset>728345</wp:posOffset>
                      </wp:positionH>
                      <wp:positionV relativeFrom="paragraph">
                        <wp:posOffset>129540</wp:posOffset>
                      </wp:positionV>
                      <wp:extent cx="929005" cy="469265"/>
                      <wp:effectExtent l="0" t="0" r="0" b="0"/>
                      <wp:wrapNone/>
                      <wp:docPr id="75"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31566</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57.35pt;margin-top:10.2pt;height:36.95pt;width:73.15pt;z-index:251738112;mso-width-relative:page;mso-height-relative:page;" filled="f" stroked="f" coordsize="21600,21600" o:gfxdata="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52q97XAAAACQEAAA8AAAAAAAAAAQAgAAAAIgAAAGRycy9kb3ducmV2LnhtbFBL&#10;AQIUABQAAAAIAIdO4kBRtC6EMAIAAEQEAAAOAAAAAAAAAAEAIAAAACYBAABkcnMvZTJvRG9jLnht&#10;bFBLBQYAAAAABgAGAFkBAADI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31566</w:t>
                            </w:r>
                          </w:p>
                        </w:txbxContent>
                      </v:textbox>
                    </v:shape>
                  </w:pict>
                </mc:Fallback>
              </mc:AlternateContent>
            </w:r>
            <w:r>
              <w:rPr>
                <w:color w:val="auto"/>
                <w:sz w:val="24"/>
              </w:rPr>
              <mc:AlternateContent>
                <mc:Choice Requires="wps">
                  <w:drawing>
                    <wp:anchor distT="0" distB="0" distL="114300" distR="114300" simplePos="0" relativeHeight="251714560" behindDoc="0" locked="0" layoutInCell="1" allowOverlap="1">
                      <wp:simplePos x="0" y="0"/>
                      <wp:positionH relativeFrom="column">
                        <wp:posOffset>1435100</wp:posOffset>
                      </wp:positionH>
                      <wp:positionV relativeFrom="paragraph">
                        <wp:posOffset>267335</wp:posOffset>
                      </wp:positionV>
                      <wp:extent cx="804545" cy="342900"/>
                      <wp:effectExtent l="4445" t="4445" r="10160" b="14605"/>
                      <wp:wrapNone/>
                      <wp:docPr id="52"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882015" cy="342900"/>
                              </a:xfrm>
                              <a:prstGeom prst="rect">
                                <a:avLst/>
                              </a:prstGeom>
                              <a:solidFill>
                                <a:srgbClr val="FFFFFF"/>
                              </a:solidFill>
                              <a:ln w="3175">
                                <a:solidFill>
                                  <a:srgbClr val="000000"/>
                                </a:solidFill>
                                <a:miter lim="800000"/>
                              </a:ln>
                              <a:effectLst/>
                            </wps:spPr>
                            <wps:txbx>
                              <w:txbxContent>
                                <w:p>
                                  <w:pPr>
                                    <w:jc w:val="center"/>
                                    <w:rPr>
                                      <w:rFonts w:hint="eastAsia"/>
                                    </w:rPr>
                                  </w:pPr>
                                  <w:r>
                                    <w:rPr>
                                      <w:rFonts w:hint="eastAsia"/>
                                    </w:rPr>
                                    <w:t>生产用水</w:t>
                                  </w:r>
                                </w:p>
                              </w:txbxContent>
                            </wps:txbx>
                            <wps:bodyPr rot="0" vert="horz" wrap="square" lIns="91440" tIns="45720" rIns="91440" bIns="45720" anchor="t" anchorCtr="0" upright="1">
                              <a:noAutofit/>
                            </wps:bodyPr>
                          </wps:wsp>
                        </a:graphicData>
                      </a:graphic>
                    </wp:anchor>
                  </w:drawing>
                </mc:Choice>
                <mc:Fallback>
                  <w:pict>
                    <v:shape id="文本框 90" o:spid="_x0000_s1026" o:spt="202" type="#_x0000_t202" style="position:absolute;left:0pt;margin-left:113pt;margin-top:21.05pt;height:27pt;width:63.35pt;z-index:251714560;mso-width-relative:page;mso-height-relative:page;" fillcolor="#FFFFFF" filled="t" stroked="t" coordsize="21600,21600" o:gfxdata="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jSqKw1wAAAAkBAAAPAAAAAAAAAAEAIAAA&#10;ACIAAABkcnMvZG93bnJldi54bWxQSwECFAAUAAAACACHTuJA0TxKl0YCAACWBAAADgAAAAAAAAAB&#10;ACAAAAAmAQAAZHJzL2Uyb0RvYy54bWxQSwUGAAAAAAYABgBZAQAA3gUAAAAA&#10;">
                      <v:fill on="t" focussize="0,0"/>
                      <v:stroke weight="0.25pt" color="#000000" miterlimit="8" joinstyle="miter"/>
                      <v:imagedata o:title=""/>
                      <o:lock v:ext="edit" aspectratio="f"/>
                      <v:textbox>
                        <w:txbxContent>
                          <w:p>
                            <w:pPr>
                              <w:jc w:val="center"/>
                              <w:rPr>
                                <w:rFonts w:hint="eastAsia"/>
                              </w:rPr>
                            </w:pPr>
                            <w:r>
                              <w:rPr>
                                <w:rFonts w:hint="eastAsia"/>
                              </w:rPr>
                              <w:t>生产用水</w:t>
                            </w:r>
                          </w:p>
                        </w:txbxContent>
                      </v:textbox>
                    </v:shape>
                  </w:pict>
                </mc:Fallback>
              </mc:AlternateContent>
            </w:r>
          </w:p>
          <w:p>
            <w:pPr>
              <w:spacing w:line="520" w:lineRule="exact"/>
              <w:rPr>
                <w:rFonts w:hint="eastAsia" w:ascii="宋体" w:hAnsi="宋体" w:cs="宋体"/>
                <w:b/>
                <w:bCs/>
                <w:color w:val="auto"/>
                <w:sz w:val="24"/>
              </w:rPr>
            </w:pPr>
            <w:r>
              <w:rPr>
                <w:color w:val="auto"/>
              </w:rPr>
              <mc:AlternateContent>
                <mc:Choice Requires="wps">
                  <w:drawing>
                    <wp:anchor distT="0" distB="0" distL="114300" distR="114300" simplePos="0" relativeHeight="251748352" behindDoc="0" locked="0" layoutInCell="1" allowOverlap="1">
                      <wp:simplePos x="0" y="0"/>
                      <wp:positionH relativeFrom="column">
                        <wp:posOffset>3288665</wp:posOffset>
                      </wp:positionH>
                      <wp:positionV relativeFrom="paragraph">
                        <wp:posOffset>34290</wp:posOffset>
                      </wp:positionV>
                      <wp:extent cx="1049655" cy="304800"/>
                      <wp:effectExtent l="0" t="0" r="0" b="0"/>
                      <wp:wrapNone/>
                      <wp:docPr id="85" name="矩形 62"/>
                      <wp:cNvGraphicFramePr/>
                      <a:graphic xmlns:a="http://schemas.openxmlformats.org/drawingml/2006/main">
                        <a:graphicData uri="http://schemas.microsoft.com/office/word/2010/wordprocessingShape">
                          <wps:wsp>
                            <wps:cNvSpPr/>
                            <wps:spPr>
                              <a:xfrm>
                                <a:off x="5045710" y="1101090"/>
                                <a:ext cx="1229360" cy="333375"/>
                              </a:xfrm>
                              <a:prstGeom prst="rect">
                                <a:avLst/>
                              </a:prstGeom>
                              <a:noFill/>
                              <a:ln w="25400" cap="flat" cmpd="sng" algn="ctr">
                                <a:noFill/>
                                <a:prstDash val="solid"/>
                              </a:ln>
                              <a:effectLst/>
                            </wps:spPr>
                            <wps:txbx>
                              <w:txbxContent>
                                <w:p>
                                  <w:pPr>
                                    <w:jc w:val="center"/>
                                    <w:rPr>
                                      <w:rFonts w:hint="default" w:eastAsia="宋体"/>
                                      <w:color w:val="000000"/>
                                      <w:lang w:val="en-US" w:eastAsia="zh-CN"/>
                                    </w:rPr>
                                  </w:pPr>
                                  <w:r>
                                    <w:rPr>
                                      <w:rFonts w:hint="eastAsia"/>
                                      <w:color w:val="000000"/>
                                    </w:rPr>
                                    <w:t>损耗</w:t>
                                  </w:r>
                                  <w:r>
                                    <w:rPr>
                                      <w:rFonts w:hint="eastAsia"/>
                                      <w:color w:val="000000"/>
                                      <w:lang w:val="en-US" w:eastAsia="zh-CN"/>
                                    </w:rPr>
                                    <w:t>54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2" o:spid="_x0000_s1026" o:spt="1" style="position:absolute;left:0pt;margin-left:258.95pt;margin-top:2.7pt;height:24pt;width:82.65pt;z-index:251748352;v-text-anchor:middle;mso-width-relative:page;mso-height-relative:page;" filled="f" stroked="f" coordsize="21600,21600" o:gfxdata="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c922NgAAAAIAQAADwAAAAAAAAABACAAAAAiAAAAZHJzL2Rvd25yZXYueG1sUEsBAhQA&#10;FAAAAAgAh07iQO32TcRkAgAAsgQAAA4AAAAAAAAAAQAgAAAAJwEAAGRycy9lMm9Eb2MueG1sUEsF&#10;BgAAAAAGAAYAWQEAAP0FAAAAAA==&#10;">
                      <v:fill on="f" focussize="0,0"/>
                      <v:stroke on="f" weight="2pt"/>
                      <v:imagedata o:title=""/>
                      <o:lock v:ext="edit" aspectratio="f"/>
                      <v:textbox>
                        <w:txbxContent>
                          <w:p>
                            <w:pPr>
                              <w:jc w:val="center"/>
                              <w:rPr>
                                <w:rFonts w:hint="default" w:eastAsia="宋体"/>
                                <w:color w:val="000000"/>
                                <w:lang w:val="en-US" w:eastAsia="zh-CN"/>
                              </w:rPr>
                            </w:pPr>
                            <w:r>
                              <w:rPr>
                                <w:rFonts w:hint="eastAsia"/>
                                <w:color w:val="000000"/>
                              </w:rPr>
                              <w:t>损耗</w:t>
                            </w:r>
                            <w:r>
                              <w:rPr>
                                <w:rFonts w:hint="eastAsia"/>
                                <w:color w:val="000000"/>
                                <w:lang w:val="en-US" w:eastAsia="zh-CN"/>
                              </w:rPr>
                              <w:t>54</w:t>
                            </w:r>
                          </w:p>
                        </w:txbxContent>
                      </v:textbox>
                    </v:rect>
                  </w:pict>
                </mc:Fallback>
              </mc:AlternateContent>
            </w:r>
            <w:r>
              <w:rPr>
                <w:color w:val="auto"/>
              </w:rPr>
              <mc:AlternateContent>
                <mc:Choice Requires="wps">
                  <w:drawing>
                    <wp:anchor distT="0" distB="0" distL="114300" distR="114300" simplePos="0" relativeHeight="251747328" behindDoc="0" locked="0" layoutInCell="1" allowOverlap="1">
                      <wp:simplePos x="0" y="0"/>
                      <wp:positionH relativeFrom="column">
                        <wp:posOffset>3583940</wp:posOffset>
                      </wp:positionH>
                      <wp:positionV relativeFrom="paragraph">
                        <wp:posOffset>332105</wp:posOffset>
                      </wp:positionV>
                      <wp:extent cx="283845" cy="196850"/>
                      <wp:effectExtent l="5080" t="0" r="45720" b="1905"/>
                      <wp:wrapNone/>
                      <wp:docPr id="84" name="自选图形 62"/>
                      <wp:cNvGraphicFramePr/>
                      <a:graphic xmlns:a="http://schemas.openxmlformats.org/drawingml/2006/main">
                        <a:graphicData uri="http://schemas.microsoft.com/office/word/2010/wordprocessingShape">
                          <wps:wsp>
                            <wps:cNvCnPr/>
                            <wps:spPr>
                              <a:xfrm rot="-5400000">
                                <a:off x="0" y="0"/>
                                <a:ext cx="283845" cy="196850"/>
                              </a:xfrm>
                              <a:prstGeom prst="curvedConnector3">
                                <a:avLst>
                                  <a:gd name="adj1" fmla="val 50000"/>
                                </a:avLst>
                              </a:prstGeom>
                              <a:ln w="9525" cap="flat" cmpd="sng">
                                <a:solidFill>
                                  <a:srgbClr val="000000"/>
                                </a:solidFill>
                                <a:prstDash val="solid"/>
                                <a:headEnd type="none" w="med" len="med"/>
                                <a:tailEnd type="arrow" w="med" len="med"/>
                              </a:ln>
                            </wps:spPr>
                            <wps:bodyPr/>
                          </wps:wsp>
                        </a:graphicData>
                      </a:graphic>
                    </wp:anchor>
                  </w:drawing>
                </mc:Choice>
                <mc:Fallback>
                  <w:pict>
                    <v:shape id="自选图形 62" o:spid="_x0000_s1026" o:spt="38" type="#_x0000_t38" style="position:absolute;left:0pt;margin-left:282.2pt;margin-top:26.15pt;height:15.5pt;width:22.35pt;rotation:-5898240f;z-index:251747328;mso-width-relative:page;mso-height-relative:page;" filled="f" stroked="t" coordsize="21600,21600" o:gfxdata="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K0pii&#10;2AAAAAkBAAAPAAAAAAAAAAEAIAAAACIAAABkcnMvZG93bnJldi54bWxQSwECFAAUAAAACACHTuJA&#10;KkagAyECAAAkBAAADgAAAAAAAAABACAAAAAnAQAAZHJzL2Uyb0RvYy54bWxQSwUGAAAAAAYABgBZ&#10;AQAAugUAAAAA&#10;" adj="10800">
                      <v:fill on="f" focussize="0,0"/>
                      <v:stroke color="#000000" joinstyle="round" endarrow="open"/>
                      <v:imagedata o:title=""/>
                      <o:lock v:ext="edit" aspectratio="f"/>
                    </v:shape>
                  </w:pict>
                </mc:Fallback>
              </mc:AlternateContent>
            </w:r>
            <w:r>
              <w:rPr>
                <w:color w:val="auto"/>
                <w:sz w:val="24"/>
              </w:rPr>
              <mc:AlternateContent>
                <mc:Choice Requires="wps">
                  <w:drawing>
                    <wp:anchor distT="0" distB="0" distL="114300" distR="114300" simplePos="0" relativeHeight="251710464" behindDoc="0" locked="0" layoutInCell="1" allowOverlap="1">
                      <wp:simplePos x="0" y="0"/>
                      <wp:positionH relativeFrom="column">
                        <wp:posOffset>977265</wp:posOffset>
                      </wp:positionH>
                      <wp:positionV relativeFrom="paragraph">
                        <wp:posOffset>99695</wp:posOffset>
                      </wp:positionV>
                      <wp:extent cx="36195" cy="2992120"/>
                      <wp:effectExtent l="4445" t="0" r="16510" b="17780"/>
                      <wp:wrapNone/>
                      <wp:docPr id="49" name="直线 649"/>
                      <wp:cNvGraphicFramePr/>
                      <a:graphic xmlns:a="http://schemas.openxmlformats.org/drawingml/2006/main">
                        <a:graphicData uri="http://schemas.microsoft.com/office/word/2010/wordprocessingShape">
                          <wps:wsp>
                            <wps:cNvCnPr/>
                            <wps:spPr>
                              <a:xfrm flipH="1">
                                <a:off x="0" y="0"/>
                                <a:ext cx="36195" cy="2992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9" o:spid="_x0000_s1026" o:spt="20" style="position:absolute;left:0pt;flip:x;margin-left:76.95pt;margin-top:7.85pt;height:235.6pt;width:2.85pt;z-index:251710464;mso-width-relative:page;mso-height-relative:page;" filled="f" stroked="t" coordsize="21600,21600" o:gfxdata="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YV1WvYAAAACgEAAA8AAAAAAAAAAQAgAAAAIgAAAGRycy9kb3ducmV2LnhtbFBL&#10;AQIUABQAAAAIAIdO4kC/NeRq9gEAAOwDAAAOAAAAAAAAAAEAIAAAACcBAABkcnMvZTJvRG9jLnht&#10;bFBLBQYAAAAABgAGAFkBAACPBQ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722752" behindDoc="0" locked="0" layoutInCell="1" allowOverlap="1">
                      <wp:simplePos x="0" y="0"/>
                      <wp:positionH relativeFrom="column">
                        <wp:posOffset>2226310</wp:posOffset>
                      </wp:positionH>
                      <wp:positionV relativeFrom="paragraph">
                        <wp:posOffset>104140</wp:posOffset>
                      </wp:positionV>
                      <wp:extent cx="506730" cy="635"/>
                      <wp:effectExtent l="0" t="0" r="0" b="0"/>
                      <wp:wrapNone/>
                      <wp:docPr id="59" name="直线 64"/>
                      <wp:cNvGraphicFramePr/>
                      <a:graphic xmlns:a="http://schemas.openxmlformats.org/drawingml/2006/main">
                        <a:graphicData uri="http://schemas.microsoft.com/office/word/2010/wordprocessingShape">
                          <wps:wsp>
                            <wps:cNvCnPr/>
                            <wps:spPr>
                              <a:xfrm>
                                <a:off x="0" y="0"/>
                                <a:ext cx="50673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 o:spid="_x0000_s1026" o:spt="20" style="position:absolute;left:0pt;margin-left:175.3pt;margin-top:8.2pt;height:0.05pt;width:39.9pt;z-index:251722752;mso-width-relative:page;mso-height-relative:page;" filled="f" stroked="t" coordsize="21600,21600" o:gfxdata="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y1p&#10;R9cAAAAJAQAADwAAAAAAAAABACAAAAAiAAAAZHJzL2Rvd25yZXYueG1sUEsBAhQAFAAAAAgAh07i&#10;QMGR/jnqAQAA3gMAAA4AAAAAAAAAAQAgAAAAJgEAAGRycy9lMm9Eb2MueG1sUEsFBgAAAAAGAAYA&#10;WQEAAIIFA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711488" behindDoc="0" locked="0" layoutInCell="1" allowOverlap="1">
                      <wp:simplePos x="0" y="0"/>
                      <wp:positionH relativeFrom="column">
                        <wp:posOffset>1008380</wp:posOffset>
                      </wp:positionH>
                      <wp:positionV relativeFrom="paragraph">
                        <wp:posOffset>92075</wp:posOffset>
                      </wp:positionV>
                      <wp:extent cx="434975" cy="635"/>
                      <wp:effectExtent l="0" t="0" r="0" b="0"/>
                      <wp:wrapNone/>
                      <wp:docPr id="50" name="直线 650"/>
                      <wp:cNvGraphicFramePr/>
                      <a:graphic xmlns:a="http://schemas.openxmlformats.org/drawingml/2006/main">
                        <a:graphicData uri="http://schemas.microsoft.com/office/word/2010/wordprocessingShape">
                          <wps:wsp>
                            <wps:cNvCnPr/>
                            <wps:spPr>
                              <a:xfrm>
                                <a:off x="0" y="0"/>
                                <a:ext cx="43497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0" o:spid="_x0000_s1026" o:spt="20" style="position:absolute;left:0pt;margin-left:79.4pt;margin-top:7.25pt;height:0.05pt;width:34.25pt;z-index:251711488;mso-width-relative:page;mso-height-relative:page;" filled="f" stroked="t" coordsize="21600,21600" o:gfxdata="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RRd&#10;5dcAAAAJAQAADwAAAAAAAAABACAAAAAiAAAAZHJzL2Rvd25yZXYueG1sUEsBAhQAFAAAAAgAh07i&#10;QBDZwvnqAQAA3wMAAA4AAAAAAAAAAQAgAAAAJgEAAGRycy9lMm9Eb2MueG1sUEsFBgAAAAAGAAYA&#10;WQEAAIIFAAAAAA==&#10;">
                      <v:fill on="f" focussize="0,0"/>
                      <v:stroke color="#000000" joinstyle="round"/>
                      <v:imagedata o:title=""/>
                      <o:lock v:ext="edit" aspectratio="f"/>
                    </v:line>
                  </w:pict>
                </mc:Fallback>
              </mc:AlternateContent>
            </w:r>
          </w:p>
          <w:p>
            <w:pPr>
              <w:pStyle w:val="6"/>
              <w:ind w:firstLine="482"/>
              <w:rPr>
                <w:rFonts w:hint="eastAsia" w:ascii="宋体" w:hAnsi="宋体" w:cs="宋体"/>
                <w:b/>
                <w:color w:val="auto"/>
                <w:sz w:val="24"/>
                <w:szCs w:val="24"/>
              </w:rPr>
            </w:pPr>
          </w:p>
          <w:p>
            <w:pPr>
              <w:pStyle w:val="6"/>
              <w:ind w:firstLine="480"/>
              <w:rPr>
                <w:rFonts w:hint="eastAsia" w:ascii="宋体" w:hAnsi="宋体" w:cs="宋体"/>
                <w:b/>
                <w:color w:val="auto"/>
                <w:sz w:val="24"/>
                <w:szCs w:val="24"/>
              </w:rPr>
            </w:pPr>
            <w:r>
              <w:rPr>
                <w:color w:val="auto"/>
                <w:sz w:val="24"/>
              </w:rPr>
              <mc:AlternateContent>
                <mc:Choice Requires="wps">
                  <w:drawing>
                    <wp:anchor distT="0" distB="0" distL="114300" distR="114300" simplePos="0" relativeHeight="251752448" behindDoc="0" locked="0" layoutInCell="1" allowOverlap="1">
                      <wp:simplePos x="0" y="0"/>
                      <wp:positionH relativeFrom="column">
                        <wp:posOffset>2566035</wp:posOffset>
                      </wp:positionH>
                      <wp:positionV relativeFrom="paragraph">
                        <wp:posOffset>23495</wp:posOffset>
                      </wp:positionV>
                      <wp:extent cx="929005" cy="239395"/>
                      <wp:effectExtent l="0" t="0" r="0" b="0"/>
                      <wp:wrapNone/>
                      <wp:docPr id="89"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270</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202.05pt;margin-top:1.85pt;height:18.85pt;width:73.15pt;z-index:251752448;mso-width-relative:page;mso-height-relative:page;" filled="f" stroked="f" coordsize="21600,21600" o:gfxdata="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e5xoXWAAAACAEAAA8AAAAAAAAAAQAgAAAAIgAAAGRycy9kb3ducmV2LnhtbFBL&#10;AQIUABQAAAAIAIdO4kC1VUz9MQIAAEQEAAAOAAAAAAAAAAEAIAAAACUBAABkcnMvZTJvRG9jLnht&#10;bFBLBQYAAAAABgAGAFkBAADI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270</w:t>
                            </w:r>
                          </w:p>
                        </w:txbxContent>
                      </v:textbox>
                    </v:shape>
                  </w:pict>
                </mc:Fallback>
              </mc:AlternateContent>
            </w:r>
            <w:r>
              <w:rPr>
                <w:color w:val="auto"/>
                <w:sz w:val="24"/>
              </w:rPr>
              <mc:AlternateContent>
                <mc:Choice Requires="wps">
                  <w:drawing>
                    <wp:anchor distT="0" distB="0" distL="114300" distR="114300" simplePos="0" relativeHeight="251749376" behindDoc="0" locked="0" layoutInCell="1" allowOverlap="1">
                      <wp:simplePos x="0" y="0"/>
                      <wp:positionH relativeFrom="column">
                        <wp:posOffset>3864610</wp:posOffset>
                      </wp:positionH>
                      <wp:positionV relativeFrom="paragraph">
                        <wp:posOffset>13970</wp:posOffset>
                      </wp:positionV>
                      <wp:extent cx="929005" cy="239395"/>
                      <wp:effectExtent l="0" t="0" r="0" b="0"/>
                      <wp:wrapNone/>
                      <wp:docPr id="86"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216</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304.3pt;margin-top:1.1pt;height:18.85pt;width:73.15pt;z-index:251749376;mso-width-relative:page;mso-height-relative:page;" filled="f" stroked="f" coordsize="21600,21600" o:gfxdata="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Ko1EL1wAAAAgBAAAPAAAAAAAAAAEAIAAAACIAAABkcnMvZG93bnJldi54bWxQ&#10;SwECFAAUAAAACACHTuJAVUmqEjECAABEBAAADgAAAAAAAAABACAAAAAmAQAAZHJzL2Uyb0RvYy54&#10;bWxQSwUGAAAAAAYABgBZAQAAyQU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216</w:t>
                            </w:r>
                          </w:p>
                        </w:txbxContent>
                      </v:textbox>
                    </v:shape>
                  </w:pict>
                </mc:Fallback>
              </mc:AlternateContent>
            </w:r>
            <w:r>
              <w:rPr>
                <w:color w:val="auto"/>
                <w:sz w:val="24"/>
              </w:rPr>
              <mc:AlternateContent>
                <mc:Choice Requires="wps">
                  <w:drawing>
                    <wp:anchor distT="0" distB="0" distL="114300" distR="114300" simplePos="0" relativeHeight="251746304" behindDoc="0" locked="0" layoutInCell="1" allowOverlap="1">
                      <wp:simplePos x="0" y="0"/>
                      <wp:positionH relativeFrom="column">
                        <wp:posOffset>3241040</wp:posOffset>
                      </wp:positionH>
                      <wp:positionV relativeFrom="paragraph">
                        <wp:posOffset>43815</wp:posOffset>
                      </wp:positionV>
                      <wp:extent cx="804545" cy="342900"/>
                      <wp:effectExtent l="4445" t="4445" r="10160" b="14605"/>
                      <wp:wrapNone/>
                      <wp:docPr id="83"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882015" cy="342900"/>
                              </a:xfrm>
                              <a:prstGeom prst="rect">
                                <a:avLst/>
                              </a:prstGeom>
                              <a:solidFill>
                                <a:srgbClr val="FFFFFF"/>
                              </a:solidFill>
                              <a:ln w="3175">
                                <a:solidFill>
                                  <a:srgbClr val="000000"/>
                                </a:solidFill>
                                <a:miter lim="800000"/>
                              </a:ln>
                              <a:effectLst/>
                            </wps:spPr>
                            <wps:txbx>
                              <w:txbxContent>
                                <w:p>
                                  <w:pPr>
                                    <w:jc w:val="center"/>
                                    <w:rPr>
                                      <w:rFonts w:hint="eastAsia"/>
                                    </w:rPr>
                                  </w:pPr>
                                  <w:r>
                                    <w:rPr>
                                      <w:rFonts w:hint="eastAsia"/>
                                      <w:lang w:eastAsia="zh-CN"/>
                                    </w:rPr>
                                    <w:t>检验</w:t>
                                  </w:r>
                                  <w:r>
                                    <w:rPr>
                                      <w:rFonts w:hint="eastAsia"/>
                                    </w:rPr>
                                    <w:t>用水</w:t>
                                  </w:r>
                                </w:p>
                              </w:txbxContent>
                            </wps:txbx>
                            <wps:bodyPr rot="0" vert="horz" wrap="square" lIns="91440" tIns="45720" rIns="91440" bIns="45720" anchor="t" anchorCtr="0" upright="1">
                              <a:noAutofit/>
                            </wps:bodyPr>
                          </wps:wsp>
                        </a:graphicData>
                      </a:graphic>
                    </wp:anchor>
                  </w:drawing>
                </mc:Choice>
                <mc:Fallback>
                  <w:pict>
                    <v:shape id="文本框 90" o:spid="_x0000_s1026" o:spt="202" type="#_x0000_t202" style="position:absolute;left:0pt;margin-left:255.2pt;margin-top:3.45pt;height:27pt;width:63.35pt;z-index:251746304;mso-width-relative:page;mso-height-relative:page;" fillcolor="#FFFFFF" filled="t" stroked="t" coordsize="21600,21600" o:gfxdata="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BFErDWAAAACAEAAA8AAAAAAAAAAQAgAAAA&#10;IgAAAGRycy9kb3ducmV2LnhtbFBLAQIUABQAAAAIAIdO4kAVz+/JRgIAAJYEAAAOAAAAAAAAAAEA&#10;IAAAACUBAABkcnMvZTJvRG9jLnhtbFBLBQYAAAAABgAGAFkBAADdBQAAAAA=&#10;">
                      <v:fill on="t" focussize="0,0"/>
                      <v:stroke weight="0.25pt" color="#000000" miterlimit="8" joinstyle="miter"/>
                      <v:imagedata o:title=""/>
                      <o:lock v:ext="edit" aspectratio="f"/>
                      <v:textbox>
                        <w:txbxContent>
                          <w:p>
                            <w:pPr>
                              <w:jc w:val="center"/>
                              <w:rPr>
                                <w:rFonts w:hint="eastAsia"/>
                              </w:rPr>
                            </w:pPr>
                            <w:r>
                              <w:rPr>
                                <w:rFonts w:hint="eastAsia"/>
                                <w:lang w:eastAsia="zh-CN"/>
                              </w:rPr>
                              <w:t>检验</w:t>
                            </w:r>
                            <w:r>
                              <w:rPr>
                                <w:rFonts w:hint="eastAsia"/>
                              </w:rPr>
                              <w:t>用水</w:t>
                            </w:r>
                          </w:p>
                        </w:txbxContent>
                      </v:textbox>
                    </v:shape>
                  </w:pict>
                </mc:Fallback>
              </mc:AlternateContent>
            </w:r>
          </w:p>
          <w:p>
            <w:pPr>
              <w:pStyle w:val="6"/>
              <w:ind w:firstLine="480"/>
              <w:rPr>
                <w:rFonts w:hint="eastAsia" w:ascii="宋体" w:hAnsi="宋体" w:cs="宋体"/>
                <w:b/>
                <w:color w:val="auto"/>
                <w:sz w:val="24"/>
                <w:szCs w:val="24"/>
              </w:rPr>
            </w:pPr>
            <w:r>
              <w:rPr>
                <w:color w:val="auto"/>
                <w:sz w:val="24"/>
              </w:rPr>
              <mc:AlternateContent>
                <mc:Choice Requires="wps">
                  <w:drawing>
                    <wp:anchor distT="0" distB="0" distL="114300" distR="114300" simplePos="0" relativeHeight="251751424" behindDoc="0" locked="0" layoutInCell="1" allowOverlap="1">
                      <wp:simplePos x="0" y="0"/>
                      <wp:positionH relativeFrom="column">
                        <wp:posOffset>4017645</wp:posOffset>
                      </wp:positionH>
                      <wp:positionV relativeFrom="paragraph">
                        <wp:posOffset>38735</wp:posOffset>
                      </wp:positionV>
                      <wp:extent cx="506730" cy="635"/>
                      <wp:effectExtent l="0" t="0" r="0" b="0"/>
                      <wp:wrapNone/>
                      <wp:docPr id="88" name="直线 118"/>
                      <wp:cNvGraphicFramePr/>
                      <a:graphic xmlns:a="http://schemas.openxmlformats.org/drawingml/2006/main">
                        <a:graphicData uri="http://schemas.microsoft.com/office/word/2010/wordprocessingShape">
                          <wps:wsp>
                            <wps:cNvCnPr/>
                            <wps:spPr>
                              <a:xfrm>
                                <a:off x="0" y="0"/>
                                <a:ext cx="50673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8" o:spid="_x0000_s1026" o:spt="20" style="position:absolute;left:0pt;margin-left:316.35pt;margin-top:3.05pt;height:0.05pt;width:39.9pt;z-index:251751424;mso-width-relative:page;mso-height-relative:page;" filled="f" stroked="t" coordsize="21600,21600" o:gfxdata="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1a0RdQA&#10;AAAHAQAADwAAAAAAAAABACAAAAAiAAAAZHJzL2Rvd25yZXYueG1sUEsBAhQAFAAAAAgAh07iQICS&#10;ttbqAQAA3wMAAA4AAAAAAAAAAQAgAAAAIwEAAGRycy9lMm9Eb2MueG1sUEsFBgAAAAAGAAYAWQEA&#10;AH8FA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726848" behindDoc="0" locked="0" layoutInCell="1" allowOverlap="1">
                      <wp:simplePos x="0" y="0"/>
                      <wp:positionH relativeFrom="column">
                        <wp:posOffset>2703195</wp:posOffset>
                      </wp:positionH>
                      <wp:positionV relativeFrom="paragraph">
                        <wp:posOffset>46990</wp:posOffset>
                      </wp:positionV>
                      <wp:extent cx="530860" cy="635"/>
                      <wp:effectExtent l="0" t="48895" r="2540" b="64770"/>
                      <wp:wrapNone/>
                      <wp:docPr id="64" name="直线 119"/>
                      <wp:cNvGraphicFramePr/>
                      <a:graphic xmlns:a="http://schemas.openxmlformats.org/drawingml/2006/main">
                        <a:graphicData uri="http://schemas.microsoft.com/office/word/2010/wordprocessingShape">
                          <wps:wsp>
                            <wps:cNvCnPr/>
                            <wps:spPr>
                              <a:xfrm>
                                <a:off x="0" y="0"/>
                                <a:ext cx="530860"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19" o:spid="_x0000_s1026" o:spt="20" style="position:absolute;left:0pt;margin-left:212.85pt;margin-top:3.7pt;height:0.05pt;width:41.8pt;z-index:251726848;mso-width-relative:page;mso-height-relative:page;" filled="f" stroked="t" coordsize="21600,21600" o:gfxdata="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IbIx7XAAAABwEAAA8AAAAAAAAAAQAgAAAAIgAAAGRycy9kb3ducmV2LnhtbFBLAQIUABQA&#10;AAAIAIdO4kBRHnct8QEAAOADAAAOAAAAAAAAAAEAIAAAACYBAABkcnMvZTJvRG9jLnhtbFBLBQYA&#10;AAAABgAGAFkBAACJBQAAAAA=&#10;">
                      <v:fill on="f" focussize="0,0"/>
                      <v:stroke color="#00000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09440" behindDoc="0" locked="0" layoutInCell="1" allowOverlap="1">
                      <wp:simplePos x="0" y="0"/>
                      <wp:positionH relativeFrom="column">
                        <wp:posOffset>-214630</wp:posOffset>
                      </wp:positionH>
                      <wp:positionV relativeFrom="paragraph">
                        <wp:posOffset>50800</wp:posOffset>
                      </wp:positionV>
                      <wp:extent cx="1452245" cy="469265"/>
                      <wp:effectExtent l="0" t="0" r="0" b="0"/>
                      <wp:wrapNone/>
                      <wp:docPr id="92"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rPr>
                                    <w:t>新鲜水</w:t>
                                  </w:r>
                                  <w:r>
                                    <w:rPr>
                                      <w:rFonts w:hint="eastAsia"/>
                                      <w:lang w:val="en-US" w:eastAsia="zh-CN"/>
                                    </w:rPr>
                                    <w:t>31890</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6.9pt;margin-top:4pt;height:36.95pt;width:114.35pt;z-index:251709440;mso-width-relative:page;mso-height-relative:page;" filled="f" stroked="f" coordsize="21600,21600" o:gfxdata="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2bDsHWAAAACAEAAA8AAAAAAAAAAQAgAAAAIgAAAGRycy9kb3ducmV2LnhtbFBL&#10;AQIUABQAAAAIAIdO4kBK6lRhMQIAAEQEAAAOAAAAAAAAAAEAIAAAACUBAABkcnMvZTJvRG9jLnht&#10;bFBLBQYAAAAABgAGAFkBAADI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rPr>
                              <w:t>新鲜水</w:t>
                            </w:r>
                            <w:r>
                              <w:rPr>
                                <w:rFonts w:hint="eastAsia"/>
                                <w:lang w:val="en-US" w:eastAsia="zh-CN"/>
                              </w:rPr>
                              <w:t>31890</w:t>
                            </w:r>
                          </w:p>
                        </w:txbxContent>
                      </v:textbox>
                    </v:shape>
                  </w:pict>
                </mc:Fallback>
              </mc:AlternateContent>
            </w:r>
          </w:p>
          <w:p>
            <w:pPr>
              <w:pStyle w:val="6"/>
              <w:ind w:firstLine="480"/>
              <w:rPr>
                <w:rFonts w:hint="eastAsia" w:ascii="宋体" w:hAnsi="宋体" w:cs="宋体"/>
                <w:b/>
                <w:color w:val="auto"/>
                <w:sz w:val="24"/>
                <w:szCs w:val="24"/>
              </w:rPr>
            </w:pPr>
            <w:r>
              <w:rPr>
                <w:color w:val="auto"/>
                <w:sz w:val="24"/>
              </w:rPr>
              <mc:AlternateContent>
                <mc:Choice Requires="wps">
                  <w:drawing>
                    <wp:anchor distT="0" distB="0" distL="114300" distR="114300" simplePos="0" relativeHeight="251708416" behindDoc="0" locked="0" layoutInCell="1" allowOverlap="1">
                      <wp:simplePos x="0" y="0"/>
                      <wp:positionH relativeFrom="column">
                        <wp:posOffset>8255</wp:posOffset>
                      </wp:positionH>
                      <wp:positionV relativeFrom="paragraph">
                        <wp:posOffset>144780</wp:posOffset>
                      </wp:positionV>
                      <wp:extent cx="1016000" cy="11430"/>
                      <wp:effectExtent l="0" t="48260" r="12700" b="54610"/>
                      <wp:wrapNone/>
                      <wp:docPr id="48" name="直线 645"/>
                      <wp:cNvGraphicFramePr/>
                      <a:graphic xmlns:a="http://schemas.openxmlformats.org/drawingml/2006/main">
                        <a:graphicData uri="http://schemas.microsoft.com/office/word/2010/wordprocessingShape">
                          <wps:wsp>
                            <wps:cNvCnPr/>
                            <wps:spPr>
                              <a:xfrm flipV="1">
                                <a:off x="0" y="0"/>
                                <a:ext cx="1016000" cy="1143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645" o:spid="_x0000_s1026" o:spt="20" style="position:absolute;left:0pt;flip:y;margin-left:0.65pt;margin-top:11.4pt;height:0.9pt;width:80pt;z-index:251708416;mso-width-relative:page;mso-height-relative:page;" filled="f" stroked="t" coordsize="21600,21600" o:gfxdata="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BTWu0wAAAAcBAAAPAAAAAAAAAAEAIAAAACIAAABkcnMvZG93bnJldi54bWxQ&#10;SwECFAAUAAAACACHTuJA9AfTFfwBAADtAwAADgAAAAAAAAABACAAAAAiAQAAZHJzL2Uyb0RvYy54&#10;bWxQSwUGAAAAAAYABgBZAQAAkAUAAAAA&#10;">
                      <v:fill on="f" focussize="0,0"/>
                      <v:stroke color="#000000" joinstyle="round" endarrow="open"/>
                      <v:imagedata o:title=""/>
                      <o:lock v:ext="edit" aspectratio="f"/>
                    </v:line>
                  </w:pict>
                </mc:Fallback>
              </mc:AlternateContent>
            </w:r>
          </w:p>
          <w:p>
            <w:pPr>
              <w:pStyle w:val="6"/>
              <w:ind w:firstLine="480"/>
              <w:rPr>
                <w:rFonts w:hint="eastAsia" w:ascii="宋体" w:hAnsi="宋体" w:cs="宋体"/>
                <w:b/>
                <w:color w:val="auto"/>
                <w:sz w:val="24"/>
                <w:szCs w:val="24"/>
              </w:rPr>
            </w:pPr>
            <w:r>
              <w:rPr>
                <w:color w:val="auto"/>
                <w:sz w:val="24"/>
              </w:rPr>
              <mc:AlternateContent>
                <mc:Choice Requires="wps">
                  <w:drawing>
                    <wp:anchor distT="0" distB="0" distL="114300" distR="114300" simplePos="0" relativeHeight="251740160" behindDoc="0" locked="0" layoutInCell="1" allowOverlap="1">
                      <wp:simplePos x="0" y="0"/>
                      <wp:positionH relativeFrom="column">
                        <wp:posOffset>2481580</wp:posOffset>
                      </wp:positionH>
                      <wp:positionV relativeFrom="paragraph">
                        <wp:posOffset>99695</wp:posOffset>
                      </wp:positionV>
                      <wp:extent cx="929005" cy="257175"/>
                      <wp:effectExtent l="0" t="0" r="0" b="0"/>
                      <wp:wrapNone/>
                      <wp:docPr id="77"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30000</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195.4pt;margin-top:7.85pt;height:20.25pt;width:73.15pt;z-index:251740160;mso-width-relative:page;mso-height-relative:page;" filled="f" stroked="f" coordsize="21600,21600" o:gfxdata="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cLEj/NgAAAAJAQAADwAAAAAAAAABACAAAAAiAAAAZHJzL2Rvd25yZXYueG1s&#10;UEsBAhQAFAAAAAgAh07iQC4YvxYxAgAARAQAAA4AAAAAAAAAAQAgAAAAJwEAAGRycy9lMm9Eb2Mu&#10;eG1sUEsFBgAAAAAGAAYAWQEAAMoFA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30000</w:t>
                            </w:r>
                          </w:p>
                        </w:txbxContent>
                      </v:textbox>
                    </v:shape>
                  </w:pict>
                </mc:Fallback>
              </mc:AlternateContent>
            </w:r>
            <w:r>
              <w:rPr>
                <w:color w:val="auto"/>
                <w:sz w:val="24"/>
              </w:rPr>
              <mc:AlternateContent>
                <mc:Choice Requires="wps">
                  <w:drawing>
                    <wp:anchor distT="0" distB="0" distL="114300" distR="114300" simplePos="0" relativeHeight="251732992" behindDoc="0" locked="0" layoutInCell="1" allowOverlap="1">
                      <wp:simplePos x="0" y="0"/>
                      <wp:positionH relativeFrom="column">
                        <wp:posOffset>4464685</wp:posOffset>
                      </wp:positionH>
                      <wp:positionV relativeFrom="paragraph">
                        <wp:posOffset>81915</wp:posOffset>
                      </wp:positionV>
                      <wp:extent cx="716915" cy="520065"/>
                      <wp:effectExtent l="0" t="0" r="0" b="0"/>
                      <wp:wrapNone/>
                      <wp:docPr id="70"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pPr>
                                  <w:r>
                                    <w:rPr>
                                      <w:rFonts w:hint="eastAsia"/>
                                    </w:rPr>
                                    <w:t>随着产品带走</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351.55pt;margin-top:6.45pt;height:40.95pt;width:56.45pt;z-index:251732992;mso-width-relative:page;mso-height-relative:page;" filled="f" stroked="f" coordsize="21600,21600" o:gfxdata="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POCN71wAAAAkBAAAPAAAAAAAAAAEAIAAAACIAAABkcnMvZG93bnJldi54bWxQ&#10;SwECFAAUAAAACACHTuJA8b+M3jECAABEBAAADgAAAAAAAAABACAAAAAmAQAAZHJzL2Uyb0RvYy54&#10;bWxQSwUGAAAAAAYABgBZAQAAyQUAAAAA&#10;">
                      <v:fill on="f" focussize="0,0"/>
                      <v:stroke on="f" weight="0.25pt" miterlimit="8" joinstyle="miter"/>
                      <v:imagedata o:title=""/>
                      <o:lock v:ext="edit" aspectratio="f"/>
                      <v:textbox>
                        <w:txbxContent>
                          <w:p>
                            <w:pPr>
                              <w:jc w:val="center"/>
                            </w:pPr>
                            <w:r>
                              <w:rPr>
                                <w:rFonts w:hint="eastAsia"/>
                              </w:rPr>
                              <w:t>随着产品带走</w:t>
                            </w:r>
                          </w:p>
                        </w:txbxContent>
                      </v:textbox>
                    </v:shape>
                  </w:pict>
                </mc:Fallback>
              </mc:AlternateContent>
            </w:r>
            <w:r>
              <w:rPr>
                <w:color w:val="auto"/>
                <w:sz w:val="24"/>
              </w:rPr>
              <mc:AlternateContent>
                <mc:Choice Requires="wps">
                  <w:drawing>
                    <wp:anchor distT="0" distB="0" distL="114300" distR="114300" simplePos="0" relativeHeight="251743232" behindDoc="0" locked="0" layoutInCell="1" allowOverlap="1">
                      <wp:simplePos x="0" y="0"/>
                      <wp:positionH relativeFrom="column">
                        <wp:posOffset>3830320</wp:posOffset>
                      </wp:positionH>
                      <wp:positionV relativeFrom="paragraph">
                        <wp:posOffset>101600</wp:posOffset>
                      </wp:positionV>
                      <wp:extent cx="929005" cy="362585"/>
                      <wp:effectExtent l="0" t="0" r="0" b="0"/>
                      <wp:wrapNone/>
                      <wp:docPr id="80"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30000</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301.6pt;margin-top:8pt;height:28.55pt;width:73.15pt;z-index:251743232;mso-width-relative:page;mso-height-relative:page;" filled="f" stroked="f" coordsize="21600,21600" o:gfxdata="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UYP7TXAAAACQEAAA8AAAAAAAAAAQAgAAAAIgAAAGRycy9kb3ducmV2LnhtbFBL&#10;AQIUABQAAAAIAIdO4kCVu2l+MAIAAEQEAAAOAAAAAAAAAAEAIAAAACYBAABkcnMvZTJvRG9jLnht&#10;bFBLBQYAAAAABgAGAFkBAADI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30000</w:t>
                            </w:r>
                          </w:p>
                        </w:txbxContent>
                      </v:textbox>
                    </v:shape>
                  </w:pict>
                </mc:Fallback>
              </mc:AlternateContent>
            </w:r>
            <w:r>
              <w:rPr>
                <w:color w:val="auto"/>
                <w:sz w:val="24"/>
              </w:rPr>
              <mc:AlternateContent>
                <mc:Choice Requires="wps">
                  <w:drawing>
                    <wp:anchor distT="0" distB="0" distL="114300" distR="114300" simplePos="0" relativeHeight="251724800" behindDoc="0" locked="0" layoutInCell="1" allowOverlap="1">
                      <wp:simplePos x="0" y="0"/>
                      <wp:positionH relativeFrom="column">
                        <wp:posOffset>3241040</wp:posOffset>
                      </wp:positionH>
                      <wp:positionV relativeFrom="paragraph">
                        <wp:posOffset>169545</wp:posOffset>
                      </wp:positionV>
                      <wp:extent cx="804545" cy="342900"/>
                      <wp:effectExtent l="4445" t="4445" r="10160" b="14605"/>
                      <wp:wrapNone/>
                      <wp:docPr id="61"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882015" cy="342900"/>
                              </a:xfrm>
                              <a:prstGeom prst="rect">
                                <a:avLst/>
                              </a:prstGeom>
                              <a:solidFill>
                                <a:srgbClr val="FFFFFF"/>
                              </a:solidFill>
                              <a:ln w="3175">
                                <a:solidFill>
                                  <a:srgbClr val="000000"/>
                                </a:solidFill>
                                <a:miter lim="800000"/>
                              </a:ln>
                              <a:effectLst/>
                            </wps:spPr>
                            <wps:txbx>
                              <w:txbxContent>
                                <w:p>
                                  <w:pPr>
                                    <w:jc w:val="center"/>
                                    <w:rPr>
                                      <w:rFonts w:hint="eastAsia"/>
                                    </w:rPr>
                                  </w:pPr>
                                  <w:r>
                                    <w:rPr>
                                      <w:rFonts w:hint="eastAsia"/>
                                      <w:lang w:val="en-US" w:eastAsia="zh-CN"/>
                                    </w:rPr>
                                    <w:t>拌和</w:t>
                                  </w:r>
                                  <w:r>
                                    <w:rPr>
                                      <w:rFonts w:hint="eastAsia"/>
                                    </w:rPr>
                                    <w:t>用水</w:t>
                                  </w:r>
                                </w:p>
                              </w:txbxContent>
                            </wps:txbx>
                            <wps:bodyPr rot="0" vert="horz" wrap="square" lIns="91440" tIns="45720" rIns="91440" bIns="45720" anchor="t" anchorCtr="0" upright="1">
                              <a:noAutofit/>
                            </wps:bodyPr>
                          </wps:wsp>
                        </a:graphicData>
                      </a:graphic>
                    </wp:anchor>
                  </w:drawing>
                </mc:Choice>
                <mc:Fallback>
                  <w:pict>
                    <v:shape id="文本框 90" o:spid="_x0000_s1026" o:spt="202" type="#_x0000_t202" style="position:absolute;left:0pt;margin-left:255.2pt;margin-top:13.35pt;height:27pt;width:63.35pt;z-index:251724800;mso-width-relative:page;mso-height-relative:page;" fillcolor="#FFFFFF" filled="t" stroked="t" coordsize="21600,21600" o:gfxdata="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STD3/WAAAACQEAAA8AAAAAAAAAAQAgAAAA&#10;IgAAAGRycy9kb3ducmV2LnhtbFBLAQIUABQAAAAIAIdO4kCclzVlRgIAAJYEAAAOAAAAAAAAAAEA&#10;IAAAACUBAABkcnMvZTJvRG9jLnhtbFBLBQYAAAAABgAGAFkBAADdBQAAAAA=&#10;">
                      <v:fill on="t" focussize="0,0"/>
                      <v:stroke weight="0.25pt" color="#000000" miterlimit="8" joinstyle="miter"/>
                      <v:imagedata o:title=""/>
                      <o:lock v:ext="edit" aspectratio="f"/>
                      <v:textbox>
                        <w:txbxContent>
                          <w:p>
                            <w:pPr>
                              <w:jc w:val="center"/>
                              <w:rPr>
                                <w:rFonts w:hint="eastAsia"/>
                              </w:rPr>
                            </w:pPr>
                            <w:r>
                              <w:rPr>
                                <w:rFonts w:hint="eastAsia"/>
                                <w:lang w:val="en-US" w:eastAsia="zh-CN"/>
                              </w:rPr>
                              <w:t>拌和</w:t>
                            </w:r>
                            <w:r>
                              <w:rPr>
                                <w:rFonts w:hint="eastAsia"/>
                              </w:rPr>
                              <w:t>用水</w:t>
                            </w:r>
                          </w:p>
                        </w:txbxContent>
                      </v:textbox>
                    </v:shape>
                  </w:pict>
                </mc:Fallback>
              </mc:AlternateContent>
            </w:r>
          </w:p>
          <w:p>
            <w:pPr>
              <w:rPr>
                <w:rFonts w:hint="eastAsia" w:ascii="宋体" w:hAnsi="宋体" w:cs="宋体"/>
                <w:b/>
                <w:bCs/>
                <w:color w:val="auto"/>
                <w:sz w:val="24"/>
              </w:rPr>
            </w:pPr>
            <w:r>
              <w:rPr>
                <w:color w:val="auto"/>
              </w:rPr>
              <mc:AlternateContent>
                <mc:Choice Requires="wps">
                  <w:drawing>
                    <wp:anchor distT="0" distB="0" distL="114300" distR="114300" simplePos="0" relativeHeight="251750400" behindDoc="0" locked="0" layoutInCell="1" allowOverlap="1">
                      <wp:simplePos x="0" y="0"/>
                      <wp:positionH relativeFrom="column">
                        <wp:posOffset>4043045</wp:posOffset>
                      </wp:positionH>
                      <wp:positionV relativeFrom="paragraph">
                        <wp:posOffset>154940</wp:posOffset>
                      </wp:positionV>
                      <wp:extent cx="579120" cy="7620"/>
                      <wp:effectExtent l="0" t="42545" r="11430" b="64135"/>
                      <wp:wrapNone/>
                      <wp:docPr id="87" name="直线 126"/>
                      <wp:cNvGraphicFramePr/>
                      <a:graphic xmlns:a="http://schemas.openxmlformats.org/drawingml/2006/main">
                        <a:graphicData uri="http://schemas.microsoft.com/office/word/2010/wordprocessingShape">
                          <wps:wsp>
                            <wps:cNvCnPr/>
                            <wps:spPr>
                              <a:xfrm>
                                <a:off x="0" y="0"/>
                                <a:ext cx="579120" cy="762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26" o:spid="_x0000_s1026" o:spt="20" style="position:absolute;left:0pt;margin-left:318.35pt;margin-top:12.2pt;height:0.6pt;width:45.6pt;z-index:251750400;mso-width-relative:page;mso-height-relative:page;" filled="f" stroked="t" coordsize="21600,21600" o:gfxdata="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UuL8NoAAAAJAQAADwAAAAAAAAABACAAAAAiAAAAZHJzL2Rvd25yZXYueG1sUEsBAhQA&#10;FAAAAAgAh07iQAfE6qvwAQAA4QMAAA4AAAAAAAAAAQAgAAAAKQEAAGRycy9lMm9Eb2MueG1sUEsF&#10;BgAAAAAGAAYAWQEAAIsFAAAAAA==&#10;">
                      <v:fill on="f" focussize="0,0"/>
                      <v:stroke color="#00000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45280" behindDoc="0" locked="0" layoutInCell="1" allowOverlap="1">
                      <wp:simplePos x="0" y="0"/>
                      <wp:positionH relativeFrom="column">
                        <wp:posOffset>2703195</wp:posOffset>
                      </wp:positionH>
                      <wp:positionV relativeFrom="paragraph">
                        <wp:posOffset>145415</wp:posOffset>
                      </wp:positionV>
                      <wp:extent cx="530860" cy="635"/>
                      <wp:effectExtent l="0" t="48895" r="2540" b="64770"/>
                      <wp:wrapNone/>
                      <wp:docPr id="82" name="直线 127"/>
                      <wp:cNvGraphicFramePr/>
                      <a:graphic xmlns:a="http://schemas.openxmlformats.org/drawingml/2006/main">
                        <a:graphicData uri="http://schemas.microsoft.com/office/word/2010/wordprocessingShape">
                          <wps:wsp>
                            <wps:cNvCnPr/>
                            <wps:spPr>
                              <a:xfrm>
                                <a:off x="0" y="0"/>
                                <a:ext cx="530860"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27" o:spid="_x0000_s1026" o:spt="20" style="position:absolute;left:0pt;margin-left:212.85pt;margin-top:11.45pt;height:0.05pt;width:41.8pt;z-index:251745280;mso-width-relative:page;mso-height-relative:page;" filled="f" stroked="t" coordsize="21600,21600" o:gfxdata="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kR+Bu9oAAAAJAQAADwAAAAAAAAABACAAAAAiAAAAZHJzL2Rvd25yZXYueG1sUEsBAhQA&#10;FAAAAAgAh07iQO2ZpXLwAQAA4AMAAA4AAAAAAAAAAQAgAAAAKQEAAGRycy9lMm9Eb2MueG1sUEsF&#10;BgAAAAAGAAYAWQEAAIsFAAAAAA==&#10;">
                      <v:fill on="f" focussize="0,0"/>
                      <v:stroke color="#000000" joinstyle="round" endarrow="open"/>
                      <v:imagedata o:title=""/>
                      <o:lock v:ext="edit" aspectratio="f"/>
                    </v:line>
                  </w:pict>
                </mc:Fallback>
              </mc:AlternateContent>
            </w:r>
          </w:p>
          <w:p>
            <w:pPr>
              <w:pStyle w:val="6"/>
              <w:ind w:firstLine="482"/>
              <w:rPr>
                <w:rFonts w:hint="eastAsia" w:ascii="宋体" w:hAnsi="宋体" w:cs="宋体"/>
                <w:b/>
                <w:color w:val="auto"/>
                <w:sz w:val="24"/>
                <w:szCs w:val="24"/>
              </w:rPr>
            </w:pPr>
          </w:p>
          <w:p>
            <w:pPr>
              <w:rPr>
                <w:rFonts w:hint="eastAsia" w:ascii="宋体" w:hAnsi="宋体" w:cs="宋体"/>
                <w:b/>
                <w:color w:val="auto"/>
                <w:sz w:val="24"/>
                <w:szCs w:val="24"/>
              </w:rPr>
            </w:pPr>
          </w:p>
          <w:p>
            <w:pPr>
              <w:pStyle w:val="16"/>
              <w:rPr>
                <w:rFonts w:hint="eastAsia" w:ascii="宋体" w:hAnsi="宋体" w:cs="宋体"/>
                <w:b/>
                <w:color w:val="auto"/>
                <w:sz w:val="24"/>
                <w:szCs w:val="24"/>
              </w:rPr>
            </w:pPr>
            <w:r>
              <w:rPr>
                <w:color w:val="auto"/>
                <w:sz w:val="24"/>
              </w:rPr>
              <mc:AlternateContent>
                <mc:Choice Requires="wps">
                  <w:drawing>
                    <wp:anchor distT="0" distB="0" distL="114300" distR="114300" simplePos="0" relativeHeight="251760640" behindDoc="0" locked="0" layoutInCell="1" allowOverlap="1">
                      <wp:simplePos x="0" y="0"/>
                      <wp:positionH relativeFrom="column">
                        <wp:posOffset>2585085</wp:posOffset>
                      </wp:positionH>
                      <wp:positionV relativeFrom="paragraph">
                        <wp:posOffset>21590</wp:posOffset>
                      </wp:positionV>
                      <wp:extent cx="775335" cy="344170"/>
                      <wp:effectExtent l="0" t="0" r="0" b="0"/>
                      <wp:wrapNone/>
                      <wp:docPr id="99"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1296</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203.55pt;margin-top:1.7pt;height:27.1pt;width:61.05pt;z-index:251760640;mso-width-relative:page;mso-height-relative:page;" filled="f" stroked="f" coordsize="21600,21600" o:gfxdata="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tM2stgAAAAIAQAADwAAAAAAAAABACAAAAAiAAAAZHJzL2Rvd25yZXYueG1s&#10;UEsBAhQAFAAAAAgAh07iQBWo4HAxAgAARAQAAA4AAAAAAAAAAQAgAAAAJwEAAGRycy9lMm9Eb2Mu&#10;eG1sUEsFBgAAAAAGAAYAWQEAAMoFA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1296</w:t>
                            </w:r>
                          </w:p>
                        </w:txbxContent>
                      </v:textbox>
                    </v:shape>
                  </w:pict>
                </mc:Fallback>
              </mc:AlternateContent>
            </w:r>
            <w:r>
              <w:rPr>
                <w:color w:val="auto"/>
                <w:sz w:val="24"/>
              </w:rPr>
              <mc:AlternateContent>
                <mc:Choice Requires="wps">
                  <w:drawing>
                    <wp:anchor distT="0" distB="0" distL="114300" distR="114300" simplePos="0" relativeHeight="251759616" behindDoc="0" locked="0" layoutInCell="1" allowOverlap="1">
                      <wp:simplePos x="0" y="0"/>
                      <wp:positionH relativeFrom="column">
                        <wp:posOffset>4596765</wp:posOffset>
                      </wp:positionH>
                      <wp:positionV relativeFrom="paragraph">
                        <wp:posOffset>9525</wp:posOffset>
                      </wp:positionV>
                      <wp:extent cx="775335" cy="534035"/>
                      <wp:effectExtent l="0" t="0" r="0" b="0"/>
                      <wp:wrapNone/>
                      <wp:docPr id="98"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pStyle w:val="16"/>
                                    <w:ind w:left="420" w:hanging="420"/>
                                    <w:jc w:val="center"/>
                                    <w:rPr>
                                      <w:rFonts w:hint="default"/>
                                      <w:lang w:val="en-US" w:eastAsia="zh-CN"/>
                                    </w:rPr>
                                  </w:pPr>
                                  <w:r>
                                    <w:rPr>
                                      <w:rFonts w:hint="eastAsia"/>
                                      <w:lang w:val="en-US" w:eastAsia="zh-CN"/>
                                    </w:rPr>
                                    <w:t>1296</w:t>
                                  </w:r>
                                </w:p>
                                <w:p>
                                  <w:pPr>
                                    <w:pStyle w:val="16"/>
                                    <w:ind w:left="420" w:hanging="420"/>
                                    <w:jc w:val="center"/>
                                  </w:pPr>
                                  <w:r>
                                    <w:rPr>
                                      <w:rFonts w:hint="eastAsia"/>
                                    </w:rPr>
                                    <w:t>蒸发消耗</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361.95pt;margin-top:0.75pt;height:42.05pt;width:61.05pt;z-index:251759616;mso-width-relative:page;mso-height-relative:page;" filled="f" stroked="f" coordsize="21600,21600" o:gfxdata="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n9Kc7WAAAACAEAAA8AAAAAAAAAAQAgAAAAIgAAAGRycy9kb3ducmV2LnhtbFBL&#10;AQIUABQAAAAIAIdO4kAK/RDUMQIAAEQEAAAOAAAAAAAAAAEAIAAAACUBAABkcnMvZTJvRG9jLnht&#10;bFBLBQYAAAAABgAGAFkBAADIBQAAAAA=&#10;">
                      <v:fill on="f" focussize="0,0"/>
                      <v:stroke on="f" weight="0.25pt" miterlimit="8" joinstyle="miter"/>
                      <v:imagedata o:title=""/>
                      <o:lock v:ext="edit" aspectratio="f"/>
                      <v:textbox>
                        <w:txbxContent>
                          <w:p>
                            <w:pPr>
                              <w:pStyle w:val="16"/>
                              <w:ind w:left="420" w:hanging="420"/>
                              <w:jc w:val="center"/>
                              <w:rPr>
                                <w:rFonts w:hint="default"/>
                                <w:lang w:val="en-US" w:eastAsia="zh-CN"/>
                              </w:rPr>
                            </w:pPr>
                            <w:r>
                              <w:rPr>
                                <w:rFonts w:hint="eastAsia"/>
                                <w:lang w:val="en-US" w:eastAsia="zh-CN"/>
                              </w:rPr>
                              <w:t>1296</w:t>
                            </w:r>
                          </w:p>
                          <w:p>
                            <w:pPr>
                              <w:pStyle w:val="16"/>
                              <w:ind w:left="420" w:hanging="420"/>
                              <w:jc w:val="center"/>
                            </w:pPr>
                            <w:r>
                              <w:rPr>
                                <w:rFonts w:hint="eastAsia"/>
                              </w:rPr>
                              <w:t>蒸发消耗</w:t>
                            </w:r>
                          </w:p>
                        </w:txbxContent>
                      </v:textbox>
                    </v:shape>
                  </w:pict>
                </mc:Fallback>
              </mc:AlternateContent>
            </w:r>
            <w:r>
              <w:rPr>
                <w:color w:val="auto"/>
                <w:sz w:val="24"/>
              </w:rPr>
              <mc:AlternateContent>
                <mc:Choice Requires="wps">
                  <w:drawing>
                    <wp:anchor distT="0" distB="0" distL="114300" distR="114300" simplePos="0" relativeHeight="251757568" behindDoc="0" locked="0" layoutInCell="1" allowOverlap="1">
                      <wp:simplePos x="0" y="0"/>
                      <wp:positionH relativeFrom="column">
                        <wp:posOffset>3253105</wp:posOffset>
                      </wp:positionH>
                      <wp:positionV relativeFrom="paragraph">
                        <wp:posOffset>116840</wp:posOffset>
                      </wp:positionV>
                      <wp:extent cx="804545" cy="342900"/>
                      <wp:effectExtent l="4445" t="4445" r="10160" b="14605"/>
                      <wp:wrapNone/>
                      <wp:docPr id="96"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882015" cy="342900"/>
                              </a:xfrm>
                              <a:prstGeom prst="rect">
                                <a:avLst/>
                              </a:prstGeom>
                              <a:solidFill>
                                <a:srgbClr val="FFFFFF"/>
                              </a:solidFill>
                              <a:ln w="3175">
                                <a:solidFill>
                                  <a:srgbClr val="000000"/>
                                </a:solidFill>
                                <a:miter lim="800000"/>
                              </a:ln>
                              <a:effectLst/>
                            </wps:spPr>
                            <wps:txbx>
                              <w:txbxContent>
                                <w:p>
                                  <w:pPr>
                                    <w:jc w:val="center"/>
                                    <w:rPr>
                                      <w:rFonts w:hint="eastAsia"/>
                                    </w:rPr>
                                  </w:pPr>
                                  <w:r>
                                    <w:rPr>
                                      <w:rFonts w:hint="eastAsia"/>
                                      <w:lang w:eastAsia="zh-CN"/>
                                    </w:rPr>
                                    <w:t>抑尘</w:t>
                                  </w:r>
                                  <w:r>
                                    <w:rPr>
                                      <w:rFonts w:hint="eastAsia"/>
                                    </w:rPr>
                                    <w:t>用水</w:t>
                                  </w:r>
                                </w:p>
                              </w:txbxContent>
                            </wps:txbx>
                            <wps:bodyPr rot="0" vert="horz" wrap="square" lIns="91440" tIns="45720" rIns="91440" bIns="45720" anchor="t" anchorCtr="0" upright="1">
                              <a:noAutofit/>
                            </wps:bodyPr>
                          </wps:wsp>
                        </a:graphicData>
                      </a:graphic>
                    </wp:anchor>
                  </w:drawing>
                </mc:Choice>
                <mc:Fallback>
                  <w:pict>
                    <v:shape id="文本框 90" o:spid="_x0000_s1026" o:spt="202" type="#_x0000_t202" style="position:absolute;left:0pt;margin-left:256.15pt;margin-top:9.2pt;height:27pt;width:63.35pt;z-index:251757568;mso-width-relative:page;mso-height-relative:page;" fillcolor="#FFFFFF" filled="t" stroked="t" coordsize="21600,21600" o:gfxdata="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4RvQ31wAAAAkBAAAPAAAAAAAAAAEAIAAA&#10;ACIAAABkcnMvZG93bnJldi54bWxQSwECFAAUAAAACACHTuJAw+yBbEYCAACWBAAADgAAAAAAAAAB&#10;ACAAAAAmAQAAZHJzL2Uyb0RvYy54bWxQSwUGAAAAAAYABgBZAQAA3gUAAAAA&#10;">
                      <v:fill on="t" focussize="0,0"/>
                      <v:stroke weight="0.25pt" color="#000000" miterlimit="8" joinstyle="miter"/>
                      <v:imagedata o:title=""/>
                      <o:lock v:ext="edit" aspectratio="f"/>
                      <v:textbox>
                        <w:txbxContent>
                          <w:p>
                            <w:pPr>
                              <w:jc w:val="center"/>
                              <w:rPr>
                                <w:rFonts w:hint="eastAsia"/>
                              </w:rPr>
                            </w:pPr>
                            <w:r>
                              <w:rPr>
                                <w:rFonts w:hint="eastAsia"/>
                                <w:lang w:eastAsia="zh-CN"/>
                              </w:rPr>
                              <w:t>抑尘</w:t>
                            </w:r>
                            <w:r>
                              <w:rPr>
                                <w:rFonts w:hint="eastAsia"/>
                              </w:rPr>
                              <w:t>用水</w:t>
                            </w:r>
                          </w:p>
                        </w:txbxContent>
                      </v:textbox>
                    </v:shape>
                  </w:pict>
                </mc:Fallback>
              </mc:AlternateContent>
            </w:r>
          </w:p>
          <w:p>
            <w:pPr>
              <w:pStyle w:val="16"/>
              <w:rPr>
                <w:rFonts w:hint="eastAsia" w:ascii="宋体" w:hAnsi="宋体" w:cs="宋体"/>
                <w:b/>
                <w:color w:val="auto"/>
                <w:sz w:val="24"/>
                <w:szCs w:val="24"/>
              </w:rPr>
            </w:pPr>
            <w:r>
              <w:rPr>
                <w:color w:val="auto"/>
              </w:rPr>
              <mc:AlternateContent>
                <mc:Choice Requires="wps">
                  <w:drawing>
                    <wp:anchor distT="0" distB="0" distL="114300" distR="114300" simplePos="0" relativeHeight="251758592" behindDoc="0" locked="0" layoutInCell="1" allowOverlap="1">
                      <wp:simplePos x="0" y="0"/>
                      <wp:positionH relativeFrom="column">
                        <wp:posOffset>4066540</wp:posOffset>
                      </wp:positionH>
                      <wp:positionV relativeFrom="paragraph">
                        <wp:posOffset>102235</wp:posOffset>
                      </wp:positionV>
                      <wp:extent cx="579120" cy="7620"/>
                      <wp:effectExtent l="0" t="42545" r="11430" b="64135"/>
                      <wp:wrapNone/>
                      <wp:docPr id="97" name="直线 142"/>
                      <wp:cNvGraphicFramePr/>
                      <a:graphic xmlns:a="http://schemas.openxmlformats.org/drawingml/2006/main">
                        <a:graphicData uri="http://schemas.microsoft.com/office/word/2010/wordprocessingShape">
                          <wps:wsp>
                            <wps:cNvCnPr/>
                            <wps:spPr>
                              <a:xfrm>
                                <a:off x="0" y="0"/>
                                <a:ext cx="579120" cy="762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42" o:spid="_x0000_s1026" o:spt="20" style="position:absolute;left:0pt;margin-left:320.2pt;margin-top:8.05pt;height:0.6pt;width:45.6pt;z-index:251758592;mso-width-relative:page;mso-height-relative:page;" filled="f" stroked="t" coordsize="21600,21600" o:gfxdata="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coIeW2QAAAAkBAAAPAAAAAAAAAAEAIAAAACIAAABkcnMvZG93bnJldi54bWxQSwECFAAU&#10;AAAACACHTuJA9BoWFPABAADhAwAADgAAAAAAAAABACAAAAAoAQAAZHJzL2Uyb0RvYy54bWxQSwUG&#10;AAAAAAYABgBZAQAAigUAAAAA&#10;">
                      <v:fill on="f" focussize="0,0"/>
                      <v:stroke color="#00000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56544" behindDoc="0" locked="0" layoutInCell="1" allowOverlap="1">
                      <wp:simplePos x="0" y="0"/>
                      <wp:positionH relativeFrom="column">
                        <wp:posOffset>2712720</wp:posOffset>
                      </wp:positionH>
                      <wp:positionV relativeFrom="paragraph">
                        <wp:posOffset>100965</wp:posOffset>
                      </wp:positionV>
                      <wp:extent cx="530860" cy="635"/>
                      <wp:effectExtent l="0" t="48895" r="2540" b="64770"/>
                      <wp:wrapNone/>
                      <wp:docPr id="95" name="直线 657"/>
                      <wp:cNvGraphicFramePr/>
                      <a:graphic xmlns:a="http://schemas.openxmlformats.org/drawingml/2006/main">
                        <a:graphicData uri="http://schemas.microsoft.com/office/word/2010/wordprocessingShape">
                          <wps:wsp>
                            <wps:cNvCnPr/>
                            <wps:spPr>
                              <a:xfrm>
                                <a:off x="0" y="0"/>
                                <a:ext cx="530860"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657" o:spid="_x0000_s1026" o:spt="20" style="position:absolute;left:0pt;margin-left:213.6pt;margin-top:7.95pt;height:0.05pt;width:41.8pt;z-index:251756544;mso-width-relative:page;mso-height-relative:page;" filled="f" stroked="t" coordsize="21600,21600" o:gfxdata="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pwRktkAAAAJAQAADwAAAAAAAAABACAAAAAiAAAAZHJzL2Rvd25yZXYueG1sUEsBAhQAFAAA&#10;AAgAh07iQHEwxGjuAQAA4AMAAA4AAAAAAAAAAQAgAAAAKAEAAGRycy9lMm9Eb2MueG1sUEsFBgAA&#10;AAAGAAYAWQEAAIgFAAAAAA==&#10;">
                      <v:fill on="f" focussize="0,0"/>
                      <v:stroke color="#000000" joinstyle="round" endarrow="open"/>
                      <v:imagedata o:title=""/>
                      <o:lock v:ext="edit" aspectratio="f"/>
                    </v:line>
                  </w:pict>
                </mc:Fallback>
              </mc:AlternateContent>
            </w:r>
          </w:p>
          <w:p>
            <w:pPr>
              <w:rPr>
                <w:rFonts w:hint="eastAsia" w:ascii="宋体" w:hAnsi="宋体" w:cs="宋体"/>
                <w:b/>
                <w:bCs/>
                <w:color w:val="auto"/>
                <w:sz w:val="24"/>
              </w:rPr>
            </w:pPr>
            <w:r>
              <w:rPr>
                <w:color w:val="auto"/>
              </w:rPr>
              <mc:AlternateContent>
                <mc:Choice Requires="wps">
                  <w:drawing>
                    <wp:anchor distT="0" distB="0" distL="114300" distR="114300" simplePos="0" relativeHeight="251721728" behindDoc="0" locked="0" layoutInCell="1" allowOverlap="1">
                      <wp:simplePos x="0" y="0"/>
                      <wp:positionH relativeFrom="column">
                        <wp:posOffset>1587500</wp:posOffset>
                      </wp:positionH>
                      <wp:positionV relativeFrom="paragraph">
                        <wp:posOffset>50165</wp:posOffset>
                      </wp:positionV>
                      <wp:extent cx="1049655" cy="333375"/>
                      <wp:effectExtent l="0" t="0" r="0" b="0"/>
                      <wp:wrapNone/>
                      <wp:docPr id="62" name="矩形 62"/>
                      <wp:cNvGraphicFramePr/>
                      <a:graphic xmlns:a="http://schemas.openxmlformats.org/drawingml/2006/main">
                        <a:graphicData uri="http://schemas.microsoft.com/office/word/2010/wordprocessingShape">
                          <wps:wsp>
                            <wps:cNvSpPr/>
                            <wps:spPr>
                              <a:xfrm>
                                <a:off x="5045710" y="1101090"/>
                                <a:ext cx="1229360" cy="333375"/>
                              </a:xfrm>
                              <a:prstGeom prst="rect">
                                <a:avLst/>
                              </a:prstGeom>
                              <a:noFill/>
                              <a:ln w="25400" cap="flat" cmpd="sng" algn="ctr">
                                <a:noFill/>
                                <a:prstDash val="solid"/>
                              </a:ln>
                              <a:effectLst/>
                            </wps:spPr>
                            <wps:txbx>
                              <w:txbxContent>
                                <w:p>
                                  <w:pPr>
                                    <w:jc w:val="center"/>
                                    <w:rPr>
                                      <w:rFonts w:hint="default" w:eastAsia="宋体"/>
                                      <w:color w:val="000000"/>
                                      <w:lang w:val="en-US" w:eastAsia="zh-CN"/>
                                    </w:rPr>
                                  </w:pPr>
                                  <w:r>
                                    <w:rPr>
                                      <w:rFonts w:hint="eastAsia"/>
                                      <w:color w:val="000000"/>
                                    </w:rPr>
                                    <w:t>损耗</w:t>
                                  </w:r>
                                  <w:r>
                                    <w:rPr>
                                      <w:rFonts w:hint="eastAsia"/>
                                      <w:color w:val="000000"/>
                                      <w:lang w:val="en-US" w:eastAsia="zh-CN"/>
                                    </w:rPr>
                                    <w:t>64.8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pt;margin-top:3.95pt;height:26.25pt;width:82.65pt;z-index:251721728;v-text-anchor:middle;mso-width-relative:page;mso-height-relative:page;" filled="f" stroked="f" coordsize="21600,21600" o:gfxdata="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fV/tW2AAAAAgBAAAPAAAAAAAAAAEAIAAAACIAAABkcnMvZG93bnJldi54bWxQSwECFAAU&#10;AAAACACHTuJASbPXlGMCAACyBAAADgAAAAAAAAABACAAAAAnAQAAZHJzL2Uyb0RvYy54bWxQSwUG&#10;AAAAAAYABgBZAQAA/AUAAAAA&#10;">
                      <v:fill on="f" focussize="0,0"/>
                      <v:stroke on="f" weight="2pt"/>
                      <v:imagedata o:title=""/>
                      <o:lock v:ext="edit" aspectratio="f"/>
                      <v:textbox>
                        <w:txbxContent>
                          <w:p>
                            <w:pPr>
                              <w:jc w:val="center"/>
                              <w:rPr>
                                <w:rFonts w:hint="default" w:eastAsia="宋体"/>
                                <w:color w:val="000000"/>
                                <w:lang w:val="en-US" w:eastAsia="zh-CN"/>
                              </w:rPr>
                            </w:pPr>
                            <w:r>
                              <w:rPr>
                                <w:rFonts w:hint="eastAsia"/>
                                <w:color w:val="000000"/>
                              </w:rPr>
                              <w:t>损耗</w:t>
                            </w:r>
                            <w:r>
                              <w:rPr>
                                <w:rFonts w:hint="eastAsia"/>
                                <w:color w:val="000000"/>
                                <w:lang w:val="en-US" w:eastAsia="zh-CN"/>
                              </w:rPr>
                              <w:t>64.8</w:t>
                            </w:r>
                          </w:p>
                        </w:txbxContent>
                      </v:textbox>
                    </v:rect>
                  </w:pict>
                </mc:Fallback>
              </mc:AlternateContent>
            </w:r>
          </w:p>
          <w:p>
            <w:pPr>
              <w:pStyle w:val="6"/>
              <w:ind w:firstLine="640"/>
              <w:rPr>
                <w:rFonts w:hint="eastAsia" w:ascii="宋体" w:hAnsi="宋体" w:cs="宋体"/>
                <w:b/>
                <w:color w:val="auto"/>
                <w:sz w:val="24"/>
                <w:szCs w:val="24"/>
              </w:rPr>
            </w:pPr>
            <w:r>
              <w:rPr>
                <w:color w:val="auto"/>
              </w:rPr>
              <mc:AlternateContent>
                <mc:Choice Requires="wps">
                  <w:drawing>
                    <wp:anchor distT="0" distB="0" distL="114300" distR="114300" simplePos="0" relativeHeight="251734016" behindDoc="0" locked="0" layoutInCell="1" allowOverlap="1">
                      <wp:simplePos x="0" y="0"/>
                      <wp:positionH relativeFrom="column">
                        <wp:posOffset>1878330</wp:posOffset>
                      </wp:positionH>
                      <wp:positionV relativeFrom="paragraph">
                        <wp:posOffset>135890</wp:posOffset>
                      </wp:positionV>
                      <wp:extent cx="283845" cy="196850"/>
                      <wp:effectExtent l="5080" t="0" r="45720" b="1905"/>
                      <wp:wrapNone/>
                      <wp:docPr id="71" name="自选图形 129"/>
                      <wp:cNvGraphicFramePr/>
                      <a:graphic xmlns:a="http://schemas.openxmlformats.org/drawingml/2006/main">
                        <a:graphicData uri="http://schemas.microsoft.com/office/word/2010/wordprocessingShape">
                          <wps:wsp>
                            <wps:cNvCnPr/>
                            <wps:spPr>
                              <a:xfrm rot="-5400000">
                                <a:off x="0" y="0"/>
                                <a:ext cx="283845" cy="196850"/>
                              </a:xfrm>
                              <a:prstGeom prst="curvedConnector3">
                                <a:avLst>
                                  <a:gd name="adj1" fmla="val 50000"/>
                                </a:avLst>
                              </a:prstGeom>
                              <a:ln w="9525" cap="flat" cmpd="sng">
                                <a:solidFill>
                                  <a:srgbClr val="000000"/>
                                </a:solidFill>
                                <a:prstDash val="solid"/>
                                <a:headEnd type="none" w="med" len="med"/>
                                <a:tailEnd type="arrow" w="med" len="med"/>
                              </a:ln>
                            </wps:spPr>
                            <wps:bodyPr/>
                          </wps:wsp>
                        </a:graphicData>
                      </a:graphic>
                    </wp:anchor>
                  </w:drawing>
                </mc:Choice>
                <mc:Fallback>
                  <w:pict>
                    <v:shape id="自选图形 129" o:spid="_x0000_s1026" o:spt="38" type="#_x0000_t38" style="position:absolute;left:0pt;margin-left:147.9pt;margin-top:10.7pt;height:15.5pt;width:22.35pt;rotation:-5898240f;z-index:251734016;mso-width-relative:page;mso-height-relative:page;" filled="f" stroked="t" coordsize="21600,21600" o:gfxdata="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VD0&#10;atgAAAAJAQAADwAAAAAAAAABACAAAAAiAAAAZHJzL2Rvd25yZXYueG1sUEsBAhQAFAAAAAgAh07i&#10;QJWFLHUiAgAAJQQAAA4AAAAAAAAAAQAgAAAAJwEAAGRycy9lMm9Eb2MueG1sUEsFBgAAAAAGAAYA&#10;WQEAALsFAAAAAA==&#10;" adj="10800">
                      <v:fill on="f" focussize="0,0"/>
                      <v:stroke color="#000000" joinstyle="round" endarrow="open"/>
                      <v:imagedata o:title=""/>
                      <o:lock v:ext="edit" aspectratio="f"/>
                    </v:shape>
                  </w:pict>
                </mc:Fallback>
              </mc:AlternateContent>
            </w:r>
          </w:p>
          <w:p>
            <w:pPr>
              <w:pStyle w:val="6"/>
              <w:ind w:firstLine="0" w:firstLineChars="0"/>
              <w:rPr>
                <w:rFonts w:hint="eastAsia"/>
                <w:color w:val="auto"/>
              </w:rPr>
            </w:pPr>
            <w:r>
              <w:rPr>
                <w:color w:val="auto"/>
                <w:sz w:val="24"/>
              </w:rPr>
              <mc:AlternateContent>
                <mc:Choice Requires="wps">
                  <w:drawing>
                    <wp:anchor distT="0" distB="0" distL="114300" distR="114300" simplePos="0" relativeHeight="251718656" behindDoc="0" locked="0" layoutInCell="1" allowOverlap="1">
                      <wp:simplePos x="0" y="0"/>
                      <wp:positionH relativeFrom="column">
                        <wp:posOffset>4348480</wp:posOffset>
                      </wp:positionH>
                      <wp:positionV relativeFrom="paragraph">
                        <wp:posOffset>153670</wp:posOffset>
                      </wp:positionV>
                      <wp:extent cx="957580" cy="617220"/>
                      <wp:effectExtent l="0" t="0" r="0" b="0"/>
                      <wp:wrapNone/>
                      <wp:docPr id="56"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排入轮台污水厂处理</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342.4pt;margin-top:12.1pt;height:48.6pt;width:75.4pt;z-index:251718656;mso-width-relative:page;mso-height-relative:page;" filled="f" stroked="f" coordsize="21600,21600" o:gfxdata="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56eW9tgAAAAKAQAADwAAAAAAAAABACAAAAAiAAAAZHJzL2Rvd25yZXYueG1s&#10;UEsBAhQAFAAAAAgAh07iQDCwZ3IxAgAARAQAAA4AAAAAAAAAAQAgAAAAJwEAAGRycy9lMm9Eb2Mu&#10;eG1sUEsFBgAAAAAGAAYAWQEAAMoFA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排入轮台污水厂处理</w:t>
                            </w:r>
                          </w:p>
                        </w:txbxContent>
                      </v:textbox>
                    </v:shape>
                  </w:pict>
                </mc:Fallback>
              </mc:AlternateContent>
            </w:r>
            <w:r>
              <w:rPr>
                <w:color w:val="auto"/>
                <w:sz w:val="24"/>
              </w:rPr>
              <mc:AlternateContent>
                <mc:Choice Requires="wps">
                  <w:drawing>
                    <wp:anchor distT="0" distB="0" distL="114300" distR="114300" simplePos="0" relativeHeight="251744256" behindDoc="0" locked="0" layoutInCell="1" allowOverlap="1">
                      <wp:simplePos x="0" y="0"/>
                      <wp:positionH relativeFrom="column">
                        <wp:posOffset>3622675</wp:posOffset>
                      </wp:positionH>
                      <wp:positionV relativeFrom="paragraph">
                        <wp:posOffset>154305</wp:posOffset>
                      </wp:positionV>
                      <wp:extent cx="821055" cy="349250"/>
                      <wp:effectExtent l="0" t="0" r="0" b="0"/>
                      <wp:wrapNone/>
                      <wp:docPr id="81"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259.2</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285.25pt;margin-top:12.15pt;height:27.5pt;width:64.65pt;z-index:251744256;mso-width-relative:page;mso-height-relative:page;" filled="f" stroked="f" coordsize="21600,21600" o:gfxdata="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kdgI+dgAAAAJAQAADwAAAAAAAAABACAAAAAiAAAAZHJzL2Rvd25yZXYueG1s&#10;UEsBAhQAFAAAAAgAh07iQIrumdoxAgAARAQAAA4AAAAAAAAAAQAgAAAAJwEAAGRycy9lMm9Eb2Mu&#10;eG1sUEsFBgAAAAAGAAYAWQEAAMoFA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259.2</w:t>
                            </w:r>
                          </w:p>
                        </w:txbxContent>
                      </v:textbox>
                    </v:shape>
                  </w:pict>
                </mc:Fallback>
              </mc:AlternateContent>
            </w:r>
            <w:r>
              <w:rPr>
                <w:color w:val="auto"/>
                <w:sz w:val="24"/>
              </w:rPr>
              <mc:AlternateContent>
                <mc:Choice Requires="wps">
                  <w:drawing>
                    <wp:anchor distT="0" distB="0" distL="114300" distR="114300" simplePos="0" relativeHeight="251737088" behindDoc="0" locked="0" layoutInCell="1" allowOverlap="1">
                      <wp:simplePos x="0" y="0"/>
                      <wp:positionH relativeFrom="column">
                        <wp:posOffset>2228850</wp:posOffset>
                      </wp:positionH>
                      <wp:positionV relativeFrom="paragraph">
                        <wp:posOffset>123825</wp:posOffset>
                      </wp:positionV>
                      <wp:extent cx="821055" cy="349250"/>
                      <wp:effectExtent l="0" t="0" r="0" b="0"/>
                      <wp:wrapNone/>
                      <wp:docPr id="74"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259.2</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175.5pt;margin-top:9.75pt;height:27.5pt;width:64.65pt;z-index:251737088;mso-width-relative:page;mso-height-relative:page;" filled="f" stroked="f" coordsize="21600,21600" o:gfxdata="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3EiHDYAAAACQEAAA8AAAAAAAAAAQAgAAAAIgAAAGRycy9kb3ducmV2Lnht&#10;bFBLAQIUABQAAAAIAIdO4kBO4d4gMgIAAEQEAAAOAAAAAAAAAAEAIAAAACcBAABkcnMvZTJvRG9j&#10;LnhtbFBLBQYAAAAABgAGAFkBAADL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259.2</w:t>
                            </w:r>
                          </w:p>
                        </w:txbxContent>
                      </v:textbox>
                    </v:shape>
                  </w:pict>
                </mc:Fallback>
              </mc:AlternateContent>
            </w:r>
            <w:r>
              <w:rPr>
                <w:color w:val="auto"/>
                <w:sz w:val="24"/>
              </w:rPr>
              <mc:AlternateContent>
                <mc:Choice Requires="wps">
                  <w:drawing>
                    <wp:anchor distT="0" distB="0" distL="114300" distR="114300" simplePos="0" relativeHeight="251736064" behindDoc="0" locked="0" layoutInCell="1" allowOverlap="1">
                      <wp:simplePos x="0" y="0"/>
                      <wp:positionH relativeFrom="column">
                        <wp:posOffset>870585</wp:posOffset>
                      </wp:positionH>
                      <wp:positionV relativeFrom="paragraph">
                        <wp:posOffset>144780</wp:posOffset>
                      </wp:positionV>
                      <wp:extent cx="821055" cy="349250"/>
                      <wp:effectExtent l="0" t="0" r="0" b="0"/>
                      <wp:wrapNone/>
                      <wp:docPr id="73"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881380" cy="469265"/>
                              </a:xfrm>
                              <a:prstGeom prst="rect">
                                <a:avLst/>
                              </a:prstGeom>
                              <a:noFill/>
                              <a:ln w="3175">
                                <a:noFill/>
                                <a:miter lim="800000"/>
                              </a:ln>
                              <a:effectLst/>
                            </wps:spPr>
                            <wps:txbx>
                              <w:txbxContent>
                                <w:p>
                                  <w:pPr>
                                    <w:jc w:val="center"/>
                                    <w:rPr>
                                      <w:rFonts w:hint="default" w:eastAsia="宋体"/>
                                      <w:lang w:val="en-US" w:eastAsia="zh-CN"/>
                                    </w:rPr>
                                  </w:pPr>
                                  <w:r>
                                    <w:rPr>
                                      <w:rFonts w:hint="eastAsia"/>
                                      <w:lang w:val="en-US" w:eastAsia="zh-CN"/>
                                    </w:rPr>
                                    <w:t>324</w:t>
                                  </w:r>
                                </w:p>
                              </w:txbxContent>
                            </wps:txbx>
                            <wps:bodyPr rot="0" vert="horz" wrap="square" lIns="91440" tIns="45720" rIns="91440" bIns="45720" anchor="t" anchorCtr="0" upright="1">
                              <a:noAutofit/>
                            </wps:bodyPr>
                          </wps:wsp>
                        </a:graphicData>
                      </a:graphic>
                    </wp:anchor>
                  </w:drawing>
                </mc:Choice>
                <mc:Fallback>
                  <w:pict>
                    <v:shape id="文本框 92" o:spid="_x0000_s1026" o:spt="202" type="#_x0000_t202" style="position:absolute;left:0pt;margin-left:68.55pt;margin-top:11.4pt;height:27.5pt;width:64.65pt;z-index:251736064;mso-width-relative:page;mso-height-relative:page;" filled="f" stroked="f" coordsize="21600,21600" o:gfxdata="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ctu8PXAAAACQEAAA8AAAAAAAAAAQAgAAAAIgAAAGRycy9kb3ducmV2LnhtbFBL&#10;AQIUABQAAAAIAIdO4kCRRu3oMAIAAEQEAAAOAAAAAAAAAAEAIAAAACYBAABkcnMvZTJvRG9jLnht&#10;bFBLBQYAAAAABgAGAFkBAADIBQAAAAA=&#10;">
                      <v:fill on="f" focussize="0,0"/>
                      <v:stroke on="f" weight="0.25pt" miterlimit="8" joinstyle="miter"/>
                      <v:imagedata o:title=""/>
                      <o:lock v:ext="edit" aspectratio="f"/>
                      <v:textbox>
                        <w:txbxContent>
                          <w:p>
                            <w:pPr>
                              <w:jc w:val="center"/>
                              <w:rPr>
                                <w:rFonts w:hint="default" w:eastAsia="宋体"/>
                                <w:lang w:val="en-US" w:eastAsia="zh-CN"/>
                              </w:rPr>
                            </w:pPr>
                            <w:r>
                              <w:rPr>
                                <w:rFonts w:hint="eastAsia"/>
                                <w:lang w:val="en-US" w:eastAsia="zh-CN"/>
                              </w:rPr>
                              <w:t>324</w:t>
                            </w:r>
                          </w:p>
                        </w:txbxContent>
                      </v:textbox>
                    </v:shape>
                  </w:pict>
                </mc:Fallback>
              </mc:AlternateContent>
            </w:r>
            <w:r>
              <w:rPr>
                <w:color w:val="auto"/>
              </w:rPr>
              <mc:AlternateContent>
                <mc:Choice Requires="wps">
                  <w:drawing>
                    <wp:anchor distT="0" distB="0" distL="114300" distR="114300" simplePos="0" relativeHeight="251716608" behindDoc="0" locked="0" layoutInCell="1" allowOverlap="1">
                      <wp:simplePos x="0" y="0"/>
                      <wp:positionH relativeFrom="column">
                        <wp:posOffset>3763010</wp:posOffset>
                      </wp:positionH>
                      <wp:positionV relativeFrom="paragraph">
                        <wp:posOffset>394970</wp:posOffset>
                      </wp:positionV>
                      <wp:extent cx="579120" cy="11430"/>
                      <wp:effectExtent l="0" t="47625" r="11430" b="55245"/>
                      <wp:wrapNone/>
                      <wp:docPr id="54" name="直线 658"/>
                      <wp:cNvGraphicFramePr/>
                      <a:graphic xmlns:a="http://schemas.openxmlformats.org/drawingml/2006/main">
                        <a:graphicData uri="http://schemas.microsoft.com/office/word/2010/wordprocessingShape">
                          <wps:wsp>
                            <wps:cNvCnPr/>
                            <wps:spPr>
                              <a:xfrm flipV="1">
                                <a:off x="0" y="0"/>
                                <a:ext cx="579120" cy="1143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658" o:spid="_x0000_s1026" o:spt="20" style="position:absolute;left:0pt;flip:y;margin-left:296.3pt;margin-top:31.1pt;height:0.9pt;width:45.6pt;z-index:251716608;mso-width-relative:page;mso-height-relative:page;" filled="f" stroked="t" coordsize="21600,21600" o:gfxdata="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682HG2AAAAAkBAAAPAAAAAAAAAAEAIAAAACIAAABkcnMvZG93bnJl&#10;di54bWxQSwECFAAUAAAACACHTuJAmuQCt/0BAADsAwAADgAAAAAAAAABACAAAAAnAQAAZHJzL2Uy&#10;b0RvYy54bWxQSwUGAAAAAAYABgBZAQAAlgUAAAAA&#10;">
                      <v:fill on="f" focussize="0,0"/>
                      <v:stroke color="#00000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31968" behindDoc="0" locked="0" layoutInCell="1" allowOverlap="1">
                      <wp:simplePos x="0" y="0"/>
                      <wp:positionH relativeFrom="column">
                        <wp:posOffset>2884805</wp:posOffset>
                      </wp:positionH>
                      <wp:positionV relativeFrom="paragraph">
                        <wp:posOffset>207010</wp:posOffset>
                      </wp:positionV>
                      <wp:extent cx="855980" cy="342900"/>
                      <wp:effectExtent l="4445" t="5080" r="15875" b="13970"/>
                      <wp:wrapNone/>
                      <wp:docPr id="69"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882015" cy="342900"/>
                              </a:xfrm>
                              <a:prstGeom prst="rect">
                                <a:avLst/>
                              </a:prstGeom>
                              <a:solidFill>
                                <a:srgbClr val="FFFFFF"/>
                              </a:solidFill>
                              <a:ln w="3175">
                                <a:solidFill>
                                  <a:srgbClr val="000000"/>
                                </a:solidFill>
                                <a:miter lim="800000"/>
                              </a:ln>
                              <a:effectLst/>
                            </wps:spPr>
                            <wps:txbx>
                              <w:txbxContent>
                                <w:p>
                                  <w:pPr>
                                    <w:jc w:val="center"/>
                                    <w:rPr>
                                      <w:rFonts w:hint="eastAsia"/>
                                    </w:rPr>
                                  </w:pPr>
                                  <w:r>
                                    <w:rPr>
                                      <w:rFonts w:hint="eastAsia"/>
                                    </w:rPr>
                                    <w:t>化粪池</w:t>
                                  </w:r>
                                </w:p>
                              </w:txbxContent>
                            </wps:txbx>
                            <wps:bodyPr rot="0" vert="horz" wrap="square" lIns="91440" tIns="45720" rIns="91440" bIns="45720" anchor="t" anchorCtr="0" upright="1">
                              <a:noAutofit/>
                            </wps:bodyPr>
                          </wps:wsp>
                        </a:graphicData>
                      </a:graphic>
                    </wp:anchor>
                  </w:drawing>
                </mc:Choice>
                <mc:Fallback>
                  <w:pict>
                    <v:shape id="文本框 90" o:spid="_x0000_s1026" o:spt="202" type="#_x0000_t202" style="position:absolute;left:0pt;margin-left:227.15pt;margin-top:16.3pt;height:27pt;width:67.4pt;z-index:251731968;mso-width-relative:page;mso-height-relative:page;" fillcolor="#FFFFFF" filled="t" stroked="t" coordsize="21600,21600" o:gfxdata="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E/T5l1wAAAAkBAAAPAAAAAAAAAAEAIAAA&#10;ACIAAABkcnMvZG93bnJldi54bWxQSwECFAAUAAAACACHTuJAOObi4UYCAACWBAAADgAAAAAAAAAB&#10;ACAAAAAmAQAAZHJzL2Uyb0RvYy54bWxQSwUGAAAAAAYABgBZAQAA3gUAAAAA&#10;">
                      <v:fill on="t" focussize="0,0"/>
                      <v:stroke weight="0.25pt" color="#000000" miterlimit="8" joinstyle="miter"/>
                      <v:imagedata o:title=""/>
                      <o:lock v:ext="edit" aspectratio="f"/>
                      <v:textbox>
                        <w:txbxContent>
                          <w:p>
                            <w:pPr>
                              <w:jc w:val="center"/>
                              <w:rPr>
                                <w:rFonts w:hint="eastAsia"/>
                              </w:rPr>
                            </w:pPr>
                            <w:r>
                              <w:rPr>
                                <w:rFonts w:hint="eastAsia"/>
                              </w:rPr>
                              <w:t>化粪池</w:t>
                            </w:r>
                          </w:p>
                        </w:txbxContent>
                      </v:textbox>
                    </v:shape>
                  </w:pict>
                </mc:Fallback>
              </mc:AlternateContent>
            </w:r>
            <w:r>
              <w:rPr>
                <w:color w:val="auto"/>
                <w:sz w:val="24"/>
              </w:rPr>
              <mc:AlternateContent>
                <mc:Choice Requires="wps">
                  <w:drawing>
                    <wp:anchor distT="0" distB="0" distL="114300" distR="114300" simplePos="0" relativeHeight="251713536" behindDoc="0" locked="0" layoutInCell="1" allowOverlap="1">
                      <wp:simplePos x="0" y="0"/>
                      <wp:positionH relativeFrom="column">
                        <wp:posOffset>1510665</wp:posOffset>
                      </wp:positionH>
                      <wp:positionV relativeFrom="paragraph">
                        <wp:posOffset>219075</wp:posOffset>
                      </wp:positionV>
                      <wp:extent cx="855980" cy="342900"/>
                      <wp:effectExtent l="4445" t="5080" r="15875" b="13970"/>
                      <wp:wrapNone/>
                      <wp:docPr id="9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882015" cy="342900"/>
                              </a:xfrm>
                              <a:prstGeom prst="rect">
                                <a:avLst/>
                              </a:prstGeom>
                              <a:solidFill>
                                <a:srgbClr val="FFFFFF"/>
                              </a:solidFill>
                              <a:ln w="3175">
                                <a:solidFill>
                                  <a:srgbClr val="000000"/>
                                </a:solidFill>
                                <a:miter lim="800000"/>
                              </a:ln>
                              <a:effectLst/>
                            </wps:spPr>
                            <wps:txbx>
                              <w:txbxContent>
                                <w:p>
                                  <w:pPr>
                                    <w:jc w:val="center"/>
                                    <w:rPr>
                                      <w:rFonts w:hint="eastAsia"/>
                                    </w:rPr>
                                  </w:pPr>
                                  <w:r>
                                    <w:rPr>
                                      <w:rFonts w:hint="eastAsia"/>
                                    </w:rPr>
                                    <w:t>生活用水</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18.95pt;margin-top:17.25pt;height:27pt;width:67.4pt;z-index:251713536;mso-width-relative:page;mso-height-relative:page;" fillcolor="#FFFFFF" filled="t" stroked="t" coordsize="21600,21600" o:gfxdata="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nqGr/1wAAAAkBAAAPAAAAAAAAAAEAIAAA&#10;ACIAAABkcnMvZG93bnJldi54bWxQSwECFAAUAAAACACHTuJAeIjfD0YCAACWBAAADgAAAAAAAAAB&#10;ACAAAAAmAQAAZHJzL2Uyb0RvYy54bWxQSwUGAAAAAAYABgBZAQAA3gUAAAAA&#10;">
                      <v:fill on="t" focussize="0,0"/>
                      <v:stroke weight="0.25pt" color="#000000" miterlimit="8" joinstyle="miter"/>
                      <v:imagedata o:title=""/>
                      <o:lock v:ext="edit" aspectratio="f"/>
                      <v:textbox>
                        <w:txbxContent>
                          <w:p>
                            <w:pPr>
                              <w:jc w:val="center"/>
                              <w:rPr>
                                <w:rFonts w:hint="eastAsia"/>
                              </w:rPr>
                            </w:pPr>
                            <w:r>
                              <w:rPr>
                                <w:rFonts w:hint="eastAsia"/>
                              </w:rPr>
                              <w:t>生活用水</w:t>
                            </w:r>
                          </w:p>
                        </w:txbxContent>
                      </v:textbox>
                    </v:shape>
                  </w:pict>
                </mc:Fallback>
              </mc:AlternateContent>
            </w:r>
          </w:p>
          <w:p>
            <w:pPr>
              <w:rPr>
                <w:rFonts w:hint="eastAsia"/>
                <w:color w:val="auto"/>
              </w:rPr>
            </w:pPr>
            <w:r>
              <w:rPr>
                <w:color w:val="auto"/>
                <w:sz w:val="24"/>
              </w:rPr>
              <mc:AlternateContent>
                <mc:Choice Requires="wps">
                  <w:drawing>
                    <wp:anchor distT="0" distB="0" distL="114300" distR="114300" simplePos="0" relativeHeight="251730944" behindDoc="0" locked="0" layoutInCell="1" allowOverlap="1">
                      <wp:simplePos x="0" y="0"/>
                      <wp:positionH relativeFrom="column">
                        <wp:posOffset>2372360</wp:posOffset>
                      </wp:positionH>
                      <wp:positionV relativeFrom="paragraph">
                        <wp:posOffset>130810</wp:posOffset>
                      </wp:positionV>
                      <wp:extent cx="506730" cy="635"/>
                      <wp:effectExtent l="0" t="0" r="0" b="0"/>
                      <wp:wrapNone/>
                      <wp:docPr id="68" name="直线 137"/>
                      <wp:cNvGraphicFramePr/>
                      <a:graphic xmlns:a="http://schemas.openxmlformats.org/drawingml/2006/main">
                        <a:graphicData uri="http://schemas.microsoft.com/office/word/2010/wordprocessingShape">
                          <wps:wsp>
                            <wps:cNvCnPr/>
                            <wps:spPr>
                              <a:xfrm>
                                <a:off x="0" y="0"/>
                                <a:ext cx="50673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7" o:spid="_x0000_s1026" o:spt="20" style="position:absolute;left:0pt;margin-left:186.8pt;margin-top:10.3pt;height:0.05pt;width:39.9pt;z-index:251730944;mso-width-relative:page;mso-height-relative:page;" filled="f" stroked="t" coordsize="21600,21600" o:gfxdata="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Xu9&#10;l9cAAAAJAQAADwAAAAAAAAABACAAAAAiAAAAZHJzL2Rvd25yZXYueG1sUEsBAhQAFAAAAAgAh07i&#10;QAy04CPqAQAA3wMAAA4AAAAAAAAAAQAgAAAAJgEAAGRycy9lMm9Eb2MueG1sUEsFBgAAAAAGAAYA&#10;WQEAAIIFA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712512" behindDoc="0" locked="0" layoutInCell="1" allowOverlap="1">
                      <wp:simplePos x="0" y="0"/>
                      <wp:positionH relativeFrom="column">
                        <wp:posOffset>995680</wp:posOffset>
                      </wp:positionH>
                      <wp:positionV relativeFrom="paragraph">
                        <wp:posOffset>139700</wp:posOffset>
                      </wp:positionV>
                      <wp:extent cx="495935" cy="1270"/>
                      <wp:effectExtent l="0" t="0" r="0" b="0"/>
                      <wp:wrapNone/>
                      <wp:docPr id="51" name="直线 652"/>
                      <wp:cNvGraphicFramePr/>
                      <a:graphic xmlns:a="http://schemas.openxmlformats.org/drawingml/2006/main">
                        <a:graphicData uri="http://schemas.microsoft.com/office/word/2010/wordprocessingShape">
                          <wps:wsp>
                            <wps:cNvCnPr/>
                            <wps:spPr>
                              <a:xfrm>
                                <a:off x="0" y="0"/>
                                <a:ext cx="49593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2" o:spid="_x0000_s1026" o:spt="20" style="position:absolute;left:0pt;margin-left:78.4pt;margin-top:11pt;height:0.1pt;width:39.05pt;z-index:251712512;mso-width-relative:page;mso-height-relative:page;" filled="f" stroked="t" coordsize="21600,21600" o:gfxdata="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mYxutYAAAAJAQAADwAAAAAAAAABACAAAAAiAAAAZHJzL2Rvd25yZXYueG1sUEsBAhQAFAAAAAgA&#10;h07iQO1DVQvuAQAA4AMAAA4AAAAAAAAAAQAgAAAAJQEAAGRycy9lMm9Eb2MueG1sUEsFBgAAAAAG&#10;AAYAWQEAAIUFAAAAAA==&#10;">
                      <v:fill on="f" focussize="0,0"/>
                      <v:stroke color="#000000" joinstyle="round"/>
                      <v:imagedata o:title=""/>
                      <o:lock v:ext="edit" aspectratio="f"/>
                    </v:line>
                  </w:pict>
                </mc:Fallback>
              </mc:AlternateContent>
            </w:r>
          </w:p>
          <w:p>
            <w:pPr>
              <w:pStyle w:val="55"/>
              <w:adjustRightInd w:val="0"/>
              <w:snapToGrid w:val="0"/>
              <w:spacing w:line="520" w:lineRule="exact"/>
              <w:ind w:firstLine="0" w:firstLineChars="0"/>
              <w:jc w:val="center"/>
              <w:rPr>
                <w:rFonts w:hint="eastAsia" w:ascii="Times New Roman" w:hAnsi="Times New Roman"/>
                <w:b/>
                <w:color w:val="auto"/>
                <w:szCs w:val="24"/>
              </w:rPr>
            </w:pPr>
          </w:p>
          <w:p>
            <w:pPr>
              <w:pStyle w:val="55"/>
              <w:adjustRightInd w:val="0"/>
              <w:snapToGrid w:val="0"/>
              <w:spacing w:line="520" w:lineRule="exact"/>
              <w:ind w:firstLine="0" w:firstLineChars="0"/>
              <w:jc w:val="center"/>
              <w:rPr>
                <w:rFonts w:hint="eastAsia"/>
                <w:b/>
                <w:color w:val="auto"/>
                <w:sz w:val="24"/>
                <w:lang w:eastAsia="zh-CN"/>
              </w:rPr>
            </w:pPr>
            <w:r>
              <w:rPr>
                <w:rFonts w:hint="eastAsia" w:ascii="Times New Roman" w:hAnsi="Times New Roman"/>
                <w:b/>
                <w:color w:val="auto"/>
                <w:szCs w:val="24"/>
              </w:rPr>
              <w:t>图</w:t>
            </w:r>
            <w:r>
              <w:rPr>
                <w:rFonts w:hint="eastAsia" w:ascii="Times New Roman" w:hAnsi="Times New Roman"/>
                <w:b/>
                <w:color w:val="auto"/>
                <w:szCs w:val="24"/>
                <w:lang w:val="en-US" w:eastAsia="zh-CN"/>
              </w:rPr>
              <w:t xml:space="preserve">2-1 </w:t>
            </w:r>
            <w:r>
              <w:rPr>
                <w:rFonts w:hint="eastAsia" w:ascii="Times New Roman" w:hAnsi="Times New Roman"/>
                <w:b/>
                <w:color w:val="auto"/>
                <w:szCs w:val="24"/>
              </w:rPr>
              <w:t xml:space="preserve"> 本项目水平衡示意图（m</w:t>
            </w:r>
            <w:r>
              <w:rPr>
                <w:rFonts w:hint="eastAsia" w:ascii="Times New Roman" w:hAnsi="Times New Roman"/>
                <w:b/>
                <w:color w:val="auto"/>
                <w:szCs w:val="24"/>
                <w:vertAlign w:val="superscript"/>
              </w:rPr>
              <w:t>3</w:t>
            </w:r>
            <w:r>
              <w:rPr>
                <w:rFonts w:hint="eastAsia" w:ascii="Times New Roman" w:hAnsi="Times New Roman"/>
                <w:b/>
                <w:color w:val="auto"/>
                <w:szCs w:val="24"/>
              </w:rPr>
              <w:t>/a）</w:t>
            </w:r>
          </w:p>
          <w:p>
            <w:pPr>
              <w:spacing w:line="360" w:lineRule="auto"/>
              <w:ind w:firstLine="480" w:firstLineChars="200"/>
              <w:rPr>
                <w:rFonts w:hint="eastAsia"/>
                <w:color w:val="auto"/>
                <w:sz w:val="24"/>
                <w:lang w:val="en-US" w:eastAsia="zh-CN"/>
              </w:rPr>
            </w:pPr>
          </w:p>
          <w:p>
            <w:pPr>
              <w:spacing w:line="360" w:lineRule="auto"/>
              <w:ind w:firstLine="480" w:firstLineChars="200"/>
              <w:rPr>
                <w:rFonts w:hint="default" w:eastAsia="宋体"/>
                <w:color w:val="auto"/>
                <w:sz w:val="24"/>
                <w:lang w:val="en-US" w:eastAsia="zh-CN"/>
              </w:rPr>
            </w:pPr>
            <w:r>
              <w:rPr>
                <w:rFonts w:hint="eastAsia"/>
                <w:color w:val="auto"/>
                <w:sz w:val="24"/>
                <w:lang w:val="en-US" w:eastAsia="zh-CN"/>
              </w:rPr>
              <w:t>2.供电</w:t>
            </w:r>
          </w:p>
          <w:p>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由市政国家电网接入，</w:t>
            </w:r>
            <w:r>
              <w:rPr>
                <w:rFonts w:hint="default" w:ascii="Times New Roman" w:hAnsi="Times New Roman" w:cs="Times New Roman"/>
                <w:sz w:val="24"/>
              </w:rPr>
              <w:t>用来满足工程的需求</w:t>
            </w:r>
            <w:r>
              <w:rPr>
                <w:rFonts w:hint="eastAsia" w:ascii="Times New Roman" w:hAnsi="Times New Roman" w:cs="Times New Roman"/>
                <w:sz w:val="24"/>
                <w:lang w:eastAsia="zh-CN"/>
              </w:rPr>
              <w:t>。</w:t>
            </w:r>
          </w:p>
          <w:p>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lang w:val="en-US" w:eastAsia="zh-CN"/>
              </w:rPr>
              <w:t>.供热</w:t>
            </w:r>
          </w:p>
          <w:p>
            <w:pPr>
              <w:spacing w:line="360" w:lineRule="auto"/>
              <w:ind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lang w:val="en-US" w:eastAsia="zh-CN"/>
              </w:rPr>
              <w:t>生产不供热，生活采用电采暖提供。</w:t>
            </w:r>
          </w:p>
          <w:p>
            <w:pPr>
              <w:numPr>
                <w:ilvl w:val="0"/>
                <w:numId w:val="0"/>
              </w:numPr>
              <w:spacing w:line="520" w:lineRule="exact"/>
              <w:rPr>
                <w:rFonts w:hint="eastAsia"/>
                <w:b/>
                <w:color w:val="auto"/>
                <w:sz w:val="24"/>
              </w:rPr>
            </w:pPr>
            <w:r>
              <w:rPr>
                <w:rFonts w:hint="eastAsia"/>
                <w:b/>
                <w:color w:val="auto"/>
                <w:sz w:val="24"/>
                <w:lang w:eastAsia="zh-CN"/>
              </w:rPr>
              <w:t>六、</w:t>
            </w:r>
            <w:r>
              <w:rPr>
                <w:rFonts w:hint="eastAsia"/>
                <w:b/>
                <w:color w:val="auto"/>
                <w:sz w:val="24"/>
              </w:rPr>
              <w:t>厂区平面布置</w:t>
            </w:r>
          </w:p>
          <w:p>
            <w:pPr>
              <w:spacing w:line="520" w:lineRule="exact"/>
              <w:ind w:firstLine="480" w:firstLineChars="200"/>
            </w:pPr>
            <w:r>
              <w:rPr>
                <w:rFonts w:hint="eastAsia"/>
                <w:color w:val="auto"/>
                <w:sz w:val="24"/>
              </w:rPr>
              <w:t>本项目</w:t>
            </w:r>
            <w:r>
              <w:rPr>
                <w:rFonts w:hint="eastAsia"/>
                <w:color w:val="auto"/>
                <w:sz w:val="24"/>
                <w:lang w:eastAsia="zh-CN"/>
              </w:rPr>
              <w:t>设</w:t>
            </w:r>
            <w:r>
              <w:rPr>
                <w:rFonts w:hint="eastAsia"/>
                <w:color w:val="auto"/>
                <w:sz w:val="24"/>
                <w:lang w:val="en-US" w:eastAsia="zh-CN"/>
              </w:rPr>
              <w:t>1</w:t>
            </w:r>
            <w:r>
              <w:rPr>
                <w:rFonts w:hint="eastAsia"/>
                <w:color w:val="auto"/>
                <w:sz w:val="24"/>
                <w:lang w:eastAsia="zh-CN"/>
              </w:rPr>
              <w:t>个</w:t>
            </w:r>
            <w:r>
              <w:rPr>
                <w:rFonts w:hint="eastAsia"/>
                <w:color w:val="auto"/>
                <w:sz w:val="24"/>
              </w:rPr>
              <w:t>出入口，</w:t>
            </w:r>
            <w:r>
              <w:rPr>
                <w:rFonts w:hint="eastAsia"/>
                <w:color w:val="auto"/>
                <w:sz w:val="24"/>
                <w:lang w:eastAsia="zh-CN"/>
              </w:rPr>
              <w:t>位于厂区</w:t>
            </w:r>
            <w:r>
              <w:rPr>
                <w:rFonts w:hint="eastAsia"/>
                <w:color w:val="auto"/>
                <w:sz w:val="24"/>
                <w:lang w:val="en-US" w:eastAsia="zh-CN"/>
              </w:rPr>
              <w:t>西南侧</w:t>
            </w:r>
            <w:r>
              <w:rPr>
                <w:rFonts w:hint="eastAsia"/>
                <w:color w:val="auto"/>
                <w:sz w:val="24"/>
                <w:lang w:eastAsia="zh-CN"/>
              </w:rPr>
              <w:t>，</w:t>
            </w:r>
            <w:r>
              <w:rPr>
                <w:rFonts w:hint="eastAsia"/>
                <w:color w:val="auto"/>
                <w:sz w:val="24"/>
              </w:rPr>
              <w:t>供运输车辆和工人出入厂区；</w:t>
            </w:r>
            <w:r>
              <w:rPr>
                <w:rFonts w:hint="eastAsia"/>
                <w:sz w:val="24"/>
              </w:rPr>
              <w:t>厂区设有</w:t>
            </w:r>
            <w:r>
              <w:rPr>
                <w:rFonts w:hint="eastAsia"/>
                <w:sz w:val="24"/>
                <w:lang w:val="en-US" w:eastAsia="zh-CN"/>
              </w:rPr>
              <w:t>2座搅拌机主楼</w:t>
            </w:r>
            <w:r>
              <w:rPr>
                <w:rFonts w:hint="eastAsia"/>
                <w:sz w:val="24"/>
              </w:rPr>
              <w:t>、</w:t>
            </w:r>
            <w:r>
              <w:rPr>
                <w:rFonts w:hint="eastAsia"/>
                <w:sz w:val="24"/>
                <w:lang w:val="en-US" w:eastAsia="zh-CN"/>
              </w:rPr>
              <w:t>1个</w:t>
            </w:r>
            <w:r>
              <w:rPr>
                <w:rFonts w:hint="eastAsia"/>
                <w:sz w:val="24"/>
                <w:lang w:eastAsia="zh-CN"/>
              </w:rPr>
              <w:t>原料堆仓</w:t>
            </w:r>
            <w:r>
              <w:rPr>
                <w:rFonts w:hint="eastAsia"/>
                <w:sz w:val="24"/>
              </w:rPr>
              <w:t>、</w:t>
            </w:r>
            <w:r>
              <w:rPr>
                <w:rFonts w:hint="eastAsia"/>
                <w:sz w:val="24"/>
                <w:lang w:val="en-US" w:eastAsia="zh-CN"/>
              </w:rPr>
              <w:t>2栋</w:t>
            </w:r>
            <w:r>
              <w:rPr>
                <w:rFonts w:hint="eastAsia"/>
                <w:sz w:val="24"/>
                <w:lang w:eastAsia="zh-CN"/>
              </w:rPr>
              <w:t>办公楼、</w:t>
            </w:r>
            <w:r>
              <w:rPr>
                <w:rFonts w:hint="eastAsia"/>
                <w:sz w:val="24"/>
                <w:lang w:val="en-US" w:eastAsia="zh-CN"/>
              </w:rPr>
              <w:t>1座维修车间、消防水池</w:t>
            </w:r>
            <w:r>
              <w:rPr>
                <w:rFonts w:hint="eastAsia"/>
                <w:sz w:val="24"/>
              </w:rPr>
              <w:t>等；其中</w:t>
            </w:r>
            <w:r>
              <w:rPr>
                <w:rFonts w:hint="eastAsia"/>
                <w:sz w:val="24"/>
                <w:lang w:eastAsia="zh-CN"/>
              </w:rPr>
              <w:t>原料堆仓</w:t>
            </w:r>
            <w:r>
              <w:rPr>
                <w:rFonts w:hint="eastAsia"/>
                <w:sz w:val="24"/>
              </w:rPr>
              <w:t>位于厂区的</w:t>
            </w:r>
            <w:r>
              <w:rPr>
                <w:rFonts w:hint="eastAsia"/>
                <w:sz w:val="24"/>
                <w:lang w:eastAsia="zh-CN"/>
              </w:rPr>
              <w:t>最</w:t>
            </w:r>
            <w:r>
              <w:rPr>
                <w:rFonts w:hint="eastAsia"/>
                <w:sz w:val="24"/>
                <w:lang w:val="en-US" w:eastAsia="zh-CN"/>
              </w:rPr>
              <w:t>北侧</w:t>
            </w:r>
            <w:r>
              <w:rPr>
                <w:rFonts w:hint="eastAsia"/>
                <w:sz w:val="24"/>
              </w:rPr>
              <w:t>，搅拌机主楼位于厂区的</w:t>
            </w:r>
            <w:r>
              <w:rPr>
                <w:rFonts w:hint="eastAsia"/>
                <w:sz w:val="24"/>
                <w:lang w:val="en-US" w:eastAsia="zh-CN"/>
              </w:rPr>
              <w:t>中间</w:t>
            </w:r>
            <w:r>
              <w:rPr>
                <w:rFonts w:hint="eastAsia"/>
                <w:sz w:val="24"/>
              </w:rPr>
              <w:t>，运输区域和储存区域布置紧凑靠近拌合</w:t>
            </w:r>
            <w:r>
              <w:rPr>
                <w:rFonts w:hint="eastAsia"/>
                <w:sz w:val="24"/>
                <w:lang w:eastAsia="zh-CN"/>
              </w:rPr>
              <w:t>楼</w:t>
            </w:r>
            <w:r>
              <w:rPr>
                <w:rFonts w:hint="eastAsia"/>
                <w:sz w:val="24"/>
              </w:rPr>
              <w:t>，以减少长距离运输产生的污染物粉尘。</w:t>
            </w:r>
            <w:r>
              <w:rPr>
                <w:rFonts w:hint="eastAsia"/>
                <w:sz w:val="24"/>
                <w:lang w:val="en-US" w:eastAsia="zh-CN"/>
              </w:rPr>
              <w:t>1#</w:t>
            </w:r>
            <w:r>
              <w:rPr>
                <w:rFonts w:hint="eastAsia"/>
                <w:sz w:val="24"/>
                <w:lang w:eastAsia="zh-CN"/>
              </w:rPr>
              <w:t>办公楼</w:t>
            </w:r>
            <w:r>
              <w:rPr>
                <w:rFonts w:hint="eastAsia"/>
                <w:sz w:val="24"/>
              </w:rPr>
              <w:t>在厂区的</w:t>
            </w:r>
            <w:r>
              <w:rPr>
                <w:rFonts w:hint="eastAsia"/>
                <w:sz w:val="24"/>
                <w:lang w:val="en-US" w:eastAsia="zh-CN"/>
              </w:rPr>
              <w:t>西南侧</w:t>
            </w:r>
            <w:r>
              <w:rPr>
                <w:rFonts w:hint="eastAsia"/>
                <w:sz w:val="24"/>
              </w:rPr>
              <w:t>，</w:t>
            </w:r>
            <w:r>
              <w:rPr>
                <w:rFonts w:hint="eastAsia"/>
                <w:sz w:val="24"/>
                <w:lang w:val="en-US" w:eastAsia="zh-CN"/>
              </w:rPr>
              <w:t>2#</w:t>
            </w:r>
            <w:r>
              <w:rPr>
                <w:rFonts w:hint="eastAsia"/>
                <w:sz w:val="24"/>
                <w:lang w:eastAsia="zh-CN"/>
              </w:rPr>
              <w:t>办公楼</w:t>
            </w:r>
            <w:r>
              <w:rPr>
                <w:rFonts w:hint="eastAsia"/>
                <w:sz w:val="24"/>
              </w:rPr>
              <w:t>位于厂区的</w:t>
            </w:r>
            <w:r>
              <w:rPr>
                <w:rFonts w:hint="eastAsia"/>
                <w:sz w:val="24"/>
                <w:lang w:val="en-US" w:eastAsia="zh-CN"/>
              </w:rPr>
              <w:t>南侧</w:t>
            </w:r>
            <w:r>
              <w:rPr>
                <w:rFonts w:hint="eastAsia"/>
                <w:sz w:val="24"/>
              </w:rPr>
              <w:t>，停车场位于</w:t>
            </w:r>
            <w:r>
              <w:rPr>
                <w:rFonts w:hint="eastAsia"/>
                <w:sz w:val="24"/>
                <w:lang w:val="en-US" w:eastAsia="zh-CN"/>
              </w:rPr>
              <w:t>1#</w:t>
            </w:r>
            <w:r>
              <w:rPr>
                <w:rFonts w:hint="eastAsia"/>
                <w:sz w:val="24"/>
                <w:lang w:eastAsia="zh-CN"/>
              </w:rPr>
              <w:t>办公楼</w:t>
            </w:r>
            <w:r>
              <w:rPr>
                <w:rFonts w:hint="eastAsia"/>
                <w:sz w:val="24"/>
                <w:lang w:val="en-US" w:eastAsia="zh-CN"/>
              </w:rPr>
              <w:t>北</w:t>
            </w:r>
            <w:r>
              <w:rPr>
                <w:rFonts w:hint="eastAsia"/>
                <w:sz w:val="24"/>
              </w:rPr>
              <w:t>侧</w:t>
            </w:r>
            <w:r>
              <w:rPr>
                <w:rFonts w:hint="eastAsia"/>
                <w:color w:val="auto"/>
                <w:sz w:val="24"/>
              </w:rPr>
              <w:t>。</w:t>
            </w:r>
            <w:r>
              <w:rPr>
                <w:rFonts w:hint="eastAsia" w:ascii="Times New Roman" w:hAnsi="Times New Roman" w:eastAsia="宋体" w:cs="Times New Roman"/>
                <w:color w:val="auto"/>
                <w:sz w:val="24"/>
                <w:lang w:eastAsia="zh-CN"/>
              </w:rPr>
              <w:t>厂区内功能分区明确，基本符合《工业企业总平面设计规范》（GB50187-2012）和《工业企业设计卫生标准》（GBZ1-2010）的规定。</w:t>
            </w:r>
            <w:r>
              <w:rPr>
                <w:rFonts w:hint="eastAsia"/>
                <w:color w:val="auto"/>
                <w:sz w:val="24"/>
              </w:rPr>
              <w:t>详见</w:t>
            </w:r>
            <w:r>
              <w:rPr>
                <w:rFonts w:hint="eastAsia"/>
                <w:color w:val="auto"/>
                <w:sz w:val="24"/>
                <w:lang w:val="en-US" w:eastAsia="zh-CN"/>
              </w:rPr>
              <w:t>《附图3项目</w:t>
            </w:r>
            <w:r>
              <w:rPr>
                <w:rFonts w:hint="eastAsia"/>
                <w:color w:val="auto"/>
                <w:sz w:val="24"/>
                <w:lang w:eastAsia="zh-CN"/>
              </w:rPr>
              <w:t>平面布置</w:t>
            </w:r>
            <w:r>
              <w:rPr>
                <w:rFonts w:hint="eastAsia"/>
                <w:color w:val="auto"/>
                <w:sz w:val="24"/>
                <w:lang w:val="en-US" w:eastAsia="zh-CN"/>
              </w:rPr>
              <w:t>图》</w:t>
            </w:r>
            <w:r>
              <w:rPr>
                <w:rFonts w:hint="eastAsia"/>
                <w:color w:val="auto"/>
                <w:sz w:val="24"/>
              </w:rPr>
              <w:t>。</w:t>
            </w:r>
          </w:p>
          <w:p>
            <w:pPr>
              <w:spacing w:line="520" w:lineRule="exact"/>
              <w:rPr>
                <w:rFonts w:hint="default" w:ascii="Times New Roman" w:hAnsi="Times New Roman" w:cs="Times New Roman"/>
                <w:b/>
                <w:bCs/>
                <w:sz w:val="24"/>
              </w:rPr>
            </w:pPr>
            <w:r>
              <w:rPr>
                <w:rFonts w:hint="default" w:ascii="Times New Roman" w:hAnsi="Times New Roman" w:cs="Times New Roman"/>
                <w:b/>
                <w:bCs/>
                <w:sz w:val="24"/>
                <w:lang w:eastAsia="zh-CN"/>
              </w:rPr>
              <w:t>七</w:t>
            </w:r>
            <w:r>
              <w:rPr>
                <w:rFonts w:hint="default" w:ascii="Times New Roman" w:hAnsi="Times New Roman" w:cs="Times New Roman"/>
                <w:b/>
                <w:bCs/>
                <w:sz w:val="24"/>
              </w:rPr>
              <w:t>、劳动定员及工作制度</w:t>
            </w:r>
          </w:p>
          <w:p>
            <w:pPr>
              <w:spacing w:line="520" w:lineRule="exact"/>
              <w:ind w:firstLine="480" w:firstLineChars="200"/>
              <w:rPr>
                <w:rFonts w:hint="eastAsia" w:ascii="宋体" w:hAnsi="宋体" w:eastAsia="宋体" w:cs="宋体"/>
                <w:bCs/>
                <w:szCs w:val="21"/>
                <w:lang w:val="en-US" w:eastAsia="zh-CN"/>
              </w:rPr>
            </w:pPr>
            <w:r>
              <w:rPr>
                <w:rFonts w:hint="default" w:ascii="Times New Roman" w:hAnsi="Times New Roman" w:cs="Times New Roman"/>
                <w:color w:val="000000"/>
                <w:sz w:val="24"/>
              </w:rPr>
              <w:t>本项目劳动定员</w:t>
            </w:r>
            <w:r>
              <w:rPr>
                <w:rFonts w:hint="eastAsia" w:ascii="Times New Roman" w:hAnsi="Times New Roman" w:cs="Times New Roman"/>
                <w:color w:val="000000"/>
                <w:sz w:val="24"/>
                <w:lang w:val="en-US" w:eastAsia="zh-CN"/>
              </w:rPr>
              <w:t>12</w:t>
            </w:r>
            <w:r>
              <w:rPr>
                <w:rFonts w:hint="default" w:ascii="Times New Roman" w:hAnsi="Times New Roman" w:cs="Times New Roman"/>
                <w:color w:val="000000"/>
                <w:sz w:val="24"/>
              </w:rPr>
              <w:t>人，项目年生产期约</w:t>
            </w:r>
            <w:r>
              <w:rPr>
                <w:rFonts w:hint="default" w:ascii="Times New Roman" w:hAnsi="Times New Roman" w:cs="Times New Roman"/>
                <w:color w:val="000000"/>
                <w:sz w:val="24"/>
                <w:lang w:val="en-US" w:eastAsia="zh-CN"/>
              </w:rPr>
              <w:t>2</w:t>
            </w:r>
            <w:r>
              <w:rPr>
                <w:rFonts w:hint="eastAsia" w:ascii="Times New Roman" w:hAnsi="Times New Roman" w:cs="Times New Roman"/>
                <w:color w:val="000000"/>
                <w:sz w:val="24"/>
                <w:lang w:val="en-US" w:eastAsia="zh-CN"/>
              </w:rPr>
              <w:t>7</w:t>
            </w:r>
            <w:r>
              <w:rPr>
                <w:rFonts w:hint="default" w:ascii="Times New Roman" w:hAnsi="Times New Roman" w:cs="Times New Roman"/>
                <w:color w:val="000000"/>
                <w:sz w:val="24"/>
                <w:lang w:val="en-US" w:eastAsia="zh-CN"/>
              </w:rPr>
              <w:t>0</w:t>
            </w:r>
            <w:r>
              <w:rPr>
                <w:rFonts w:hint="default" w:ascii="Times New Roman" w:hAnsi="Times New Roman" w:cs="Times New Roman"/>
                <w:color w:val="000000"/>
                <w:sz w:val="24"/>
              </w:rPr>
              <w:t>天，生产期生产制度实行1班工作制，每天工作8小时，职工在厂内</w:t>
            </w:r>
            <w:r>
              <w:rPr>
                <w:rFonts w:hint="default" w:ascii="Times New Roman" w:hAnsi="Times New Roman" w:cs="Times New Roman"/>
                <w:sz w:val="24"/>
              </w:rPr>
              <w:t>食宿。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248" w:type="pct"/>
            <w:noWrap w:val="0"/>
            <w:vAlign w:val="center"/>
          </w:tcPr>
          <w:p>
            <w:pPr>
              <w:pStyle w:val="18"/>
              <w:adjustRightInd w:val="0"/>
              <w:snapToGrid w:val="0"/>
              <w:spacing w:before="0" w:beforeAutospacing="0" w:after="0" w:afterAutospacing="0"/>
              <w:jc w:val="center"/>
              <w:rPr>
                <w:rFonts w:cs="宋体"/>
                <w:sz w:val="21"/>
                <w:szCs w:val="21"/>
              </w:rPr>
            </w:pPr>
            <w:r>
              <w:rPr>
                <w:rFonts w:hint="eastAsia" w:cs="宋体"/>
                <w:sz w:val="21"/>
                <w:szCs w:val="21"/>
              </w:rPr>
              <w:t>工艺流程和产排污环节</w:t>
            </w:r>
          </w:p>
        </w:tc>
        <w:tc>
          <w:tcPr>
            <w:tcW w:w="4751" w:type="pct"/>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b/>
                <w:sz w:val="24"/>
              </w:rPr>
            </w:pPr>
            <w:bookmarkStart w:id="1" w:name="OLE_LINK41"/>
            <w:bookmarkStart w:id="2" w:name="OLE_LINK6"/>
            <w:r>
              <w:rPr>
                <w:b/>
                <w:sz w:val="28"/>
                <w:szCs w:val="28"/>
              </w:rPr>
              <w:t>工艺流程简述</w:t>
            </w:r>
            <w:r>
              <w:rPr>
                <w:b/>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宋体" w:hAnsi="宋体" w:eastAsia="宋体" w:cs="宋体"/>
                <w:b/>
                <w:sz w:val="24"/>
                <w:lang w:val="en-US" w:eastAsia="zh-CN"/>
              </w:rPr>
            </w:pPr>
            <w:r>
              <w:rPr>
                <w:rFonts w:hint="eastAsia" w:ascii="宋体" w:hAnsi="宋体" w:eastAsia="宋体" w:cs="宋体"/>
                <w:b/>
                <w:sz w:val="24"/>
                <w:lang w:val="en-US" w:eastAsia="zh-CN"/>
              </w:rPr>
              <w:t>1.施工期工艺流程及产污环节图</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kern w:val="0"/>
                <w:sz w:val="24"/>
              </w:rPr>
            </w:pPr>
            <w:r>
              <w:rPr>
                <w:rFonts w:hint="default" w:ascii="宋体" w:hAnsi="宋体" w:eastAsia="宋体" w:cs="宋体"/>
                <w:kern w:val="0"/>
                <w:sz w:val="24"/>
              </w:rPr>
              <w:t>本项目建设内容为</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混凝土搅拌楼、料仓、办公生活区、沉淀池等</w:t>
            </w:r>
            <w:r>
              <w:rPr>
                <w:rFonts w:hint="default" w:ascii="宋体" w:hAnsi="宋体" w:eastAsia="宋体" w:cs="宋体"/>
                <w:kern w:val="0"/>
                <w:sz w:val="24"/>
              </w:rPr>
              <w:t>。施工期的污染主要为工程在建设过程中产生的扬尘、运输车辆及施工机械尾气、固体废物、废水及噪声，施工工艺流程及各阶段主要污染物产生情况见</w:t>
            </w:r>
            <w:r>
              <w:rPr>
                <w:rFonts w:hint="eastAsia" w:ascii="宋体" w:hAnsi="宋体" w:eastAsia="宋体" w:cs="宋体"/>
                <w:kern w:val="0"/>
                <w:sz w:val="24"/>
                <w:lang w:val="en-US" w:eastAsia="zh-CN"/>
              </w:rPr>
              <w:t>下图</w:t>
            </w:r>
            <w:r>
              <w:rPr>
                <w:rFonts w:hint="default" w:ascii="宋体" w:hAnsi="宋体" w:eastAsia="宋体" w:cs="宋体"/>
                <w:kern w:val="0"/>
                <w:sz w:val="24"/>
              </w:rPr>
              <w:t>。</w:t>
            </w:r>
          </w:p>
          <w:p>
            <w:pPr>
              <w:jc w:val="center"/>
              <w:rPr>
                <w:rFonts w:hint="default" w:ascii="Times New Roman" w:hAnsi="Times New Roman" w:cs="Times New Roman"/>
                <w:color w:val="auto"/>
                <w:highlight w:val="none"/>
              </w:rPr>
            </w:pPr>
          </w:p>
          <w:p>
            <w:pPr>
              <w:jc w:val="center"/>
              <w:rPr>
                <w:rFonts w:hint="default" w:ascii="Times New Roman" w:hAnsi="Times New Roman" w:cs="Times New Roman"/>
                <w:b/>
                <w:bCs/>
                <w:color w:val="auto"/>
                <w:highlight w:val="none"/>
              </w:rPr>
            </w:pPr>
            <w:r>
              <w:rPr>
                <w:rFonts w:hint="default" w:ascii="Times New Roman" w:hAnsi="Times New Roman" w:cs="Times New Roman"/>
                <w:color w:val="auto"/>
                <w:highlight w:val="none"/>
              </w:rPr>
              <w:drawing>
                <wp:inline distT="0" distB="0" distL="114300" distR="114300">
                  <wp:extent cx="4512945" cy="1890395"/>
                  <wp:effectExtent l="9525" t="9525" r="11430" b="24130"/>
                  <wp:docPr id="10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2"/>
                          <pic:cNvPicPr>
                            <a:picLocks noChangeAspect="1"/>
                          </pic:cNvPicPr>
                        </pic:nvPicPr>
                        <pic:blipFill>
                          <a:blip r:embed="rId7"/>
                          <a:stretch>
                            <a:fillRect/>
                          </a:stretch>
                        </pic:blipFill>
                        <pic:spPr>
                          <a:xfrm>
                            <a:off x="0" y="0"/>
                            <a:ext cx="4512945" cy="1890395"/>
                          </a:xfrm>
                          <a:prstGeom prst="rect">
                            <a:avLst/>
                          </a:prstGeom>
                          <a:noFill/>
                          <a:ln w="9525" cap="flat" cmpd="sng">
                            <a:solidFill>
                              <a:srgbClr val="000000"/>
                            </a:solidFill>
                            <a:prstDash val="solid"/>
                            <a:round/>
                            <a:headEnd type="none" w="med" len="med"/>
                            <a:tailEnd type="none" w="med" len="med"/>
                          </a:ln>
                        </pic:spPr>
                      </pic:pic>
                    </a:graphicData>
                  </a:graphic>
                </wp:inline>
              </w:drawing>
            </w:r>
          </w:p>
          <w:p>
            <w:pPr>
              <w:spacing w:line="240" w:lineRule="auto"/>
              <w:jc w:val="center"/>
              <w:rPr>
                <w:rFonts w:hint="default" w:ascii="Times New Roman" w:hAnsi="Times New Roman" w:cs="Times New Roman"/>
                <w:b/>
                <w:bCs/>
                <w:color w:val="auto"/>
                <w:sz w:val="24"/>
                <w:szCs w:val="24"/>
                <w:highlight w:val="none"/>
              </w:rPr>
            </w:pPr>
          </w:p>
          <w:p>
            <w:pPr>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rPr>
              <w:t>图</w:t>
            </w:r>
            <w:r>
              <w:rPr>
                <w:rFonts w:hint="eastAsia" w:ascii="Times New Roman" w:hAnsi="Times New Roman" w:cs="Times New Roman"/>
                <w:b/>
                <w:bCs/>
                <w:color w:val="auto"/>
                <w:sz w:val="24"/>
                <w:szCs w:val="24"/>
                <w:highlight w:val="none"/>
                <w:lang w:val="en-US" w:eastAsia="zh-CN"/>
              </w:rPr>
              <w:t>2-2</w:t>
            </w:r>
            <w:r>
              <w:rPr>
                <w:rFonts w:hint="eastAsia" w:cs="Times New Roman"/>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施工期工艺流程及排污环节图</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宋体" w:hAnsi="宋体" w:eastAsia="宋体" w:cs="宋体"/>
                <w:b/>
                <w:sz w:val="24"/>
                <w:lang w:val="en-US" w:eastAsia="zh-CN"/>
              </w:rPr>
            </w:pPr>
            <w:r>
              <w:rPr>
                <w:rFonts w:hint="eastAsia" w:ascii="宋体" w:hAnsi="宋体" w:cs="宋体"/>
                <w:b/>
                <w:sz w:val="24"/>
                <w:lang w:val="en-US" w:eastAsia="zh-CN"/>
              </w:rPr>
              <w:t>2.</w:t>
            </w:r>
            <w:r>
              <w:rPr>
                <w:rFonts w:hint="eastAsia" w:ascii="宋体" w:hAnsi="宋体" w:cs="宋体"/>
                <w:b/>
                <w:sz w:val="24"/>
              </w:rPr>
              <w:t>运营期生产工艺流程及产污环节见下图</w:t>
            </w:r>
            <w:r>
              <w:rPr>
                <w:rFonts w:hint="eastAsia" w:ascii="宋体" w:hAnsi="宋体" w:cs="宋体"/>
                <w:b/>
                <w:sz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sz w:val="24"/>
              </w:rPr>
            </w:pPr>
          </w:p>
          <w:p>
            <w:pPr>
              <w:rPr>
                <w:rFonts w:hint="eastAsia" w:ascii="宋体" w:hAnsi="宋体" w:cs="宋体"/>
                <w:b/>
                <w:sz w:val="24"/>
              </w:rPr>
            </w:pPr>
            <w:r>
              <w:rPr>
                <w:rFonts w:hint="eastAsia" w:hAnsi="宋体"/>
                <w:b/>
                <w:color w:val="000000"/>
                <w:sz w:val="24"/>
                <w:u w:val="single"/>
              </w:rPr>
              <mc:AlternateContent>
                <mc:Choice Requires="wps">
                  <w:drawing>
                    <wp:anchor distT="0" distB="0" distL="114300" distR="114300" simplePos="0" relativeHeight="251679744" behindDoc="0" locked="0" layoutInCell="1" allowOverlap="1">
                      <wp:simplePos x="0" y="0"/>
                      <wp:positionH relativeFrom="column">
                        <wp:posOffset>1811655</wp:posOffset>
                      </wp:positionH>
                      <wp:positionV relativeFrom="paragraph">
                        <wp:posOffset>38735</wp:posOffset>
                      </wp:positionV>
                      <wp:extent cx="730885" cy="294005"/>
                      <wp:effectExtent l="0" t="0" r="0" b="0"/>
                      <wp:wrapNone/>
                      <wp:docPr id="20" name="矩形 67"/>
                      <wp:cNvGraphicFramePr/>
                      <a:graphic xmlns:a="http://schemas.openxmlformats.org/drawingml/2006/main">
                        <a:graphicData uri="http://schemas.microsoft.com/office/word/2010/wordprocessingShape">
                          <wps:wsp>
                            <wps:cNvSpPr/>
                            <wps:spPr>
                              <a:xfrm>
                                <a:off x="0" y="0"/>
                                <a:ext cx="730885"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粉尘</w:t>
                                  </w:r>
                                </w:p>
                              </w:txbxContent>
                            </wps:txbx>
                            <wps:bodyPr wrap="square" upright="1"/>
                          </wps:wsp>
                        </a:graphicData>
                      </a:graphic>
                    </wp:anchor>
                  </w:drawing>
                </mc:Choice>
                <mc:Fallback>
                  <w:pict>
                    <v:rect id="矩形 67" o:spid="_x0000_s1026" o:spt="1" style="position:absolute;left:0pt;margin-left:142.65pt;margin-top:3.05pt;height:23.15pt;width:57.55pt;z-index:251679744;mso-width-relative:page;mso-height-relative:page;" filled="f" stroked="f" coordsize="21600,21600" o:gfxdata="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BXcN&#10;2QAAAAgBAAAPAAAAAAAAAAEAIAAAACIAAABkcnMvZG93bnJldi54bWxQSwECFAAUAAAACACHTuJA&#10;Glxhv64BAABQAwAADgAAAAAAAAABACAAAAAoAQAAZHJzL2Uyb0RvYy54bWxQSwUGAAAAAAYABgBZ&#10;AQAASA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粉尘</w:t>
                            </w:r>
                          </w:p>
                        </w:txbxContent>
                      </v:textbox>
                    </v:rect>
                  </w:pict>
                </mc:Fallback>
              </mc:AlternateContent>
            </w:r>
            <w:r>
              <w:rPr>
                <w:rFonts w:hint="eastAsia" w:hAnsi="宋体"/>
                <w:b/>
                <w:color w:val="000000"/>
                <w:sz w:val="24"/>
                <w:u w:val="single"/>
              </w:rPr>
              <mc:AlternateContent>
                <mc:Choice Requires="wps">
                  <w:drawing>
                    <wp:anchor distT="0" distB="0" distL="114300" distR="114300" simplePos="0" relativeHeight="251692032" behindDoc="0" locked="0" layoutInCell="1" allowOverlap="1">
                      <wp:simplePos x="0" y="0"/>
                      <wp:positionH relativeFrom="column">
                        <wp:posOffset>2792730</wp:posOffset>
                      </wp:positionH>
                      <wp:positionV relativeFrom="paragraph">
                        <wp:posOffset>66675</wp:posOffset>
                      </wp:positionV>
                      <wp:extent cx="730885" cy="294005"/>
                      <wp:effectExtent l="0" t="0" r="0" b="0"/>
                      <wp:wrapNone/>
                      <wp:docPr id="32" name="矩形 66"/>
                      <wp:cNvGraphicFramePr/>
                      <a:graphic xmlns:a="http://schemas.openxmlformats.org/drawingml/2006/main">
                        <a:graphicData uri="http://schemas.microsoft.com/office/word/2010/wordprocessingShape">
                          <wps:wsp>
                            <wps:cNvSpPr/>
                            <wps:spPr>
                              <a:xfrm>
                                <a:off x="0" y="0"/>
                                <a:ext cx="730885"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粉尘</w:t>
                                  </w:r>
                                </w:p>
                              </w:txbxContent>
                            </wps:txbx>
                            <wps:bodyPr wrap="square" upright="1"/>
                          </wps:wsp>
                        </a:graphicData>
                      </a:graphic>
                    </wp:anchor>
                  </w:drawing>
                </mc:Choice>
                <mc:Fallback>
                  <w:pict>
                    <v:rect id="矩形 66" o:spid="_x0000_s1026" o:spt="1" style="position:absolute;left:0pt;margin-left:219.9pt;margin-top:5.25pt;height:23.15pt;width:57.55pt;z-index:251692032;mso-width-relative:page;mso-height-relative:page;" filled="f" stroked="f" coordsize="21600,21600" o:gfxdata="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Q&#10;IYnaAAAACQEAAA8AAAAAAAAAAQAgAAAAIgAAAGRycy9kb3ducmV2LnhtbFBLAQIUABQAAAAIAIdO&#10;4kAhX+YRrwEAAFADAAAOAAAAAAAAAAEAIAAAACkBAABkcnMvZTJvRG9jLnhtbFBLBQYAAAAABgAG&#10;AFkBAABKBQ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粉尘</w:t>
                            </w:r>
                          </w:p>
                        </w:txbxContent>
                      </v:textbox>
                    </v:rect>
                  </w:pict>
                </mc:Fallback>
              </mc:AlternateContent>
            </w:r>
          </w:p>
          <w:p>
            <w:pPr>
              <w:pStyle w:val="6"/>
              <w:ind w:firstLine="0" w:firstLineChars="0"/>
              <w:rPr>
                <w:rFonts w:hint="eastAsia" w:ascii="宋体" w:hAnsi="宋体" w:cs="宋体"/>
                <w:b/>
                <w:sz w:val="24"/>
                <w:szCs w:val="24"/>
              </w:rPr>
            </w:pPr>
            <w:r>
              <w:rPr>
                <w:sz w:val="24"/>
              </w:rPr>
              <mc:AlternateContent>
                <mc:Choice Requires="wps">
                  <w:drawing>
                    <wp:anchor distT="0" distB="0" distL="114300" distR="114300" simplePos="0" relativeHeight="251665408" behindDoc="0" locked="0" layoutInCell="1" allowOverlap="1">
                      <wp:simplePos x="0" y="0"/>
                      <wp:positionH relativeFrom="column">
                        <wp:posOffset>2188210</wp:posOffset>
                      </wp:positionH>
                      <wp:positionV relativeFrom="paragraph">
                        <wp:posOffset>82550</wp:posOffset>
                      </wp:positionV>
                      <wp:extent cx="2540" cy="245110"/>
                      <wp:effectExtent l="50800" t="0" r="60960" b="21590"/>
                      <wp:wrapNone/>
                      <wp:docPr id="110" name="直线箭头连接符 49"/>
                      <wp:cNvGraphicFramePr/>
                      <a:graphic xmlns:a="http://schemas.openxmlformats.org/drawingml/2006/main">
                        <a:graphicData uri="http://schemas.microsoft.com/office/word/2010/wordprocessingShape">
                          <wps:wsp>
                            <wps:cNvCnPr>
                              <a:cxnSpLocks noChangeShapeType="1"/>
                            </wps:cNvCnPr>
                            <wps:spPr bwMode="auto">
                              <a:xfrm flipV="1">
                                <a:off x="0" y="0"/>
                                <a:ext cx="2540" cy="245110"/>
                              </a:xfrm>
                              <a:prstGeom prst="straightConnector1">
                                <a:avLst/>
                              </a:prstGeom>
                              <a:noFill/>
                              <a:ln w="15875" cap="sq">
                                <a:solidFill>
                                  <a:srgbClr val="000000"/>
                                </a:solidFill>
                                <a:prstDash val="sysDot"/>
                                <a:round/>
                                <a:tailEnd type="arrow" w="med" len="med"/>
                              </a:ln>
                              <a:effectLst/>
                            </wps:spPr>
                            <wps:bodyPr/>
                          </wps:wsp>
                        </a:graphicData>
                      </a:graphic>
                    </wp:anchor>
                  </w:drawing>
                </mc:Choice>
                <mc:Fallback>
                  <w:pict>
                    <v:shape id="直线箭头连接符 49" o:spid="_x0000_s1026" o:spt="32" type="#_x0000_t32" style="position:absolute;left:0pt;flip:y;margin-left:172.3pt;margin-top:6.5pt;height:19.3pt;width:0.2pt;z-index:251665408;mso-width-relative:page;mso-height-relative:page;" filled="f" stroked="t" coordsize="21600,21600" o:gfxdata="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6ogBrVAAAACQEAAA8AAAAAAAAAAQAgAAAAIgAAAGRycy9kb3ducmV2LnhtbFBL&#10;AQIUABQAAAAIAIdO4kDfMokuMgIAACoEAAAOAAAAAAAAAAEAIAAAACQBAABkcnMvZTJvRG9jLnht&#10;bFBLBQYAAAAABgAGAFkBAADIBQAAAAA=&#10;">
                      <v:fill on="f" focussize="0,0"/>
                      <v:stroke weight="1.25pt" color="#000000" joinstyle="round" dashstyle="1 1" endcap="square" endarrow="open"/>
                      <v:imagedata o:title=""/>
                      <o:lock v:ext="edit" aspectratio="f"/>
                    </v:shap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3161665</wp:posOffset>
                      </wp:positionH>
                      <wp:positionV relativeFrom="paragraph">
                        <wp:posOffset>81915</wp:posOffset>
                      </wp:positionV>
                      <wp:extent cx="2540" cy="245110"/>
                      <wp:effectExtent l="50800" t="0" r="60960" b="21590"/>
                      <wp:wrapNone/>
                      <wp:docPr id="31" name="直线箭头连接符 49"/>
                      <wp:cNvGraphicFramePr/>
                      <a:graphic xmlns:a="http://schemas.openxmlformats.org/drawingml/2006/main">
                        <a:graphicData uri="http://schemas.microsoft.com/office/word/2010/wordprocessingShape">
                          <wps:wsp>
                            <wps:cNvCnPr>
                              <a:cxnSpLocks noChangeShapeType="1"/>
                            </wps:cNvCnPr>
                            <wps:spPr bwMode="auto">
                              <a:xfrm flipV="1">
                                <a:off x="0" y="0"/>
                                <a:ext cx="2540" cy="245110"/>
                              </a:xfrm>
                              <a:prstGeom prst="straightConnector1">
                                <a:avLst/>
                              </a:prstGeom>
                              <a:noFill/>
                              <a:ln w="15875" cap="sq">
                                <a:solidFill>
                                  <a:srgbClr val="000000"/>
                                </a:solidFill>
                                <a:prstDash val="sysDot"/>
                                <a:round/>
                                <a:tailEnd type="arrow" w="med" len="med"/>
                              </a:ln>
                              <a:effectLst/>
                            </wps:spPr>
                            <wps:bodyPr/>
                          </wps:wsp>
                        </a:graphicData>
                      </a:graphic>
                    </wp:anchor>
                  </w:drawing>
                </mc:Choice>
                <mc:Fallback>
                  <w:pict>
                    <v:shape id="直线箭头连接符 49" o:spid="_x0000_s1026" o:spt="32" type="#_x0000_t32" style="position:absolute;left:0pt;flip:y;margin-left:248.95pt;margin-top:6.45pt;height:19.3pt;width:0.2pt;z-index:251691008;mso-width-relative:page;mso-height-relative:page;" filled="f" stroked="t" coordsize="21600,21600" o:gfxdata="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KQDX/1wAAAAkBAAAPAAAAAAAAAAEAIAAAACIAAABkcnMvZG93bnJldi54&#10;bWxQSwECFAAUAAAACACHTuJAqTzmQDQCAAApBAAADgAAAAAAAAABACAAAAAmAQAAZHJzL2Uyb0Rv&#10;Yy54bWxQSwUGAAAAAAYABgBZAQAAzAUAAAAA&#10;">
                      <v:fill on="f" focussize="0,0"/>
                      <v:stroke weight="1.25pt" color="#000000" joinstyle="round" dashstyle="1 1" endcap="square" endarrow="open"/>
                      <v:imagedata o:title=""/>
                      <o:lock v:ext="edit" aspectratio="f"/>
                    </v:shape>
                  </w:pict>
                </mc:Fallback>
              </mc:AlternateContent>
            </w:r>
          </w:p>
          <w:p>
            <w:pPr>
              <w:rPr>
                <w:rFonts w:hint="eastAsia" w:ascii="宋体" w:hAnsi="宋体" w:cs="宋体"/>
                <w:b/>
                <w:sz w:val="24"/>
              </w:rPr>
            </w:pPr>
            <w:r>
              <w:rPr>
                <w:rFonts w:hint="eastAsia" w:hAnsi="宋体"/>
                <w:b/>
                <w:color w:val="000000"/>
                <w:sz w:val="24"/>
                <w:u w:val="single"/>
              </w:rPr>
              <mc:AlternateContent>
                <mc:Choice Requires="wps">
                  <w:drawing>
                    <wp:anchor distT="0" distB="0" distL="114300" distR="114300" simplePos="0" relativeHeight="251685888" behindDoc="0" locked="0" layoutInCell="1" allowOverlap="1">
                      <wp:simplePos x="0" y="0"/>
                      <wp:positionH relativeFrom="column">
                        <wp:posOffset>1546225</wp:posOffset>
                      </wp:positionH>
                      <wp:positionV relativeFrom="paragraph">
                        <wp:posOffset>125095</wp:posOffset>
                      </wp:positionV>
                      <wp:extent cx="1268095" cy="294005"/>
                      <wp:effectExtent l="5080" t="4445" r="22225" b="6350"/>
                      <wp:wrapNone/>
                      <wp:docPr id="26"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color w:val="000000"/>
                                      <w:szCs w:val="21"/>
                                    </w:rPr>
                                  </w:pPr>
                                  <w:r>
                                    <w:rPr>
                                      <w:rFonts w:hint="eastAsia"/>
                                      <w:color w:val="000000"/>
                                      <w:szCs w:val="21"/>
                                    </w:rPr>
                                    <w:t>粉煤灰</w:t>
                                  </w:r>
                                  <w:r>
                                    <w:rPr>
                                      <w:rFonts w:hint="eastAsia"/>
                                      <w:color w:val="000000"/>
                                      <w:szCs w:val="21"/>
                                      <w:lang w:eastAsia="zh-CN"/>
                                    </w:rPr>
                                    <w:t>、</w:t>
                                  </w:r>
                                  <w:r>
                                    <w:rPr>
                                      <w:rFonts w:hint="eastAsia"/>
                                      <w:color w:val="000000"/>
                                      <w:szCs w:val="21"/>
                                      <w:lang w:val="en-US" w:eastAsia="zh-CN"/>
                                    </w:rPr>
                                    <w:t>矿粉</w:t>
                                  </w:r>
                                  <w:r>
                                    <w:rPr>
                                      <w:rFonts w:hint="eastAsia"/>
                                      <w:color w:val="000000"/>
                                      <w:szCs w:val="21"/>
                                      <w:lang w:eastAsia="zh-CN"/>
                                    </w:rPr>
                                    <w:t>供给</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121.75pt;margin-top:9.85pt;height:23.15pt;width:99.85pt;z-index:251685888;mso-width-relative:page;mso-height-relative:page;" filled="f" stroked="t" coordsize="21600,21600" o:gfxdata="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6Rys/YAAAACQEAAA8AAAAAAAAAAQAgAAAAIgAAAGRycy9kb3du&#10;cmV2LnhtbFBLAQIUABQAAAAIAIdO4kAuhsu+OAIAAGAEAAAOAAAAAAAAAAEAIAAAACcBAABkcnMv&#10;ZTJvRG9jLnhtbFBLBQYAAAAABgAGAFkBAADRBQAAAAA=&#10;">
                      <v:fill on="f" focussize="0,0"/>
                      <v:stroke color="#000000" miterlimit="8" joinstyle="miter"/>
                      <v:imagedata o:title=""/>
                      <o:lock v:ext="edit" aspectratio="f"/>
                      <v:textbox>
                        <w:txbxContent>
                          <w:p>
                            <w:pPr>
                              <w:spacing w:line="0" w:lineRule="atLeast"/>
                              <w:jc w:val="center"/>
                              <w:rPr>
                                <w:rFonts w:hint="eastAsia"/>
                                <w:color w:val="000000"/>
                                <w:szCs w:val="21"/>
                              </w:rPr>
                            </w:pPr>
                            <w:r>
                              <w:rPr>
                                <w:rFonts w:hint="eastAsia"/>
                                <w:color w:val="000000"/>
                                <w:szCs w:val="21"/>
                              </w:rPr>
                              <w:t>粉煤灰</w:t>
                            </w:r>
                            <w:r>
                              <w:rPr>
                                <w:rFonts w:hint="eastAsia"/>
                                <w:color w:val="000000"/>
                                <w:szCs w:val="21"/>
                                <w:lang w:eastAsia="zh-CN"/>
                              </w:rPr>
                              <w:t>、</w:t>
                            </w:r>
                            <w:r>
                              <w:rPr>
                                <w:rFonts w:hint="eastAsia"/>
                                <w:color w:val="000000"/>
                                <w:szCs w:val="21"/>
                                <w:lang w:val="en-US" w:eastAsia="zh-CN"/>
                              </w:rPr>
                              <w:t>矿粉</w:t>
                            </w:r>
                            <w:r>
                              <w:rPr>
                                <w:rFonts w:hint="eastAsia"/>
                                <w:color w:val="000000"/>
                                <w:szCs w:val="21"/>
                                <w:lang w:eastAsia="zh-CN"/>
                              </w:rPr>
                              <w:t>供给</w:t>
                            </w:r>
                          </w:p>
                        </w:txbxContent>
                      </v:textbox>
                    </v:rect>
                  </w:pict>
                </mc:Fallback>
              </mc:AlternateContent>
            </w:r>
            <w:r>
              <w:rPr>
                <w:rFonts w:hint="eastAsia" w:hAnsi="宋体"/>
                <w:b/>
                <w:color w:val="000000"/>
                <w:sz w:val="24"/>
                <w:u w:val="single"/>
              </w:rPr>
              <mc:AlternateContent>
                <mc:Choice Requires="wps">
                  <w:drawing>
                    <wp:anchor distT="0" distB="0" distL="114300" distR="114300" simplePos="0" relativeHeight="251659264" behindDoc="0" locked="0" layoutInCell="1" allowOverlap="1">
                      <wp:simplePos x="0" y="0"/>
                      <wp:positionH relativeFrom="column">
                        <wp:posOffset>2879090</wp:posOffset>
                      </wp:positionH>
                      <wp:positionV relativeFrom="paragraph">
                        <wp:posOffset>137160</wp:posOffset>
                      </wp:positionV>
                      <wp:extent cx="730885" cy="294005"/>
                      <wp:effectExtent l="5080" t="4445" r="6985" b="635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color w:val="000000"/>
                                      <w:szCs w:val="21"/>
                                    </w:rPr>
                                  </w:pPr>
                                  <w:r>
                                    <w:rPr>
                                      <w:rFonts w:hint="eastAsia"/>
                                      <w:color w:val="000000"/>
                                      <w:szCs w:val="21"/>
                                    </w:rPr>
                                    <w:t>水泥</w:t>
                                  </w:r>
                                  <w:r>
                                    <w:rPr>
                                      <w:rFonts w:hint="eastAsia"/>
                                      <w:color w:val="000000"/>
                                      <w:szCs w:val="21"/>
                                      <w:lang w:eastAsia="zh-CN"/>
                                    </w:rPr>
                                    <w:t>供给</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6.7pt;margin-top:10.8pt;height:23.15pt;width:57.55pt;z-index:251659264;mso-width-relative:page;mso-height-relative:page;" filled="f" stroked="t" coordsize="21600,21600" o:gfxdata="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4ona7YAAAACQEAAA8AAAAAAAAAAQAgAAAAIgAAAGRycy9kb3du&#10;cmV2LnhtbFBLAQIUABQAAAAIAIdO4kBRptBaOAIAAGAEAAAOAAAAAAAAAAEAIAAAACcBAABkcnMv&#10;ZTJvRG9jLnhtbFBLBQYAAAAABgAGAFkBAADRBQAAAAA=&#10;">
                      <v:fill on="f" focussize="0,0"/>
                      <v:stroke color="#000000" miterlimit="8" joinstyle="miter"/>
                      <v:imagedata o:title=""/>
                      <o:lock v:ext="edit" aspectratio="f"/>
                      <v:textbox>
                        <w:txbxContent>
                          <w:p>
                            <w:pPr>
                              <w:spacing w:line="0" w:lineRule="atLeast"/>
                              <w:jc w:val="center"/>
                              <w:rPr>
                                <w:rFonts w:hint="eastAsia"/>
                                <w:color w:val="000000"/>
                                <w:szCs w:val="21"/>
                              </w:rPr>
                            </w:pPr>
                            <w:r>
                              <w:rPr>
                                <w:rFonts w:hint="eastAsia"/>
                                <w:color w:val="000000"/>
                                <w:szCs w:val="21"/>
                              </w:rPr>
                              <w:t>水泥</w:t>
                            </w:r>
                            <w:r>
                              <w:rPr>
                                <w:rFonts w:hint="eastAsia"/>
                                <w:color w:val="000000"/>
                                <w:szCs w:val="21"/>
                                <w:lang w:eastAsia="zh-CN"/>
                              </w:rPr>
                              <w:t>供给</w:t>
                            </w:r>
                          </w:p>
                        </w:txbxContent>
                      </v:textbox>
                    </v:rect>
                  </w:pict>
                </mc:Fallback>
              </mc:AlternateContent>
            </w:r>
          </w:p>
          <w:p>
            <w:pPr>
              <w:pStyle w:val="6"/>
              <w:ind w:firstLine="0" w:firstLineChars="0"/>
              <w:rPr>
                <w:rFonts w:hint="eastAsia" w:ascii="宋体" w:hAnsi="宋体" w:cs="宋体"/>
                <w:b/>
                <w:sz w:val="24"/>
                <w:szCs w:val="24"/>
              </w:rPr>
            </w:pPr>
          </w:p>
          <w:p>
            <w:pPr>
              <w:rPr>
                <w:sz w:val="24"/>
              </w:rPr>
            </w:pPr>
            <w:r>
              <w:rPr>
                <w:sz w:val="24"/>
              </w:rPr>
              <mc:AlternateContent>
                <mc:Choice Requires="wps">
                  <w:drawing>
                    <wp:anchor distT="0" distB="0" distL="114300" distR="114300" simplePos="0" relativeHeight="251667456" behindDoc="0" locked="0" layoutInCell="1" allowOverlap="1">
                      <wp:simplePos x="0" y="0"/>
                      <wp:positionH relativeFrom="column">
                        <wp:posOffset>3127375</wp:posOffset>
                      </wp:positionH>
                      <wp:positionV relativeFrom="paragraph">
                        <wp:posOffset>46990</wp:posOffset>
                      </wp:positionV>
                      <wp:extent cx="6350" cy="236855"/>
                      <wp:effectExtent l="36195" t="0" r="33655" b="10795"/>
                      <wp:wrapNone/>
                      <wp:docPr id="7" name="自选图形 72"/>
                      <wp:cNvGraphicFramePr/>
                      <a:graphic xmlns:a="http://schemas.openxmlformats.org/drawingml/2006/main">
                        <a:graphicData uri="http://schemas.microsoft.com/office/word/2010/wordprocessingShape">
                          <wps:wsp>
                            <wps:cNvCnPr/>
                            <wps:spPr>
                              <a:xfrm flipH="1">
                                <a:off x="0" y="0"/>
                                <a:ext cx="6350" cy="23685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72" o:spid="_x0000_s1026" o:spt="32" type="#_x0000_t32" style="position:absolute;left:0pt;flip:x;margin-left:246.25pt;margin-top:3.7pt;height:18.65pt;width:0.5pt;z-index:251667456;mso-width-relative:page;mso-height-relative:page;" filled="f" stroked="t" coordsize="21600,21600" o:gfxdata="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HeFDPaAAAACAEAAA8AAAAAAAAAAQAgAAAAIgAA&#10;AGRycy9kb3ducmV2LnhtbFBLAQIUABQAAAAIAIdO4kCNSgZDBgIAAPUDAAAOAAAAAAAAAAEAIAAA&#10;ACkBAABkcnMvZTJvRG9jLnhtbFBLBQYAAAAABgAGAFkBAAChBQ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2482850</wp:posOffset>
                      </wp:positionH>
                      <wp:positionV relativeFrom="paragraph">
                        <wp:posOffset>22860</wp:posOffset>
                      </wp:positionV>
                      <wp:extent cx="0" cy="205105"/>
                      <wp:effectExtent l="38100" t="0" r="38100" b="4445"/>
                      <wp:wrapNone/>
                      <wp:docPr id="27" name="自选图形 73"/>
                      <wp:cNvGraphicFramePr/>
                      <a:graphic xmlns:a="http://schemas.openxmlformats.org/drawingml/2006/main">
                        <a:graphicData uri="http://schemas.microsoft.com/office/word/2010/wordprocessingShape">
                          <wps:wsp>
                            <wps:cNvCnPr/>
                            <wps:spPr>
                              <a:xfrm>
                                <a:off x="0" y="0"/>
                                <a:ext cx="0" cy="20510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73" o:spid="_x0000_s1026" o:spt="32" type="#_x0000_t32" style="position:absolute;left:0pt;margin-left:195.5pt;margin-top:1.8pt;height:16.15pt;width:0pt;z-index:251686912;mso-width-relative:page;mso-height-relative:page;" filled="f" stroked="t" coordsize="21600,21600" o:gfxdata="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APvJNYAAAAIAQAADwAAAAAAAAABACAAAAAiAAAAZHJzL2Rvd25yZXYueG1s&#10;UEsBAhQAFAAAAAgAh07iQBzbHqb6AQAA6QMAAA4AAAAAAAAAAQAgAAAAJQEAAGRycy9lMm9Eb2Mu&#10;eG1sUEsFBgAAAAAGAAYAWQEAAJEFAAAAAA==&#10;">
                      <v:fill on="f" focussize="0,0"/>
                      <v:stroke weight="1.25pt" color="#000000" joinstyle="round" endarrow="block"/>
                      <v:imagedata o:title=""/>
                      <o:lock v:ext="edit" aspectratio="f"/>
                    </v:shape>
                  </w:pict>
                </mc:Fallback>
              </mc:AlternateContent>
            </w:r>
          </w:p>
          <w:p>
            <w:pPr>
              <w:pStyle w:val="16"/>
              <w:ind w:left="482" w:hanging="482"/>
              <w:rPr>
                <w:rFonts w:hint="eastAsia"/>
              </w:rPr>
            </w:pPr>
            <w:r>
              <w:rPr>
                <w:rFonts w:hint="eastAsia" w:hAnsi="宋体"/>
                <w:b/>
                <w:color w:val="000000"/>
                <w:sz w:val="24"/>
                <w:u w:val="single"/>
              </w:rPr>
              <mc:AlternateContent>
                <mc:Choice Requires="wps">
                  <w:drawing>
                    <wp:anchor distT="0" distB="0" distL="114300" distR="114300" simplePos="0" relativeHeight="251689984" behindDoc="0" locked="0" layoutInCell="1" allowOverlap="1">
                      <wp:simplePos x="0" y="0"/>
                      <wp:positionH relativeFrom="column">
                        <wp:posOffset>2909570</wp:posOffset>
                      </wp:positionH>
                      <wp:positionV relativeFrom="paragraph">
                        <wp:posOffset>50800</wp:posOffset>
                      </wp:positionV>
                      <wp:extent cx="486410" cy="294005"/>
                      <wp:effectExtent l="5080" t="4445" r="22860" b="6350"/>
                      <wp:wrapNone/>
                      <wp:docPr id="30"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color w:val="000000"/>
                                      <w:szCs w:val="21"/>
                                    </w:rPr>
                                  </w:pPr>
                                  <w:r>
                                    <w:rPr>
                                      <w:rFonts w:hint="eastAsia"/>
                                      <w:color w:val="000000"/>
                                      <w:szCs w:val="21"/>
                                    </w:rPr>
                                    <w:t>计量</w:t>
                                  </w:r>
                                </w:p>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229.1pt;margin-top:4pt;height:23.15pt;width:38.3pt;z-index:251689984;mso-width-relative:page;mso-height-relative:page;" filled="f" stroked="t" coordsize="21600,21600" o:gfxdata="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tCrQStcAAAAIAQAADwAAAAAAAAABACAAAAAiAAAAZHJzL2Rvd25y&#10;ZXYueG1sUEsBAhQAFAAAAAgAh07iQFIHGzA4AgAAYAQAAA4AAAAAAAAAAQAgAAAAJgEAAGRycy9l&#10;Mm9Eb2MueG1sUEsFBgAAAAAGAAYAWQEAANAFAAAAAA==&#10;">
                      <v:fill on="f" focussize="0,0"/>
                      <v:stroke color="#000000" miterlimit="8" joinstyle="miter"/>
                      <v:imagedata o:title=""/>
                      <o:lock v:ext="edit" aspectratio="f"/>
                      <v:textbox>
                        <w:txbxContent>
                          <w:p>
                            <w:pPr>
                              <w:spacing w:line="0" w:lineRule="atLeast"/>
                              <w:jc w:val="center"/>
                              <w:rPr>
                                <w:color w:val="000000"/>
                                <w:szCs w:val="21"/>
                              </w:rPr>
                            </w:pPr>
                            <w:r>
                              <w:rPr>
                                <w:rFonts w:hint="eastAsia"/>
                                <w:color w:val="000000"/>
                                <w:szCs w:val="21"/>
                              </w:rPr>
                              <w:t>计量</w:t>
                            </w:r>
                          </w:p>
                          <w:p/>
                        </w:txbxContent>
                      </v:textbox>
                    </v:rect>
                  </w:pict>
                </mc:Fallback>
              </mc:AlternateContent>
            </w:r>
            <w:r>
              <w:rPr>
                <w:rFonts w:hint="eastAsia" w:hAnsi="宋体"/>
                <w:b/>
                <w:color w:val="000000"/>
                <w:sz w:val="24"/>
                <w:u w:val="single"/>
              </w:rPr>
              <mc:AlternateContent>
                <mc:Choice Requires="wps">
                  <w:drawing>
                    <wp:anchor distT="0" distB="0" distL="114300" distR="114300" simplePos="0" relativeHeight="251670528" behindDoc="0" locked="0" layoutInCell="1" allowOverlap="1">
                      <wp:simplePos x="0" y="0"/>
                      <wp:positionH relativeFrom="column">
                        <wp:posOffset>2222500</wp:posOffset>
                      </wp:positionH>
                      <wp:positionV relativeFrom="paragraph">
                        <wp:posOffset>50800</wp:posOffset>
                      </wp:positionV>
                      <wp:extent cx="486410" cy="294005"/>
                      <wp:effectExtent l="5080" t="4445" r="22860" b="6350"/>
                      <wp:wrapNone/>
                      <wp:docPr id="10"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color w:val="000000"/>
                                      <w:szCs w:val="21"/>
                                    </w:rPr>
                                  </w:pPr>
                                  <w:r>
                                    <w:rPr>
                                      <w:rFonts w:hint="eastAsia"/>
                                      <w:color w:val="000000"/>
                                      <w:szCs w:val="21"/>
                                    </w:rPr>
                                    <w:t>计量</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175pt;margin-top:4pt;height:23.15pt;width:38.3pt;z-index:251670528;mso-width-relative:page;mso-height-relative:page;" filled="f" stroked="t" coordsize="21600,21600" o:gfxdata="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CNHcjYAAAACAEAAA8AAAAAAAAAAQAgAAAAIgAAAGRycy9kb3du&#10;cmV2LnhtbFBLAQIUABQAAAAIAIdO4kAHbRLuOAIAAGAEAAAOAAAAAAAAAAEAIAAAACcBAABkcnMv&#10;ZTJvRG9jLnhtbFBLBQYAAAAABgAGAFkBAADRBQAAAAA=&#10;">
                      <v:fill on="f" focussize="0,0"/>
                      <v:stroke color="#000000" miterlimit="8" joinstyle="miter"/>
                      <v:imagedata o:title=""/>
                      <o:lock v:ext="edit" aspectratio="f"/>
                      <v:textbox>
                        <w:txbxContent>
                          <w:p>
                            <w:pPr>
                              <w:spacing w:line="0" w:lineRule="atLeast"/>
                              <w:jc w:val="center"/>
                              <w:rPr>
                                <w:rFonts w:hint="eastAsia"/>
                                <w:color w:val="000000"/>
                                <w:szCs w:val="21"/>
                              </w:rPr>
                            </w:pPr>
                            <w:r>
                              <w:rPr>
                                <w:rFonts w:hint="eastAsia"/>
                                <w:color w:val="000000"/>
                                <w:szCs w:val="21"/>
                              </w:rPr>
                              <w:t>计量</w:t>
                            </w:r>
                          </w:p>
                        </w:txbxContent>
                      </v:textbox>
                    </v:rect>
                  </w:pict>
                </mc:Fallback>
              </mc:AlternateContent>
            </w:r>
          </w:p>
          <w:p>
            <w:pPr>
              <w:rPr>
                <w:rFonts w:hint="eastAsia"/>
              </w:rPr>
            </w:pPr>
            <w:r>
              <w:rPr>
                <w:sz w:val="24"/>
              </w:rPr>
              <mc:AlternateContent>
                <mc:Choice Requires="wps">
                  <w:drawing>
                    <wp:anchor distT="0" distB="0" distL="114300" distR="114300" simplePos="0" relativeHeight="251688960" behindDoc="0" locked="0" layoutInCell="1" allowOverlap="1">
                      <wp:simplePos x="0" y="0"/>
                      <wp:positionH relativeFrom="column">
                        <wp:posOffset>3133725</wp:posOffset>
                      </wp:positionH>
                      <wp:positionV relativeFrom="paragraph">
                        <wp:posOffset>145415</wp:posOffset>
                      </wp:positionV>
                      <wp:extent cx="5080" cy="224790"/>
                      <wp:effectExtent l="34925" t="0" r="36195" b="3810"/>
                      <wp:wrapNone/>
                      <wp:docPr id="29" name="自选图形 76"/>
                      <wp:cNvGraphicFramePr/>
                      <a:graphic xmlns:a="http://schemas.openxmlformats.org/drawingml/2006/main">
                        <a:graphicData uri="http://schemas.microsoft.com/office/word/2010/wordprocessingShape">
                          <wps:wsp>
                            <wps:cNvCnPr/>
                            <wps:spPr>
                              <a:xfrm>
                                <a:off x="0" y="0"/>
                                <a:ext cx="5080" cy="22479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76" o:spid="_x0000_s1026" o:spt="32" type="#_x0000_t32" style="position:absolute;left:0pt;margin-left:246.75pt;margin-top:11.45pt;height:17.7pt;width:0.4pt;z-index:251688960;mso-width-relative:page;mso-height-relative:page;" filled="f" stroked="t" coordsize="21600,21600" o:gfxdata="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aDKVdoAAAAJAQAADwAAAAAAAAABACAAAAAiAAAAZHJz&#10;L2Rvd25yZXYueG1sUEsBAhQAFAAAAAgAh07iQD/wlTsCAgAA7AMAAA4AAAAAAAAAAQAgAAAAKQEA&#10;AGRycy9lMm9Eb2MueG1sUEsFBgAAAAAGAAYAWQEAAJ0FA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2470785</wp:posOffset>
                      </wp:positionH>
                      <wp:positionV relativeFrom="paragraph">
                        <wp:posOffset>157480</wp:posOffset>
                      </wp:positionV>
                      <wp:extent cx="5080" cy="224790"/>
                      <wp:effectExtent l="34925" t="0" r="36195" b="3810"/>
                      <wp:wrapNone/>
                      <wp:docPr id="25" name="自选图形 77"/>
                      <wp:cNvGraphicFramePr/>
                      <a:graphic xmlns:a="http://schemas.openxmlformats.org/drawingml/2006/main">
                        <a:graphicData uri="http://schemas.microsoft.com/office/word/2010/wordprocessingShape">
                          <wps:wsp>
                            <wps:cNvCnPr/>
                            <wps:spPr>
                              <a:xfrm>
                                <a:off x="0" y="0"/>
                                <a:ext cx="5080" cy="22479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77" o:spid="_x0000_s1026" o:spt="32" type="#_x0000_t32" style="position:absolute;left:0pt;margin-left:194.55pt;margin-top:12.4pt;height:17.7pt;width:0.4pt;z-index:251684864;mso-width-relative:page;mso-height-relative:page;" filled="f" stroked="t" coordsize="21600,21600" o:gfxdata="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k4RTZAAAACQEAAA8AAAAAAAAAAQAgAAAAIgAAAGRycy9k&#10;b3ducmV2LnhtbFBLAQIUABQAAAAIAIdO4kA0mphLAQIAAOwDAAAOAAAAAAAAAAEAIAAAACgBAABk&#10;cnMvZTJvRG9jLnhtbFBLBQYAAAAABgAGAFkBAACbBQAAAAA=&#10;">
                      <v:fill on="f" focussize="0,0"/>
                      <v:stroke weight="1.25pt" color="#000000" joinstyle="round" endarrow="block"/>
                      <v:imagedata o:title=""/>
                      <o:lock v:ext="edit" aspectratio="f"/>
                    </v:shape>
                  </w:pict>
                </mc:Fallback>
              </mc:AlternateContent>
            </w:r>
          </w:p>
          <w:p>
            <w:pPr>
              <w:rPr>
                <w:rFonts w:hint="eastAsia" w:ascii="宋体" w:hAnsi="宋体" w:cs="宋体"/>
                <w:b/>
                <w:sz w:val="24"/>
              </w:rPr>
            </w:pPr>
            <w:r>
              <w:rPr>
                <w:rFonts w:hint="eastAsia" w:hAnsi="宋体"/>
                <w:b/>
                <w:color w:val="000000"/>
                <w:sz w:val="24"/>
                <w:u w:val="single"/>
              </w:rPr>
              <mc:AlternateContent>
                <mc:Choice Requires="wps">
                  <w:drawing>
                    <wp:anchor distT="0" distB="0" distL="114300" distR="114300" simplePos="0" relativeHeight="251683840" behindDoc="0" locked="0" layoutInCell="1" allowOverlap="1">
                      <wp:simplePos x="0" y="0"/>
                      <wp:positionH relativeFrom="column">
                        <wp:posOffset>1954530</wp:posOffset>
                      </wp:positionH>
                      <wp:positionV relativeFrom="paragraph">
                        <wp:posOffset>186055</wp:posOffset>
                      </wp:positionV>
                      <wp:extent cx="873760" cy="294005"/>
                      <wp:effectExtent l="5080" t="4445" r="16510" b="6350"/>
                      <wp:wrapNone/>
                      <wp:docPr id="24"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jc w:val="center"/>
                                    <w:rPr>
                                      <w:rFonts w:hint="eastAsia"/>
                                    </w:rPr>
                                  </w:pPr>
                                  <w:r>
                                    <w:rPr>
                                      <w:rFonts w:hint="eastAsia"/>
                                    </w:rPr>
                                    <w:t>螺旋输送</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153.9pt;margin-top:14.65pt;height:23.15pt;width:68.8pt;z-index:251683840;mso-width-relative:page;mso-height-relative:page;" filled="f" stroked="t" coordsize="21600,21600" o:gfxdata="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CLZQjYAAAACQEAAA8AAAAAAAAAAQAgAAAAIgAAAGRycy9kb3du&#10;cmV2LnhtbFBLAQIUABQAAAAIAIdO4kDDFj8MOAIAAGAEAAAOAAAAAAAAAAEAIAAAACcBAABkcnMv&#10;ZTJvRG9jLnhtbFBLBQYAAAAABgAGAFkBAADRBQAAAAA=&#10;">
                      <v:fill on="f" focussize="0,0"/>
                      <v:stroke color="#000000" miterlimit="8" joinstyle="miter"/>
                      <v:imagedata o:title=""/>
                      <o:lock v:ext="edit" aspectratio="f"/>
                      <v:textbox>
                        <w:txbxContent>
                          <w:p>
                            <w:pPr>
                              <w:jc w:val="center"/>
                              <w:rPr>
                                <w:rFonts w:hint="eastAsia"/>
                              </w:rPr>
                            </w:pPr>
                            <w:r>
                              <w:rPr>
                                <w:rFonts w:hint="eastAsia"/>
                              </w:rPr>
                              <w:t>螺旋输送</w:t>
                            </w:r>
                          </w:p>
                        </w:txbxContent>
                      </v:textbox>
                    </v:rect>
                  </w:pict>
                </mc:Fallback>
              </mc:AlternateContent>
            </w:r>
          </w:p>
          <w:p>
            <w:pPr>
              <w:pStyle w:val="6"/>
              <w:ind w:firstLine="0" w:firstLineChars="0"/>
              <w:rPr>
                <w:rFonts w:hint="eastAsia"/>
              </w:rPr>
            </w:pPr>
            <w:r>
              <w:rPr>
                <w:rFonts w:hint="eastAsia" w:hAnsi="宋体"/>
                <w:b/>
                <w:color w:val="000000"/>
                <w:sz w:val="24"/>
                <w:u w:val="single"/>
              </w:rPr>
              <mc:AlternateContent>
                <mc:Choice Requires="wps">
                  <w:drawing>
                    <wp:anchor distT="0" distB="0" distL="114300" distR="114300" simplePos="0" relativeHeight="251702272" behindDoc="0" locked="0" layoutInCell="1" allowOverlap="1">
                      <wp:simplePos x="0" y="0"/>
                      <wp:positionH relativeFrom="column">
                        <wp:posOffset>2871470</wp:posOffset>
                      </wp:positionH>
                      <wp:positionV relativeFrom="paragraph">
                        <wp:posOffset>635</wp:posOffset>
                      </wp:positionV>
                      <wp:extent cx="873760" cy="294005"/>
                      <wp:effectExtent l="5080" t="4445" r="16510" b="6350"/>
                      <wp:wrapNone/>
                      <wp:docPr id="42"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jc w:val="center"/>
                                    <w:rPr>
                                      <w:rFonts w:hint="eastAsia"/>
                                    </w:rPr>
                                  </w:pPr>
                                  <w:r>
                                    <w:rPr>
                                      <w:rFonts w:hint="eastAsia"/>
                                    </w:rPr>
                                    <w:t>螺旋输送</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226.1pt;margin-top:0.05pt;height:23.15pt;width:68.8pt;z-index:251702272;mso-width-relative:page;mso-height-relative:page;" filled="f" stroked="t" coordsize="21600,21600" o:gfxdata="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zub+nVAAAABwEAAA8AAAAAAAAAAQAgAAAAIgAAAGRycy9kb3ducmV2&#10;LnhtbFBLAQIUABQAAAAIAIdO4kALGTm5OAIAAGAEAAAOAAAAAAAAAAEAIAAAACQBAABkcnMvZTJv&#10;RG9jLnhtbFBLBQYAAAAABgAGAFkBAADOBQAAAAA=&#10;">
                      <v:fill on="f" focussize="0,0"/>
                      <v:stroke color="#000000" miterlimit="8" joinstyle="miter"/>
                      <v:imagedata o:title=""/>
                      <o:lock v:ext="edit" aspectratio="f"/>
                      <v:textbox>
                        <w:txbxContent>
                          <w:p>
                            <w:pPr>
                              <w:jc w:val="center"/>
                              <w:rPr>
                                <w:rFonts w:hint="eastAsia"/>
                              </w:rPr>
                            </w:pPr>
                            <w:r>
                              <w:rPr>
                                <w:rFonts w:hint="eastAsia"/>
                              </w:rPr>
                              <w:t>螺旋输送</w:t>
                            </w:r>
                          </w:p>
                        </w:txbxContent>
                      </v:textbox>
                    </v:rect>
                  </w:pict>
                </mc:Fallback>
              </mc:AlternateContent>
            </w:r>
            <w:r>
              <w:rPr>
                <w:rFonts w:hint="eastAsia" w:hAnsi="宋体"/>
                <w:b/>
                <w:color w:val="000000"/>
                <w:sz w:val="24"/>
                <w:szCs w:val="24"/>
                <w:u w:val="single"/>
              </w:rPr>
              <mc:AlternateContent>
                <mc:Choice Requires="wps">
                  <w:drawing>
                    <wp:anchor distT="0" distB="0" distL="114300" distR="114300" simplePos="0" relativeHeight="251681792" behindDoc="0" locked="0" layoutInCell="1" allowOverlap="1">
                      <wp:simplePos x="0" y="0"/>
                      <wp:positionH relativeFrom="column">
                        <wp:posOffset>3746500</wp:posOffset>
                      </wp:positionH>
                      <wp:positionV relativeFrom="paragraph">
                        <wp:posOffset>170180</wp:posOffset>
                      </wp:positionV>
                      <wp:extent cx="920750" cy="294005"/>
                      <wp:effectExtent l="0" t="0" r="0" b="0"/>
                      <wp:wrapNone/>
                      <wp:docPr id="22" name="矩形 82"/>
                      <wp:cNvGraphicFramePr/>
                      <a:graphic xmlns:a="http://schemas.openxmlformats.org/drawingml/2006/main">
                        <a:graphicData uri="http://schemas.microsoft.com/office/word/2010/wordprocessingShape">
                          <wps:wsp>
                            <wps:cNvSpPr/>
                            <wps:spPr>
                              <a:xfrm>
                                <a:off x="0" y="0"/>
                                <a:ext cx="920750"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噪声</w:t>
                                  </w:r>
                                </w:p>
                              </w:txbxContent>
                            </wps:txbx>
                            <wps:bodyPr wrap="square" upright="1"/>
                          </wps:wsp>
                        </a:graphicData>
                      </a:graphic>
                    </wp:anchor>
                  </w:drawing>
                </mc:Choice>
                <mc:Fallback>
                  <w:pict>
                    <v:rect id="矩形 82" o:spid="_x0000_s1026" o:spt="1" style="position:absolute;left:0pt;margin-left:295pt;margin-top:13.4pt;height:23.15pt;width:72.5pt;z-index:251681792;mso-width-relative:page;mso-height-relative:page;" filled="f" stroked="f" coordsize="21600,21600" o:gfxdata="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c6mZ&#10;E9oAAAAJAQAADwAAAAAAAAABACAAAAAiAAAAZHJzL2Rvd25yZXYueG1sUEsBAhQAFAAAAAgAh07i&#10;QMLaUuOuAQAAUAMAAA4AAAAAAAAAAQAgAAAAKQEAAGRycy9lMm9Eb2MueG1sUEsFBgAAAAAGAAYA&#10;WQEAAEkFA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噪声</w:t>
                            </w:r>
                          </w:p>
                        </w:txbxContent>
                      </v:textbox>
                    </v:rect>
                  </w:pict>
                </mc:Fallback>
              </mc:AlternateContent>
            </w:r>
          </w:p>
          <w:p>
            <w:pPr>
              <w:pStyle w:val="6"/>
              <w:ind w:firstLine="0" w:firstLineChars="0"/>
              <w:rPr>
                <w:rFonts w:hint="eastAsia"/>
              </w:rPr>
            </w:pPr>
            <w:r>
              <w:rPr>
                <w:sz w:val="24"/>
              </w:rPr>
              <mc:AlternateContent>
                <mc:Choice Requires="wps">
                  <w:drawing>
                    <wp:anchor distT="0" distB="0" distL="114300" distR="114300" simplePos="0" relativeHeight="251669504" behindDoc="0" locked="0" layoutInCell="1" allowOverlap="1">
                      <wp:simplePos x="0" y="0"/>
                      <wp:positionH relativeFrom="column">
                        <wp:posOffset>2649855</wp:posOffset>
                      </wp:positionH>
                      <wp:positionV relativeFrom="paragraph">
                        <wp:posOffset>94615</wp:posOffset>
                      </wp:positionV>
                      <wp:extent cx="3175" cy="438785"/>
                      <wp:effectExtent l="35560" t="0" r="37465" b="18415"/>
                      <wp:wrapNone/>
                      <wp:docPr id="9" name="自选图形 80"/>
                      <wp:cNvGraphicFramePr/>
                      <a:graphic xmlns:a="http://schemas.openxmlformats.org/drawingml/2006/main">
                        <a:graphicData uri="http://schemas.microsoft.com/office/word/2010/wordprocessingShape">
                          <wps:wsp>
                            <wps:cNvCnPr/>
                            <wps:spPr>
                              <a:xfrm>
                                <a:off x="0" y="0"/>
                                <a:ext cx="3175" cy="43878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80" o:spid="_x0000_s1026" o:spt="32" type="#_x0000_t32" style="position:absolute;left:0pt;margin-left:208.65pt;margin-top:7.45pt;height:34.55pt;width:0.25pt;z-index:251669504;mso-width-relative:page;mso-height-relative:page;" filled="f" stroked="t" coordsize="21600,21600" o:gfxdata="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jjQ/tgAAAAJAQAADwAAAAAAAAABACAAAAAiAAAAZHJzL2Rvd25yZXYu&#10;eG1sUEsBAhQAFAAAAAgAh07iQC9Zs7L7AQAA6wMAAA4AAAAAAAAAAQAgAAAAJwEAAGRycy9lMm9E&#10;b2MueG1sUEsFBgAAAAAGAAYAWQEAAJQFA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3061970</wp:posOffset>
                      </wp:positionH>
                      <wp:positionV relativeFrom="paragraph">
                        <wp:posOffset>91440</wp:posOffset>
                      </wp:positionV>
                      <wp:extent cx="0" cy="447675"/>
                      <wp:effectExtent l="38100" t="0" r="38100" b="9525"/>
                      <wp:wrapNone/>
                      <wp:docPr id="28" name="自选图形 85"/>
                      <wp:cNvGraphicFramePr/>
                      <a:graphic xmlns:a="http://schemas.openxmlformats.org/drawingml/2006/main">
                        <a:graphicData uri="http://schemas.microsoft.com/office/word/2010/wordprocessingShape">
                          <wps:wsp>
                            <wps:cNvCnPr/>
                            <wps:spPr>
                              <a:xfrm>
                                <a:off x="0" y="0"/>
                                <a:ext cx="0" cy="44767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85" o:spid="_x0000_s1026" o:spt="32" type="#_x0000_t32" style="position:absolute;left:0pt;margin-left:241.1pt;margin-top:7.2pt;height:35.25pt;width:0pt;z-index:251687936;mso-width-relative:page;mso-height-relative:page;" filled="f" stroked="t" coordsize="21600,21600" o:gfxdata="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UnSJ11wAAAAkBAAAPAAAAAAAAAAEAIAAAACIAAABkcnMvZG93bnJldi54&#10;bWxQSwECFAAUAAAACACHTuJADJey4fsBAADpAwAADgAAAAAAAAABACAAAAAmAQAAZHJzL2Uyb0Rv&#10;Yy54bWxQSwUGAAAAAAYABgBZAQAAkwUAAAAA&#10;">
                      <v:fill on="f" focussize="0,0"/>
                      <v:stroke weight="1.25pt" color="#000000" joinstyle="round" endarrow="block"/>
                      <v:imagedata o:title=""/>
                      <o:lock v:ext="edit" aspectratio="f"/>
                    </v:shape>
                  </w:pict>
                </mc:Fallback>
              </mc:AlternateContent>
            </w:r>
            <w:r>
              <w:rPr>
                <w:rFonts w:hint="eastAsia" w:hAnsi="宋体"/>
                <w:b/>
                <w:color w:val="000000"/>
                <w:sz w:val="24"/>
                <w:szCs w:val="24"/>
                <w:u w:val="single"/>
              </w:rPr>
              <mc:AlternateContent>
                <mc:Choice Requires="wps">
                  <w:drawing>
                    <wp:anchor distT="0" distB="0" distL="114300" distR="114300" simplePos="0" relativeHeight="251754496" behindDoc="0" locked="0" layoutInCell="1" allowOverlap="1">
                      <wp:simplePos x="0" y="0"/>
                      <wp:positionH relativeFrom="column">
                        <wp:posOffset>1421130</wp:posOffset>
                      </wp:positionH>
                      <wp:positionV relativeFrom="paragraph">
                        <wp:posOffset>160655</wp:posOffset>
                      </wp:positionV>
                      <wp:extent cx="610870" cy="294005"/>
                      <wp:effectExtent l="0" t="0" r="0" b="0"/>
                      <wp:wrapNone/>
                      <wp:docPr id="93" name="矩形 4"/>
                      <wp:cNvGraphicFramePr/>
                      <a:graphic xmlns:a="http://schemas.openxmlformats.org/drawingml/2006/main">
                        <a:graphicData uri="http://schemas.microsoft.com/office/word/2010/wordprocessingShape">
                          <wps:wsp>
                            <wps:cNvSpPr/>
                            <wps:spPr>
                              <a:xfrm>
                                <a:off x="0" y="0"/>
                                <a:ext cx="610870"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粉尘</w:t>
                                  </w:r>
                                </w:p>
                              </w:txbxContent>
                            </wps:txbx>
                            <wps:bodyPr wrap="square" upright="1"/>
                          </wps:wsp>
                        </a:graphicData>
                      </a:graphic>
                    </wp:anchor>
                  </w:drawing>
                </mc:Choice>
                <mc:Fallback>
                  <w:pict>
                    <v:rect id="矩形 4" o:spid="_x0000_s1026" o:spt="1" style="position:absolute;left:0pt;margin-left:111.9pt;margin-top:12.65pt;height:23.15pt;width:48.1pt;z-index:251754496;mso-width-relative:page;mso-height-relative:page;" filled="f" stroked="f" coordsize="21600,21600" o:gfxdata="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4DL/w&#10;2gAAAAkBAAAPAAAAAAAAAAEAIAAAACIAAABkcnMvZG93bnJldi54bWxQSwECFAAUAAAACACHTuJA&#10;Ygn6Cq0BAABPAwAADgAAAAAAAAABACAAAAApAQAAZHJzL2Uyb0RvYy54bWxQSwUGAAAAAAYABgBZ&#10;AQAASA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粉尘</w:t>
                            </w:r>
                          </w:p>
                        </w:txbxContent>
                      </v:textbox>
                    </v:rect>
                  </w:pict>
                </mc:Fallback>
              </mc:AlternateContent>
            </w:r>
            <w:r>
              <w:rPr>
                <w:rFonts w:hint="eastAsia" w:hAnsi="宋体"/>
                <w:b/>
                <w:color w:val="000000"/>
                <w:sz w:val="24"/>
                <w:szCs w:val="24"/>
                <w:u w:val="single"/>
              </w:rPr>
              <mc:AlternateContent>
                <mc:Choice Requires="wps">
                  <w:drawing>
                    <wp:anchor distT="0" distB="0" distL="114300" distR="114300" simplePos="0" relativeHeight="251707392" behindDoc="0" locked="0" layoutInCell="1" allowOverlap="1">
                      <wp:simplePos x="0" y="0"/>
                      <wp:positionH relativeFrom="column">
                        <wp:posOffset>-46355</wp:posOffset>
                      </wp:positionH>
                      <wp:positionV relativeFrom="paragraph">
                        <wp:posOffset>62865</wp:posOffset>
                      </wp:positionV>
                      <wp:extent cx="610870" cy="294005"/>
                      <wp:effectExtent l="0" t="0" r="0" b="0"/>
                      <wp:wrapNone/>
                      <wp:docPr id="47" name="矩形 81"/>
                      <wp:cNvGraphicFramePr/>
                      <a:graphic xmlns:a="http://schemas.openxmlformats.org/drawingml/2006/main">
                        <a:graphicData uri="http://schemas.microsoft.com/office/word/2010/wordprocessingShape">
                          <wps:wsp>
                            <wps:cNvSpPr/>
                            <wps:spPr>
                              <a:xfrm>
                                <a:off x="0" y="0"/>
                                <a:ext cx="610870"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粉尘</w:t>
                                  </w:r>
                                </w:p>
                              </w:txbxContent>
                            </wps:txbx>
                            <wps:bodyPr wrap="square" upright="1"/>
                          </wps:wsp>
                        </a:graphicData>
                      </a:graphic>
                    </wp:anchor>
                  </w:drawing>
                </mc:Choice>
                <mc:Fallback>
                  <w:pict>
                    <v:rect id="矩形 81" o:spid="_x0000_s1026" o:spt="1" style="position:absolute;left:0pt;margin-left:-3.65pt;margin-top:4.95pt;height:23.15pt;width:48.1pt;z-index:251707392;mso-width-relative:page;mso-height-relative:page;" filled="f" stroked="f" coordsize="21600,21600" o:gfxdata="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cFZK41wAA&#10;AAYBAAAPAAAAAAAAAAEAIAAAACIAAABkcnMvZG93bnJldi54bWxQSwECFAAUAAAACACHTuJAPSHu&#10;HK0BAABQAwAADgAAAAAAAAABACAAAAAmAQAAZHJzL2Uyb0RvYy54bWxQSwUGAAAAAAYABgBZAQAA&#10;RQ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粉尘</w:t>
                            </w:r>
                          </w:p>
                        </w:txbxContent>
                      </v:textbox>
                    </v:rect>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4110990</wp:posOffset>
                      </wp:positionH>
                      <wp:positionV relativeFrom="paragraph">
                        <wp:posOffset>187325</wp:posOffset>
                      </wp:positionV>
                      <wp:extent cx="2540" cy="245110"/>
                      <wp:effectExtent l="50800" t="0" r="60960" b="21590"/>
                      <wp:wrapNone/>
                      <wp:docPr id="38" name="直线箭头连接符 49"/>
                      <wp:cNvGraphicFramePr/>
                      <a:graphic xmlns:a="http://schemas.openxmlformats.org/drawingml/2006/main">
                        <a:graphicData uri="http://schemas.microsoft.com/office/word/2010/wordprocessingShape">
                          <wps:wsp>
                            <wps:cNvCnPr>
                              <a:cxnSpLocks noChangeShapeType="1"/>
                            </wps:cNvCnPr>
                            <wps:spPr bwMode="auto">
                              <a:xfrm flipV="1">
                                <a:off x="0" y="0"/>
                                <a:ext cx="2540" cy="245110"/>
                              </a:xfrm>
                              <a:prstGeom prst="straightConnector1">
                                <a:avLst/>
                              </a:prstGeom>
                              <a:noFill/>
                              <a:ln w="15875" cap="sq">
                                <a:solidFill>
                                  <a:srgbClr val="000000"/>
                                </a:solidFill>
                                <a:prstDash val="sysDot"/>
                                <a:round/>
                                <a:tailEnd type="arrow" w="med" len="med"/>
                              </a:ln>
                              <a:effectLst/>
                            </wps:spPr>
                            <wps:bodyPr/>
                          </wps:wsp>
                        </a:graphicData>
                      </a:graphic>
                    </wp:anchor>
                  </w:drawing>
                </mc:Choice>
                <mc:Fallback>
                  <w:pict>
                    <v:shape id="直线箭头连接符 49" o:spid="_x0000_s1026" o:spt="32" type="#_x0000_t32" style="position:absolute;left:0pt;flip:y;margin-left:323.7pt;margin-top:14.75pt;height:19.3pt;width:0.2pt;z-index:251698176;mso-width-relative:page;mso-height-relative:page;" filled="f" stroked="t" coordsize="21600,21600" o:gfxdata="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KJ5F1QAAAAkBAAAPAAAAAAAAAAEAIAAAACIAAABkcnMvZG93bnJldi54bWxQ&#10;SwECFAAUAAAACACHTuJAU7ReWTMCAAApBAAADgAAAAAAAAABACAAAAAkAQAAZHJzL2Uyb0RvYy54&#10;bWxQSwUGAAAAAAYABgBZAQAAyQUAAAAA&#10;">
                      <v:fill on="f" focussize="0,0"/>
                      <v:stroke weight="1.25pt" color="#000000" joinstyle="round" dashstyle="1 1" endcap="square" endarrow="open"/>
                      <v:imagedata o:title=""/>
                      <o:lock v:ext="edit" aspectratio="f"/>
                    </v:shape>
                  </w:pict>
                </mc:Fallback>
              </mc:AlternateContent>
            </w:r>
            <w:r>
              <w:rPr>
                <w:rFonts w:hint="eastAsia" w:hAnsi="宋体"/>
                <w:b/>
                <w:color w:val="000000"/>
                <w:sz w:val="24"/>
                <w:szCs w:val="24"/>
                <w:u w:val="single"/>
              </w:rPr>
              <mc:AlternateContent>
                <mc:Choice Requires="wps">
                  <w:drawing>
                    <wp:anchor distT="0" distB="0" distL="114300" distR="114300" simplePos="0" relativeHeight="251701248" behindDoc="0" locked="0" layoutInCell="1" allowOverlap="1">
                      <wp:simplePos x="0" y="0"/>
                      <wp:positionH relativeFrom="column">
                        <wp:posOffset>3060065</wp:posOffset>
                      </wp:positionH>
                      <wp:positionV relativeFrom="paragraph">
                        <wp:posOffset>118745</wp:posOffset>
                      </wp:positionV>
                      <wp:extent cx="908685" cy="281940"/>
                      <wp:effectExtent l="0" t="0" r="0" b="0"/>
                      <wp:wrapNone/>
                      <wp:docPr id="41" name="矩形 84"/>
                      <wp:cNvGraphicFramePr/>
                      <a:graphic xmlns:a="http://schemas.openxmlformats.org/drawingml/2006/main">
                        <a:graphicData uri="http://schemas.microsoft.com/office/word/2010/wordprocessingShape">
                          <wps:wsp>
                            <wps:cNvSpPr/>
                            <wps:spPr>
                              <a:xfrm>
                                <a:off x="0" y="0"/>
                                <a:ext cx="908685" cy="281940"/>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粉尘、噪声</w:t>
                                  </w:r>
                                </w:p>
                              </w:txbxContent>
                            </wps:txbx>
                            <wps:bodyPr wrap="square" upright="1"/>
                          </wps:wsp>
                        </a:graphicData>
                      </a:graphic>
                    </wp:anchor>
                  </w:drawing>
                </mc:Choice>
                <mc:Fallback>
                  <w:pict>
                    <v:rect id="矩形 84" o:spid="_x0000_s1026" o:spt="1" style="position:absolute;left:0pt;margin-left:240.95pt;margin-top:9.35pt;height:22.2pt;width:71.55pt;z-index:251701248;mso-width-relative:page;mso-height-relative:page;" filled="f" stroked="f" coordsize="21600,21600" o:gfxdata="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WFIbP&#10;2gAAAAkBAAAPAAAAAAAAAAEAIAAAACIAAABkcnMvZG93bnJldi54bWxQSwECFAAUAAAACACHTuJA&#10;hKq5FK0BAABQAwAADgAAAAAAAAABACAAAAApAQAAZHJzL2Uyb0RvYy54bWxQSwUGAAAAAAYABgBZ&#10;AQAASA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粉尘、噪声</w:t>
                            </w:r>
                          </w:p>
                        </w:txbxContent>
                      </v:textbox>
                    </v:rect>
                  </w:pict>
                </mc:Fallback>
              </mc:AlternateContent>
            </w:r>
          </w:p>
          <w:p>
            <w:pPr>
              <w:pStyle w:val="6"/>
              <w:ind w:firstLine="0" w:firstLineChars="0"/>
              <w:rPr>
                <w:rFonts w:hint="eastAsia" w:ascii="宋体" w:hAnsi="宋体" w:cs="宋体"/>
                <w:b/>
                <w:sz w:val="24"/>
                <w:szCs w:val="24"/>
              </w:rPr>
            </w:pPr>
            <w:r>
              <w:rPr>
                <w:sz w:val="24"/>
              </w:rPr>
              <mc:AlternateContent>
                <mc:Choice Requires="wps">
                  <w:drawing>
                    <wp:anchor distT="0" distB="0" distL="114300" distR="114300" simplePos="0" relativeHeight="251706368" behindDoc="0" locked="0" layoutInCell="1" allowOverlap="1">
                      <wp:simplePos x="0" y="0"/>
                      <wp:positionH relativeFrom="column">
                        <wp:posOffset>1746250</wp:posOffset>
                      </wp:positionH>
                      <wp:positionV relativeFrom="paragraph">
                        <wp:posOffset>163195</wp:posOffset>
                      </wp:positionV>
                      <wp:extent cx="2540" cy="245110"/>
                      <wp:effectExtent l="50800" t="0" r="60960" b="21590"/>
                      <wp:wrapNone/>
                      <wp:docPr id="46" name="直线箭头连接符 49"/>
                      <wp:cNvGraphicFramePr/>
                      <a:graphic xmlns:a="http://schemas.openxmlformats.org/drawingml/2006/main">
                        <a:graphicData uri="http://schemas.microsoft.com/office/word/2010/wordprocessingShape">
                          <wps:wsp>
                            <wps:cNvCnPr>
                              <a:cxnSpLocks noChangeShapeType="1"/>
                            </wps:cNvCnPr>
                            <wps:spPr bwMode="auto">
                              <a:xfrm flipV="1">
                                <a:off x="0" y="0"/>
                                <a:ext cx="2540" cy="245110"/>
                              </a:xfrm>
                              <a:prstGeom prst="straightConnector1">
                                <a:avLst/>
                              </a:prstGeom>
                              <a:noFill/>
                              <a:ln w="15875" cap="sq">
                                <a:solidFill>
                                  <a:srgbClr val="000000"/>
                                </a:solidFill>
                                <a:prstDash val="sysDot"/>
                                <a:round/>
                                <a:tailEnd type="arrow" w="med" len="med"/>
                              </a:ln>
                              <a:effectLst/>
                            </wps:spPr>
                            <wps:bodyPr/>
                          </wps:wsp>
                        </a:graphicData>
                      </a:graphic>
                    </wp:anchor>
                  </w:drawing>
                </mc:Choice>
                <mc:Fallback>
                  <w:pict>
                    <v:shape id="直线箭头连接符 49" o:spid="_x0000_s1026" o:spt="32" type="#_x0000_t32" style="position:absolute;left:0pt;flip:y;margin-left:137.5pt;margin-top:12.85pt;height:19.3pt;width:0.2pt;z-index:251706368;mso-width-relative:page;mso-height-relative:page;" filled="f" stroked="t" coordsize="21600,21600" o:gfxdata="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fXaJ/WAAAACQEAAA8AAAAAAAAAAQAgAAAAIgAAAGRycy9kb3ducmV2Lnht&#10;bFBLAQIUABQAAAAIAIdO4kBG2HHKNAIAACkEAAAOAAAAAAAAAAEAIAAAACUBAABkcnMvZTJvRG9j&#10;LnhtbFBLBQYAAAAABgAGAFkBAADLBQAAAAA=&#10;">
                      <v:fill on="f" focussize="0,0"/>
                      <v:stroke weight="1.25pt" color="#000000" joinstyle="round" dashstyle="1 1" endcap="square" endarrow="open"/>
                      <v:imagedata o:title=""/>
                      <o:lock v:ext="edit" aspectratio="f"/>
                    </v:shape>
                  </w:pict>
                </mc:Fallback>
              </mc:AlternateContent>
            </w:r>
            <w:r>
              <w:rPr>
                <w:sz w:val="24"/>
              </w:rPr>
              <mc:AlternateContent>
                <mc:Choice Requires="wps">
                  <w:drawing>
                    <wp:anchor distT="0" distB="0" distL="114300" distR="114300" simplePos="0" relativeHeight="251753472" behindDoc="0" locked="0" layoutInCell="1" allowOverlap="1">
                      <wp:simplePos x="0" y="0"/>
                      <wp:positionH relativeFrom="column">
                        <wp:posOffset>184150</wp:posOffset>
                      </wp:positionH>
                      <wp:positionV relativeFrom="paragraph">
                        <wp:posOffset>85090</wp:posOffset>
                      </wp:positionV>
                      <wp:extent cx="2540" cy="245110"/>
                      <wp:effectExtent l="50800" t="0" r="60960" b="21590"/>
                      <wp:wrapNone/>
                      <wp:docPr id="91" name="直线箭头连接符 49"/>
                      <wp:cNvGraphicFramePr/>
                      <a:graphic xmlns:a="http://schemas.openxmlformats.org/drawingml/2006/main">
                        <a:graphicData uri="http://schemas.microsoft.com/office/word/2010/wordprocessingShape">
                          <wps:wsp>
                            <wps:cNvCnPr>
                              <a:cxnSpLocks noChangeShapeType="1"/>
                              <a:endCxn id="52" idx="0"/>
                            </wps:cNvCnPr>
                            <wps:spPr bwMode="auto">
                              <a:xfrm flipV="1">
                                <a:off x="0" y="0"/>
                                <a:ext cx="2540" cy="245110"/>
                              </a:xfrm>
                              <a:prstGeom prst="straightConnector1">
                                <a:avLst/>
                              </a:prstGeom>
                              <a:noFill/>
                              <a:ln w="15875" cap="sq">
                                <a:solidFill>
                                  <a:srgbClr val="000000"/>
                                </a:solidFill>
                                <a:prstDash val="sysDot"/>
                                <a:round/>
                                <a:tailEnd type="arrow" w="med" len="med"/>
                              </a:ln>
                              <a:effectLst/>
                            </wps:spPr>
                            <wps:bodyPr/>
                          </wps:wsp>
                        </a:graphicData>
                      </a:graphic>
                    </wp:anchor>
                  </w:drawing>
                </mc:Choice>
                <mc:Fallback>
                  <w:pict>
                    <v:shape id="直线箭头连接符 49" o:spid="_x0000_s1026" o:spt="32" type="#_x0000_t32" style="position:absolute;left:0pt;flip:y;margin-left:14.5pt;margin-top:6.7pt;height:19.3pt;width:0.2pt;z-index:251753472;mso-width-relative:page;mso-height-relative:page;" filled="f" stroked="t" coordsize="21600,21600" o:gfxdata="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aauJzUAAAABwEAAA8AAAAAAAAAAQAgAAAAIgAAAGRy&#10;cy9kb3ducmV2LnhtbFBLAQIUABQAAAAIAIdO4kCAnEAXQgIAAEQEAAAOAAAAAAAAAAEAIAAAACMB&#10;AABkcnMvZTJvRG9jLnhtbFBLBQYAAAAABgAGAFkBAADXBQAAAAA=&#10;">
                      <v:fill on="f" focussize="0,0"/>
                      <v:stroke weight="1.25pt" color="#000000" joinstyle="round" dashstyle="1 1" endcap="square" endarrow="open"/>
                      <v:imagedata o:title=""/>
                      <o:lock v:ext="edit" aspectratio="f"/>
                    </v:shape>
                  </w:pict>
                </mc:Fallback>
              </mc:AlternateContent>
            </w:r>
            <w:r>
              <w:rPr>
                <w:rFonts w:hint="eastAsia" w:hAnsi="宋体"/>
                <w:b/>
                <w:color w:val="000000"/>
                <w:sz w:val="24"/>
                <w:u w:val="single"/>
              </w:rPr>
              <mc:AlternateContent>
                <mc:Choice Requires="wps">
                  <w:drawing>
                    <wp:anchor distT="0" distB="0" distL="114300" distR="114300" simplePos="0" relativeHeight="251672576" behindDoc="0" locked="0" layoutInCell="1" allowOverlap="1">
                      <wp:simplePos x="0" y="0"/>
                      <wp:positionH relativeFrom="column">
                        <wp:posOffset>5018405</wp:posOffset>
                      </wp:positionH>
                      <wp:positionV relativeFrom="paragraph">
                        <wp:posOffset>188595</wp:posOffset>
                      </wp:positionV>
                      <wp:extent cx="344170" cy="294005"/>
                      <wp:effectExtent l="0" t="0" r="0" b="0"/>
                      <wp:wrapNone/>
                      <wp:docPr id="13" name="矩形 87"/>
                      <wp:cNvGraphicFramePr/>
                      <a:graphic xmlns:a="http://schemas.openxmlformats.org/drawingml/2006/main">
                        <a:graphicData uri="http://schemas.microsoft.com/office/word/2010/wordprocessingShape">
                          <wps:wsp>
                            <wps:cNvSpPr/>
                            <wps:spPr>
                              <a:xfrm>
                                <a:off x="0" y="0"/>
                                <a:ext cx="344170"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水</w:t>
                                  </w:r>
                                </w:p>
                              </w:txbxContent>
                            </wps:txbx>
                            <wps:bodyPr wrap="square" upright="1"/>
                          </wps:wsp>
                        </a:graphicData>
                      </a:graphic>
                    </wp:anchor>
                  </w:drawing>
                </mc:Choice>
                <mc:Fallback>
                  <w:pict>
                    <v:rect id="矩形 87" o:spid="_x0000_s1026" o:spt="1" style="position:absolute;left:0pt;margin-left:395.15pt;margin-top:14.85pt;height:23.15pt;width:27.1pt;z-index:251672576;mso-width-relative:page;mso-height-relative:page;" filled="f" stroked="f" coordsize="21600,21600" o:gfxdata="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j&#10;wrX22wAAAAkBAAAPAAAAAAAAAAEAIAAAACIAAABkcnMvZG93bnJldi54bWxQSwECFAAUAAAACACH&#10;TuJAN2CKga8BAABQAwAADgAAAAAAAAABACAAAAAqAQAAZHJzL2Uyb0RvYy54bWxQSwUGAAAAAAYA&#10;BgBZAQAASw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水</w:t>
                            </w:r>
                          </w:p>
                        </w:txbxContent>
                      </v:textbox>
                    </v:rect>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3373120</wp:posOffset>
                      </wp:positionH>
                      <wp:positionV relativeFrom="paragraph">
                        <wp:posOffset>72390</wp:posOffset>
                      </wp:positionV>
                      <wp:extent cx="2540" cy="245110"/>
                      <wp:effectExtent l="50800" t="0" r="60960" b="21590"/>
                      <wp:wrapNone/>
                      <wp:docPr id="21" name="直线箭头连接符 49"/>
                      <wp:cNvGraphicFramePr/>
                      <a:graphic xmlns:a="http://schemas.openxmlformats.org/drawingml/2006/main">
                        <a:graphicData uri="http://schemas.microsoft.com/office/word/2010/wordprocessingShape">
                          <wps:wsp>
                            <wps:cNvCnPr>
                              <a:cxnSpLocks noChangeShapeType="1"/>
                            </wps:cNvCnPr>
                            <wps:spPr bwMode="auto">
                              <a:xfrm flipV="1">
                                <a:off x="0" y="0"/>
                                <a:ext cx="2540" cy="245110"/>
                              </a:xfrm>
                              <a:prstGeom prst="straightConnector1">
                                <a:avLst/>
                              </a:prstGeom>
                              <a:noFill/>
                              <a:ln w="15875" cap="sq">
                                <a:solidFill>
                                  <a:srgbClr val="000000"/>
                                </a:solidFill>
                                <a:prstDash val="sysDot"/>
                                <a:round/>
                                <a:tailEnd type="arrow" w="med" len="med"/>
                              </a:ln>
                              <a:effectLst/>
                            </wps:spPr>
                            <wps:bodyPr/>
                          </wps:wsp>
                        </a:graphicData>
                      </a:graphic>
                    </wp:anchor>
                  </w:drawing>
                </mc:Choice>
                <mc:Fallback>
                  <w:pict>
                    <v:shape id="直线箭头连接符 49" o:spid="_x0000_s1026" o:spt="32" type="#_x0000_t32" style="position:absolute;left:0pt;flip:y;margin-left:265.6pt;margin-top:5.7pt;height:19.3pt;width:0.2pt;z-index:251680768;mso-width-relative:page;mso-height-relative:page;" filled="f" stroked="t" coordsize="21600,21600" o:gfxdata="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tmcch1AAAAAkBAAAPAAAAAAAAAAEAIAAAACIAAABkcnMvZG93bnJldi54bWxQ&#10;SwECFAAUAAAACACHTuJA3rsmhTQCAAApBAAADgAAAAAAAAABACAAAAAjAQAAZHJzL2Uyb0RvYy54&#10;bWxQSwUGAAAAAAYABgBZAQAAyQUAAAAA&#10;">
                      <v:fill on="f" focussize="0,0"/>
                      <v:stroke weight="1.25pt" color="#000000" joinstyle="round" dashstyle="1 1" endcap="square" endarrow="open"/>
                      <v:imagedata o:title=""/>
                      <o:lock v:ext="edit" aspectratio="f"/>
                    </v:shape>
                  </w:pict>
                </mc:Fallback>
              </mc:AlternateContent>
            </w:r>
          </w:p>
          <w:p>
            <w:pPr>
              <w:pStyle w:val="6"/>
              <w:ind w:firstLine="0" w:firstLineChars="0"/>
              <w:rPr>
                <w:rFonts w:hint="eastAsia" w:ascii="宋体" w:hAnsi="宋体" w:cs="宋体"/>
                <w:b/>
                <w:sz w:val="24"/>
                <w:szCs w:val="24"/>
              </w:rPr>
            </w:pPr>
            <w:r>
              <w:rPr>
                <w:rFonts w:hint="eastAsia" w:hAnsi="宋体"/>
                <w:b/>
                <w:color w:val="000000"/>
                <w:sz w:val="24"/>
                <w:szCs w:val="24"/>
                <w:u w:val="single"/>
              </w:rPr>
              <mc:AlternateContent>
                <mc:Choice Requires="wps">
                  <w:drawing>
                    <wp:anchor distT="0" distB="0" distL="114300" distR="114300" simplePos="0" relativeHeight="251676672" behindDoc="0" locked="0" layoutInCell="1" allowOverlap="1">
                      <wp:simplePos x="0" y="0"/>
                      <wp:positionH relativeFrom="column">
                        <wp:posOffset>2313305</wp:posOffset>
                      </wp:positionH>
                      <wp:positionV relativeFrom="paragraph">
                        <wp:posOffset>120015</wp:posOffset>
                      </wp:positionV>
                      <wp:extent cx="1174750" cy="389890"/>
                      <wp:effectExtent l="5080" t="4445" r="20320" b="5715"/>
                      <wp:wrapNone/>
                      <wp:docPr id="17"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搅拌</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182.15pt;margin-top:9.45pt;height:30.7pt;width:92.5pt;z-index:251676672;mso-width-relative:page;mso-height-relative:page;" filled="f" stroked="t" coordsize="21600,21600" o:gfxdata="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TUXS6NcAAAAJAQAADwAAAAAAAAABACAAAAAiAAAAZHJzL2Rvd25y&#10;ZXYueG1sUEsBAhQAFAAAAAgAh07iQCcRvFY4AgAAYAQAAA4AAAAAAAAAAQAgAAAAJgEAAGRycy9l&#10;Mm9Eb2MueG1sUEsFBgAAAAAGAAYAWQEAANAFAAAAAA==&#10;">
                      <v:fill on="f" focussize="0,0"/>
                      <v:stroke color="#000000" miterlimit="8" joinstyle="miter"/>
                      <v:imagedata o:title=""/>
                      <o:lock v:ext="edit" aspectratio="f"/>
                      <v:textbox>
                        <w:txbxContent>
                          <w:p>
                            <w:pPr>
                              <w:spacing w:line="0" w:lineRule="atLeast"/>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搅拌</w:t>
                            </w:r>
                          </w:p>
                        </w:txbxContent>
                      </v:textbox>
                    </v:rect>
                  </w:pict>
                </mc:Fallback>
              </mc:AlternateContent>
            </w:r>
            <w:r>
              <w:rPr>
                <w:rFonts w:hint="eastAsia" w:hAnsi="宋体"/>
                <w:b/>
                <w:color w:val="000000"/>
                <w:sz w:val="24"/>
                <w:szCs w:val="24"/>
                <w:u w:val="single"/>
              </w:rPr>
              <mc:AlternateContent>
                <mc:Choice Requires="wps">
                  <w:drawing>
                    <wp:anchor distT="0" distB="0" distL="114300" distR="114300" simplePos="0" relativeHeight="251664384" behindDoc="0" locked="0" layoutInCell="1" allowOverlap="1">
                      <wp:simplePos x="0" y="0"/>
                      <wp:positionH relativeFrom="column">
                        <wp:posOffset>-88265</wp:posOffset>
                      </wp:positionH>
                      <wp:positionV relativeFrom="paragraph">
                        <wp:posOffset>128270</wp:posOffset>
                      </wp:positionV>
                      <wp:extent cx="669925" cy="413385"/>
                      <wp:effectExtent l="0" t="0" r="0" b="0"/>
                      <wp:wrapNone/>
                      <wp:docPr id="5" name="矩形 91"/>
                      <wp:cNvGraphicFramePr/>
                      <a:graphic xmlns:a="http://schemas.openxmlformats.org/drawingml/2006/main">
                        <a:graphicData uri="http://schemas.microsoft.com/office/word/2010/wordprocessingShape">
                          <wps:wsp>
                            <wps:cNvSpPr/>
                            <wps:spPr>
                              <a:xfrm>
                                <a:off x="0" y="0"/>
                                <a:ext cx="669925" cy="41338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碎石、</w:t>
                                  </w:r>
                                </w:p>
                                <w:p>
                                  <w:pPr>
                                    <w:spacing w:line="0" w:lineRule="atLeast"/>
                                    <w:jc w:val="center"/>
                                    <w:rPr>
                                      <w:rFonts w:hint="eastAsia"/>
                                      <w:color w:val="000000"/>
                                      <w:szCs w:val="21"/>
                                    </w:rPr>
                                  </w:pPr>
                                  <w:r>
                                    <w:rPr>
                                      <w:rFonts w:hint="eastAsia"/>
                                      <w:color w:val="000000"/>
                                      <w:szCs w:val="21"/>
                                    </w:rPr>
                                    <w:t>砂子</w:t>
                                  </w:r>
                                </w:p>
                              </w:txbxContent>
                            </wps:txbx>
                            <wps:bodyPr wrap="square" upright="1"/>
                          </wps:wsp>
                        </a:graphicData>
                      </a:graphic>
                    </wp:anchor>
                  </w:drawing>
                </mc:Choice>
                <mc:Fallback>
                  <w:pict>
                    <v:rect id="矩形 91" o:spid="_x0000_s1026" o:spt="1" style="position:absolute;left:0pt;margin-left:-6.95pt;margin-top:10.1pt;height:32.55pt;width:52.75pt;z-index:251664384;mso-width-relative:page;mso-height-relative:page;" filled="f" stroked="f" coordsize="21600,21600" o:gfxdata="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lg34E&#10;2gAAAAgBAAAPAAAAAAAAAAEAIAAAACIAAABkcnMvZG93bnJldi54bWxQSwECFAAUAAAACACHTuJA&#10;rpOMY60BAABPAwAADgAAAAAAAAABACAAAAApAQAAZHJzL2Uyb0RvYy54bWxQSwUGAAAAAAYABgBZ&#10;AQAASA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碎石、</w:t>
                            </w:r>
                          </w:p>
                          <w:p>
                            <w:pPr>
                              <w:spacing w:line="0" w:lineRule="atLeast"/>
                              <w:jc w:val="center"/>
                              <w:rPr>
                                <w:rFonts w:hint="eastAsia"/>
                                <w:color w:val="000000"/>
                                <w:szCs w:val="21"/>
                              </w:rPr>
                            </w:pPr>
                            <w:r>
                              <w:rPr>
                                <w:rFonts w:hint="eastAsia"/>
                                <w:color w:val="000000"/>
                                <w:szCs w:val="21"/>
                              </w:rPr>
                              <w:t>砂子</w:t>
                            </w:r>
                          </w:p>
                        </w:txbxContent>
                      </v:textbox>
                    </v:rect>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4883150</wp:posOffset>
                      </wp:positionH>
                      <wp:positionV relativeFrom="paragraph">
                        <wp:posOffset>158750</wp:posOffset>
                      </wp:positionV>
                      <wp:extent cx="167640" cy="1905"/>
                      <wp:effectExtent l="0" t="37465" r="3810" b="36830"/>
                      <wp:wrapNone/>
                      <wp:docPr id="15" name="自选图形 92"/>
                      <wp:cNvGraphicFramePr/>
                      <a:graphic xmlns:a="http://schemas.openxmlformats.org/drawingml/2006/main">
                        <a:graphicData uri="http://schemas.microsoft.com/office/word/2010/wordprocessingShape">
                          <wps:wsp>
                            <wps:cNvCnPr/>
                            <wps:spPr>
                              <a:xfrm flipH="1" flipV="1">
                                <a:off x="0" y="0"/>
                                <a:ext cx="167640" cy="190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92" o:spid="_x0000_s1026" o:spt="32" type="#_x0000_t32" style="position:absolute;left:0pt;flip:x y;margin-left:384.5pt;margin-top:12.5pt;height:0.15pt;width:13.2pt;z-index:251674624;mso-width-relative:page;mso-height-relative:page;" filled="f" stroked="t" coordsize="21600,21600" o:gfxdata="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gOgUbYAAAACQEAAA8AAAAAAAAAAQAgAAAA&#10;IgAAAGRycy9kb3ducmV2LnhtbFBLAQIUABQAAAAIAIdO4kDVXh6ZCwIAAAAEAAAOAAAAAAAAAAEA&#10;IAAAACcBAABkcnMvZTJvRG9jLnhtbFBLBQYAAAAABgAGAFkBAACkBQAAAAA=&#10;">
                      <v:fill on="f" focussize="0,0"/>
                      <v:stroke weight="1.25pt" color="#000000" joinstyle="round" endarrow="block"/>
                      <v:imagedata o:title=""/>
                      <o:lock v:ext="edit" aspectratio="f"/>
                    </v:shape>
                  </w:pict>
                </mc:Fallback>
              </mc:AlternateContent>
            </w:r>
            <w:r>
              <w:rPr>
                <w:rFonts w:hint="eastAsia" w:hAnsi="宋体"/>
                <w:b/>
                <w:color w:val="000000"/>
                <w:sz w:val="24"/>
                <w:szCs w:val="24"/>
                <w:u w:val="single"/>
              </w:rPr>
              <mc:AlternateContent>
                <mc:Choice Requires="wps">
                  <w:drawing>
                    <wp:anchor distT="0" distB="0" distL="114300" distR="114300" simplePos="0" relativeHeight="251671552" behindDoc="0" locked="0" layoutInCell="1" allowOverlap="1">
                      <wp:simplePos x="0" y="0"/>
                      <wp:positionH relativeFrom="column">
                        <wp:posOffset>4429760</wp:posOffset>
                      </wp:positionH>
                      <wp:positionV relativeFrom="paragraph">
                        <wp:posOffset>13970</wp:posOffset>
                      </wp:positionV>
                      <wp:extent cx="476885" cy="294005"/>
                      <wp:effectExtent l="5080" t="4445" r="13335" b="6350"/>
                      <wp:wrapNone/>
                      <wp:docPr id="12"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color w:val="000000"/>
                                      <w:szCs w:val="21"/>
                                    </w:rPr>
                                  </w:pPr>
                                  <w:r>
                                    <w:rPr>
                                      <w:rFonts w:hint="eastAsia"/>
                                      <w:color w:val="000000"/>
                                      <w:szCs w:val="21"/>
                                    </w:rPr>
                                    <w:t>计量</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348.8pt;margin-top:1.1pt;height:23.15pt;width:37.55pt;z-index:251671552;mso-width-relative:page;mso-height-relative:page;" filled="f" stroked="t" coordsize="21600,21600" o:gfxdata="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m/NrzdcAAAAIAQAADwAAAAAAAAABACAAAAAiAAAAZHJzL2Rvd25y&#10;ZXYueG1sUEsBAhQAFAAAAAgAh07iQOr95lw4AgAAYAQAAA4AAAAAAAAAAQAgAAAAJgEAAGRycy9l&#10;Mm9Eb2MueG1sUEsFBgAAAAAGAAYAWQEAANAFAAAAAA==&#10;">
                      <v:fill on="f" focussize="0,0"/>
                      <v:stroke color="#000000" miterlimit="8" joinstyle="miter"/>
                      <v:imagedata o:title=""/>
                      <o:lock v:ext="edit" aspectratio="f"/>
                      <v:textbox>
                        <w:txbxContent>
                          <w:p>
                            <w:pPr>
                              <w:spacing w:line="0" w:lineRule="atLeast"/>
                              <w:jc w:val="center"/>
                              <w:rPr>
                                <w:rFonts w:hint="eastAsia"/>
                                <w:color w:val="000000"/>
                                <w:szCs w:val="21"/>
                              </w:rPr>
                            </w:pPr>
                            <w:r>
                              <w:rPr>
                                <w:rFonts w:hint="eastAsia"/>
                                <w:color w:val="000000"/>
                                <w:szCs w:val="21"/>
                              </w:rPr>
                              <w:t>计量</w:t>
                            </w:r>
                          </w:p>
                        </w:txbxContent>
                      </v:textbox>
                    </v:rect>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4266565</wp:posOffset>
                      </wp:positionH>
                      <wp:positionV relativeFrom="paragraph">
                        <wp:posOffset>148590</wp:posOffset>
                      </wp:positionV>
                      <wp:extent cx="229870" cy="6985"/>
                      <wp:effectExtent l="0" t="33655" r="17780" b="35560"/>
                      <wp:wrapNone/>
                      <wp:docPr id="14" name="自选图形 94"/>
                      <wp:cNvGraphicFramePr/>
                      <a:graphic xmlns:a="http://schemas.openxmlformats.org/drawingml/2006/main">
                        <a:graphicData uri="http://schemas.microsoft.com/office/word/2010/wordprocessingShape">
                          <wps:wsp>
                            <wps:cNvCnPr/>
                            <wps:spPr>
                              <a:xfrm flipH="1">
                                <a:off x="0" y="0"/>
                                <a:ext cx="229870" cy="698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94" o:spid="_x0000_s1026" o:spt="32" type="#_x0000_t32" style="position:absolute;left:0pt;flip:x;margin-left:335.95pt;margin-top:11.7pt;height:0.55pt;width:18.1pt;z-index:251673600;mso-width-relative:page;mso-height-relative:page;" filled="f" stroked="t" coordsize="21600,21600" o:gfxdata="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qIrcj2gAAAAkBAAAPAAAAAAAAAAEAIAAAACIA&#10;AABkcnMvZG93bnJldi54bWxQSwECFAAUAAAACACHTuJA5FxPcwcCAAD2AwAADgAAAAAAAAABACAA&#10;AAApAQAAZHJzL2Uyb0RvYy54bWxQSwUGAAAAAAYABgBZAQAAogUAAAAA&#10;">
                      <v:fill on="f" focussize="0,0"/>
                      <v:stroke weight="1.25pt" color="#000000" joinstyle="round" endarrow="block"/>
                      <v:imagedata o:title=""/>
                      <o:lock v:ext="edit" aspectratio="f"/>
                    </v:shape>
                  </w:pict>
                </mc:Fallback>
              </mc:AlternateContent>
            </w:r>
            <w:r>
              <w:rPr>
                <w:rFonts w:hint="eastAsia" w:hAnsi="宋体"/>
                <w:b/>
                <w:color w:val="000000"/>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3781425</wp:posOffset>
                      </wp:positionH>
                      <wp:positionV relativeFrom="paragraph">
                        <wp:posOffset>19050</wp:posOffset>
                      </wp:positionV>
                      <wp:extent cx="489585" cy="294005"/>
                      <wp:effectExtent l="5080" t="4445" r="19685" b="6350"/>
                      <wp:wrapNone/>
                      <wp:docPr id="1"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color w:val="000000"/>
                                      <w:szCs w:val="21"/>
                                    </w:rPr>
                                  </w:pPr>
                                  <w:r>
                                    <w:rPr>
                                      <w:rFonts w:hint="eastAsia"/>
                                      <w:color w:val="000000"/>
                                      <w:szCs w:val="21"/>
                                    </w:rPr>
                                    <w:t>泵入</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297.75pt;margin-top:1.5pt;height:23.15pt;width:38.55pt;z-index:251660288;mso-width-relative:page;mso-height-relative:page;" filled="f" stroked="t" coordsize="21600,21600" o:gfxdata="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PRGIL1wAAAAgBAAAPAAAAAAAAAAEAIAAAACIAAABkcnMvZG93bnJl&#10;di54bWxQSwECFAAUAAAACACHTuJAATBvdzcCAABfBAAADgAAAAAAAAABACAAAAAmAQAAZHJzL2Uy&#10;b0RvYy54bWxQSwUGAAAAAAYABgBZAQAAzwUAAAAA&#10;">
                      <v:fill on="f" focussize="0,0"/>
                      <v:stroke color="#000000" miterlimit="8" joinstyle="miter"/>
                      <v:imagedata o:title=""/>
                      <o:lock v:ext="edit" aspectratio="f"/>
                      <v:textbox>
                        <w:txbxContent>
                          <w:p>
                            <w:pPr>
                              <w:spacing w:line="0" w:lineRule="atLeast"/>
                              <w:jc w:val="center"/>
                              <w:rPr>
                                <w:rFonts w:hint="eastAsia"/>
                                <w:color w:val="000000"/>
                                <w:szCs w:val="21"/>
                              </w:rPr>
                            </w:pPr>
                            <w:r>
                              <w:rPr>
                                <w:rFonts w:hint="eastAsia"/>
                                <w:color w:val="000000"/>
                                <w:szCs w:val="21"/>
                              </w:rPr>
                              <w:t>泵入</w:t>
                            </w:r>
                          </w:p>
                        </w:txbxContent>
                      </v:textbox>
                    </v:rect>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3557270</wp:posOffset>
                      </wp:positionH>
                      <wp:positionV relativeFrom="paragraph">
                        <wp:posOffset>167005</wp:posOffset>
                      </wp:positionV>
                      <wp:extent cx="227965" cy="5715"/>
                      <wp:effectExtent l="0" t="36195" r="635" b="34290"/>
                      <wp:wrapNone/>
                      <wp:docPr id="16" name="自选图形 96"/>
                      <wp:cNvGraphicFramePr/>
                      <a:graphic xmlns:a="http://schemas.openxmlformats.org/drawingml/2006/main">
                        <a:graphicData uri="http://schemas.microsoft.com/office/word/2010/wordprocessingShape">
                          <wps:wsp>
                            <wps:cNvCnPr/>
                            <wps:spPr>
                              <a:xfrm flipH="1" flipV="1">
                                <a:off x="0" y="0"/>
                                <a:ext cx="227965" cy="571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96" o:spid="_x0000_s1026" o:spt="32" type="#_x0000_t32" style="position:absolute;left:0pt;flip:x y;margin-left:280.1pt;margin-top:13.15pt;height:0.45pt;width:17.95pt;z-index:251675648;mso-width-relative:page;mso-height-relative:page;" filled="f" stroked="t" coordsize="21600,21600" o:gfxdata="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UEiwp1wAAAAkBAAAPAAAAAAAAAAEAIAAAACIA&#10;AABkcnMvZG93bnJldi54bWxQSwECFAAUAAAACACHTuJAMqITggoCAAAABAAADgAAAAAAAAABACAA&#10;AAAmAQAAZHJzL2Uyb0RvYy54bWxQSwUGAAAAAAYABgBZAQAAogU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372745</wp:posOffset>
                      </wp:positionH>
                      <wp:positionV relativeFrom="paragraph">
                        <wp:posOffset>335280</wp:posOffset>
                      </wp:positionV>
                      <wp:extent cx="237490" cy="6350"/>
                      <wp:effectExtent l="0" t="36195" r="10160" b="33655"/>
                      <wp:wrapNone/>
                      <wp:docPr id="3" name="自选图形 97"/>
                      <wp:cNvGraphicFramePr/>
                      <a:graphic xmlns:a="http://schemas.openxmlformats.org/drawingml/2006/main">
                        <a:graphicData uri="http://schemas.microsoft.com/office/word/2010/wordprocessingShape">
                          <wps:wsp>
                            <wps:cNvCnPr/>
                            <wps:spPr>
                              <a:xfrm flipV="1">
                                <a:off x="0" y="0"/>
                                <a:ext cx="237490" cy="6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97" o:spid="_x0000_s1026" o:spt="32" type="#_x0000_t32" style="position:absolute;left:0pt;flip:y;margin-left:29.35pt;margin-top:26.4pt;height:0.5pt;width:18.7pt;z-index:251662336;mso-width-relative:page;mso-height-relative:page;" filled="f" stroked="t" coordsize="21600,21600" o:gfxdata="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Q50fc2AAAAAcBAAAPAAAAAAAAAAEAIAAAACIA&#10;AABkcnMvZG93bnJldi54bWxQSwECFAAUAAAACACHTuJAppFKSAkCAAD1AwAADgAAAAAAAAABACAA&#10;AAAnAQAAZHJzL2Uyb0RvYy54bWxQSwUGAAAAAAYABgBZAQAAogUAAAAA&#10;">
                      <v:fill on="f" focussize="0,0"/>
                      <v:stroke weight="1.25pt" color="#000000" joinstyle="round" endarrow="block"/>
                      <v:imagedata o:title=""/>
                      <o:lock v:ext="edit" aspectratio="f"/>
                    </v:shape>
                  </w:pict>
                </mc:Fallback>
              </mc:AlternateContent>
            </w:r>
          </w:p>
          <w:p>
            <w:pPr>
              <w:rPr>
                <w:rFonts w:hint="eastAsia" w:ascii="宋体" w:hAnsi="宋体" w:cs="宋体"/>
                <w:b/>
                <w:sz w:val="24"/>
              </w:rPr>
            </w:pPr>
            <w:r>
              <w:rPr>
                <w:rFonts w:hint="eastAsia" w:hAnsi="宋体"/>
                <w:b/>
                <w:color w:val="000000"/>
                <w:sz w:val="24"/>
                <w:u w:val="single"/>
              </w:rPr>
              <mc:AlternateContent>
                <mc:Choice Requires="wps">
                  <w:drawing>
                    <wp:anchor distT="0" distB="0" distL="114300" distR="114300" simplePos="0" relativeHeight="251761664" behindDoc="0" locked="0" layoutInCell="1" allowOverlap="1">
                      <wp:simplePos x="0" y="0"/>
                      <wp:positionH relativeFrom="column">
                        <wp:posOffset>610235</wp:posOffset>
                      </wp:positionH>
                      <wp:positionV relativeFrom="paragraph">
                        <wp:posOffset>13970</wp:posOffset>
                      </wp:positionV>
                      <wp:extent cx="548640" cy="294005"/>
                      <wp:effectExtent l="5080" t="4445" r="17780" b="6350"/>
                      <wp:wrapNone/>
                      <wp:docPr id="100"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eastAsia="宋体"/>
                                      <w:color w:val="000000"/>
                                      <w:szCs w:val="21"/>
                                      <w:lang w:eastAsia="zh-CN"/>
                                    </w:rPr>
                                  </w:pPr>
                                  <w:r>
                                    <w:rPr>
                                      <w:rFonts w:hint="eastAsia"/>
                                      <w:color w:val="000000"/>
                                      <w:szCs w:val="21"/>
                                      <w:lang w:eastAsia="zh-CN"/>
                                    </w:rPr>
                                    <w:t>上料</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48.05pt;margin-top:1.1pt;height:23.15pt;width:43.2pt;z-index:251761664;mso-width-relative:page;mso-height-relative:page;" filled="f" stroked="t" coordsize="21600,21600" o:gfxdata="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lfkC3VAAAABwEAAA8AAAAAAAAAAQAgAAAAIgAAAGRycy9kb3ducmV2&#10;LnhtbFBLAQIUABQAAAAIAIdO4kBvtegHOAIAAGEEAAAOAAAAAAAAAAEAIAAAACQBAABkcnMvZTJv&#10;RG9jLnhtbFBLBQYAAAAABgAGAFkBAADOBQAAAAA=&#10;">
                      <v:fill on="f" focussize="0,0"/>
                      <v:stroke color="#000000" miterlimit="8" joinstyle="miter"/>
                      <v:imagedata o:title=""/>
                      <o:lock v:ext="edit" aspectratio="f"/>
                      <v:textbox>
                        <w:txbxContent>
                          <w:p>
                            <w:pPr>
                              <w:spacing w:line="0" w:lineRule="atLeast"/>
                              <w:jc w:val="center"/>
                              <w:rPr>
                                <w:rFonts w:hint="eastAsia" w:eastAsia="宋体"/>
                                <w:color w:val="000000"/>
                                <w:szCs w:val="21"/>
                                <w:lang w:eastAsia="zh-CN"/>
                              </w:rPr>
                            </w:pPr>
                            <w:r>
                              <w:rPr>
                                <w:rFonts w:hint="eastAsia"/>
                                <w:color w:val="000000"/>
                                <w:szCs w:val="21"/>
                                <w:lang w:eastAsia="zh-CN"/>
                              </w:rPr>
                              <w:t>上料</w:t>
                            </w:r>
                          </w:p>
                        </w:txbxContent>
                      </v:textbox>
                    </v:rect>
                  </w:pict>
                </mc:Fallback>
              </mc:AlternateContent>
            </w:r>
            <w:r>
              <w:rPr>
                <w:rFonts w:hint="eastAsia" w:hAnsi="宋体"/>
                <w:b/>
                <w:color w:val="000000"/>
                <w:sz w:val="24"/>
                <w:u w:val="single"/>
              </w:rPr>
              <mc:AlternateContent>
                <mc:Choice Requires="wps">
                  <w:drawing>
                    <wp:anchor distT="0" distB="0" distL="114300" distR="114300" simplePos="0" relativeHeight="251666432" behindDoc="0" locked="0" layoutInCell="1" allowOverlap="1">
                      <wp:simplePos x="0" y="0"/>
                      <wp:positionH relativeFrom="column">
                        <wp:posOffset>1379855</wp:posOffset>
                      </wp:positionH>
                      <wp:positionV relativeFrom="paragraph">
                        <wp:posOffset>14605</wp:posOffset>
                      </wp:positionV>
                      <wp:extent cx="791210" cy="281940"/>
                      <wp:effectExtent l="4445" t="4445" r="23495" b="18415"/>
                      <wp:wrapNone/>
                      <wp:docPr id="6"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eastAsia="宋体"/>
                                      <w:color w:val="000000"/>
                                      <w:szCs w:val="21"/>
                                      <w:lang w:eastAsia="zh-CN"/>
                                    </w:rPr>
                                  </w:pPr>
                                  <w:r>
                                    <w:rPr>
                                      <w:rFonts w:hint="eastAsia"/>
                                      <w:color w:val="000000"/>
                                      <w:szCs w:val="21"/>
                                      <w:lang w:eastAsia="zh-CN"/>
                                    </w:rPr>
                                    <w:t>皮带输送</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108.65pt;margin-top:1.15pt;height:22.2pt;width:62.3pt;z-index:251666432;mso-width-relative:page;mso-height-relative:page;" filled="f" stroked="t" coordsize="21600,21600" o:gfxdata="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hNFpdcAAAAIAQAADwAAAAAAAAABACAAAAAiAAAAZHJzL2Rvd25y&#10;ZXYueG1sUEsBAhQAFAAAAAgAh07iQCFMwc84AgAAXwQAAA4AAAAAAAAAAQAgAAAAJgEAAGRycy9l&#10;Mm9Eb2MueG1sUEsFBgAAAAAGAAYAWQEAANAFAAAAAA==&#10;">
                      <v:fill on="f" focussize="0,0"/>
                      <v:stroke color="#000000" miterlimit="8" joinstyle="miter"/>
                      <v:imagedata o:title=""/>
                      <o:lock v:ext="edit" aspectratio="f"/>
                      <v:textbox>
                        <w:txbxContent>
                          <w:p>
                            <w:pPr>
                              <w:spacing w:line="0" w:lineRule="atLeast"/>
                              <w:jc w:val="center"/>
                              <w:rPr>
                                <w:rFonts w:hint="eastAsia" w:eastAsia="宋体"/>
                                <w:color w:val="000000"/>
                                <w:szCs w:val="21"/>
                                <w:lang w:eastAsia="zh-CN"/>
                              </w:rPr>
                            </w:pPr>
                            <w:r>
                              <w:rPr>
                                <w:rFonts w:hint="eastAsia"/>
                                <w:color w:val="000000"/>
                                <w:szCs w:val="21"/>
                                <w:lang w:eastAsia="zh-CN"/>
                              </w:rPr>
                              <w:t>皮带输送</w:t>
                            </w:r>
                          </w:p>
                        </w:txbxContent>
                      </v:textbox>
                    </v:rect>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1156335</wp:posOffset>
                      </wp:positionH>
                      <wp:positionV relativeFrom="paragraph">
                        <wp:posOffset>131445</wp:posOffset>
                      </wp:positionV>
                      <wp:extent cx="186690" cy="6350"/>
                      <wp:effectExtent l="0" t="34290" r="3810" b="35560"/>
                      <wp:wrapNone/>
                      <wp:docPr id="4" name="自选图形 99"/>
                      <wp:cNvGraphicFramePr/>
                      <a:graphic xmlns:a="http://schemas.openxmlformats.org/drawingml/2006/main">
                        <a:graphicData uri="http://schemas.microsoft.com/office/word/2010/wordprocessingShape">
                          <wps:wsp>
                            <wps:cNvCnPr/>
                            <wps:spPr>
                              <a:xfrm>
                                <a:off x="0" y="0"/>
                                <a:ext cx="186690" cy="6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99" o:spid="_x0000_s1026" o:spt="32" type="#_x0000_t32" style="position:absolute;left:0pt;margin-left:91.05pt;margin-top:10.35pt;height:0.5pt;width:14.7pt;z-index:251663360;mso-width-relative:page;mso-height-relative:page;" filled="f" stroked="t" coordsize="21600,21600" o:gfxdata="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QG+sdgAAAAJAQAADwAAAAAAAAABACAAAAAiAAAAZHJzL2Rv&#10;d25yZXYueG1sUEsBAhQAFAAAAAgAh07iQEtJMmIBAgAA6wMAAA4AAAAAAAAAAQAgAAAAJwEAAGRy&#10;cy9lMm9Eb2MueG1sUEsFBgAAAAAGAAYAWQEAAJoFA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2169160</wp:posOffset>
                      </wp:positionH>
                      <wp:positionV relativeFrom="paragraph">
                        <wp:posOffset>155575</wp:posOffset>
                      </wp:positionV>
                      <wp:extent cx="166370" cy="6350"/>
                      <wp:effectExtent l="0" t="34925" r="5080" b="34925"/>
                      <wp:wrapNone/>
                      <wp:docPr id="8" name="自选图形 100"/>
                      <wp:cNvGraphicFramePr/>
                      <a:graphic xmlns:a="http://schemas.openxmlformats.org/drawingml/2006/main">
                        <a:graphicData uri="http://schemas.microsoft.com/office/word/2010/wordprocessingShape">
                          <wps:wsp>
                            <wps:cNvCnPr/>
                            <wps:spPr>
                              <a:xfrm>
                                <a:off x="0" y="0"/>
                                <a:ext cx="166370" cy="6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00" o:spid="_x0000_s1026" o:spt="32" type="#_x0000_t32" style="position:absolute;left:0pt;margin-left:170.8pt;margin-top:12.25pt;height:0.5pt;width:13.1pt;z-index:251668480;mso-width-relative:page;mso-height-relative:page;" filled="f" stroked="t" coordsize="21600,21600" o:gfxdata="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eLslF2QAAAAkBAAAPAAAAAAAAAAEAIAAAACIAAABkcnMvZG93&#10;bnJldi54bWxQSwECFAAUAAAACACHTuJAR42xGv8BAADsAwAADgAAAAAAAAABACAAAAAoAQAAZHJz&#10;L2Uyb0RvYy54bWxQSwUGAAAAAAYABgBZAQAAmQUAAAAA&#10;">
                      <v:fill on="f" focussize="0,0"/>
                      <v:stroke weight="1.25pt" color="#000000" joinstyle="round" endarrow="block"/>
                      <v:imagedata o:title=""/>
                      <o:lock v:ext="edit" aspectratio="f"/>
                    </v:shape>
                  </w:pict>
                </mc:Fallback>
              </mc:AlternateContent>
            </w:r>
            <w:r>
              <w:rPr>
                <w:rFonts w:hint="eastAsia" w:hAnsi="宋体"/>
                <w:b/>
                <w:color w:val="000000"/>
                <w:sz w:val="24"/>
                <w:u w:val="single"/>
              </w:rPr>
              <mc:AlternateContent>
                <mc:Choice Requires="wps">
                  <w:drawing>
                    <wp:anchor distT="0" distB="0" distL="114300" distR="114300" simplePos="0" relativeHeight="251697152" behindDoc="0" locked="0" layoutInCell="1" allowOverlap="1">
                      <wp:simplePos x="0" y="0"/>
                      <wp:positionH relativeFrom="column">
                        <wp:posOffset>4910455</wp:posOffset>
                      </wp:positionH>
                      <wp:positionV relativeFrom="paragraph">
                        <wp:posOffset>123190</wp:posOffset>
                      </wp:positionV>
                      <wp:extent cx="511810" cy="474980"/>
                      <wp:effectExtent l="0" t="0" r="0" b="0"/>
                      <wp:wrapNone/>
                      <wp:docPr id="37" name="矩形 101"/>
                      <wp:cNvGraphicFramePr/>
                      <a:graphic xmlns:a="http://schemas.openxmlformats.org/drawingml/2006/main">
                        <a:graphicData uri="http://schemas.microsoft.com/office/word/2010/wordprocessingShape">
                          <wps:wsp>
                            <wps:cNvSpPr/>
                            <wps:spPr>
                              <a:xfrm>
                                <a:off x="0" y="0"/>
                                <a:ext cx="511810" cy="474980"/>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外加剂</w:t>
                                  </w:r>
                                </w:p>
                              </w:txbxContent>
                            </wps:txbx>
                            <wps:bodyPr wrap="square" upright="1"/>
                          </wps:wsp>
                        </a:graphicData>
                      </a:graphic>
                    </wp:anchor>
                  </w:drawing>
                </mc:Choice>
                <mc:Fallback>
                  <w:pict>
                    <v:rect id="矩形 101" o:spid="_x0000_s1026" o:spt="1" style="position:absolute;left:0pt;margin-left:386.65pt;margin-top:9.7pt;height:37.4pt;width:40.3pt;z-index:251697152;mso-width-relative:page;mso-height-relative:page;" filled="f" stroked="f" coordsize="21600,21600" o:gfxdata="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uj&#10;ZNrbAAAACQEAAA8AAAAAAAAAAQAgAAAAIgAAAGRycy9kb3ducmV2LnhtbFBLAQIUABQAAAAIAIdO&#10;4kC/tlN8rgEAAFEDAAAOAAAAAAAAAAEAIAAAACoBAABkcnMvZTJvRG9jLnhtbFBLBQYAAAAABgAG&#10;AFkBAABKBQ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外加剂</w:t>
                            </w:r>
                          </w:p>
                        </w:txbxContent>
                      </v:textbox>
                    </v:rect>
                  </w:pict>
                </mc:Fallback>
              </mc:AlternateContent>
            </w:r>
            <w:r>
              <w:rPr>
                <w:rFonts w:hint="eastAsia" w:hAnsi="宋体"/>
                <w:b/>
                <w:color w:val="000000"/>
                <w:sz w:val="24"/>
                <w:u w:val="single"/>
              </w:rPr>
              <mc:AlternateContent>
                <mc:Choice Requires="wps">
                  <w:drawing>
                    <wp:anchor distT="0" distB="0" distL="114300" distR="114300" simplePos="0" relativeHeight="251693056" behindDoc="0" locked="0" layoutInCell="1" allowOverlap="1">
                      <wp:simplePos x="0" y="0"/>
                      <wp:positionH relativeFrom="column">
                        <wp:posOffset>3781425</wp:posOffset>
                      </wp:positionH>
                      <wp:positionV relativeFrom="paragraph">
                        <wp:posOffset>194310</wp:posOffset>
                      </wp:positionV>
                      <wp:extent cx="489585" cy="281940"/>
                      <wp:effectExtent l="4445" t="4445" r="20320" b="18415"/>
                      <wp:wrapNone/>
                      <wp:docPr id="33"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color w:val="000000"/>
                                      <w:szCs w:val="21"/>
                                    </w:rPr>
                                  </w:pPr>
                                  <w:r>
                                    <w:rPr>
                                      <w:rFonts w:hint="eastAsia"/>
                                      <w:color w:val="000000"/>
                                      <w:szCs w:val="21"/>
                                    </w:rPr>
                                    <w:t>泵入</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297.75pt;margin-top:15.3pt;height:22.2pt;width:38.55pt;z-index:251693056;mso-width-relative:page;mso-height-relative:page;" filled="f" stroked="t" coordsize="21600,21600" o:gfxdata="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x964tcAAAAJAQAADwAAAAAAAAABACAAAAAiAAAAZHJzL2Rvd25y&#10;ZXYueG1sUEsBAhQAFAAAAAgAh07iQOlcLTY4AgAAYAQAAA4AAAAAAAAAAQAgAAAAJgEAAGRycy9l&#10;Mm9Eb2MueG1sUEsFBgAAAAAGAAYAWQEAANAFAAAAAA==&#10;">
                      <v:fill on="f" focussize="0,0"/>
                      <v:stroke color="#000000" miterlimit="8" joinstyle="miter"/>
                      <v:imagedata o:title=""/>
                      <o:lock v:ext="edit" aspectratio="f"/>
                      <v:textbox>
                        <w:txbxContent>
                          <w:p>
                            <w:pPr>
                              <w:spacing w:line="0" w:lineRule="atLeast"/>
                              <w:jc w:val="center"/>
                              <w:rPr>
                                <w:rFonts w:hint="eastAsia"/>
                                <w:color w:val="000000"/>
                                <w:szCs w:val="21"/>
                              </w:rPr>
                            </w:pPr>
                            <w:r>
                              <w:rPr>
                                <w:rFonts w:hint="eastAsia"/>
                                <w:color w:val="000000"/>
                                <w:szCs w:val="21"/>
                              </w:rPr>
                              <w:t>泵入</w:t>
                            </w:r>
                          </w:p>
                        </w:txbxContent>
                      </v:textbox>
                    </v:rect>
                  </w:pict>
                </mc:Fallback>
              </mc:AlternateContent>
            </w:r>
          </w:p>
          <w:p>
            <w:pPr>
              <w:pStyle w:val="6"/>
              <w:ind w:firstLine="0" w:firstLineChars="0"/>
              <w:rPr>
                <w:rFonts w:hint="eastAsia" w:ascii="宋体" w:hAnsi="宋体" w:cs="宋体"/>
                <w:b/>
                <w:sz w:val="24"/>
                <w:szCs w:val="24"/>
              </w:rPr>
            </w:pPr>
            <w:r>
              <w:rPr>
                <w:rFonts w:hint="eastAsia" w:hAnsi="宋体"/>
                <w:b/>
                <w:color w:val="000000"/>
                <w:sz w:val="24"/>
                <w:szCs w:val="24"/>
                <w:u w:val="single"/>
              </w:rPr>
              <mc:AlternateContent>
                <mc:Choice Requires="wps">
                  <w:drawing>
                    <wp:anchor distT="0" distB="0" distL="114300" distR="114300" simplePos="0" relativeHeight="251682816" behindDoc="0" locked="0" layoutInCell="1" allowOverlap="1">
                      <wp:simplePos x="0" y="0"/>
                      <wp:positionH relativeFrom="column">
                        <wp:posOffset>812800</wp:posOffset>
                      </wp:positionH>
                      <wp:positionV relativeFrom="paragraph">
                        <wp:posOffset>182245</wp:posOffset>
                      </wp:positionV>
                      <wp:extent cx="908685" cy="456565"/>
                      <wp:effectExtent l="0" t="0" r="0" b="0"/>
                      <wp:wrapNone/>
                      <wp:docPr id="23" name="矩形 103"/>
                      <wp:cNvGraphicFramePr/>
                      <a:graphic xmlns:a="http://schemas.openxmlformats.org/drawingml/2006/main">
                        <a:graphicData uri="http://schemas.microsoft.com/office/word/2010/wordprocessingShape">
                          <wps:wsp>
                            <wps:cNvSpPr/>
                            <wps:spPr>
                              <a:xfrm>
                                <a:off x="0" y="0"/>
                                <a:ext cx="908685" cy="45656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废水、废混凝土</w:t>
                                  </w:r>
                                </w:p>
                              </w:txbxContent>
                            </wps:txbx>
                            <wps:bodyPr wrap="square" upright="1"/>
                          </wps:wsp>
                        </a:graphicData>
                      </a:graphic>
                    </wp:anchor>
                  </w:drawing>
                </mc:Choice>
                <mc:Fallback>
                  <w:pict>
                    <v:rect id="矩形 103" o:spid="_x0000_s1026" o:spt="1" style="position:absolute;left:0pt;margin-left:64pt;margin-top:14.35pt;height:35.95pt;width:71.55pt;z-index:251682816;mso-width-relative:page;mso-height-relative:page;" filled="f" stroked="f" coordsize="21600,21600" o:gfxdata="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07NmO&#10;2AAAAAoBAAAPAAAAAAAAAAEAIAAAACIAAABkcnMvZG93bnJldi54bWxQSwECFAAUAAAACACHTuJA&#10;tKSA168BAABRAwAADgAAAAAAAAABACAAAAAnAQAAZHJzL2Uyb0RvYy54bWxQSwUGAAAAAAYABgBZ&#10;AQAASA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废水、废混凝土</w:t>
                            </w:r>
                          </w:p>
                        </w:txbxContent>
                      </v:textbox>
                    </v:rect>
                  </w:pict>
                </mc:Fallback>
              </mc:AlternateContent>
            </w:r>
            <w:r>
              <w:rPr>
                <w:rFonts w:hint="eastAsia" w:hAnsi="宋体"/>
                <w:b/>
                <w:color w:val="000000"/>
                <w:sz w:val="24"/>
                <w:szCs w:val="24"/>
                <w:u w:val="single"/>
              </w:rPr>
              <mc:AlternateContent>
                <mc:Choice Requires="wps">
                  <w:drawing>
                    <wp:anchor distT="0" distB="0" distL="114300" distR="114300" simplePos="0" relativeHeight="251704320" behindDoc="0" locked="0" layoutInCell="1" allowOverlap="1">
                      <wp:simplePos x="0" y="0"/>
                      <wp:positionH relativeFrom="column">
                        <wp:posOffset>1985645</wp:posOffset>
                      </wp:positionH>
                      <wp:positionV relativeFrom="paragraph">
                        <wp:posOffset>182245</wp:posOffset>
                      </wp:positionV>
                      <wp:extent cx="579755" cy="281940"/>
                      <wp:effectExtent l="4445" t="4445" r="6350" b="18415"/>
                      <wp:wrapNone/>
                      <wp:docPr id="44"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eastAsia="宋体"/>
                                      <w:color w:val="000000"/>
                                      <w:szCs w:val="21"/>
                                      <w:lang w:eastAsia="zh-CN"/>
                                    </w:rPr>
                                  </w:pPr>
                                  <w:r>
                                    <w:rPr>
                                      <w:rFonts w:hint="eastAsia"/>
                                      <w:color w:val="000000"/>
                                      <w:szCs w:val="21"/>
                                      <w:lang w:eastAsia="zh-CN"/>
                                    </w:rPr>
                                    <w:t>检验</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156.35pt;margin-top:14.35pt;height:22.2pt;width:45.65pt;z-index:251704320;mso-width-relative:page;mso-height-relative:page;" filled="f" stroked="t" coordsize="21600,21600" o:gfxdata="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xSPirYAAAACQEAAA8AAAAAAAAAAQAgAAAAIgAAAGRycy9kb3du&#10;cmV2LnhtbFBLAQIUABQAAAAIAIdO4kB9rlW1OAIAAGAEAAAOAAAAAAAAAAEAIAAAACcBAABkcnMv&#10;ZTJvRG9jLnhtbFBLBQYAAAAABgAGAFkBAADRBQAAAAA=&#10;">
                      <v:fill on="f" focussize="0,0"/>
                      <v:stroke color="#000000" miterlimit="8" joinstyle="miter"/>
                      <v:imagedata o:title=""/>
                      <o:lock v:ext="edit" aspectratio="f"/>
                      <v:textbox>
                        <w:txbxContent>
                          <w:p>
                            <w:pPr>
                              <w:spacing w:line="0" w:lineRule="atLeast"/>
                              <w:jc w:val="center"/>
                              <w:rPr>
                                <w:rFonts w:hint="eastAsia" w:eastAsia="宋体"/>
                                <w:color w:val="000000"/>
                                <w:szCs w:val="21"/>
                                <w:lang w:eastAsia="zh-CN"/>
                              </w:rPr>
                            </w:pPr>
                            <w:r>
                              <w:rPr>
                                <w:rFonts w:hint="eastAsia"/>
                                <w:color w:val="000000"/>
                                <w:szCs w:val="21"/>
                                <w:lang w:eastAsia="zh-CN"/>
                              </w:rPr>
                              <w:t>检验</w:t>
                            </w:r>
                          </w:p>
                        </w:txbxContent>
                      </v:textbox>
                    </v:rect>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2880360</wp:posOffset>
                      </wp:positionH>
                      <wp:positionV relativeFrom="paragraph">
                        <wp:posOffset>152400</wp:posOffset>
                      </wp:positionV>
                      <wp:extent cx="1905" cy="348615"/>
                      <wp:effectExtent l="37465" t="0" r="36830" b="13335"/>
                      <wp:wrapNone/>
                      <wp:docPr id="18" name="自选图形 105"/>
                      <wp:cNvGraphicFramePr/>
                      <a:graphic xmlns:a="http://schemas.openxmlformats.org/drawingml/2006/main">
                        <a:graphicData uri="http://schemas.microsoft.com/office/word/2010/wordprocessingShape">
                          <wps:wsp>
                            <wps:cNvCnPr/>
                            <wps:spPr>
                              <a:xfrm flipH="1">
                                <a:off x="0" y="0"/>
                                <a:ext cx="1905" cy="34861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05" o:spid="_x0000_s1026" o:spt="32" type="#_x0000_t32" style="position:absolute;left:0pt;flip:x;margin-left:226.8pt;margin-top:12pt;height:27.45pt;width:0.15pt;z-index:251677696;mso-width-relative:page;mso-height-relative:page;" filled="f" stroked="t" coordsize="21600,21600" o:gfxdata="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pBebB2QAAAAkBAAAPAAAAAAAAAAEAIAAAACIA&#10;AABkcnMvZG93bnJldi54bWxQSwECFAAUAAAACACHTuJAxD2pRQgCAAD3AwAADgAAAAAAAAABACAA&#10;AAAoAQAAZHJzL2Uyb0RvYy54bWxQSwUGAAAAAAYABgBZAQAAogU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4883150</wp:posOffset>
                      </wp:positionH>
                      <wp:positionV relativeFrom="paragraph">
                        <wp:posOffset>123825</wp:posOffset>
                      </wp:positionV>
                      <wp:extent cx="167640" cy="1905"/>
                      <wp:effectExtent l="0" t="37465" r="3810" b="36830"/>
                      <wp:wrapNone/>
                      <wp:docPr id="36" name="自选图形 106"/>
                      <wp:cNvGraphicFramePr/>
                      <a:graphic xmlns:a="http://schemas.openxmlformats.org/drawingml/2006/main">
                        <a:graphicData uri="http://schemas.microsoft.com/office/word/2010/wordprocessingShape">
                          <wps:wsp>
                            <wps:cNvCnPr/>
                            <wps:spPr>
                              <a:xfrm flipH="1" flipV="1">
                                <a:off x="0" y="0"/>
                                <a:ext cx="167640" cy="190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06" o:spid="_x0000_s1026" o:spt="32" type="#_x0000_t32" style="position:absolute;left:0pt;flip:x y;margin-left:384.5pt;margin-top:9.75pt;height:0.15pt;width:13.2pt;z-index:251696128;mso-width-relative:page;mso-height-relative:page;" filled="f" stroked="t" coordsize="21600,21600" o:gfxdata="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XWMW1wAAAAkBAAAPAAAAAAAAAAEAIAAA&#10;ACIAAABkcnMvZG93bnJldi54bWxQSwECFAAUAAAACACHTuJAPUayxQ0CAAABBAAADgAAAAAAAAAB&#10;ACAAAAAmAQAAZHJzL2Uyb0RvYy54bWxQSwUGAAAAAAYABgBZAQAApQUAAAAA&#10;">
                      <v:fill on="f" focussize="0,0"/>
                      <v:stroke weight="1.25pt" color="#000000" joinstyle="round" endarrow="block"/>
                      <v:imagedata o:title=""/>
                      <o:lock v:ext="edit" aspectratio="f"/>
                    </v:shape>
                  </w:pict>
                </mc:Fallback>
              </mc:AlternateContent>
            </w:r>
            <w:r>
              <w:rPr>
                <w:rFonts w:hint="eastAsia" w:hAnsi="宋体"/>
                <w:b/>
                <w:color w:val="000000"/>
                <w:sz w:val="24"/>
                <w:szCs w:val="24"/>
                <w:u w:val="single"/>
              </w:rPr>
              <mc:AlternateContent>
                <mc:Choice Requires="wps">
                  <w:drawing>
                    <wp:anchor distT="0" distB="0" distL="114300" distR="114300" simplePos="0" relativeHeight="251695104" behindDoc="0" locked="0" layoutInCell="1" allowOverlap="1">
                      <wp:simplePos x="0" y="0"/>
                      <wp:positionH relativeFrom="column">
                        <wp:posOffset>4441825</wp:posOffset>
                      </wp:positionH>
                      <wp:positionV relativeFrom="paragraph">
                        <wp:posOffset>3175</wp:posOffset>
                      </wp:positionV>
                      <wp:extent cx="476885" cy="294005"/>
                      <wp:effectExtent l="5080" t="4445" r="13335" b="6350"/>
                      <wp:wrapNone/>
                      <wp:docPr id="35" name="矩形 11"/>
                      <wp:cNvGraphicFramePr/>
                      <a:graphic xmlns:a="http://schemas.openxmlformats.org/drawingml/2006/main">
                        <a:graphicData uri="http://schemas.microsoft.com/office/word/2010/wordprocessingShape">
                          <wps:wsp>
                            <wps:cNvSpPr>
                              <a:spLocks noChangeArrowheads="1"/>
                            </wps:cNvSpPr>
                            <wps:spPr bwMode="auto">
                              <a:xfrm>
                                <a:off x="0" y="0"/>
                                <a:ext cx="730885" cy="294005"/>
                              </a:xfrm>
                              <a:prstGeom prst="rect">
                                <a:avLst/>
                              </a:prstGeom>
                              <a:noFill/>
                              <a:ln w="9525">
                                <a:solidFill>
                                  <a:srgbClr val="000000"/>
                                </a:solidFill>
                                <a:miter lim="800000"/>
                              </a:ln>
                              <a:effectLst/>
                            </wps:spPr>
                            <wps:txbx>
                              <w:txbxContent>
                                <w:p>
                                  <w:pPr>
                                    <w:spacing w:line="0" w:lineRule="atLeast"/>
                                    <w:jc w:val="center"/>
                                    <w:rPr>
                                      <w:rFonts w:hint="eastAsia"/>
                                      <w:color w:val="000000"/>
                                      <w:szCs w:val="21"/>
                                    </w:rPr>
                                  </w:pPr>
                                  <w:r>
                                    <w:rPr>
                                      <w:rFonts w:hint="eastAsia"/>
                                      <w:color w:val="000000"/>
                                      <w:szCs w:val="21"/>
                                    </w:rPr>
                                    <w:t>计量</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349.75pt;margin-top:0.25pt;height:23.15pt;width:37.55pt;z-index:251695104;mso-width-relative:page;mso-height-relative:page;" filled="f" stroked="t" coordsize="21600,21600" o:gfxdata="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hgCCS1gAAAAcBAAAPAAAAAAAAAAEAIAAAACIAAABkcnMvZG93bnJl&#10;di54bWxQSwECFAAUAAAACACHTuJAn+tBOjgCAABgBAAADgAAAAAAAAABACAAAAAlAQAAZHJzL2Uy&#10;b0RvYy54bWxQSwUGAAAAAAYABgBZAQAAzwUAAAAA&#10;">
                      <v:fill on="f" focussize="0,0"/>
                      <v:stroke color="#000000" miterlimit="8" joinstyle="miter"/>
                      <v:imagedata o:title=""/>
                      <o:lock v:ext="edit" aspectratio="f"/>
                      <v:textbox>
                        <w:txbxContent>
                          <w:p>
                            <w:pPr>
                              <w:spacing w:line="0" w:lineRule="atLeast"/>
                              <w:jc w:val="center"/>
                              <w:rPr>
                                <w:rFonts w:hint="eastAsia"/>
                                <w:color w:val="000000"/>
                                <w:szCs w:val="21"/>
                              </w:rPr>
                            </w:pPr>
                            <w:r>
                              <w:rPr>
                                <w:rFonts w:hint="eastAsia"/>
                                <w:color w:val="000000"/>
                                <w:szCs w:val="21"/>
                              </w:rPr>
                              <w:t>计量</w:t>
                            </w:r>
                          </w:p>
                        </w:txbxContent>
                      </v:textbox>
                    </v:rect>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4254500</wp:posOffset>
                      </wp:positionH>
                      <wp:positionV relativeFrom="paragraph">
                        <wp:posOffset>101600</wp:posOffset>
                      </wp:positionV>
                      <wp:extent cx="229870" cy="6985"/>
                      <wp:effectExtent l="0" t="33655" r="17780" b="35560"/>
                      <wp:wrapNone/>
                      <wp:docPr id="34" name="自选图形 108"/>
                      <wp:cNvGraphicFramePr/>
                      <a:graphic xmlns:a="http://schemas.openxmlformats.org/drawingml/2006/main">
                        <a:graphicData uri="http://schemas.microsoft.com/office/word/2010/wordprocessingShape">
                          <wps:wsp>
                            <wps:cNvCnPr/>
                            <wps:spPr>
                              <a:xfrm flipH="1">
                                <a:off x="0" y="0"/>
                                <a:ext cx="229870" cy="698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08" o:spid="_x0000_s1026" o:spt="32" type="#_x0000_t32" style="position:absolute;left:0pt;flip:x;margin-left:335pt;margin-top:8pt;height:0.55pt;width:18.1pt;z-index:251694080;mso-width-relative:page;mso-height-relative:page;" filled="f" stroked="t" coordsize="21600,21600" o:gfxdata="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r53o92QAAAAkBAAAPAAAAAAAAAAEAIAAAACIA&#10;AABkcnMvZG93bnJldi54bWxQSwECFAAUAAAACACHTuJAUJtGvwgCAAD3AwAADgAAAAAAAAABACAA&#10;AAAoAQAAZHJzL2Uyb0RvYy54bWxQSwUGAAAAAAYABgBZAQAAogU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3555365</wp:posOffset>
                      </wp:positionH>
                      <wp:positionV relativeFrom="paragraph">
                        <wp:posOffset>89535</wp:posOffset>
                      </wp:positionV>
                      <wp:extent cx="217805" cy="8255"/>
                      <wp:effectExtent l="0" t="33020" r="10795" b="34925"/>
                      <wp:wrapNone/>
                      <wp:docPr id="2" name="直线箭头连接符 9"/>
                      <wp:cNvGraphicFramePr/>
                      <a:graphic xmlns:a="http://schemas.openxmlformats.org/drawingml/2006/main">
                        <a:graphicData uri="http://schemas.microsoft.com/office/word/2010/wordprocessingShape">
                          <wps:wsp>
                            <wps:cNvCnPr/>
                            <wps:spPr>
                              <a:xfrm flipH="1">
                                <a:off x="0" y="0"/>
                                <a:ext cx="217805" cy="825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直线箭头连接符 9" o:spid="_x0000_s1026" o:spt="32" type="#_x0000_t32" style="position:absolute;left:0pt;flip:x;margin-left:279.95pt;margin-top:7.05pt;height:0.65pt;width:17.15pt;z-index:251661312;mso-width-relative:page;mso-height-relative:page;" filled="f" stroked="t" coordsize="21600,21600" o:gfxdata="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bt5r2gAAAAkBAAAPAAAAAAAA&#10;AAEAIAAAACIAAABkcnMvZG93bnJldi54bWxQSwECFAAUAAAACACHTuJATa0pfRACAAD9AwAADgAA&#10;AAAAAAABACAAAAApAQAAZHJzL2Uyb0RvYy54bWxQSwUGAAAAAAYABgBZAQAAqwUAAAAA&#10;">
                      <v:fill on="f" focussize="0,0"/>
                      <v:stroke weight="1.25pt" color="#000000" joinstyle="round" endarrow="block"/>
                      <v:imagedata o:title=""/>
                      <o:lock v:ext="edit" aspectratio="f"/>
                    </v:shape>
                  </w:pict>
                </mc:Fallback>
              </mc:AlternateContent>
            </w:r>
          </w:p>
          <w:p>
            <w:pPr>
              <w:rPr>
                <w:rFonts w:hint="eastAsia" w:ascii="宋体" w:hAnsi="宋体" w:cs="宋体"/>
                <w:b/>
                <w:sz w:val="24"/>
              </w:rPr>
            </w:pPr>
            <w:r>
              <w:rPr>
                <w:rFonts w:hint="eastAsia" w:hAnsi="宋体"/>
                <w:b/>
                <w:color w:val="000000"/>
                <w:sz w:val="24"/>
                <w:u w:val="single"/>
              </w:rPr>
              <mc:AlternateContent>
                <mc:Choice Requires="wps">
                  <w:drawing>
                    <wp:anchor distT="0" distB="0" distL="114300" distR="114300" simplePos="0" relativeHeight="251700224" behindDoc="0" locked="0" layoutInCell="1" allowOverlap="1">
                      <wp:simplePos x="0" y="0"/>
                      <wp:positionH relativeFrom="column">
                        <wp:posOffset>3678555</wp:posOffset>
                      </wp:positionH>
                      <wp:positionV relativeFrom="paragraph">
                        <wp:posOffset>197485</wp:posOffset>
                      </wp:positionV>
                      <wp:extent cx="728345" cy="294005"/>
                      <wp:effectExtent l="0" t="0" r="0" b="0"/>
                      <wp:wrapNone/>
                      <wp:docPr id="40" name="矩形 111"/>
                      <wp:cNvGraphicFramePr/>
                      <a:graphic xmlns:a="http://schemas.openxmlformats.org/drawingml/2006/main">
                        <a:graphicData uri="http://schemas.microsoft.com/office/word/2010/wordprocessingShape">
                          <wps:wsp>
                            <wps:cNvSpPr/>
                            <wps:spPr>
                              <a:xfrm>
                                <a:off x="0" y="0"/>
                                <a:ext cx="728345"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噪声</w:t>
                                  </w:r>
                                </w:p>
                              </w:txbxContent>
                            </wps:txbx>
                            <wps:bodyPr wrap="square" upright="1"/>
                          </wps:wsp>
                        </a:graphicData>
                      </a:graphic>
                    </wp:anchor>
                  </w:drawing>
                </mc:Choice>
                <mc:Fallback>
                  <w:pict>
                    <v:rect id="矩形 111" o:spid="_x0000_s1026" o:spt="1" style="position:absolute;left:0pt;margin-left:289.65pt;margin-top:15.55pt;height:23.15pt;width:57.35pt;z-index:251700224;mso-width-relative:page;mso-height-relative:page;" filled="f" stroked="f" coordsize="21600,21600" o:gfxdata="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V&#10;6fA42wAAAAkBAAAPAAAAAAAAAAEAIAAAACIAAABkcnMvZG93bnJldi54bWxQSwECFAAUAAAACACH&#10;TuJAKWpi0q8BAABRAwAADgAAAAAAAAABACAAAAAqAQAAZHJzL2Uyb0RvYy54bWxQSwUGAAAAAAYA&#10;BgBZAQAASw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噪声</w:t>
                            </w:r>
                          </w:p>
                        </w:txbxContent>
                      </v:textbox>
                    </v:rect>
                  </w:pict>
                </mc:Fallback>
              </mc:AlternateContent>
            </w:r>
            <w:r>
              <w:rPr>
                <w:sz w:val="24"/>
              </w:rPr>
              <mc:AlternateContent>
                <mc:Choice Requires="wps">
                  <w:drawing>
                    <wp:anchor distT="0" distB="0" distL="114300" distR="114300" simplePos="0" relativeHeight="251705344" behindDoc="0" locked="0" layoutInCell="1" allowOverlap="1">
                      <wp:simplePos x="0" y="0"/>
                      <wp:positionH relativeFrom="column">
                        <wp:posOffset>1691005</wp:posOffset>
                      </wp:positionH>
                      <wp:positionV relativeFrom="paragraph">
                        <wp:posOffset>112395</wp:posOffset>
                      </wp:positionV>
                      <wp:extent cx="287020" cy="5080"/>
                      <wp:effectExtent l="0" t="48895" r="17780" b="60325"/>
                      <wp:wrapNone/>
                      <wp:docPr id="45" name="自选图形 110"/>
                      <wp:cNvGraphicFramePr/>
                      <a:graphic xmlns:a="http://schemas.openxmlformats.org/drawingml/2006/main">
                        <a:graphicData uri="http://schemas.microsoft.com/office/word/2010/wordprocessingShape">
                          <wps:wsp>
                            <wps:cNvCnPr/>
                            <wps:spPr>
                              <a:xfrm flipH="1">
                                <a:off x="0" y="0"/>
                                <a:ext cx="287020" cy="5080"/>
                              </a:xfrm>
                              <a:prstGeom prst="straightConnector1">
                                <a:avLst/>
                              </a:prstGeom>
                              <a:ln w="15875" cap="sq" cmpd="sng">
                                <a:solidFill>
                                  <a:srgbClr val="000000"/>
                                </a:solidFill>
                                <a:prstDash val="sysDot"/>
                                <a:headEnd type="none" w="med" len="med"/>
                                <a:tailEnd type="arrow" w="med" len="med"/>
                              </a:ln>
                            </wps:spPr>
                            <wps:bodyPr/>
                          </wps:wsp>
                        </a:graphicData>
                      </a:graphic>
                    </wp:anchor>
                  </w:drawing>
                </mc:Choice>
                <mc:Fallback>
                  <w:pict>
                    <v:shape id="自选图形 110" o:spid="_x0000_s1026" o:spt="32" type="#_x0000_t32" style="position:absolute;left:0pt;flip:x;margin-left:133.15pt;margin-top:8.85pt;height:0.4pt;width:22.6pt;z-index:251705344;mso-width-relative:page;mso-height-relative:page;" filled="f" stroked="t" coordsize="21600,21600" o:gfxdata="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s+PNTWAAAACQEAAA8AAAAAAAAAAQAgAAAAIgAAAGRy&#10;cy9kb3ducmV2LnhtbFBLAQIUABQAAAAIAIdO4kDFCrI5BwIAAPMDAAAOAAAAAAAAAAEAIAAAACUB&#10;AABkcnMvZTJvRG9jLnhtbFBLBQYAAAAABgAGAFkBAACeBQAAAAA=&#10;">
                      <v:fill on="f" focussize="0,0"/>
                      <v:stroke weight="1.25pt" color="#000000" joinstyle="round" dashstyle="1 1" endcap="square" endarrow="open"/>
                      <v:imagedata o:title=""/>
                      <o:lock v:ext="edit" aspectratio="f"/>
                    </v:shape>
                  </w:pict>
                </mc:Fallback>
              </mc:AlternateContent>
            </w:r>
            <w:r>
              <w:rPr>
                <w:sz w:val="24"/>
              </w:rPr>
              <mc:AlternateContent>
                <mc:Choice Requires="wps">
                  <w:drawing>
                    <wp:anchor distT="0" distB="0" distL="114300" distR="114300" simplePos="0" relativeHeight="251703296" behindDoc="0" locked="0" layoutInCell="1" allowOverlap="1">
                      <wp:simplePos x="0" y="0"/>
                      <wp:positionH relativeFrom="column">
                        <wp:posOffset>2566670</wp:posOffset>
                      </wp:positionH>
                      <wp:positionV relativeFrom="paragraph">
                        <wp:posOffset>117475</wp:posOffset>
                      </wp:positionV>
                      <wp:extent cx="292735" cy="5080"/>
                      <wp:effectExtent l="0" t="36830" r="12065" b="34290"/>
                      <wp:wrapNone/>
                      <wp:docPr id="43" name="自选图形 112"/>
                      <wp:cNvGraphicFramePr/>
                      <a:graphic xmlns:a="http://schemas.openxmlformats.org/drawingml/2006/main">
                        <a:graphicData uri="http://schemas.microsoft.com/office/word/2010/wordprocessingShape">
                          <wps:wsp>
                            <wps:cNvCnPr/>
                            <wps:spPr>
                              <a:xfrm flipH="1" flipV="1">
                                <a:off x="0" y="0"/>
                                <a:ext cx="292735" cy="508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12" o:spid="_x0000_s1026" o:spt="32" type="#_x0000_t32" style="position:absolute;left:0pt;flip:x y;margin-left:202.1pt;margin-top:9.25pt;height:0.4pt;width:23.05pt;z-index:251703296;mso-width-relative:page;mso-height-relative:page;" filled="f" stroked="t" coordsize="21600,21600" o:gfxdata="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xkPNYAAAAJAQAADwAAAAAAAAABACAA&#10;AAAiAAAAZHJzL2Rvd25yZXYueG1sUEsBAhQAFAAAAAgAh07iQNSI4iwPAgAAAQQAAA4AAAAAAAAA&#10;AQAgAAAAJQEAAGRycy9lMm9Eb2MueG1sUEsFBgAAAAAGAAYAWQEAAKYFAAAAAA==&#10;">
                      <v:fill on="f" focussize="0,0"/>
                      <v:stroke weight="1.25pt"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4074160</wp:posOffset>
                      </wp:positionH>
                      <wp:positionV relativeFrom="paragraph">
                        <wp:posOffset>74930</wp:posOffset>
                      </wp:positionV>
                      <wp:extent cx="3175" cy="155575"/>
                      <wp:effectExtent l="50800" t="8255" r="60325" b="7620"/>
                      <wp:wrapNone/>
                      <wp:docPr id="39" name="自选图形 113"/>
                      <wp:cNvGraphicFramePr/>
                      <a:graphic xmlns:a="http://schemas.openxmlformats.org/drawingml/2006/main">
                        <a:graphicData uri="http://schemas.microsoft.com/office/word/2010/wordprocessingShape">
                          <wps:wsp>
                            <wps:cNvCnPr/>
                            <wps:spPr>
                              <a:xfrm flipH="1">
                                <a:off x="0" y="0"/>
                                <a:ext cx="3175" cy="155575"/>
                              </a:xfrm>
                              <a:prstGeom prst="straightConnector1">
                                <a:avLst/>
                              </a:prstGeom>
                              <a:ln w="15875" cap="sq" cmpd="sng">
                                <a:solidFill>
                                  <a:srgbClr val="000000"/>
                                </a:solidFill>
                                <a:prstDash val="sysDot"/>
                                <a:headEnd type="none" w="med" len="med"/>
                                <a:tailEnd type="arrow" w="med" len="med"/>
                              </a:ln>
                            </wps:spPr>
                            <wps:bodyPr/>
                          </wps:wsp>
                        </a:graphicData>
                      </a:graphic>
                    </wp:anchor>
                  </w:drawing>
                </mc:Choice>
                <mc:Fallback>
                  <w:pict>
                    <v:shape id="自选图形 113" o:spid="_x0000_s1026" o:spt="32" type="#_x0000_t32" style="position:absolute;left:0pt;flip:x;margin-left:320.8pt;margin-top:5.9pt;height:12.25pt;width:0.25pt;z-index:251699200;mso-width-relative:page;mso-height-relative:page;" filled="f" stroked="t" coordsize="21600,21600" o:gfxdata="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TuVadQAAAAJAQAADwAAAAAAAAABACAAAAAiAAAAZHJzL2Rv&#10;d25yZXYueG1sUEsBAhQAFAAAAAgAh07iQHA3Cj0FAgAA8wMAAA4AAAAAAAAAAQAgAAAAIwEAAGRy&#10;cy9lMm9Eb2MueG1sUEsFBgAAAAAGAAYAWQEAAJoFAAAAAA==&#10;">
                      <v:fill on="f" focussize="0,0"/>
                      <v:stroke weight="1.25pt" color="#000000" joinstyle="round" dashstyle="1 1" endcap="square" endarrow="open"/>
                      <v:imagedata o:title=""/>
                      <o:lock v:ext="edit" aspectratio="f"/>
                    </v:shape>
                  </w:pict>
                </mc:Fallback>
              </mc:AlternateContent>
            </w:r>
          </w:p>
          <w:p>
            <w:pPr>
              <w:rPr>
                <w:rFonts w:hint="eastAsia" w:ascii="宋体" w:hAnsi="宋体" w:cs="宋体"/>
                <w:b/>
                <w:sz w:val="24"/>
              </w:rPr>
            </w:pPr>
            <w:r>
              <w:rPr>
                <w:rFonts w:hint="eastAsia" w:hAnsi="宋体"/>
                <w:b/>
                <w:color w:val="000000"/>
                <w:sz w:val="24"/>
                <w:u w:val="single"/>
              </w:rPr>
              <mc:AlternateContent>
                <mc:Choice Requires="wps">
                  <w:drawing>
                    <wp:anchor distT="0" distB="0" distL="114300" distR="114300" simplePos="0" relativeHeight="251678720" behindDoc="0" locked="0" layoutInCell="1" allowOverlap="1">
                      <wp:simplePos x="0" y="0"/>
                      <wp:positionH relativeFrom="column">
                        <wp:posOffset>2165350</wp:posOffset>
                      </wp:positionH>
                      <wp:positionV relativeFrom="paragraph">
                        <wp:posOffset>106680</wp:posOffset>
                      </wp:positionV>
                      <wp:extent cx="1459865" cy="294005"/>
                      <wp:effectExtent l="0" t="0" r="0" b="0"/>
                      <wp:wrapNone/>
                      <wp:docPr id="19" name="矩形 114"/>
                      <wp:cNvGraphicFramePr/>
                      <a:graphic xmlns:a="http://schemas.openxmlformats.org/drawingml/2006/main">
                        <a:graphicData uri="http://schemas.microsoft.com/office/word/2010/wordprocessingShape">
                          <wps:wsp>
                            <wps:cNvSpPr/>
                            <wps:spPr>
                              <a:xfrm>
                                <a:off x="0" y="0"/>
                                <a:ext cx="1459865" cy="294005"/>
                              </a:xfrm>
                              <a:prstGeom prst="rect">
                                <a:avLst/>
                              </a:prstGeom>
                              <a:noFill/>
                              <a:ln>
                                <a:noFill/>
                              </a:ln>
                            </wps:spPr>
                            <wps:txbx>
                              <w:txbxContent>
                                <w:p>
                                  <w:pPr>
                                    <w:spacing w:line="0" w:lineRule="atLeast"/>
                                    <w:jc w:val="center"/>
                                    <w:rPr>
                                      <w:rFonts w:hint="eastAsia"/>
                                      <w:color w:val="000000"/>
                                      <w:szCs w:val="21"/>
                                    </w:rPr>
                                  </w:pPr>
                                  <w:r>
                                    <w:rPr>
                                      <w:rFonts w:hint="eastAsia"/>
                                      <w:color w:val="000000"/>
                                      <w:szCs w:val="21"/>
                                    </w:rPr>
                                    <w:t>混凝土罐车外运</w:t>
                                  </w:r>
                                </w:p>
                              </w:txbxContent>
                            </wps:txbx>
                            <wps:bodyPr wrap="square" upright="1"/>
                          </wps:wsp>
                        </a:graphicData>
                      </a:graphic>
                    </wp:anchor>
                  </w:drawing>
                </mc:Choice>
                <mc:Fallback>
                  <w:pict>
                    <v:rect id="矩形 114" o:spid="_x0000_s1026" o:spt="1" style="position:absolute;left:0pt;margin-left:170.5pt;margin-top:8.4pt;height:23.15pt;width:114.95pt;z-index:251678720;mso-width-relative:page;mso-height-relative:page;" filled="f" stroked="f" coordsize="21600,21600" o:gfxdata="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10;fKlZ2gAAAAkBAAAPAAAAAAAAAAEAIAAAACIAAABkcnMvZG93bnJldi54bWxQSwECFAAUAAAACACH&#10;TuJAuAyonbABAABSAwAADgAAAAAAAAABACAAAAApAQAAZHJzL2Uyb0RvYy54bWxQSwUGAAAAAAYA&#10;BgBZAQAASwUAAAAA&#10;">
                      <v:fill on="f" focussize="0,0"/>
                      <v:stroke on="f"/>
                      <v:imagedata o:title=""/>
                      <o:lock v:ext="edit" aspectratio="f"/>
                      <v:textbox>
                        <w:txbxContent>
                          <w:p>
                            <w:pPr>
                              <w:spacing w:line="0" w:lineRule="atLeast"/>
                              <w:jc w:val="center"/>
                              <w:rPr>
                                <w:rFonts w:hint="eastAsia"/>
                                <w:color w:val="000000"/>
                                <w:szCs w:val="21"/>
                              </w:rPr>
                            </w:pPr>
                            <w:r>
                              <w:rPr>
                                <w:rFonts w:hint="eastAsia"/>
                                <w:color w:val="000000"/>
                                <w:szCs w:val="21"/>
                              </w:rPr>
                              <w:t>混凝土罐车外运</w:t>
                            </w:r>
                          </w:p>
                        </w:txbxContent>
                      </v:textbox>
                    </v:rect>
                  </w:pict>
                </mc:Fallback>
              </mc:AlternateContent>
            </w:r>
          </w:p>
          <w:p>
            <w:pPr>
              <w:rPr>
                <w:rFonts w:hint="eastAsia" w:ascii="宋体" w:hAnsi="宋体" w:cs="宋体"/>
                <w:b/>
                <w:sz w:val="24"/>
              </w:rPr>
            </w:pPr>
          </w:p>
          <w:p>
            <w:pPr>
              <w:spacing w:line="520" w:lineRule="exact"/>
              <w:jc w:val="center"/>
              <w:rPr>
                <w:b/>
                <w:sz w:val="24"/>
              </w:rPr>
            </w:pPr>
            <w:r>
              <w:rPr>
                <w:b/>
                <w:sz w:val="24"/>
              </w:rPr>
              <w:t>图</w:t>
            </w:r>
            <w:r>
              <w:rPr>
                <w:rFonts w:hint="eastAsia"/>
                <w:b/>
                <w:sz w:val="24"/>
                <w:lang w:val="en-US" w:eastAsia="zh-CN"/>
              </w:rPr>
              <w:t>2-</w:t>
            </w:r>
            <w:r>
              <w:rPr>
                <w:rFonts w:hint="eastAsia"/>
                <w:b/>
                <w:sz w:val="24"/>
              </w:rPr>
              <w:t xml:space="preserve">3    </w:t>
            </w:r>
            <w:r>
              <w:rPr>
                <w:b/>
                <w:sz w:val="24"/>
              </w:rPr>
              <w:t>工艺流程及产污环节图</w:t>
            </w:r>
          </w:p>
          <w:bookmarkEnd w:id="1"/>
          <w:bookmarkEnd w:id="2"/>
          <w:p>
            <w:pPr>
              <w:spacing w:line="520" w:lineRule="exact"/>
              <w:ind w:firstLine="482" w:firstLineChars="200"/>
              <w:rPr>
                <w:rFonts w:hint="eastAsia" w:ascii="宋体" w:hAnsi="宋体" w:cs="宋体"/>
                <w:kern w:val="0"/>
                <w:sz w:val="24"/>
              </w:rPr>
            </w:pPr>
            <w:r>
              <w:rPr>
                <w:rFonts w:hint="eastAsia" w:ascii="宋体" w:hAnsi="宋体" w:cs="宋体"/>
                <w:b/>
                <w:sz w:val="24"/>
              </w:rPr>
              <w:t>1.生产工艺流程简述：</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rPr>
              <w:t>①原料堆存</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rPr>
              <w:t>本项目生产所需要的原料有水泥、粉煤灰</w:t>
            </w:r>
            <w:r>
              <w:rPr>
                <w:rFonts w:hint="eastAsia" w:ascii="宋体" w:hAnsi="宋体" w:cs="宋体"/>
                <w:kern w:val="0"/>
                <w:sz w:val="24"/>
                <w:lang w:eastAsia="zh-CN"/>
              </w:rPr>
              <w:t>、</w:t>
            </w:r>
            <w:r>
              <w:rPr>
                <w:rFonts w:hint="eastAsia" w:ascii="宋体" w:hAnsi="宋体" w:cs="宋体"/>
                <w:kern w:val="0"/>
                <w:sz w:val="24"/>
                <w:lang w:val="en-US" w:eastAsia="zh-CN"/>
              </w:rPr>
              <w:t>矿粉、</w:t>
            </w:r>
            <w:r>
              <w:rPr>
                <w:rFonts w:hint="eastAsia" w:ascii="宋体" w:hAnsi="宋体" w:cs="宋体"/>
                <w:kern w:val="0"/>
                <w:sz w:val="24"/>
                <w:lang w:eastAsia="zh-CN"/>
              </w:rPr>
              <w:t>石子</w:t>
            </w:r>
            <w:r>
              <w:rPr>
                <w:rFonts w:hint="eastAsia" w:ascii="宋体" w:hAnsi="宋体" w:cs="宋体"/>
                <w:kern w:val="0"/>
                <w:sz w:val="24"/>
              </w:rPr>
              <w:t>、砂子、水、添加剂，其中，水泥、</w:t>
            </w:r>
            <w:r>
              <w:rPr>
                <w:rFonts w:hint="eastAsia" w:ascii="宋体" w:hAnsi="宋体" w:cs="宋体"/>
                <w:kern w:val="0"/>
                <w:sz w:val="24"/>
                <w:lang w:val="en-US" w:eastAsia="zh-CN"/>
              </w:rPr>
              <w:t>矿粉、</w:t>
            </w:r>
            <w:r>
              <w:rPr>
                <w:rFonts w:hint="eastAsia" w:ascii="宋体" w:hAnsi="宋体" w:cs="宋体"/>
                <w:kern w:val="0"/>
                <w:sz w:val="24"/>
              </w:rPr>
              <w:t>粉煤灰采用密闭罐装车运输到厂区后，压力输入筒仓内储存；添加剂为</w:t>
            </w:r>
            <w:r>
              <w:rPr>
                <w:rFonts w:hint="eastAsia" w:ascii="宋体" w:hAnsi="宋体" w:cs="宋体"/>
                <w:kern w:val="0"/>
                <w:sz w:val="24"/>
                <w:lang w:eastAsia="zh-CN"/>
              </w:rPr>
              <w:t>减</w:t>
            </w:r>
            <w:r>
              <w:rPr>
                <w:rFonts w:hint="eastAsia" w:ascii="宋体" w:hAnsi="宋体" w:cs="宋体"/>
                <w:kern w:val="0"/>
                <w:sz w:val="24"/>
              </w:rPr>
              <w:t>水剂，由运输车辆运至厂区的</w:t>
            </w:r>
            <w:r>
              <w:rPr>
                <w:rFonts w:hint="eastAsia" w:ascii="宋体" w:hAnsi="宋体" w:cs="宋体"/>
                <w:kern w:val="0"/>
                <w:sz w:val="24"/>
                <w:lang w:eastAsia="zh-CN"/>
              </w:rPr>
              <w:t>外加剂</w:t>
            </w:r>
            <w:r>
              <w:rPr>
                <w:rFonts w:hint="eastAsia" w:ascii="宋体" w:hAnsi="宋体" w:cs="宋体"/>
                <w:kern w:val="0"/>
                <w:sz w:val="24"/>
              </w:rPr>
              <w:t>贮罐中储存；碎石、砂子由运输车辆运至厂区封闭式</w:t>
            </w:r>
            <w:r>
              <w:rPr>
                <w:rFonts w:hint="eastAsia" w:ascii="宋体" w:hAnsi="宋体" w:cs="宋体"/>
                <w:kern w:val="0"/>
                <w:sz w:val="24"/>
                <w:lang w:val="en-US" w:eastAsia="zh-CN"/>
              </w:rPr>
              <w:t>堆仓</w:t>
            </w:r>
            <w:r>
              <w:rPr>
                <w:rFonts w:hint="eastAsia" w:ascii="宋体" w:hAnsi="宋体" w:cs="宋体"/>
                <w:kern w:val="0"/>
                <w:sz w:val="24"/>
              </w:rPr>
              <w:t>储存。</w:t>
            </w:r>
            <w:r>
              <w:rPr>
                <w:rFonts w:hint="eastAsia" w:ascii="宋体" w:hAnsi="宋体" w:cs="宋体"/>
                <w:kern w:val="0"/>
                <w:sz w:val="24"/>
                <w:lang w:val="en-US" w:eastAsia="zh-CN"/>
              </w:rPr>
              <w:t>该过程</w:t>
            </w:r>
            <w:r>
              <w:rPr>
                <w:rFonts w:hint="eastAsia" w:ascii="宋体" w:hAnsi="宋体" w:cs="宋体"/>
                <w:kern w:val="0"/>
                <w:sz w:val="24"/>
              </w:rPr>
              <w:t>中会产生粉尘</w:t>
            </w:r>
            <w:r>
              <w:rPr>
                <w:rFonts w:hint="eastAsia" w:ascii="宋体" w:hAnsi="宋体" w:cs="宋体"/>
                <w:kern w:val="0"/>
                <w:sz w:val="24"/>
                <w:lang w:eastAsia="zh-CN"/>
              </w:rPr>
              <w:t>，粉料筒仓产生的粉尘经</w:t>
            </w:r>
            <w:r>
              <w:rPr>
                <w:rFonts w:hint="eastAsia" w:ascii="宋体" w:hAnsi="宋体" w:cs="宋体"/>
                <w:kern w:val="0"/>
                <w:sz w:val="24"/>
                <w:lang w:val="en-US" w:eastAsia="zh-CN"/>
              </w:rPr>
              <w:t>仓顶</w:t>
            </w:r>
            <w:r>
              <w:rPr>
                <w:rFonts w:hint="eastAsia" w:ascii="宋体" w:hAnsi="宋体" w:cs="宋体"/>
                <w:kern w:val="0"/>
                <w:sz w:val="24"/>
                <w:lang w:eastAsia="zh-CN"/>
              </w:rPr>
              <w:t>除尘器收集后回用于生产。</w:t>
            </w:r>
          </w:p>
          <w:p>
            <w:pPr>
              <w:widowControl/>
              <w:spacing w:line="520" w:lineRule="exact"/>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②</w:t>
            </w:r>
            <w:r>
              <w:rPr>
                <w:rFonts w:hint="eastAsia" w:ascii="宋体" w:hAnsi="宋体" w:cs="宋体"/>
                <w:kern w:val="0"/>
                <w:sz w:val="24"/>
                <w:lang w:eastAsia="zh-CN"/>
              </w:rPr>
              <w:t>上料、计量输送</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lang w:eastAsia="zh-CN"/>
              </w:rPr>
              <w:t>石子</w:t>
            </w:r>
            <w:r>
              <w:rPr>
                <w:rFonts w:hint="eastAsia" w:ascii="宋体" w:hAnsi="宋体" w:cs="宋体"/>
                <w:kern w:val="0"/>
                <w:sz w:val="24"/>
              </w:rPr>
              <w:t>、砂子由装载机</w:t>
            </w:r>
            <w:r>
              <w:rPr>
                <w:rFonts w:hint="eastAsia" w:ascii="宋体" w:hAnsi="宋体" w:cs="宋体"/>
                <w:kern w:val="0"/>
                <w:sz w:val="24"/>
                <w:lang w:eastAsia="zh-CN"/>
              </w:rPr>
              <w:t>从原料堆仓</w:t>
            </w:r>
            <w:r>
              <w:rPr>
                <w:rFonts w:hint="eastAsia" w:ascii="宋体" w:hAnsi="宋体" w:cs="宋体"/>
                <w:kern w:val="0"/>
                <w:sz w:val="24"/>
                <w:szCs w:val="24"/>
              </w:rPr>
              <w:t>装入</w:t>
            </w:r>
            <w:r>
              <w:rPr>
                <w:rFonts w:hint="eastAsia"/>
                <w:sz w:val="24"/>
                <w:szCs w:val="24"/>
                <w:lang w:val="en-US" w:eastAsia="zh-CN"/>
              </w:rPr>
              <w:t>上</w:t>
            </w:r>
            <w:r>
              <w:rPr>
                <w:rFonts w:hint="eastAsia" w:ascii="宋体" w:hAnsi="宋体" w:cs="宋体"/>
                <w:kern w:val="0"/>
                <w:sz w:val="24"/>
                <w:szCs w:val="24"/>
                <w:lang w:eastAsia="zh-CN"/>
              </w:rPr>
              <w:t>料仓</w:t>
            </w:r>
            <w:r>
              <w:rPr>
                <w:rFonts w:hint="eastAsia" w:ascii="宋体" w:hAnsi="宋体" w:cs="宋体"/>
                <w:kern w:val="0"/>
                <w:sz w:val="24"/>
                <w:szCs w:val="24"/>
              </w:rPr>
              <w:t>，</w:t>
            </w:r>
            <w:r>
              <w:rPr>
                <w:rFonts w:hint="eastAsia" w:hAnsi="宋体"/>
                <w:kern w:val="0"/>
                <w:sz w:val="24"/>
                <w:szCs w:val="24"/>
              </w:rPr>
              <w:t>然后</w:t>
            </w:r>
            <w:r>
              <w:rPr>
                <w:rFonts w:hint="eastAsia" w:hAnsi="宋体"/>
                <w:kern w:val="0"/>
                <w:sz w:val="24"/>
              </w:rPr>
              <w:t>通过密闭的集料皮带输送机和皮带给料机自动计量、进料</w:t>
            </w:r>
            <w:r>
              <w:rPr>
                <w:rFonts w:hint="eastAsia" w:ascii="宋体" w:hAnsi="宋体" w:cs="宋体"/>
                <w:kern w:val="0"/>
                <w:sz w:val="24"/>
              </w:rPr>
              <w:t>，</w:t>
            </w:r>
            <w:r>
              <w:rPr>
                <w:rFonts w:hint="eastAsia" w:hAnsi="宋体"/>
                <w:kern w:val="0"/>
                <w:sz w:val="24"/>
              </w:rPr>
              <w:t>项目</w:t>
            </w:r>
            <w:r>
              <w:rPr>
                <w:rFonts w:hint="eastAsia" w:hAnsi="宋体"/>
                <w:kern w:val="0"/>
                <w:sz w:val="24"/>
                <w:lang w:eastAsia="zh-CN"/>
              </w:rPr>
              <w:t>上料仓</w:t>
            </w:r>
            <w:r>
              <w:rPr>
                <w:rFonts w:hint="eastAsia" w:hAnsi="宋体"/>
                <w:kern w:val="0"/>
                <w:sz w:val="24"/>
                <w:lang w:val="en-US" w:eastAsia="zh-CN"/>
              </w:rPr>
              <w:t>设置在原材料堆仓内</w:t>
            </w:r>
            <w:r>
              <w:rPr>
                <w:rFonts w:hint="eastAsia" w:hAnsi="宋体"/>
                <w:kern w:val="0"/>
                <w:sz w:val="24"/>
              </w:rPr>
              <w:t>，其余几面封闭</w:t>
            </w:r>
            <w:r>
              <w:rPr>
                <w:rFonts w:hint="eastAsia" w:ascii="宋体" w:hAnsi="宋体" w:cs="宋体"/>
                <w:kern w:val="0"/>
                <w:sz w:val="24"/>
                <w:lang w:eastAsia="zh-CN"/>
              </w:rPr>
              <w:t>；</w:t>
            </w:r>
            <w:r>
              <w:rPr>
                <w:rFonts w:hint="eastAsia" w:ascii="宋体" w:hAnsi="宋体" w:cs="宋体"/>
                <w:kern w:val="0"/>
                <w:sz w:val="24"/>
              </w:rPr>
              <w:t>水泥</w:t>
            </w:r>
            <w:r>
              <w:rPr>
                <w:rFonts w:hint="eastAsia" w:ascii="宋体" w:hAnsi="宋体" w:cs="宋体"/>
                <w:kern w:val="0"/>
                <w:sz w:val="24"/>
                <w:lang w:eastAsia="zh-CN"/>
              </w:rPr>
              <w:t>及</w:t>
            </w:r>
            <w:r>
              <w:rPr>
                <w:rFonts w:hint="eastAsia" w:ascii="宋体" w:hAnsi="宋体" w:cs="宋体"/>
                <w:kern w:val="0"/>
                <w:sz w:val="24"/>
              </w:rPr>
              <w:t>粉煤灰则通过螺旋输送机密闭上料至搅拌机内；搅拌用水及添加剂采用压力供水及泵机上料。</w:t>
            </w:r>
            <w:r>
              <w:rPr>
                <w:rFonts w:hint="eastAsia" w:ascii="宋体" w:hAnsi="宋体" w:cs="宋体"/>
                <w:kern w:val="0"/>
                <w:sz w:val="24"/>
                <w:lang w:eastAsia="zh-CN"/>
              </w:rPr>
              <w:t>该</w:t>
            </w:r>
            <w:r>
              <w:rPr>
                <w:rFonts w:hint="eastAsia" w:ascii="宋体" w:hAnsi="宋体" w:cs="宋体"/>
                <w:kern w:val="0"/>
                <w:sz w:val="24"/>
              </w:rPr>
              <w:t>输送过程中会产生粉尘、</w:t>
            </w:r>
            <w:r>
              <w:rPr>
                <w:rFonts w:hint="eastAsia" w:ascii="宋体" w:hAnsi="宋体" w:cs="宋体"/>
                <w:kern w:val="0"/>
                <w:sz w:val="24"/>
                <w:lang w:eastAsia="zh-CN"/>
              </w:rPr>
              <w:t>噪声</w:t>
            </w:r>
            <w:r>
              <w:rPr>
                <w:rFonts w:hint="eastAsia" w:ascii="宋体" w:hAnsi="宋体" w:cs="宋体"/>
                <w:kern w:val="0"/>
                <w:sz w:val="24"/>
              </w:rPr>
              <w:t>。</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rPr>
              <w:t>③搅拌</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rPr>
              <w:t>各种原料经计量之后进入搅拌机内进行强制搅拌。搅拌过程采用电脑控制，从而保证混凝土的品质。搅拌机工作原理；在搅拌机内两根相互反转的搅拌轴搅拌下，受到桨片周向、径向、轴向力的作用，使物料一边相互产生挤压、摩擦、剪切、对流从而进行强烈的拌合</w:t>
            </w:r>
            <w:r>
              <w:rPr>
                <w:rFonts w:hint="eastAsia" w:ascii="宋体" w:hAnsi="宋体" w:cs="宋体"/>
                <w:kern w:val="0"/>
                <w:sz w:val="24"/>
                <w:lang w:eastAsia="zh-CN"/>
              </w:rPr>
              <w:t>，一</w:t>
            </w:r>
            <w:r>
              <w:rPr>
                <w:rFonts w:hint="eastAsia" w:ascii="宋体" w:hAnsi="宋体" w:cs="宋体"/>
                <w:kern w:val="0"/>
                <w:sz w:val="24"/>
              </w:rPr>
              <w:t>边向出料口推移，当物料到达机内的出料口时，各种物料</w:t>
            </w:r>
            <w:r>
              <w:rPr>
                <w:rFonts w:hint="eastAsia" w:ascii="宋体" w:hAnsi="宋体" w:cs="宋体"/>
                <w:kern w:val="0"/>
                <w:sz w:val="24"/>
                <w:lang w:eastAsia="zh-CN"/>
              </w:rPr>
              <w:t>已</w:t>
            </w:r>
            <w:r>
              <w:rPr>
                <w:rFonts w:hint="eastAsia" w:ascii="宋体" w:hAnsi="宋体" w:cs="宋体"/>
                <w:kern w:val="0"/>
                <w:sz w:val="24"/>
              </w:rPr>
              <w:t>相互得到均匀的拌合，并具有压实所需要的含水量。原料在搅拌工序中会产生粉尘、</w:t>
            </w:r>
            <w:r>
              <w:rPr>
                <w:rFonts w:hint="eastAsia" w:ascii="宋体" w:hAnsi="宋体" w:cs="宋体"/>
                <w:kern w:val="0"/>
                <w:sz w:val="24"/>
                <w:lang w:eastAsia="zh-CN"/>
              </w:rPr>
              <w:t>噪声，搅拌产生的粉尘经布袋除尘器处理后无组织排放</w:t>
            </w:r>
            <w:r>
              <w:rPr>
                <w:rFonts w:hint="eastAsia" w:ascii="宋体" w:hAnsi="宋体" w:cs="宋体"/>
                <w:kern w:val="0"/>
                <w:sz w:val="24"/>
              </w:rPr>
              <w:t>。</w:t>
            </w:r>
          </w:p>
          <w:p>
            <w:pPr>
              <w:widowControl/>
              <w:spacing w:line="520" w:lineRule="exact"/>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④</w:t>
            </w:r>
            <w:r>
              <w:rPr>
                <w:rFonts w:hint="eastAsia" w:ascii="宋体" w:hAnsi="宋体" w:cs="宋体"/>
                <w:kern w:val="0"/>
                <w:sz w:val="24"/>
                <w:lang w:val="en-US" w:eastAsia="zh-CN"/>
              </w:rPr>
              <w:t>质量检测</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rPr>
              <w:t>为保证原料及产品质量，厂区内设置了检验室对原料及产品进行质量检测，主要包括检验原料细度，产品的坍落度、扩展度、抗水渗透性能等，通过检验仪器设施进行试验，全为物理检验不需要添加化学试剂。检测合格的产品方可使用。检验过程中会产生</w:t>
            </w:r>
            <w:r>
              <w:rPr>
                <w:rFonts w:hint="eastAsia" w:ascii="宋体" w:hAnsi="宋体" w:cs="宋体"/>
                <w:kern w:val="0"/>
                <w:sz w:val="24"/>
                <w:lang w:val="en-US" w:eastAsia="zh-CN"/>
              </w:rPr>
              <w:t>清洗</w:t>
            </w:r>
            <w:r>
              <w:rPr>
                <w:rFonts w:hint="eastAsia" w:ascii="宋体" w:hAnsi="宋体" w:cs="宋体"/>
                <w:kern w:val="0"/>
                <w:sz w:val="24"/>
              </w:rPr>
              <w:t>废水和废混凝土。</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rPr>
              <w:t>⑤外运</w:t>
            </w:r>
          </w:p>
          <w:p>
            <w:pPr>
              <w:widowControl/>
              <w:spacing w:line="520" w:lineRule="exact"/>
              <w:ind w:firstLine="480" w:firstLineChars="200"/>
              <w:jc w:val="left"/>
              <w:rPr>
                <w:rFonts w:hint="eastAsia" w:ascii="宋体" w:hAnsi="宋体" w:cs="宋体"/>
                <w:kern w:val="0"/>
                <w:sz w:val="24"/>
              </w:rPr>
            </w:pPr>
            <w:r>
              <w:rPr>
                <w:rFonts w:hint="eastAsia" w:ascii="宋体" w:hAnsi="宋体" w:cs="宋体"/>
                <w:kern w:val="0"/>
                <w:sz w:val="24"/>
              </w:rPr>
              <w:t>生产出的混凝土成品由混凝</w:t>
            </w:r>
            <w:r>
              <w:rPr>
                <w:rFonts w:hint="eastAsia" w:ascii="宋体" w:hAnsi="宋体" w:cs="宋体"/>
                <w:kern w:val="0"/>
                <w:sz w:val="24"/>
                <w:lang w:eastAsia="zh-CN"/>
              </w:rPr>
              <w:t>土</w:t>
            </w:r>
            <w:r>
              <w:rPr>
                <w:rFonts w:hint="eastAsia" w:ascii="宋体" w:hAnsi="宋体" w:cs="宋体"/>
                <w:kern w:val="0"/>
                <w:sz w:val="24"/>
              </w:rPr>
              <w:t>罐车直接装运，送往施工</w:t>
            </w:r>
            <w:r>
              <w:rPr>
                <w:rFonts w:hint="eastAsia" w:ascii="宋体" w:hAnsi="宋体" w:cs="宋体"/>
                <w:kern w:val="0"/>
                <w:sz w:val="24"/>
                <w:lang w:eastAsia="zh-CN"/>
              </w:rPr>
              <w:t>现场</w:t>
            </w:r>
            <w:r>
              <w:rPr>
                <w:rFonts w:hint="eastAsia" w:ascii="宋体" w:hAnsi="宋体" w:cs="宋体"/>
                <w:kern w:val="0"/>
                <w:sz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kern w:val="0"/>
                <w:sz w:val="24"/>
              </w:rPr>
            </w:pPr>
            <w:r>
              <w:rPr>
                <w:rFonts w:hint="eastAsia" w:ascii="宋体" w:hAnsi="宋体" w:eastAsia="宋体" w:cs="宋体"/>
                <w:kern w:val="0"/>
                <w:sz w:val="24"/>
                <w:lang w:val="en-US" w:eastAsia="zh-CN"/>
              </w:rPr>
              <w:t>3.</w:t>
            </w:r>
            <w:r>
              <w:rPr>
                <w:rFonts w:hint="default" w:ascii="宋体" w:hAnsi="宋体" w:eastAsia="宋体" w:cs="宋体"/>
                <w:kern w:val="0"/>
                <w:sz w:val="24"/>
              </w:rPr>
              <w:t>主要污染工序</w:t>
            </w:r>
          </w:p>
          <w:p>
            <w:pPr>
              <w:widowControl/>
              <w:spacing w:line="520" w:lineRule="exact"/>
              <w:ind w:firstLine="480" w:firstLineChars="200"/>
              <w:jc w:val="left"/>
              <w:rPr>
                <w:rFonts w:hint="default" w:ascii="宋体" w:hAnsi="宋体" w:eastAsia="宋体" w:cs="宋体"/>
                <w:kern w:val="0"/>
                <w:sz w:val="24"/>
              </w:rPr>
            </w:pPr>
            <w:r>
              <w:rPr>
                <w:rFonts w:hint="default" w:ascii="宋体" w:hAnsi="宋体" w:eastAsia="宋体" w:cs="宋体"/>
                <w:kern w:val="0"/>
                <w:sz w:val="24"/>
              </w:rPr>
              <w:t>项目运营期主要污染工序见表</w:t>
            </w:r>
            <w:r>
              <w:rPr>
                <w:rFonts w:hint="eastAsia" w:ascii="宋体" w:hAnsi="宋体" w:eastAsia="宋体" w:cs="宋体"/>
                <w:kern w:val="0"/>
                <w:sz w:val="24"/>
                <w:lang w:val="en-US" w:eastAsia="zh-CN"/>
              </w:rPr>
              <w:t>2-5</w:t>
            </w:r>
            <w:r>
              <w:rPr>
                <w:rFonts w:hint="default" w:ascii="宋体" w:hAnsi="宋体" w:eastAsia="宋体" w:cs="宋体"/>
                <w:kern w:val="0"/>
                <w:sz w:val="24"/>
              </w:rPr>
              <w:t>。</w:t>
            </w:r>
          </w:p>
          <w:p>
            <w:pPr>
              <w:widowControl/>
              <w:spacing w:line="520" w:lineRule="exact"/>
              <w:jc w:val="center"/>
              <w:rPr>
                <w:rFonts w:hint="default" w:ascii="宋体" w:hAnsi="宋体" w:eastAsia="宋体" w:cs="宋体"/>
                <w:b/>
                <w:bCs/>
                <w:kern w:val="0"/>
                <w:sz w:val="24"/>
              </w:rPr>
            </w:pPr>
            <w:r>
              <w:rPr>
                <w:rFonts w:hint="default" w:ascii="宋体" w:hAnsi="宋体" w:eastAsia="宋体" w:cs="宋体"/>
                <w:b/>
                <w:bCs/>
                <w:kern w:val="0"/>
                <w:sz w:val="24"/>
              </w:rPr>
              <w:t>表2-</w:t>
            </w:r>
            <w:r>
              <w:rPr>
                <w:rFonts w:hint="eastAsia" w:ascii="宋体" w:hAnsi="宋体" w:eastAsia="宋体" w:cs="宋体"/>
                <w:b/>
                <w:bCs/>
                <w:kern w:val="0"/>
                <w:sz w:val="24"/>
                <w:lang w:val="en-US" w:eastAsia="zh-CN"/>
              </w:rPr>
              <w:t xml:space="preserve">5 </w:t>
            </w:r>
            <w:r>
              <w:rPr>
                <w:rFonts w:hint="default" w:ascii="宋体" w:hAnsi="宋体" w:eastAsia="宋体" w:cs="宋体"/>
                <w:b/>
                <w:bCs/>
                <w:kern w:val="0"/>
                <w:sz w:val="24"/>
              </w:rPr>
              <w:t xml:space="preserve">  主要污染工序汇总表</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876"/>
              <w:gridCol w:w="1316"/>
              <w:gridCol w:w="1311"/>
              <w:gridCol w:w="3430"/>
              <w:gridCol w:w="70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4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污染类别</w:t>
                  </w:r>
                </w:p>
              </w:tc>
              <w:tc>
                <w:tcPr>
                  <w:tcW w:w="5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生产线名称</w:t>
                  </w: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排污环节</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排放去向及治理措施</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3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废气</w:t>
                  </w:r>
                </w:p>
              </w:tc>
              <w:tc>
                <w:tcPr>
                  <w:tcW w:w="52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混凝土生产线</w:t>
                  </w: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运输</w:t>
                  </w:r>
                  <w:r>
                    <w:rPr>
                      <w:rFonts w:hint="eastAsia" w:ascii="Times New Roman" w:hAnsi="Times New Roman" w:cs="Times New Roman"/>
                      <w:color w:val="auto"/>
                      <w:sz w:val="21"/>
                      <w:szCs w:val="21"/>
                      <w:highlight w:val="none"/>
                      <w:lang w:val="en-US" w:eastAsia="zh-CN"/>
                    </w:rPr>
                    <w:t>车辆</w:t>
                  </w:r>
                  <w:r>
                    <w:rPr>
                      <w:rFonts w:hint="eastAsia" w:cs="Times New Roman"/>
                      <w:color w:val="auto"/>
                      <w:sz w:val="21"/>
                      <w:szCs w:val="21"/>
                      <w:highlight w:val="none"/>
                      <w:lang w:val="en-US" w:eastAsia="zh-CN"/>
                    </w:rPr>
                    <w:t>扬尘</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道路洒水降尘</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无组织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43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5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 w:val="21"/>
                      <w:szCs w:val="21"/>
                      <w:highlight w:val="none"/>
                      <w:lang w:val="en-US" w:eastAsia="zh-CN"/>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上料</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输送粉尘</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封闭式</w:t>
                  </w:r>
                  <w:r>
                    <w:rPr>
                      <w:rFonts w:hint="default" w:ascii="Times New Roman" w:hAnsi="Times New Roman" w:cs="Times New Roman"/>
                      <w:color w:val="auto"/>
                      <w:sz w:val="21"/>
                      <w:szCs w:val="21"/>
                      <w:highlight w:val="none"/>
                    </w:rPr>
                    <w:t>皮带输送机</w:t>
                  </w:r>
                  <w:r>
                    <w:rPr>
                      <w:rFonts w:hint="eastAsia" w:cs="Times New Roman"/>
                      <w:color w:val="auto"/>
                      <w:sz w:val="21"/>
                      <w:szCs w:val="21"/>
                      <w:highlight w:val="none"/>
                      <w:lang w:eastAsia="zh-CN"/>
                    </w:rPr>
                    <w:t>、</w:t>
                  </w:r>
                  <w:r>
                    <w:rPr>
                      <w:rFonts w:hint="eastAsia"/>
                      <w:color w:val="auto"/>
                      <w:sz w:val="21"/>
                      <w:szCs w:val="21"/>
                      <w:highlight w:val="none"/>
                      <w:lang w:val="en-US" w:eastAsia="zh-CN"/>
                    </w:rPr>
                    <w:t>洒水降尘</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无组织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37" w:hRule="atLeast"/>
                <w:jc w:val="center"/>
              </w:trPr>
              <w:tc>
                <w:tcPr>
                  <w:tcW w:w="43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5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auto"/>
                      <w:sz w:val="21"/>
                      <w:szCs w:val="21"/>
                      <w:highlight w:val="none"/>
                      <w:lang w:val="en-US" w:eastAsia="zh-CN"/>
                    </w:rPr>
                  </w:pPr>
                </w:p>
              </w:tc>
              <w:tc>
                <w:tcPr>
                  <w:tcW w:w="78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水泥筒仓、</w:t>
                  </w:r>
                  <w:r>
                    <w:rPr>
                      <w:rFonts w:hint="eastAsia" w:ascii="Times New Roman" w:hAnsi="Times New Roman" w:cs="Times New Roman"/>
                      <w:color w:val="auto"/>
                      <w:sz w:val="21"/>
                      <w:szCs w:val="21"/>
                      <w:highlight w:val="none"/>
                      <w:lang w:val="en-US" w:eastAsia="zh-CN"/>
                    </w:rPr>
                    <w:t>矿粉筒仓、</w:t>
                  </w:r>
                  <w:r>
                    <w:rPr>
                      <w:rFonts w:hint="default" w:ascii="Times New Roman" w:hAnsi="Times New Roman" w:cs="Times New Roman"/>
                      <w:color w:val="auto"/>
                      <w:sz w:val="21"/>
                      <w:szCs w:val="21"/>
                      <w:highlight w:val="none"/>
                      <w:lang w:val="en-US" w:eastAsia="zh-CN"/>
                    </w:rPr>
                    <w:t>粉煤灰筒仓呼吸口粉尘</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粉尘经仓顶除尘器处理后</w:t>
                  </w:r>
                  <w:r>
                    <w:rPr>
                      <w:rFonts w:hint="eastAsia" w:cs="Times New Roman"/>
                      <w:color w:val="auto"/>
                      <w:sz w:val="21"/>
                      <w:szCs w:val="21"/>
                      <w:highlight w:val="none"/>
                      <w:lang w:val="en-US" w:eastAsia="zh-CN"/>
                    </w:rPr>
                    <w:t>无</w:t>
                  </w:r>
                  <w:r>
                    <w:rPr>
                      <w:rFonts w:hint="default" w:ascii="Times New Roman" w:hAnsi="Times New Roman" w:cs="Times New Roman"/>
                      <w:color w:val="auto"/>
                      <w:sz w:val="21"/>
                      <w:szCs w:val="21"/>
                      <w:highlight w:val="none"/>
                    </w:rPr>
                    <w:t>组织</w:t>
                  </w:r>
                  <w:r>
                    <w:rPr>
                      <w:rFonts w:hint="default" w:ascii="Times New Roman" w:hAnsi="Times New Roman" w:cs="Times New Roman"/>
                      <w:color w:val="auto"/>
                      <w:sz w:val="21"/>
                      <w:szCs w:val="21"/>
                      <w:highlight w:val="none"/>
                      <w:lang w:val="en-US" w:eastAsia="zh-CN"/>
                    </w:rPr>
                    <w:t>间歇式</w:t>
                  </w:r>
                  <w:r>
                    <w:rPr>
                      <w:rFonts w:hint="default" w:ascii="Times New Roman" w:hAnsi="Times New Roman" w:cs="Times New Roman"/>
                      <w:color w:val="auto"/>
                      <w:sz w:val="21"/>
                      <w:szCs w:val="21"/>
                      <w:highlight w:val="none"/>
                    </w:rPr>
                    <w:t>排放</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无</w:t>
                  </w:r>
                  <w:r>
                    <w:rPr>
                      <w:rFonts w:hint="default" w:ascii="Times New Roman" w:hAnsi="Times New Roman" w:cs="Times New Roman"/>
                      <w:color w:val="auto"/>
                      <w:sz w:val="21"/>
                      <w:szCs w:val="21"/>
                      <w:highlight w:val="none"/>
                      <w:lang w:val="en-US" w:eastAsia="zh-CN"/>
                    </w:rPr>
                    <w:t>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43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5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搅拌粉尘</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搅拌区设置在封闭搅拌楼，</w:t>
                  </w:r>
                  <w:r>
                    <w:rPr>
                      <w:rFonts w:hint="default" w:ascii="Times New Roman" w:hAnsi="Times New Roman" w:eastAsia="宋体" w:cs="Times New Roman"/>
                      <w:color w:val="auto"/>
                      <w:sz w:val="21"/>
                      <w:szCs w:val="21"/>
                      <w:highlight w:val="none"/>
                    </w:rPr>
                    <w:t>搅拌机</w:t>
                  </w:r>
                  <w:r>
                    <w:rPr>
                      <w:rFonts w:hint="eastAsia" w:cs="Times New Roman"/>
                      <w:color w:val="auto"/>
                      <w:sz w:val="21"/>
                      <w:szCs w:val="21"/>
                      <w:highlight w:val="none"/>
                      <w:lang w:val="en-US" w:eastAsia="zh-CN"/>
                    </w:rPr>
                    <w:t>产生的废气经</w:t>
                  </w:r>
                  <w:r>
                    <w:rPr>
                      <w:rFonts w:hint="default" w:ascii="Times New Roman" w:hAnsi="Times New Roman" w:eastAsia="宋体" w:cs="Times New Roman"/>
                      <w:color w:val="auto"/>
                      <w:sz w:val="21"/>
                      <w:szCs w:val="21"/>
                      <w:highlight w:val="none"/>
                    </w:rPr>
                    <w:t>除尘器</w:t>
                  </w:r>
                  <w:r>
                    <w:rPr>
                      <w:rFonts w:hint="default" w:ascii="Times New Roman" w:hAnsi="Times New Roman" w:eastAsia="宋体" w:cs="Times New Roman"/>
                      <w:color w:val="auto"/>
                      <w:sz w:val="21"/>
                      <w:szCs w:val="21"/>
                      <w:highlight w:val="none"/>
                      <w:lang w:val="en-US" w:eastAsia="zh-CN"/>
                    </w:rPr>
                    <w:t>处理后</w:t>
                  </w:r>
                  <w:r>
                    <w:rPr>
                      <w:rFonts w:hint="eastAsia" w:cs="Times New Roman"/>
                      <w:color w:val="auto"/>
                      <w:sz w:val="21"/>
                      <w:szCs w:val="21"/>
                      <w:highlight w:val="none"/>
                      <w:lang w:val="en-US" w:eastAsia="zh-CN"/>
                    </w:rPr>
                    <w:t>无</w:t>
                  </w:r>
                  <w:r>
                    <w:rPr>
                      <w:rFonts w:hint="default" w:ascii="Times New Roman" w:hAnsi="Times New Roman" w:eastAsia="宋体" w:cs="Times New Roman"/>
                      <w:color w:val="auto"/>
                      <w:sz w:val="21"/>
                      <w:szCs w:val="21"/>
                      <w:highlight w:val="none"/>
                      <w:lang w:val="en-US" w:eastAsia="zh-CN"/>
                    </w:rPr>
                    <w:t>组织排放</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无</w:t>
                  </w:r>
                  <w:r>
                    <w:rPr>
                      <w:rFonts w:hint="default" w:ascii="Times New Roman" w:hAnsi="Times New Roman" w:cs="Times New Roman"/>
                      <w:color w:val="auto"/>
                      <w:sz w:val="21"/>
                      <w:szCs w:val="21"/>
                      <w:highlight w:val="none"/>
                      <w:lang w:val="en-US" w:eastAsia="zh-CN"/>
                    </w:rPr>
                    <w:t>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43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5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砂、石子原料堆放、装卸粉尘</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在</w:t>
                  </w:r>
                  <w:r>
                    <w:rPr>
                      <w:rFonts w:hint="eastAsia" w:cs="Times New Roman"/>
                      <w:color w:val="auto"/>
                      <w:sz w:val="21"/>
                      <w:szCs w:val="21"/>
                      <w:highlight w:val="none"/>
                      <w:lang w:val="en-US" w:eastAsia="zh-CN"/>
                    </w:rPr>
                    <w:t>封闭式堆仓</w:t>
                  </w:r>
                  <w:r>
                    <w:rPr>
                      <w:rFonts w:hint="default" w:ascii="Times New Roman" w:hAnsi="Times New Roman" w:eastAsia="宋体" w:cs="Times New Roman"/>
                      <w:color w:val="auto"/>
                      <w:sz w:val="21"/>
                      <w:szCs w:val="21"/>
                      <w:highlight w:val="none"/>
                    </w:rPr>
                    <w:t>内自然沉降，</w:t>
                  </w:r>
                  <w:r>
                    <w:rPr>
                      <w:rFonts w:hint="eastAsia" w:cs="Times New Roman"/>
                      <w:color w:val="auto"/>
                      <w:sz w:val="21"/>
                      <w:szCs w:val="21"/>
                      <w:highlight w:val="none"/>
                      <w:lang w:val="en-US" w:eastAsia="zh-CN"/>
                    </w:rPr>
                    <w:t>安装水喷淋设施</w:t>
                  </w:r>
                  <w:r>
                    <w:rPr>
                      <w:rFonts w:hint="default" w:ascii="Times New Roman" w:hAnsi="Times New Roman" w:eastAsia="宋体" w:cs="Times New Roman"/>
                      <w:color w:val="auto"/>
                      <w:sz w:val="21"/>
                      <w:szCs w:val="21"/>
                      <w:highlight w:val="none"/>
                    </w:rPr>
                    <w:t>洒水降尘</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无</w:t>
                  </w:r>
                  <w:r>
                    <w:rPr>
                      <w:rFonts w:hint="default" w:ascii="Times New Roman" w:hAnsi="Times New Roman" w:cs="Times New Roman"/>
                      <w:color w:val="auto"/>
                      <w:sz w:val="21"/>
                      <w:szCs w:val="21"/>
                      <w:highlight w:val="none"/>
                      <w:lang w:val="en-US" w:eastAsia="zh-CN"/>
                    </w:rPr>
                    <w:t>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43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5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生活区</w:t>
                  </w: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食堂油烟</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color w:val="auto"/>
                      <w:sz w:val="21"/>
                      <w:szCs w:val="21"/>
                      <w:highlight w:val="none"/>
                    </w:rPr>
                    <w:t>食堂油烟经油烟净化系统处理</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无组织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0" w:type="auto"/>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废水</w:t>
                  </w: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设备</w:t>
                  </w:r>
                  <w:r>
                    <w:rPr>
                      <w:rFonts w:hint="eastAsia" w:ascii="Times New Roman" w:hAnsi="Times New Roman" w:cs="Times New Roman"/>
                      <w:color w:val="auto"/>
                      <w:sz w:val="21"/>
                      <w:szCs w:val="21"/>
                      <w:highlight w:val="none"/>
                      <w:lang w:val="en-US" w:eastAsia="zh-CN"/>
                    </w:rPr>
                    <w:t>、车辆冲洗</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清洗废水</w:t>
                  </w:r>
                </w:p>
              </w:tc>
              <w:tc>
                <w:tcPr>
                  <w:tcW w:w="204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经</w:t>
                  </w:r>
                  <w:r>
                    <w:rPr>
                      <w:rFonts w:hint="eastAsia" w:cs="Times New Roman"/>
                      <w:color w:val="auto"/>
                      <w:sz w:val="21"/>
                      <w:szCs w:val="21"/>
                      <w:highlight w:val="none"/>
                      <w:lang w:eastAsia="zh-CN"/>
                    </w:rPr>
                    <w:t>沉淀池</w:t>
                  </w:r>
                  <w:r>
                    <w:rPr>
                      <w:rFonts w:hint="default" w:ascii="Times New Roman" w:hAnsi="Times New Roman" w:cs="Times New Roman"/>
                      <w:color w:val="auto"/>
                      <w:sz w:val="21"/>
                      <w:szCs w:val="21"/>
                      <w:highlight w:val="none"/>
                    </w:rPr>
                    <w:t>收集沉淀后</w:t>
                  </w:r>
                  <w:r>
                    <w:rPr>
                      <w:rFonts w:hint="eastAsia" w:cs="Times New Roman"/>
                      <w:color w:val="auto"/>
                      <w:sz w:val="21"/>
                      <w:szCs w:val="21"/>
                      <w:highlight w:val="none"/>
                      <w:lang w:val="en-US" w:eastAsia="zh-CN"/>
                    </w:rPr>
                    <w:t>循环使用</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0" w:type="auto"/>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检验清洗</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检验废水</w:t>
                  </w:r>
                </w:p>
              </w:tc>
              <w:tc>
                <w:tcPr>
                  <w:tcW w:w="204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0" w:type="auto"/>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生活区</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生活污水</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000000"/>
                      <w:sz w:val="21"/>
                      <w:szCs w:val="21"/>
                      <w:lang w:val="en-US" w:eastAsia="zh-CN"/>
                    </w:rPr>
                    <w:t>经化粪池预处理后排入市政管网</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962" w:type="pct"/>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固体废物</w:t>
                  </w: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除尘系统</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收集粉尘</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除尘器收集的粉尘回收利用</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962"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除尘</w:t>
                  </w:r>
                  <w:r>
                    <w:rPr>
                      <w:rFonts w:hint="eastAsia" w:ascii="Times New Roman" w:hAnsi="Times New Roman" w:cs="Times New Roman"/>
                      <w:color w:val="auto"/>
                      <w:sz w:val="21"/>
                      <w:szCs w:val="21"/>
                      <w:highlight w:val="none"/>
                      <w:lang w:val="en-US" w:eastAsia="zh-CN"/>
                    </w:rPr>
                    <w:t>系统</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eastAsia"/>
                      <w:szCs w:val="21"/>
                      <w:lang w:eastAsia="zh-CN"/>
                    </w:rPr>
                    <w:t>废旧滤袋</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废旧滤袋由厂家回收</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962"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沉淀池</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沉渣</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回用于生产</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962"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检验</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废混凝土</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收集后用于施工单位施工现场便道铺垫</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962"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生活区</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分类</w:t>
                  </w:r>
                  <w:r>
                    <w:rPr>
                      <w:rFonts w:hint="default" w:ascii="Times New Roman" w:hAnsi="Times New Roman" w:cs="Times New Roman"/>
                      <w:color w:val="auto"/>
                      <w:sz w:val="21"/>
                      <w:szCs w:val="21"/>
                      <w:highlight w:val="none"/>
                      <w:lang w:val="en-US" w:eastAsia="zh-CN"/>
                    </w:rPr>
                    <w:t>收集后</w:t>
                  </w:r>
                  <w:r>
                    <w:rPr>
                      <w:rFonts w:hint="default" w:ascii="Times New Roman" w:hAnsi="Times New Roman" w:eastAsia="宋体" w:cs="Times New Roman"/>
                      <w:sz w:val="21"/>
                      <w:szCs w:val="21"/>
                      <w:highlight w:val="none"/>
                    </w:rPr>
                    <w:t>交由环卫部门处置</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962"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78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车辆、机械维修</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废润滑油、废油桶</w:t>
                  </w:r>
                </w:p>
              </w:tc>
              <w:tc>
                <w:tcPr>
                  <w:tcW w:w="204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作为危险废物暂存至危险废物贮存库，交由有资质的单位处置</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962"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78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 w:val="21"/>
                      <w:szCs w:val="21"/>
                      <w:highlight w:val="none"/>
                      <w:lang w:val="en-US" w:eastAsia="zh-CN"/>
                    </w:rPr>
                  </w:pP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 w:val="21"/>
                      <w:szCs w:val="21"/>
                      <w:highlight w:val="none"/>
                      <w:lang w:val="en-US" w:eastAsia="zh-CN"/>
                    </w:rPr>
                  </w:pPr>
                  <w:r>
                    <w:rPr>
                      <w:rFonts w:hint="eastAsia"/>
                      <w:lang w:val="en-US" w:eastAsia="zh-CN"/>
                    </w:rPr>
                    <w:t>废含油抹布、含油手套</w:t>
                  </w:r>
                </w:p>
              </w:tc>
              <w:tc>
                <w:tcPr>
                  <w:tcW w:w="204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0" w:hRule="atLeast"/>
                <w:jc w:val="center"/>
              </w:trPr>
              <w:tc>
                <w:tcPr>
                  <w:tcW w:w="0" w:type="auto"/>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0" w:type="auto"/>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设备</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20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基础减振，厂房隔音，使用低噪声设备</w:t>
                  </w:r>
                </w:p>
              </w:tc>
              <w:tc>
                <w:tcPr>
                  <w:tcW w:w="4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default" w:ascii="Calibri" w:hAnsi="Calibri" w:eastAsia="宋体" w:cs="宋体"/>
                <w:kern w:val="0"/>
                <w:sz w:val="24"/>
                <w:lang w:val="en-US" w:eastAsia="zh-CN"/>
              </w:rPr>
            </w:pPr>
            <w:r>
              <w:rPr>
                <w:rFonts w:hint="default" w:ascii="Calibri" w:hAnsi="Calibri" w:eastAsia="宋体" w:cs="宋体"/>
                <w:kern w:val="0"/>
                <w:sz w:val="24"/>
                <w:lang w:val="en-US" w:eastAsia="zh-CN"/>
              </w:rPr>
              <w:t>4.项目物料平衡</w:t>
            </w:r>
          </w:p>
          <w:p>
            <w:pPr>
              <w:pStyle w:val="1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Calibri" w:hAnsi="Calibri" w:eastAsia="宋体" w:cs="Times New Roman"/>
                <w:sz w:val="24"/>
                <w:lang w:val="en-US" w:eastAsia="zh-CN"/>
              </w:rPr>
            </w:pPr>
            <w:r>
              <w:rPr>
                <w:rFonts w:hint="default" w:ascii="Calibri" w:hAnsi="Calibri" w:eastAsia="宋体" w:cs="Times New Roman"/>
                <w:sz w:val="24"/>
                <w:lang w:val="en-US" w:eastAsia="zh-CN"/>
              </w:rPr>
              <w:t>本项目物料平衡表见表2-</w:t>
            </w:r>
            <w:r>
              <w:rPr>
                <w:rFonts w:hint="eastAsia" w:ascii="Calibri" w:hAnsi="Calibri" w:eastAsia="宋体" w:cs="Times New Roman"/>
                <w:sz w:val="24"/>
                <w:lang w:val="en-US" w:eastAsia="zh-CN"/>
              </w:rPr>
              <w:t>6。</w:t>
            </w:r>
          </w:p>
          <w:p>
            <w:pPr>
              <w:pStyle w:val="62"/>
              <w:keepNext w:val="0"/>
              <w:keepLines w:val="0"/>
              <w:pageBreakBefore w:val="0"/>
              <w:kinsoku/>
              <w:wordWrap/>
              <w:overflowPunct/>
              <w:topLinePunct w:val="0"/>
              <w:autoSpaceDE/>
              <w:autoSpaceDN/>
              <w:bidi w:val="0"/>
              <w:spacing w:line="520" w:lineRule="exact"/>
              <w:textAlignment w:val="auto"/>
              <w:rPr>
                <w:rFonts w:hint="default" w:ascii="Calibri" w:hAnsi="Calibri"/>
                <w:lang w:val="en-US" w:eastAsia="zh-CN"/>
              </w:rPr>
            </w:pPr>
            <w:r>
              <w:rPr>
                <w:rFonts w:hint="default" w:ascii="Calibri" w:hAnsi="Calibri"/>
                <w:lang w:val="en-US" w:eastAsia="zh-CN"/>
              </w:rPr>
              <w:t>表2-</w:t>
            </w:r>
            <w:r>
              <w:rPr>
                <w:rFonts w:hint="eastAsia" w:ascii="Calibri" w:hAnsi="Calibri"/>
                <w:lang w:val="en-US" w:eastAsia="zh-CN"/>
              </w:rPr>
              <w:t>6</w:t>
            </w:r>
            <w:r>
              <w:rPr>
                <w:rFonts w:hint="default" w:ascii="Calibri" w:hAnsi="Calibri"/>
                <w:lang w:val="en-US" w:eastAsia="zh-CN"/>
              </w:rPr>
              <w:t xml:space="preserve">   物料平衡一览表（t/a）</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1023"/>
              <w:gridCol w:w="1023"/>
              <w:gridCol w:w="1023"/>
              <w:gridCol w:w="1023"/>
              <w:gridCol w:w="1027"/>
              <w:gridCol w:w="1215"/>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名称</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进料</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投入合计</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污染源</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排放量</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收集量</w:t>
                  </w:r>
                </w:p>
              </w:tc>
              <w:tc>
                <w:tcPr>
                  <w:tcW w:w="724"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产出合计</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石子</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180090</w:t>
                  </w:r>
                </w:p>
              </w:tc>
              <w:tc>
                <w:tcPr>
                  <w:tcW w:w="610" w:type="pct"/>
                  <w:vMerge w:val="restar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398854</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原料堆存粉尘</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0.082</w:t>
                  </w:r>
                </w:p>
              </w:tc>
              <w:tc>
                <w:tcPr>
                  <w:tcW w:w="612" w:type="pct"/>
                  <w:vMerge w:val="restar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67.072</w:t>
                  </w:r>
                </w:p>
              </w:tc>
              <w:tc>
                <w:tcPr>
                  <w:tcW w:w="724" w:type="pct"/>
                  <w:vMerge w:val="restar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398853.201</w:t>
                  </w:r>
                </w:p>
              </w:tc>
              <w:tc>
                <w:tcPr>
                  <w:tcW w:w="612" w:type="pct"/>
                  <w:vMerge w:val="restar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除尘器系统收集的粉尘全部回用于生产；沉淀池沉渣回用于生产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砂子</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62100</w:t>
                  </w:r>
                </w:p>
              </w:tc>
              <w:tc>
                <w:tcPr>
                  <w:tcW w:w="610" w:type="pct"/>
                  <w:vMerge w:val="continue"/>
                  <w:tcBorders>
                    <w:tl2br w:val="nil"/>
                    <w:tr2bl w:val="nil"/>
                  </w:tcBorders>
                  <w:noWrap w:val="0"/>
                  <w:vAlign w:val="center"/>
                </w:tcPr>
                <w:p>
                  <w:pPr>
                    <w:jc w:val="center"/>
                    <w:rPr>
                      <w:rFonts w:hint="eastAsia"/>
                      <w:vertAlign w:val="baseline"/>
                      <w:lang w:val="en-US" w:eastAsia="zh-CN"/>
                    </w:rPr>
                  </w:pPr>
                </w:p>
              </w:tc>
              <w:tc>
                <w:tcPr>
                  <w:tcW w:w="610" w:type="pct"/>
                  <w:tcBorders>
                    <w:tl2br w:val="nil"/>
                    <w:tr2bl w:val="nil"/>
                  </w:tcBorders>
                  <w:noWrap w:val="0"/>
                  <w:vAlign w:val="center"/>
                </w:tcPr>
                <w:p>
                  <w:pPr>
                    <w:jc w:val="center"/>
                    <w:rPr>
                      <w:rFonts w:hint="eastAsia"/>
                      <w:vertAlign w:val="baseline"/>
                      <w:lang w:val="en-US" w:eastAsia="zh-CN"/>
                    </w:rPr>
                  </w:pPr>
                  <w:r>
                    <w:rPr>
                      <w:rFonts w:hint="eastAsia"/>
                      <w:vertAlign w:val="baseline"/>
                      <w:lang w:val="en-US" w:eastAsia="zh-CN"/>
                    </w:rPr>
                    <w:t>筒仓粉尘</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0.046</w:t>
                  </w:r>
                </w:p>
              </w:tc>
              <w:tc>
                <w:tcPr>
                  <w:tcW w:w="612" w:type="pct"/>
                  <w:vMerge w:val="continue"/>
                  <w:tcBorders>
                    <w:tl2br w:val="nil"/>
                    <w:tr2bl w:val="nil"/>
                  </w:tcBorders>
                  <w:noWrap w:val="0"/>
                  <w:vAlign w:val="center"/>
                </w:tcPr>
                <w:p>
                  <w:pPr>
                    <w:jc w:val="center"/>
                    <w:rPr>
                      <w:rFonts w:hint="eastAsia"/>
                      <w:vertAlign w:val="baseline"/>
                      <w:lang w:val="en-US" w:eastAsia="zh-CN"/>
                    </w:rPr>
                  </w:pPr>
                </w:p>
              </w:tc>
              <w:tc>
                <w:tcPr>
                  <w:tcW w:w="724" w:type="pct"/>
                  <w:vMerge w:val="continue"/>
                  <w:tcBorders>
                    <w:tl2br w:val="nil"/>
                    <w:tr2bl w:val="nil"/>
                  </w:tcBorders>
                  <w:noWrap w:val="0"/>
                  <w:vAlign w:val="center"/>
                </w:tcPr>
                <w:p>
                  <w:pPr>
                    <w:jc w:val="center"/>
                    <w:rPr>
                      <w:rFonts w:hint="eastAsia"/>
                      <w:vertAlign w:val="baseline"/>
                      <w:lang w:val="en-US" w:eastAsia="zh-CN"/>
                    </w:rPr>
                  </w:pPr>
                </w:p>
              </w:tc>
              <w:tc>
                <w:tcPr>
                  <w:tcW w:w="612" w:type="pct"/>
                  <w:vMerge w:val="continue"/>
                  <w:tcBorders>
                    <w:tl2br w:val="nil"/>
                    <w:tr2bl w:val="nil"/>
                  </w:tcBorders>
                  <w:noWrap w:val="0"/>
                  <w:vAlign w:val="center"/>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水泥</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45892</w:t>
                  </w:r>
                </w:p>
              </w:tc>
              <w:tc>
                <w:tcPr>
                  <w:tcW w:w="610" w:type="pct"/>
                  <w:vMerge w:val="continue"/>
                  <w:tcBorders>
                    <w:tl2br w:val="nil"/>
                    <w:tr2bl w:val="nil"/>
                  </w:tcBorders>
                  <w:noWrap w:val="0"/>
                  <w:vAlign w:val="center"/>
                </w:tcPr>
                <w:p>
                  <w:pPr>
                    <w:jc w:val="center"/>
                    <w:rPr>
                      <w:rFonts w:hint="eastAsia"/>
                      <w:vertAlign w:val="baseline"/>
                      <w:lang w:val="en-US" w:eastAsia="zh-CN"/>
                    </w:rPr>
                  </w:pP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装卸输送粉尘</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0.015</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w:t>
                  </w:r>
                </w:p>
              </w:tc>
              <w:tc>
                <w:tcPr>
                  <w:tcW w:w="724" w:type="pct"/>
                  <w:vMerge w:val="continue"/>
                  <w:tcBorders>
                    <w:tl2br w:val="nil"/>
                    <w:tr2bl w:val="nil"/>
                  </w:tcBorders>
                  <w:noWrap w:val="0"/>
                  <w:vAlign w:val="center"/>
                </w:tcPr>
                <w:p>
                  <w:pPr>
                    <w:jc w:val="center"/>
                    <w:rPr>
                      <w:rFonts w:hint="eastAsia"/>
                      <w:vertAlign w:val="baseline"/>
                      <w:lang w:val="en-US" w:eastAsia="zh-CN"/>
                    </w:rPr>
                  </w:pPr>
                </w:p>
              </w:tc>
              <w:tc>
                <w:tcPr>
                  <w:tcW w:w="612" w:type="pct"/>
                  <w:vMerge w:val="continue"/>
                  <w:tcBorders>
                    <w:tl2br w:val="nil"/>
                    <w:tr2bl w:val="nil"/>
                  </w:tcBorders>
                  <w:noWrap w:val="0"/>
                  <w:vAlign w:val="center"/>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粉煤灰</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36576</w:t>
                  </w:r>
                </w:p>
              </w:tc>
              <w:tc>
                <w:tcPr>
                  <w:tcW w:w="610" w:type="pct"/>
                  <w:vMerge w:val="continue"/>
                  <w:tcBorders>
                    <w:tl2br w:val="nil"/>
                    <w:tr2bl w:val="nil"/>
                  </w:tcBorders>
                  <w:noWrap w:val="0"/>
                  <w:vAlign w:val="center"/>
                </w:tcPr>
                <w:p>
                  <w:pPr>
                    <w:jc w:val="center"/>
                    <w:rPr>
                      <w:rFonts w:hint="eastAsia"/>
                      <w:vertAlign w:val="baseline"/>
                      <w:lang w:val="en-US" w:eastAsia="zh-CN"/>
                    </w:rPr>
                  </w:pP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搅拌粉尘</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0.156</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w:t>
                  </w:r>
                </w:p>
              </w:tc>
              <w:tc>
                <w:tcPr>
                  <w:tcW w:w="724" w:type="pct"/>
                  <w:vMerge w:val="continue"/>
                  <w:tcBorders>
                    <w:tl2br w:val="nil"/>
                    <w:tr2bl w:val="nil"/>
                  </w:tcBorders>
                  <w:noWrap w:val="0"/>
                  <w:vAlign w:val="center"/>
                </w:tcPr>
                <w:p>
                  <w:pPr>
                    <w:jc w:val="center"/>
                    <w:rPr>
                      <w:rFonts w:hint="eastAsia"/>
                      <w:vertAlign w:val="baseline"/>
                      <w:lang w:val="en-US" w:eastAsia="zh-CN"/>
                    </w:rPr>
                  </w:pPr>
                </w:p>
              </w:tc>
              <w:tc>
                <w:tcPr>
                  <w:tcW w:w="612" w:type="pct"/>
                  <w:vMerge w:val="continue"/>
                  <w:tcBorders>
                    <w:tl2br w:val="nil"/>
                    <w:tr2bl w:val="nil"/>
                  </w:tcBorders>
                  <w:noWrap w:val="0"/>
                  <w:vAlign w:val="center"/>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矿粉</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44196</w:t>
                  </w:r>
                </w:p>
              </w:tc>
              <w:tc>
                <w:tcPr>
                  <w:tcW w:w="610" w:type="pct"/>
                  <w:vMerge w:val="continue"/>
                  <w:tcBorders>
                    <w:tl2br w:val="nil"/>
                    <w:tr2bl w:val="nil"/>
                  </w:tcBorders>
                  <w:noWrap w:val="0"/>
                  <w:vAlign w:val="center"/>
                </w:tcPr>
                <w:p>
                  <w:pPr>
                    <w:jc w:val="center"/>
                    <w:rPr>
                      <w:rFonts w:hint="eastAsia"/>
                      <w:vertAlign w:val="baseline"/>
                      <w:lang w:val="en-US" w:eastAsia="zh-CN"/>
                    </w:rPr>
                  </w:pP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废混凝土</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0.5</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w:t>
                  </w:r>
                </w:p>
              </w:tc>
              <w:tc>
                <w:tcPr>
                  <w:tcW w:w="724" w:type="pct"/>
                  <w:vMerge w:val="continue"/>
                  <w:tcBorders>
                    <w:tl2br w:val="nil"/>
                    <w:tr2bl w:val="nil"/>
                  </w:tcBorders>
                  <w:noWrap w:val="0"/>
                  <w:vAlign w:val="center"/>
                </w:tcPr>
                <w:p>
                  <w:pPr>
                    <w:jc w:val="center"/>
                    <w:rPr>
                      <w:rFonts w:hint="eastAsia"/>
                      <w:vertAlign w:val="baseline"/>
                      <w:lang w:val="en-US" w:eastAsia="zh-CN"/>
                    </w:rPr>
                  </w:pPr>
                </w:p>
              </w:tc>
              <w:tc>
                <w:tcPr>
                  <w:tcW w:w="612" w:type="pct"/>
                  <w:vMerge w:val="continue"/>
                  <w:tcBorders>
                    <w:tl2br w:val="nil"/>
                    <w:tr2bl w:val="nil"/>
                  </w:tcBorders>
                  <w:noWrap w:val="0"/>
                  <w:vAlign w:val="center"/>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水</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30000</w:t>
                  </w:r>
                </w:p>
              </w:tc>
              <w:tc>
                <w:tcPr>
                  <w:tcW w:w="610" w:type="pct"/>
                  <w:vMerge w:val="continue"/>
                  <w:tcBorders>
                    <w:tl2br w:val="nil"/>
                    <w:tr2bl w:val="nil"/>
                  </w:tcBorders>
                  <w:noWrap w:val="0"/>
                  <w:vAlign w:val="center"/>
                </w:tcPr>
                <w:p>
                  <w:pPr>
                    <w:jc w:val="center"/>
                    <w:rPr>
                      <w:rFonts w:hint="eastAsia"/>
                      <w:vertAlign w:val="baseline"/>
                      <w:lang w:val="en-US" w:eastAsia="zh-CN"/>
                    </w:rPr>
                  </w:pP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沉淀池沉渣</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0</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5</w:t>
                  </w:r>
                </w:p>
              </w:tc>
              <w:tc>
                <w:tcPr>
                  <w:tcW w:w="724" w:type="pct"/>
                  <w:vMerge w:val="continue"/>
                  <w:tcBorders>
                    <w:tl2br w:val="nil"/>
                    <w:tr2bl w:val="nil"/>
                  </w:tcBorders>
                  <w:noWrap w:val="0"/>
                  <w:vAlign w:val="center"/>
                </w:tcPr>
                <w:p>
                  <w:pPr>
                    <w:jc w:val="center"/>
                    <w:rPr>
                      <w:rFonts w:hint="eastAsia"/>
                      <w:vertAlign w:val="baseline"/>
                      <w:lang w:val="en-US" w:eastAsia="zh-CN"/>
                    </w:rPr>
                  </w:pPr>
                </w:p>
              </w:tc>
              <w:tc>
                <w:tcPr>
                  <w:tcW w:w="612" w:type="pct"/>
                  <w:vMerge w:val="continue"/>
                  <w:tcBorders>
                    <w:tl2br w:val="nil"/>
                    <w:tr2bl w:val="nil"/>
                  </w:tcBorders>
                  <w:noWrap w:val="0"/>
                  <w:vAlign w:val="center"/>
                </w:tcPr>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trPr>
              <w:tc>
                <w:tcPr>
                  <w:tcW w:w="607"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合计</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398854</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w:t>
                  </w:r>
                </w:p>
              </w:tc>
              <w:tc>
                <w:tcPr>
                  <w:tcW w:w="610"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0.799</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72.072</w:t>
                  </w:r>
                </w:p>
              </w:tc>
              <w:tc>
                <w:tcPr>
                  <w:tcW w:w="724"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398853.201</w:t>
                  </w:r>
                </w:p>
              </w:tc>
              <w:tc>
                <w:tcPr>
                  <w:tcW w:w="612" w:type="pct"/>
                  <w:tcBorders>
                    <w:tl2br w:val="nil"/>
                    <w:tr2bl w:val="nil"/>
                  </w:tcBorders>
                  <w:noWrap w:val="0"/>
                  <w:vAlign w:val="center"/>
                </w:tcPr>
                <w:p>
                  <w:pPr>
                    <w:jc w:val="center"/>
                    <w:rPr>
                      <w:rFonts w:hint="default"/>
                      <w:vertAlign w:val="baseline"/>
                      <w:lang w:val="en-US" w:eastAsia="zh-CN"/>
                    </w:rPr>
                  </w:pPr>
                  <w:r>
                    <w:rPr>
                      <w:rFonts w:hint="eastAsia"/>
                      <w:vertAlign w:val="baseline"/>
                      <w:lang w:val="en-US" w:eastAsia="zh-CN"/>
                    </w:rPr>
                    <w:t>/</w:t>
                  </w:r>
                </w:p>
              </w:tc>
            </w:tr>
          </w:tbl>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p>
            <w:pPr>
              <w:adjustRightInd w:val="0"/>
              <w:snapToGrid w:val="0"/>
              <w:rPr>
                <w:rFonts w:ascii="宋体" w:hAnsi="宋体"/>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74" w:hRule="atLeast"/>
          <w:jc w:val="center"/>
        </w:trPr>
        <w:tc>
          <w:tcPr>
            <w:tcW w:w="248" w:type="pct"/>
            <w:noWrap w:val="0"/>
            <w:vAlign w:val="center"/>
          </w:tcPr>
          <w:p>
            <w:pPr>
              <w:pStyle w:val="18"/>
              <w:adjustRightInd w:val="0"/>
              <w:snapToGrid w:val="0"/>
              <w:spacing w:before="0" w:beforeAutospacing="0" w:after="0" w:afterAutospacing="0"/>
              <w:jc w:val="center"/>
              <w:rPr>
                <w:rFonts w:cs="宋体"/>
                <w:sz w:val="21"/>
                <w:szCs w:val="21"/>
              </w:rPr>
            </w:pPr>
            <w:r>
              <w:rPr>
                <w:rFonts w:hint="eastAsia" w:cs="宋体"/>
                <w:bCs/>
                <w:kern w:val="2"/>
                <w:sz w:val="21"/>
                <w:szCs w:val="21"/>
              </w:rPr>
              <w:t>与项目有关的原有环境污染问题</w:t>
            </w:r>
          </w:p>
        </w:tc>
        <w:tc>
          <w:tcPr>
            <w:tcW w:w="4751" w:type="pct"/>
            <w:noWrap w:val="0"/>
            <w:vAlign w:val="top"/>
          </w:tcPr>
          <w:p>
            <w:pPr>
              <w:pStyle w:val="12"/>
              <w:keepNext w:val="0"/>
              <w:keepLines w:val="0"/>
              <w:pageBreakBefore w:val="0"/>
              <w:widowControl w:val="0"/>
              <w:kinsoku/>
              <w:wordWrap/>
              <w:overflowPunct/>
              <w:topLinePunct w:val="0"/>
              <w:autoSpaceDE/>
              <w:autoSpaceDN/>
              <w:bidi w:val="0"/>
              <w:adjustRightInd/>
              <w:snapToGrid/>
              <w:spacing w:line="360" w:lineRule="auto"/>
              <w:ind w:firstLine="0"/>
              <w:jc w:val="left"/>
              <w:textAlignment w:val="auto"/>
              <w:rPr>
                <w:rFonts w:hint="eastAsia"/>
                <w:b/>
                <w:bCs w:val="0"/>
                <w:kern w:val="0"/>
                <w:sz w:val="24"/>
              </w:rPr>
            </w:pPr>
            <w:r>
              <w:rPr>
                <w:rFonts w:hint="eastAsia"/>
                <w:b/>
                <w:kern w:val="0"/>
                <w:sz w:val="24"/>
                <w:lang w:val="en-US" w:eastAsia="zh-CN"/>
              </w:rPr>
              <w:t>一</w:t>
            </w:r>
            <w:r>
              <w:rPr>
                <w:rFonts w:hint="eastAsia"/>
                <w:b/>
                <w:kern w:val="0"/>
                <w:sz w:val="24"/>
              </w:rPr>
              <w:t>、</w:t>
            </w:r>
            <w:r>
              <w:rPr>
                <w:rFonts w:hint="eastAsia"/>
                <w:b/>
                <w:bCs w:val="0"/>
                <w:kern w:val="0"/>
                <w:sz w:val="24"/>
              </w:rPr>
              <w:t>与项目有关的主要环境问题及整改措施</w:t>
            </w:r>
          </w:p>
          <w:p>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sz w:val="24"/>
                <w:lang w:eastAsia="zh-CN"/>
              </w:rPr>
            </w:pPr>
            <w:r>
              <w:rPr>
                <w:rFonts w:hint="eastAsia" w:ascii="宋体" w:hAnsi="宋体" w:eastAsia="宋体" w:cs="Times New Roman"/>
                <w:color w:val="auto"/>
                <w:sz w:val="24"/>
                <w:lang w:val="en-US" w:eastAsia="zh-CN"/>
              </w:rPr>
              <w:t>本项目属新建项目，租用轮台县兴光建筑安装有限责任公司20亩土地，所租土地现状为空地，无已建成的原有工业污染源。</w:t>
            </w:r>
            <w:r>
              <w:rPr>
                <w:rFonts w:hint="eastAsia"/>
                <w:sz w:val="24"/>
                <w:lang w:val="en-US" w:eastAsia="zh-CN"/>
              </w:rPr>
              <w:t>鉴于建设单位搅拌机主楼已建成，</w:t>
            </w:r>
            <w:r>
              <w:rPr>
                <w:rFonts w:hint="eastAsia"/>
                <w:sz w:val="24"/>
                <w:lang w:eastAsia="zh-CN"/>
              </w:rPr>
              <w:t>现有的主要环境问题如下：</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ascii="宋体" w:hAnsi="宋体"/>
                <w:bCs/>
                <w:kern w:val="2"/>
                <w:sz w:val="24"/>
                <w:szCs w:val="24"/>
                <w:lang w:val="en-US" w:eastAsia="zh-CN" w:bidi="ar-SA"/>
              </w:rPr>
              <w:t>1.</w:t>
            </w:r>
            <w:r>
              <w:rPr>
                <w:rFonts w:hint="eastAsia"/>
                <w:sz w:val="24"/>
                <w:lang w:val="en-US" w:eastAsia="zh-CN"/>
              </w:rPr>
              <w:t>原料堆仓</w:t>
            </w:r>
            <w:r>
              <w:rPr>
                <w:rFonts w:hint="eastAsia"/>
                <w:sz w:val="24"/>
              </w:rPr>
              <w:t>还未建设，砂石料为露天堆放，地面未硬化，绿化率较低，</w:t>
            </w:r>
            <w:r>
              <w:rPr>
                <w:rFonts w:hint="eastAsia"/>
                <w:sz w:val="24"/>
                <w:szCs w:val="24"/>
              </w:rPr>
              <w:t>易造成扬尘的污染。评价要求建设封闭式堆料场，并定期洒水抑尘</w:t>
            </w:r>
            <w:r>
              <w:rPr>
                <w:rFonts w:hint="eastAsia"/>
                <w:sz w:val="24"/>
                <w:szCs w:val="24"/>
                <w:lang w:val="en-US" w:eastAsia="zh-CN"/>
              </w:rPr>
              <w:t>减少</w:t>
            </w:r>
            <w:r>
              <w:rPr>
                <w:rFonts w:hint="eastAsia"/>
                <w:sz w:val="24"/>
                <w:szCs w:val="24"/>
              </w:rPr>
              <w:t>运输、堆存扬尘的污染。</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ascii="宋体" w:hAnsi="宋体"/>
                <w:bCs/>
                <w:kern w:val="2"/>
                <w:sz w:val="24"/>
                <w:szCs w:val="24"/>
                <w:lang w:val="en-US" w:eastAsia="zh-CN" w:bidi="ar-SA"/>
              </w:rPr>
              <w:t>2.</w:t>
            </w:r>
            <w:r>
              <w:rPr>
                <w:rFonts w:hint="eastAsia"/>
                <w:sz w:val="24"/>
                <w:szCs w:val="24"/>
                <w:lang w:val="en-US" w:eastAsia="zh-CN"/>
              </w:rPr>
              <w:t>运输车辆出入未设置洗车台，运输车辆出入易产生道路扬尘污染。评价要求项目配套建设洗车台及沉淀池，出厂车辆需冲洗干净，减少带泥上路产生的扬尘污染。</w:t>
            </w:r>
          </w:p>
          <w:p>
            <w:pPr>
              <w:adjustRightInd w:val="0"/>
              <w:snapToGrid w:val="0"/>
              <w:jc w:val="center"/>
              <w:rPr>
                <w:rFonts w:ascii="宋体" w:hAnsi="宋体"/>
                <w:b/>
                <w:sz w:val="24"/>
              </w:rPr>
            </w:pPr>
            <w:r>
              <w:rPr>
                <w:rFonts w:hint="eastAsia" w:ascii="宋体" w:hAnsi="宋体"/>
                <w:b/>
                <w:sz w:val="24"/>
              </w:rPr>
              <w:t>表</w:t>
            </w:r>
            <w:r>
              <w:rPr>
                <w:rFonts w:hint="eastAsia" w:ascii="宋体" w:hAnsi="宋体"/>
                <w:b/>
                <w:sz w:val="24"/>
                <w:lang w:val="en-US" w:eastAsia="zh-CN"/>
              </w:rPr>
              <w:t>2-7</w:t>
            </w:r>
            <w:r>
              <w:rPr>
                <w:rFonts w:hint="eastAsia" w:ascii="宋体" w:hAnsi="宋体"/>
                <w:b/>
                <w:sz w:val="24"/>
              </w:rPr>
              <w:t xml:space="preserve">   现有工程存在环境问题及整改措施</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2055"/>
              <w:gridCol w:w="1227"/>
              <w:gridCol w:w="4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 w:type="pct"/>
                  <w:noWrap w:val="0"/>
                  <w:vAlign w:val="center"/>
                </w:tcPr>
                <w:p>
                  <w:pPr>
                    <w:adjustRightInd w:val="0"/>
                    <w:snapToGrid w:val="0"/>
                    <w:jc w:val="center"/>
                    <w:rPr>
                      <w:rFonts w:ascii="宋体" w:hAnsi="宋体" w:cs="宋体"/>
                      <w:szCs w:val="21"/>
                    </w:rPr>
                  </w:pPr>
                  <w:r>
                    <w:rPr>
                      <w:rFonts w:hint="eastAsia" w:ascii="宋体" w:hAnsi="宋体" w:cs="宋体"/>
                      <w:szCs w:val="21"/>
                    </w:rPr>
                    <w:t>类别</w:t>
                  </w:r>
                </w:p>
              </w:tc>
              <w:tc>
                <w:tcPr>
                  <w:tcW w:w="1226" w:type="pct"/>
                  <w:noWrap w:val="0"/>
                  <w:vAlign w:val="center"/>
                </w:tcPr>
                <w:p>
                  <w:pPr>
                    <w:adjustRightInd w:val="0"/>
                    <w:snapToGrid w:val="0"/>
                    <w:jc w:val="center"/>
                    <w:rPr>
                      <w:rFonts w:ascii="宋体" w:hAnsi="宋体" w:cs="宋体"/>
                      <w:szCs w:val="21"/>
                    </w:rPr>
                  </w:pPr>
                  <w:r>
                    <w:rPr>
                      <w:rFonts w:hint="eastAsia" w:ascii="宋体" w:hAnsi="宋体" w:cs="宋体"/>
                      <w:szCs w:val="21"/>
                    </w:rPr>
                    <w:t>污染源位置/建设项目名称</w:t>
                  </w:r>
                </w:p>
              </w:tc>
              <w:tc>
                <w:tcPr>
                  <w:tcW w:w="732" w:type="pct"/>
                  <w:noWrap w:val="0"/>
                  <w:vAlign w:val="center"/>
                </w:tcPr>
                <w:p>
                  <w:pPr>
                    <w:adjustRightInd w:val="0"/>
                    <w:snapToGrid w:val="0"/>
                    <w:jc w:val="center"/>
                    <w:rPr>
                      <w:rFonts w:ascii="宋体" w:hAnsi="宋体" w:cs="宋体"/>
                      <w:szCs w:val="21"/>
                    </w:rPr>
                  </w:pPr>
                  <w:r>
                    <w:rPr>
                      <w:rFonts w:hint="eastAsia" w:ascii="宋体" w:hAnsi="宋体" w:cs="宋体"/>
                      <w:szCs w:val="21"/>
                    </w:rPr>
                    <w:t>存在的环境问题</w:t>
                  </w:r>
                </w:p>
              </w:tc>
              <w:tc>
                <w:tcPr>
                  <w:tcW w:w="2531" w:type="pct"/>
                  <w:noWrap w:val="0"/>
                  <w:vAlign w:val="center"/>
                </w:tcPr>
                <w:p>
                  <w:pPr>
                    <w:adjustRightInd w:val="0"/>
                    <w:snapToGrid w:val="0"/>
                    <w:jc w:val="center"/>
                    <w:rPr>
                      <w:rFonts w:ascii="宋体" w:hAnsi="宋体" w:cs="宋体"/>
                      <w:szCs w:val="21"/>
                    </w:rPr>
                  </w:pPr>
                  <w:r>
                    <w:rPr>
                      <w:rFonts w:hint="eastAsia" w:ascii="宋体" w:hAnsi="宋体" w:cs="宋体"/>
                      <w:szCs w:val="21"/>
                    </w:rPr>
                    <w:t>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 w:type="pct"/>
                  <w:vMerge w:val="restart"/>
                  <w:noWrap w:val="0"/>
                  <w:vAlign w:val="center"/>
                </w:tcPr>
                <w:p>
                  <w:pPr>
                    <w:adjustRightInd w:val="0"/>
                    <w:snapToGrid w:val="0"/>
                    <w:jc w:val="center"/>
                    <w:rPr>
                      <w:rFonts w:ascii="宋体" w:hAnsi="宋体" w:cs="宋体"/>
                      <w:szCs w:val="21"/>
                    </w:rPr>
                  </w:pPr>
                  <w:r>
                    <w:rPr>
                      <w:rFonts w:hint="eastAsia" w:ascii="宋体" w:hAnsi="宋体" w:cs="宋体"/>
                      <w:szCs w:val="21"/>
                    </w:rPr>
                    <w:t>污染防治措施</w:t>
                  </w:r>
                </w:p>
              </w:tc>
              <w:tc>
                <w:tcPr>
                  <w:tcW w:w="1226" w:type="pct"/>
                  <w:noWrap w:val="0"/>
                  <w:vAlign w:val="center"/>
                </w:tcPr>
                <w:p>
                  <w:pPr>
                    <w:adjustRightInd w:val="0"/>
                    <w:snapToGrid w:val="0"/>
                    <w:jc w:val="center"/>
                    <w:rPr>
                      <w:rFonts w:hint="default" w:ascii="宋体" w:hAnsi="宋体" w:eastAsia="宋体" w:cs="宋体"/>
                      <w:szCs w:val="21"/>
                      <w:lang w:val="en-US" w:eastAsia="zh-CN"/>
                    </w:rPr>
                  </w:pPr>
                  <w:r>
                    <w:rPr>
                      <w:rFonts w:hint="default" w:ascii="宋体" w:hAnsi="宋体" w:eastAsia="宋体" w:cs="宋体"/>
                      <w:szCs w:val="21"/>
                      <w:lang w:val="en-US" w:eastAsia="zh-CN"/>
                    </w:rPr>
                    <w:t>砂石料为露天堆放</w:t>
                  </w:r>
                </w:p>
              </w:tc>
              <w:tc>
                <w:tcPr>
                  <w:tcW w:w="732" w:type="pct"/>
                  <w:noWrap w:val="0"/>
                  <w:vAlign w:val="center"/>
                </w:tcPr>
                <w:p>
                  <w:pPr>
                    <w:adjustRightInd w:val="0"/>
                    <w:snapToGrid w:val="0"/>
                    <w:jc w:val="center"/>
                    <w:rPr>
                      <w:rFonts w:hint="eastAsia" w:ascii="宋体" w:hAnsi="宋体" w:cs="宋体"/>
                      <w:szCs w:val="21"/>
                    </w:rPr>
                  </w:pPr>
                  <w:r>
                    <w:rPr>
                      <w:rFonts w:hint="eastAsia" w:ascii="宋体" w:hAnsi="宋体" w:cs="宋体"/>
                      <w:szCs w:val="21"/>
                    </w:rPr>
                    <w:t>无组织排放</w:t>
                  </w:r>
                </w:p>
              </w:tc>
              <w:tc>
                <w:tcPr>
                  <w:tcW w:w="2531" w:type="pct"/>
                  <w:noWrap w:val="0"/>
                  <w:vAlign w:val="center"/>
                </w:tcPr>
                <w:p>
                  <w:pPr>
                    <w:adjustRightInd w:val="0"/>
                    <w:snapToGrid w:val="0"/>
                    <w:jc w:val="center"/>
                    <w:rPr>
                      <w:rFonts w:ascii="宋体" w:hAnsi="宋体" w:cs="宋体"/>
                      <w:szCs w:val="21"/>
                    </w:rPr>
                  </w:pPr>
                  <w:r>
                    <w:rPr>
                      <w:rFonts w:hint="eastAsia" w:ascii="宋体" w:hAnsi="宋体" w:cs="宋体"/>
                      <w:szCs w:val="21"/>
                    </w:rPr>
                    <w:t>建设封闭式堆料场，并定期洒水抑尘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 w:type="pct"/>
                  <w:vMerge w:val="continue"/>
                  <w:noWrap w:val="0"/>
                  <w:vAlign w:val="center"/>
                </w:tcPr>
                <w:p>
                  <w:pPr>
                    <w:adjustRightInd w:val="0"/>
                    <w:snapToGrid w:val="0"/>
                    <w:jc w:val="center"/>
                    <w:rPr>
                      <w:rFonts w:hint="eastAsia" w:ascii="宋体" w:hAnsi="宋体" w:cs="宋体"/>
                      <w:szCs w:val="21"/>
                    </w:rPr>
                  </w:pPr>
                </w:p>
              </w:tc>
              <w:tc>
                <w:tcPr>
                  <w:tcW w:w="1226" w:type="pct"/>
                  <w:noWrap w:val="0"/>
                  <w:vAlign w:val="center"/>
                </w:tcPr>
                <w:p>
                  <w:pPr>
                    <w:adjustRightInd w:val="0"/>
                    <w:snapToGrid w:val="0"/>
                    <w:jc w:val="center"/>
                    <w:rPr>
                      <w:rFonts w:hint="eastAsia" w:ascii="宋体" w:hAnsi="宋体" w:eastAsia="宋体" w:cs="宋体"/>
                      <w:szCs w:val="21"/>
                      <w:lang w:eastAsia="zh-CN"/>
                    </w:rPr>
                  </w:pPr>
                  <w:r>
                    <w:rPr>
                      <w:rFonts w:hint="eastAsia" w:ascii="宋体" w:hAnsi="宋体" w:eastAsia="宋体" w:cs="宋体"/>
                      <w:szCs w:val="21"/>
                      <w:lang w:eastAsia="zh-CN"/>
                    </w:rPr>
                    <w:t>运输车辆出入道路扬尘</w:t>
                  </w:r>
                </w:p>
              </w:tc>
              <w:tc>
                <w:tcPr>
                  <w:tcW w:w="732" w:type="pct"/>
                  <w:noWrap w:val="0"/>
                  <w:vAlign w:val="center"/>
                </w:tcPr>
                <w:p>
                  <w:pPr>
                    <w:adjustRightInd w:val="0"/>
                    <w:snapToGrid w:val="0"/>
                    <w:jc w:val="center"/>
                    <w:rPr>
                      <w:rFonts w:hint="eastAsia" w:ascii="宋体" w:hAnsi="宋体" w:eastAsia="宋体" w:cs="宋体"/>
                      <w:szCs w:val="21"/>
                      <w:lang w:eastAsia="zh-CN"/>
                    </w:rPr>
                  </w:pPr>
                  <w:r>
                    <w:rPr>
                      <w:rFonts w:hint="eastAsia" w:ascii="宋体" w:hAnsi="宋体" w:cs="宋体"/>
                      <w:szCs w:val="21"/>
                    </w:rPr>
                    <w:t>无组织排放</w:t>
                  </w:r>
                </w:p>
              </w:tc>
              <w:tc>
                <w:tcPr>
                  <w:tcW w:w="2531" w:type="pct"/>
                  <w:noWrap w:val="0"/>
                  <w:vAlign w:val="center"/>
                </w:tcPr>
                <w:p>
                  <w:pPr>
                    <w:adjustRightInd w:val="0"/>
                    <w:snapToGrid w:val="0"/>
                    <w:jc w:val="center"/>
                    <w:rPr>
                      <w:rFonts w:hint="eastAsia" w:ascii="宋体" w:hAnsi="宋体" w:cs="宋体"/>
                      <w:szCs w:val="21"/>
                    </w:rPr>
                  </w:pPr>
                  <w:r>
                    <w:rPr>
                      <w:rFonts w:hint="eastAsia" w:ascii="宋体" w:hAnsi="宋体" w:cs="宋体"/>
                      <w:szCs w:val="21"/>
                    </w:rPr>
                    <w:t>设置配套建设洗车台及沉淀池</w:t>
                  </w:r>
                </w:p>
              </w:tc>
            </w:tr>
          </w:tbl>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color w:val="auto"/>
                <w:sz w:val="24"/>
                <w:lang w:eastAsia="zh-CN"/>
              </w:rPr>
            </w:pPr>
          </w:p>
          <w:p>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imes New Roman" w:hAnsi="Times New Roman" w:eastAsia="宋体" w:cs="Times New Roman"/>
                <w:b w:val="0"/>
                <w:bCs w:val="0"/>
                <w:color w:val="auto"/>
                <w:sz w:val="24"/>
                <w:lang w:eastAsia="zh-CN"/>
              </w:rPr>
            </w:pPr>
          </w:p>
          <w:p>
            <w:pPr>
              <w:pStyle w:val="12"/>
              <w:rPr>
                <w:rFonts w:hint="eastAsia" w:ascii="Times New Roman" w:hAnsi="Times New Roman" w:eastAsia="宋体" w:cs="Times New Roman"/>
                <w:b w:val="0"/>
                <w:bCs w:val="0"/>
                <w:color w:val="auto"/>
                <w:sz w:val="24"/>
                <w:lang w:eastAsia="zh-CN"/>
              </w:rPr>
            </w:pPr>
          </w:p>
          <w:p>
            <w:pPr>
              <w:pStyle w:val="12"/>
              <w:rPr>
                <w:rFonts w:hint="eastAsia" w:ascii="Times New Roman" w:hAnsi="Times New Roman" w:eastAsia="宋体" w:cs="Times New Roman"/>
                <w:b w:val="0"/>
                <w:bCs w:val="0"/>
                <w:color w:val="auto"/>
                <w:sz w:val="24"/>
                <w:lang w:eastAsia="zh-CN"/>
              </w:rPr>
            </w:pPr>
          </w:p>
          <w:p>
            <w:pPr>
              <w:pStyle w:val="12"/>
              <w:rPr>
                <w:rFonts w:hint="eastAsia" w:ascii="Times New Roman" w:hAnsi="Times New Roman" w:eastAsia="宋体" w:cs="Times New Roman"/>
                <w:b w:val="0"/>
                <w:bCs w:val="0"/>
                <w:color w:val="auto"/>
                <w:sz w:val="24"/>
                <w:lang w:eastAsia="zh-CN"/>
              </w:rPr>
            </w:pPr>
          </w:p>
          <w:p>
            <w:pPr>
              <w:pStyle w:val="12"/>
              <w:rPr>
                <w:rFonts w:hint="eastAsia" w:ascii="Times New Roman" w:hAnsi="Times New Roman" w:eastAsia="宋体" w:cs="Times New Roman"/>
                <w:b w:val="0"/>
                <w:bCs w:val="0"/>
                <w:color w:val="auto"/>
                <w:sz w:val="24"/>
                <w:lang w:eastAsia="zh-CN"/>
              </w:rPr>
            </w:pPr>
          </w:p>
          <w:p>
            <w:pPr>
              <w:pStyle w:val="12"/>
              <w:rPr>
                <w:rFonts w:hint="eastAsia" w:ascii="Times New Roman" w:hAnsi="Times New Roman" w:eastAsia="宋体" w:cs="Times New Roman"/>
                <w:b w:val="0"/>
                <w:bCs w:val="0"/>
                <w:color w:val="auto"/>
                <w:sz w:val="24"/>
                <w:lang w:eastAsia="zh-CN"/>
              </w:rPr>
            </w:pPr>
          </w:p>
          <w:p>
            <w:pPr>
              <w:pStyle w:val="17"/>
              <w:spacing w:line="500" w:lineRule="exact"/>
              <w:ind w:firstLine="0" w:firstLineChars="0"/>
              <w:rPr>
                <w:rFonts w:hint="eastAsia"/>
                <w:bCs w:val="0"/>
                <w:szCs w:val="21"/>
              </w:rPr>
            </w:pPr>
          </w:p>
        </w:tc>
      </w:tr>
    </w:tbl>
    <w:p>
      <w:pPr>
        <w:pStyle w:val="18"/>
        <w:jc w:val="center"/>
        <w:rPr>
          <w:rFonts w:ascii="黑体" w:hAnsi="黑体" w:eastAsia="黑体"/>
          <w:snapToGrid w:val="0"/>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18"/>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18"/>
        <w:jc w:val="center"/>
        <w:outlineLvl w:val="0"/>
        <w:rPr>
          <w:rFonts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1"/>
        <w:gridCol w:w="85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451" w:type="dxa"/>
            <w:noWrap w:val="0"/>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区域</w:t>
            </w:r>
          </w:p>
          <w:p>
            <w:pPr>
              <w:adjustRightInd w:val="0"/>
              <w:snapToGrid w:val="0"/>
              <w:jc w:val="center"/>
              <w:rPr>
                <w:rFonts w:hint="eastAsia" w:ascii="宋体" w:hAnsi="宋体" w:cs="宋体"/>
                <w:kern w:val="0"/>
                <w:szCs w:val="21"/>
              </w:rPr>
            </w:pPr>
            <w:r>
              <w:rPr>
                <w:rFonts w:hint="eastAsia" w:ascii="宋体" w:hAnsi="宋体" w:cs="宋体"/>
                <w:kern w:val="0"/>
                <w:szCs w:val="21"/>
              </w:rPr>
              <w:t>环境</w:t>
            </w:r>
          </w:p>
          <w:p>
            <w:pPr>
              <w:adjustRightInd w:val="0"/>
              <w:snapToGrid w:val="0"/>
              <w:jc w:val="center"/>
              <w:rPr>
                <w:rFonts w:hint="eastAsia" w:ascii="宋体" w:hAnsi="宋体" w:cs="宋体"/>
                <w:kern w:val="0"/>
                <w:szCs w:val="21"/>
              </w:rPr>
            </w:pPr>
            <w:r>
              <w:rPr>
                <w:rFonts w:hint="eastAsia" w:ascii="宋体" w:hAnsi="宋体" w:cs="宋体"/>
                <w:kern w:val="0"/>
                <w:szCs w:val="21"/>
              </w:rPr>
              <w:t>质量</w:t>
            </w:r>
          </w:p>
          <w:p>
            <w:pPr>
              <w:adjustRightInd w:val="0"/>
              <w:snapToGrid w:val="0"/>
              <w:jc w:val="center"/>
              <w:rPr>
                <w:rFonts w:ascii="宋体" w:hAnsi="宋体" w:cs="宋体"/>
                <w:kern w:val="0"/>
                <w:szCs w:val="21"/>
              </w:rPr>
            </w:pPr>
            <w:r>
              <w:rPr>
                <w:rFonts w:hint="eastAsia" w:ascii="宋体" w:hAnsi="宋体" w:cs="宋体"/>
                <w:kern w:val="0"/>
                <w:szCs w:val="21"/>
              </w:rPr>
              <w:t>现状</w:t>
            </w:r>
          </w:p>
        </w:tc>
        <w:tc>
          <w:tcPr>
            <w:tcW w:w="8539" w:type="dxa"/>
            <w:noWrap w:val="0"/>
            <w:vAlign w:val="center"/>
          </w:tcPr>
          <w:p>
            <w:pPr>
              <w:pStyle w:val="9"/>
              <w:keepNext w:val="0"/>
              <w:keepLines w:val="0"/>
              <w:pageBreakBefore w:val="0"/>
              <w:kinsoku/>
              <w:wordWrap/>
              <w:overflowPunct/>
              <w:topLinePunct w:val="0"/>
              <w:autoSpaceDE/>
              <w:autoSpaceDN/>
              <w:bidi w:val="0"/>
              <w:spacing w:before="0" w:after="0" w:line="520" w:lineRule="exact"/>
              <w:ind w:right="0"/>
              <w:textAlignment w:val="auto"/>
              <w:rPr>
                <w:rFonts w:hint="eastAsia" w:ascii="宋体" w:hAnsi="宋体" w:cs="宋体"/>
                <w:b/>
                <w:bCs/>
                <w:sz w:val="24"/>
                <w:szCs w:val="24"/>
              </w:rPr>
            </w:pPr>
            <w:r>
              <w:rPr>
                <w:rFonts w:hint="eastAsia" w:ascii="宋体" w:hAnsi="宋体" w:cs="宋体"/>
                <w:b/>
                <w:bCs/>
                <w:sz w:val="24"/>
                <w:szCs w:val="24"/>
              </w:rPr>
              <w:t>建设项目所在地区域环境质量现状</w:t>
            </w:r>
          </w:p>
          <w:p>
            <w:pPr>
              <w:keepNext w:val="0"/>
              <w:keepLines w:val="0"/>
              <w:pageBreakBefore w:val="0"/>
              <w:widowControl w:val="0"/>
              <w:kinsoku/>
              <w:wordWrap/>
              <w:overflowPunct/>
              <w:topLinePunct w:val="0"/>
              <w:autoSpaceDE/>
              <w:autoSpaceDN/>
              <w:bidi w:val="0"/>
              <w:spacing w:line="520" w:lineRule="exact"/>
              <w:ind w:right="0" w:firstLine="482" w:firstLineChars="200"/>
              <w:textAlignment w:val="auto"/>
              <w:rPr>
                <w:rFonts w:cs="Arial"/>
                <w:b/>
                <w:bCs/>
                <w:sz w:val="24"/>
              </w:rPr>
            </w:pPr>
            <w:r>
              <w:rPr>
                <w:rFonts w:hint="eastAsia" w:cs="Arial"/>
                <w:b/>
                <w:bCs/>
                <w:sz w:val="24"/>
              </w:rPr>
              <w:t>一、大气环境质量现状</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20" w:lineRule="exact"/>
              <w:ind w:left="0" w:right="0" w:firstLine="480" w:firstLineChars="200"/>
              <w:textAlignment w:val="auto"/>
              <w:rPr>
                <w:rFonts w:hint="default" w:ascii="Times New Roman" w:hAnsi="Times New Roman" w:eastAsia="宋体" w:cs="Times New Roman"/>
                <w:color w:val="000000"/>
                <w:sz w:val="24"/>
                <w:highlight w:val="none"/>
                <w:lang w:val="en-US" w:eastAsia="zh-CN"/>
              </w:rPr>
            </w:pPr>
            <w:r>
              <w:rPr>
                <w:rFonts w:hint="eastAsia" w:ascii="Times New Roman" w:hAnsi="Times New Roman" w:cs="Times New Roman"/>
                <w:bCs/>
                <w:sz w:val="24"/>
                <w:lang w:val="en-US" w:eastAsia="zh-CN"/>
              </w:rPr>
              <w:t>1</w:t>
            </w:r>
            <w:r>
              <w:rPr>
                <w:rFonts w:hint="default" w:ascii="Times New Roman" w:hAnsi="Times New Roman" w:cs="Times New Roman"/>
                <w:bCs/>
                <w:sz w:val="24"/>
              </w:rPr>
              <w:t>.项目区环境质量现状调查</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20" w:lineRule="exact"/>
              <w:ind w:left="0" w:right="0" w:firstLine="480" w:firstLineChars="200"/>
              <w:textAlignment w:val="auto"/>
              <w:rPr>
                <w:color w:val="auto"/>
                <w:kern w:val="0"/>
                <w:sz w:val="24"/>
                <w:szCs w:val="20"/>
              </w:rPr>
            </w:pPr>
            <w:r>
              <w:rPr>
                <w:rFonts w:hint="default" w:ascii="Times New Roman" w:hAnsi="Times New Roman" w:eastAsia="宋体" w:cs="Times New Roman"/>
                <w:color w:val="000000"/>
                <w:sz w:val="24"/>
                <w:highlight w:val="none"/>
                <w:lang w:val="en-US" w:eastAsia="zh-CN"/>
              </w:rPr>
              <w:t>本次环境空气质量现状采用</w:t>
            </w:r>
            <w:r>
              <w:rPr>
                <w:rFonts w:hint="eastAsia" w:cs="Times New Roman"/>
                <w:color w:val="000000"/>
                <w:sz w:val="24"/>
                <w:highlight w:val="none"/>
                <w:lang w:val="en-US" w:eastAsia="zh-CN"/>
              </w:rPr>
              <w:t>2024年巴音郭楞蒙古自治州轮台县环境空气质量监测站公布的轮台县</w:t>
            </w:r>
            <w:r>
              <w:rPr>
                <w:rFonts w:hint="default" w:ascii="Times New Roman" w:hAnsi="Times New Roman" w:eastAsia="宋体" w:cs="Times New Roman"/>
                <w:color w:val="000000"/>
                <w:sz w:val="24"/>
                <w:highlight w:val="none"/>
                <w:lang w:val="en-US" w:eastAsia="zh-CN"/>
              </w:rPr>
              <w:t>SO</w:t>
            </w:r>
            <w:r>
              <w:rPr>
                <w:rFonts w:hint="default" w:ascii="Times New Roman" w:hAnsi="Times New Roman" w:eastAsia="宋体" w:cs="Times New Roman"/>
                <w:color w:val="000000"/>
                <w:sz w:val="24"/>
                <w:highlight w:val="none"/>
                <w:vertAlign w:val="subscript"/>
                <w:lang w:val="en-US" w:eastAsia="zh-CN"/>
              </w:rPr>
              <w:t>2</w:t>
            </w:r>
            <w:r>
              <w:rPr>
                <w:rFonts w:hint="default" w:ascii="Times New Roman" w:hAnsi="Times New Roman" w:eastAsia="宋体" w:cs="Times New Roman"/>
                <w:color w:val="000000"/>
                <w:sz w:val="24"/>
                <w:highlight w:val="none"/>
                <w:lang w:val="en-US" w:eastAsia="zh-CN"/>
              </w:rPr>
              <w:t>、NO</w:t>
            </w:r>
            <w:r>
              <w:rPr>
                <w:rFonts w:hint="default" w:ascii="Times New Roman" w:hAnsi="Times New Roman" w:eastAsia="宋体" w:cs="Times New Roman"/>
                <w:color w:val="000000"/>
                <w:sz w:val="24"/>
                <w:highlight w:val="none"/>
                <w:vertAlign w:val="subscript"/>
                <w:lang w:val="en-US" w:eastAsia="zh-CN"/>
              </w:rPr>
              <w:t>2</w:t>
            </w:r>
            <w:r>
              <w:rPr>
                <w:rFonts w:hint="default" w:ascii="Times New Roman" w:hAnsi="Times New Roman" w:eastAsia="宋体" w:cs="Times New Roman"/>
                <w:color w:val="000000"/>
                <w:sz w:val="24"/>
                <w:highlight w:val="none"/>
                <w:lang w:val="en-US" w:eastAsia="zh-CN"/>
              </w:rPr>
              <w:t>、CO、O</w:t>
            </w:r>
            <w:r>
              <w:rPr>
                <w:rFonts w:hint="default" w:ascii="Times New Roman" w:hAnsi="Times New Roman" w:eastAsia="宋体" w:cs="Times New Roman"/>
                <w:color w:val="000000"/>
                <w:sz w:val="24"/>
                <w:highlight w:val="none"/>
                <w:vertAlign w:val="subscript"/>
                <w:lang w:val="en-US" w:eastAsia="zh-CN"/>
              </w:rPr>
              <w:t>3</w:t>
            </w:r>
            <w:r>
              <w:rPr>
                <w:rFonts w:hint="default" w:ascii="Times New Roman" w:hAnsi="Times New Roman" w:eastAsia="宋体" w:cs="Times New Roman"/>
                <w:color w:val="000000"/>
                <w:sz w:val="24"/>
                <w:highlight w:val="none"/>
                <w:lang w:val="en-US" w:eastAsia="zh-CN"/>
              </w:rPr>
              <w:t>、PM</w:t>
            </w:r>
            <w:r>
              <w:rPr>
                <w:rFonts w:hint="default" w:ascii="Times New Roman" w:hAnsi="Times New Roman" w:eastAsia="宋体" w:cs="Times New Roman"/>
                <w:color w:val="000000"/>
                <w:sz w:val="24"/>
                <w:highlight w:val="none"/>
                <w:vertAlign w:val="subscript"/>
                <w:lang w:val="en-US" w:eastAsia="zh-CN"/>
              </w:rPr>
              <w:t>10</w:t>
            </w:r>
            <w:r>
              <w:rPr>
                <w:rFonts w:hint="default" w:ascii="Times New Roman" w:hAnsi="Times New Roman" w:eastAsia="宋体" w:cs="Times New Roman"/>
                <w:color w:val="000000"/>
                <w:sz w:val="24"/>
                <w:highlight w:val="none"/>
                <w:lang w:val="en-US" w:eastAsia="zh-CN"/>
              </w:rPr>
              <w:t>、PM</w:t>
            </w:r>
            <w:r>
              <w:rPr>
                <w:rFonts w:hint="eastAsia" w:ascii="Times New Roman" w:hAnsi="Times New Roman" w:eastAsia="宋体" w:cs="Times New Roman"/>
                <w:color w:val="000000"/>
                <w:sz w:val="24"/>
                <w:highlight w:val="none"/>
                <w:vertAlign w:val="subscript"/>
                <w:lang w:val="en-US" w:eastAsia="zh-CN"/>
              </w:rPr>
              <w:t>2.5</w:t>
            </w:r>
            <w:r>
              <w:rPr>
                <w:rFonts w:hint="eastAsia" w:ascii="Times New Roman" w:hAnsi="Times New Roman" w:eastAsia="宋体" w:cs="Times New Roman"/>
                <w:color w:val="000000"/>
                <w:sz w:val="24"/>
                <w:highlight w:val="none"/>
                <w:lang w:val="en-US" w:eastAsia="zh-CN"/>
              </w:rPr>
              <w:t>等</w:t>
            </w:r>
            <w:r>
              <w:rPr>
                <w:rFonts w:hint="default" w:ascii="Times New Roman" w:hAnsi="Times New Roman" w:eastAsia="宋体" w:cs="Times New Roman"/>
                <w:color w:val="000000"/>
                <w:sz w:val="24"/>
                <w:highlight w:val="none"/>
                <w:lang w:val="en-US" w:eastAsia="zh-CN"/>
              </w:rPr>
              <w:t>六项基本污染物环境空气质量现状数据</w:t>
            </w:r>
            <w:r>
              <w:rPr>
                <w:rFonts w:hint="eastAsia" w:ascii="Times New Roman" w:hAnsi="Times New Roman" w:eastAsia="宋体" w:cs="Times New Roman"/>
                <w:color w:val="000000"/>
                <w:sz w:val="24"/>
                <w:highlight w:val="none"/>
                <w:lang w:val="en-US" w:eastAsia="zh-CN"/>
              </w:rPr>
              <w:t>，详见下表</w:t>
            </w:r>
            <w:r>
              <w:rPr>
                <w:bCs/>
                <w:color w:val="auto"/>
                <w:sz w:val="24"/>
              </w:rPr>
              <w:t>。</w:t>
            </w:r>
          </w:p>
          <w:p>
            <w:pPr>
              <w:keepNext w:val="0"/>
              <w:keepLines w:val="0"/>
              <w:pageBreakBefore w:val="0"/>
              <w:widowControl w:val="0"/>
              <w:shd w:val="clear" w:color="auto" w:fill="auto"/>
              <w:kinsoku/>
              <w:wordWrap/>
              <w:overflowPunct/>
              <w:topLinePunct w:val="0"/>
              <w:autoSpaceDE/>
              <w:autoSpaceDN/>
              <w:bidi w:val="0"/>
              <w:adjustRightInd w:val="0"/>
              <w:snapToGrid w:val="0"/>
              <w:spacing w:line="520" w:lineRule="exact"/>
              <w:jc w:val="center"/>
              <w:textAlignment w:val="auto"/>
              <w:rPr>
                <w:rFonts w:hint="default" w:ascii="Times New Roman" w:hAnsi="Times New Roman" w:eastAsia="宋体" w:cs="Times New Roman"/>
                <w:b/>
                <w:bCs/>
                <w:caps w:val="0"/>
                <w:smallCaps w:val="0"/>
                <w:snapToGrid w:val="0"/>
                <w:color w:val="auto"/>
                <w:spacing w:val="0"/>
                <w:w w:val="100"/>
                <w:kern w:val="2"/>
                <w:position w:val="0"/>
                <w:sz w:val="24"/>
                <w:szCs w:val="24"/>
                <w:highlight w:val="none"/>
                <w:lang w:val="en-US" w:eastAsia="zh-CN" w:bidi="ar-SA"/>
              </w:rPr>
            </w:pPr>
            <w:r>
              <w:rPr>
                <w:rFonts w:hint="default" w:ascii="Times New Roman" w:hAnsi="Times New Roman" w:eastAsia="宋体" w:cs="Times New Roman"/>
                <w:b/>
                <w:bCs/>
                <w:caps w:val="0"/>
                <w:smallCaps w:val="0"/>
                <w:snapToGrid w:val="0"/>
                <w:color w:val="auto"/>
                <w:spacing w:val="0"/>
                <w:w w:val="100"/>
                <w:kern w:val="2"/>
                <w:position w:val="0"/>
                <w:sz w:val="24"/>
                <w:szCs w:val="24"/>
                <w:highlight w:val="none"/>
                <w:lang w:val="en-US" w:eastAsia="zh-CN" w:bidi="ar-SA"/>
              </w:rPr>
              <w:t>表3-</w:t>
            </w:r>
            <w:r>
              <w:rPr>
                <w:rFonts w:hint="eastAsia" w:ascii="Times New Roman" w:hAnsi="Times New Roman" w:eastAsia="宋体" w:cs="Times New Roman"/>
                <w:b/>
                <w:bCs/>
                <w:caps w:val="0"/>
                <w:smallCaps w:val="0"/>
                <w:snapToGrid w:val="0"/>
                <w:color w:val="auto"/>
                <w:spacing w:val="0"/>
                <w:w w:val="100"/>
                <w:kern w:val="2"/>
                <w:position w:val="0"/>
                <w:sz w:val="24"/>
                <w:szCs w:val="24"/>
                <w:highlight w:val="none"/>
                <w:lang w:val="en-US" w:eastAsia="zh-CN" w:bidi="ar-SA"/>
              </w:rPr>
              <w:t>1</w:t>
            </w:r>
            <w:r>
              <w:rPr>
                <w:rFonts w:hint="default" w:ascii="Times New Roman" w:hAnsi="Times New Roman" w:eastAsia="宋体" w:cs="Times New Roman"/>
                <w:b/>
                <w:bCs/>
                <w:caps w:val="0"/>
                <w:smallCaps w:val="0"/>
                <w:snapToGrid w:val="0"/>
                <w:color w:val="auto"/>
                <w:spacing w:val="0"/>
                <w:w w:val="100"/>
                <w:kern w:val="2"/>
                <w:position w:val="0"/>
                <w:sz w:val="24"/>
                <w:szCs w:val="24"/>
                <w:highlight w:val="none"/>
                <w:lang w:val="en-US" w:eastAsia="zh-CN" w:bidi="ar-SA"/>
              </w:rPr>
              <w:t xml:space="preserve">   轮台县环境空气质量数据</w:t>
            </w:r>
          </w:p>
          <w:tbl>
            <w:tblPr>
              <w:tblStyle w:val="22"/>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9"/>
              <w:gridCol w:w="1993"/>
              <w:gridCol w:w="1467"/>
              <w:gridCol w:w="1820"/>
              <w:gridCol w:w="833"/>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污染物</w:t>
                  </w: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评价项目</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浓度（μg/m</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perscript"/>
                      <w:lang w:val="en-US" w:eastAsia="zh-CN" w:bidi="ar-SA"/>
                    </w:rPr>
                    <w:t>3</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标准（二级）（μg/m</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perscript"/>
                      <w:lang w:val="en-US" w:eastAsia="zh-CN" w:bidi="ar-SA"/>
                    </w:rPr>
                    <w:t>3</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占标率%</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Merge w:val="restar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SO</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bscript"/>
                      <w:lang w:val="en-US" w:eastAsia="zh-CN" w:bidi="ar-SA"/>
                    </w:rPr>
                    <w:t>2</w:t>
                  </w: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年平均</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5</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60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8</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Merge w:val="continue"/>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24h平均第98百分位数</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10</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150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7</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Merge w:val="restar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NO</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bscript"/>
                      <w:lang w:val="en-US" w:eastAsia="zh-CN" w:bidi="ar-SA"/>
                    </w:rPr>
                    <w:t>2</w:t>
                  </w: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年平均</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19</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40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48</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Merge w:val="continue"/>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24h平均第98百分位数</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43</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80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54</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CO</w:t>
                  </w: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mg/m</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perscript"/>
                      <w:lang w:val="en-US" w:eastAsia="zh-CN" w:bidi="ar-SA"/>
                    </w:rPr>
                    <w:t>3</w:t>
                  </w: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vertAlign w:val="superscript"/>
                      <w:lang w:val="en-US" w:eastAsia="zh-CN" w:bidi="ar-SA"/>
                    </w:rPr>
                    <w:t>)</w:t>
                  </w: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24h平均第95百分位数</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1.8</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4</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45</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O</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bscript"/>
                      <w:lang w:val="en-US" w:eastAsia="zh-CN" w:bidi="ar-SA"/>
                    </w:rPr>
                    <w:t>3</w:t>
                  </w: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最大8小时滑动平均值的第90百分位数</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118</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160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74</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883" w:type="pct"/>
                  <w:vMerge w:val="restar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PM</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bscript"/>
                      <w:lang w:val="en-US" w:eastAsia="zh-CN" w:bidi="ar-SA"/>
                    </w:rPr>
                    <w:t>10</w:t>
                  </w: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年平均</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171</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60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285</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Merge w:val="continue"/>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24h平均第95百分位数</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481</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120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400</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Merge w:val="restar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PM</w:t>
                  </w: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vertAlign w:val="subscript"/>
                      <w:lang w:val="en-US" w:eastAsia="zh-CN" w:bidi="ar-SA"/>
                    </w:rPr>
                    <w:t>2.5</w:t>
                  </w: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年平均</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52</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30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173</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Merge w:val="continue"/>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p>
              </w:tc>
              <w:tc>
                <w:tcPr>
                  <w:tcW w:w="1198"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24h平均第95百分位数</w:t>
                  </w:r>
                </w:p>
              </w:tc>
              <w:tc>
                <w:tcPr>
                  <w:tcW w:w="882"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123</w:t>
                  </w:r>
                </w:p>
              </w:tc>
              <w:tc>
                <w:tcPr>
                  <w:tcW w:w="1094"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60</w:t>
                  </w:r>
                </w:p>
              </w:tc>
              <w:tc>
                <w:tcPr>
                  <w:tcW w:w="501"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eastAsia"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205</w:t>
                  </w:r>
                </w:p>
              </w:tc>
              <w:tc>
                <w:tcPr>
                  <w:tcW w:w="439" w:type="pct"/>
                  <w:tcBorders>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val="0"/>
                      <w:caps w:val="0"/>
                      <w:smallCaps w:val="0"/>
                      <w:snapToGrid w:val="0"/>
                      <w:color w:val="auto"/>
                      <w:spacing w:val="0"/>
                      <w:w w:val="100"/>
                      <w:kern w:val="2"/>
                      <w:position w:val="0"/>
                      <w:sz w:val="21"/>
                      <w:szCs w:val="21"/>
                      <w:highlight w:val="none"/>
                      <w:lang w:val="en-US" w:eastAsia="zh-CN" w:bidi="ar-SA"/>
                    </w:rPr>
                    <w:t>超标</w:t>
                  </w:r>
                </w:p>
              </w:tc>
            </w:tr>
          </w:tbl>
          <w:p>
            <w:pPr>
              <w:keepNext w:val="0"/>
              <w:keepLines w:val="0"/>
              <w:pageBreakBefore w:val="0"/>
              <w:widowControl w:val="0"/>
              <w:kinsoku/>
              <w:wordWrap/>
              <w:overflowPunct/>
              <w:topLinePunct w:val="0"/>
              <w:bidi w:val="0"/>
              <w:snapToGrid/>
              <w:spacing w:line="520" w:lineRule="exact"/>
              <w:ind w:firstLine="480" w:firstLineChars="200"/>
              <w:textAlignment w:val="auto"/>
              <w:rPr>
                <w:rFonts w:hint="eastAsia"/>
                <w:color w:val="auto"/>
              </w:rPr>
            </w:pPr>
            <w:r>
              <w:rPr>
                <w:rFonts w:hint="default" w:ascii="Times New Roman" w:hAnsi="Times New Roman" w:eastAsia="宋体" w:cs="Times New Roman"/>
                <w:b w:val="0"/>
                <w:bCs/>
                <w:color w:val="auto"/>
                <w:sz w:val="24"/>
                <w:szCs w:val="24"/>
                <w:highlight w:val="none"/>
              </w:rPr>
              <w:t>根据上表基本污染物的年评价指标的分析结果，</w:t>
            </w:r>
            <w:r>
              <w:rPr>
                <w:rFonts w:hint="eastAsia" w:ascii="Times New Roman" w:hAnsi="Times New Roman" w:eastAsia="宋体" w:cs="Times New Roman"/>
                <w:b w:val="0"/>
                <w:bCs/>
                <w:color w:val="auto"/>
                <w:sz w:val="24"/>
                <w:szCs w:val="24"/>
                <w:highlight w:val="none"/>
                <w:lang w:val="en-US" w:eastAsia="zh-CN"/>
              </w:rPr>
              <w:t>项目SO</w:t>
            </w:r>
            <w:r>
              <w:rPr>
                <w:rFonts w:hint="eastAsia" w:ascii="Times New Roman" w:hAnsi="Times New Roman" w:eastAsia="宋体" w:cs="Times New Roman"/>
                <w:b w:val="0"/>
                <w:bCs/>
                <w:color w:val="auto"/>
                <w:sz w:val="24"/>
                <w:szCs w:val="24"/>
                <w:highlight w:val="none"/>
                <w:vertAlign w:val="subscript"/>
                <w:lang w:val="en-US" w:eastAsia="zh-CN"/>
              </w:rPr>
              <w:t>2</w:t>
            </w:r>
            <w:r>
              <w:rPr>
                <w:rFonts w:hint="eastAsia" w:ascii="Times New Roman" w:hAnsi="Times New Roman" w:eastAsia="宋体" w:cs="Times New Roman"/>
                <w:b w:val="0"/>
                <w:bCs/>
                <w:color w:val="auto"/>
                <w:sz w:val="24"/>
                <w:szCs w:val="24"/>
                <w:highlight w:val="none"/>
                <w:lang w:val="en-US" w:eastAsia="zh-CN"/>
              </w:rPr>
              <w:t>，NO</w:t>
            </w:r>
            <w:r>
              <w:rPr>
                <w:rFonts w:hint="eastAsia" w:ascii="Times New Roman" w:hAnsi="Times New Roman" w:eastAsia="宋体" w:cs="Times New Roman"/>
                <w:b w:val="0"/>
                <w:bCs/>
                <w:color w:val="auto"/>
                <w:sz w:val="24"/>
                <w:szCs w:val="24"/>
                <w:highlight w:val="none"/>
                <w:vertAlign w:val="subscript"/>
                <w:lang w:val="en-US" w:eastAsia="zh-CN"/>
              </w:rPr>
              <w:t>2</w:t>
            </w:r>
            <w:r>
              <w:rPr>
                <w:rFonts w:hint="eastAsia" w:ascii="Times New Roman" w:hAnsi="Times New Roman" w:eastAsia="宋体" w:cs="Times New Roman"/>
                <w:b w:val="0"/>
                <w:bCs/>
                <w:color w:val="auto"/>
                <w:sz w:val="24"/>
                <w:szCs w:val="24"/>
                <w:highlight w:val="none"/>
                <w:lang w:val="en-US" w:eastAsia="zh-CN"/>
              </w:rPr>
              <w:t>，CO，O</w:t>
            </w:r>
            <w:r>
              <w:rPr>
                <w:rFonts w:hint="eastAsia" w:ascii="Times New Roman" w:hAnsi="Times New Roman" w:eastAsia="宋体" w:cs="Times New Roman"/>
                <w:b w:val="0"/>
                <w:bCs/>
                <w:color w:val="auto"/>
                <w:sz w:val="24"/>
                <w:szCs w:val="24"/>
                <w:highlight w:val="none"/>
                <w:vertAlign w:val="subscript"/>
                <w:lang w:val="en-US" w:eastAsia="zh-CN"/>
              </w:rPr>
              <w:t>3</w:t>
            </w:r>
            <w:r>
              <w:rPr>
                <w:rFonts w:hint="eastAsia" w:ascii="Times New Roman" w:hAnsi="Times New Roman" w:eastAsia="宋体" w:cs="Times New Roman"/>
                <w:b w:val="0"/>
                <w:bCs/>
                <w:color w:val="auto"/>
                <w:sz w:val="24"/>
                <w:szCs w:val="24"/>
                <w:highlight w:val="none"/>
                <w:lang w:val="en-US" w:eastAsia="zh-CN"/>
              </w:rPr>
              <w:t>均值达到</w:t>
            </w:r>
            <w:r>
              <w:rPr>
                <w:rFonts w:hint="eastAsia"/>
                <w:color w:val="auto"/>
                <w:sz w:val="24"/>
                <w:szCs w:val="24"/>
                <w:highlight w:val="none"/>
                <w:lang w:val="en-US" w:eastAsia="zh-CN"/>
              </w:rPr>
              <w:t>《环境空气质量标准》（GB3095-2026）过渡阶段浓度限值中二级标准</w:t>
            </w:r>
            <w:r>
              <w:rPr>
                <w:rFonts w:hint="eastAsia" w:ascii="Times New Roman" w:hAnsi="Times New Roman" w:eastAsia="宋体"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rPr>
              <w:t>项目所在区域PM</w:t>
            </w:r>
            <w:r>
              <w:rPr>
                <w:rFonts w:hint="default" w:ascii="Times New Roman" w:hAnsi="Times New Roman" w:eastAsia="宋体" w:cs="Times New Roman"/>
                <w:b w:val="0"/>
                <w:bCs/>
                <w:color w:val="auto"/>
                <w:sz w:val="24"/>
                <w:szCs w:val="24"/>
                <w:highlight w:val="none"/>
                <w:vertAlign w:val="subscript"/>
                <w:lang w:val="en-US" w:eastAsia="zh-CN"/>
              </w:rPr>
              <w:t>2.5</w:t>
            </w:r>
            <w:r>
              <w:rPr>
                <w:rFonts w:hint="default" w:ascii="Times New Roman" w:hAnsi="Times New Roman" w:eastAsia="宋体" w:cs="Times New Roman"/>
                <w:b w:val="0"/>
                <w:bCs/>
                <w:color w:val="auto"/>
                <w:sz w:val="24"/>
                <w:szCs w:val="24"/>
                <w:highlight w:val="none"/>
              </w:rPr>
              <w:t>、PM</w:t>
            </w:r>
            <w:r>
              <w:rPr>
                <w:rFonts w:hint="default" w:ascii="Times New Roman" w:hAnsi="Times New Roman" w:eastAsia="宋体" w:cs="Times New Roman"/>
                <w:b w:val="0"/>
                <w:bCs/>
                <w:color w:val="auto"/>
                <w:sz w:val="24"/>
                <w:szCs w:val="24"/>
                <w:highlight w:val="none"/>
                <w:vertAlign w:val="subscript"/>
                <w:lang w:val="en-US" w:eastAsia="zh-CN"/>
              </w:rPr>
              <w:t>10</w:t>
            </w:r>
            <w:r>
              <w:rPr>
                <w:rFonts w:hint="default" w:ascii="Times New Roman" w:hAnsi="Times New Roman" w:eastAsia="宋体" w:cs="Times New Roman"/>
                <w:b w:val="0"/>
                <w:bCs/>
                <w:color w:val="auto"/>
                <w:sz w:val="24"/>
                <w:szCs w:val="24"/>
                <w:highlight w:val="none"/>
              </w:rPr>
              <w:t>日均浓度和年均浓度均超标，超标原因主要是由于</w:t>
            </w:r>
            <w:r>
              <w:rPr>
                <w:rFonts w:hint="eastAsia" w:ascii="Times New Roman" w:hAnsi="Times New Roman" w:eastAsia="宋体" w:cs="Times New Roman"/>
                <w:b w:val="0"/>
                <w:bCs/>
                <w:color w:val="auto"/>
                <w:sz w:val="24"/>
                <w:szCs w:val="24"/>
                <w:highlight w:val="none"/>
                <w:lang w:eastAsia="zh-CN"/>
              </w:rPr>
              <w:t>项目</w:t>
            </w:r>
            <w:r>
              <w:rPr>
                <w:rFonts w:hint="default" w:ascii="Times New Roman" w:hAnsi="Times New Roman" w:eastAsia="宋体" w:cs="Times New Roman"/>
                <w:b w:val="0"/>
                <w:bCs/>
                <w:color w:val="auto"/>
                <w:sz w:val="24"/>
                <w:szCs w:val="24"/>
                <w:highlight w:val="none"/>
              </w:rPr>
              <w:t>地处南疆</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rPr>
              <w:t>位于沙漠边缘，背景因素所致。因此，项目所在区域为不达标区域</w:t>
            </w:r>
            <w:r>
              <w:rPr>
                <w:rFonts w:hint="eastAsia"/>
                <w:bCs/>
                <w:color w:val="auto"/>
                <w:sz w:val="24"/>
              </w:rPr>
              <w:t>。</w:t>
            </w:r>
          </w:p>
          <w:p>
            <w:pPr>
              <w:pStyle w:val="53"/>
              <w:keepNext w:val="0"/>
              <w:keepLines w:val="0"/>
              <w:pageBreakBefore w:val="0"/>
              <w:widowControl w:val="0"/>
              <w:kinsoku/>
              <w:wordWrap/>
              <w:overflowPunct/>
              <w:topLinePunct w:val="0"/>
              <w:bidi w:val="0"/>
              <w:snapToGrid/>
              <w:spacing w:line="520" w:lineRule="exact"/>
              <w:ind w:firstLine="480" w:firstLineChars="200"/>
              <w:textAlignment w:val="auto"/>
              <w:rPr>
                <w:rFonts w:ascii="Times New Roman" w:cs="Times New Roman"/>
                <w:bCs/>
                <w:color w:val="auto"/>
                <w:kern w:val="2"/>
              </w:rPr>
            </w:pPr>
            <w:r>
              <w:rPr>
                <w:rFonts w:hint="eastAsia" w:ascii="Times New Roman" w:cs="Times New Roman"/>
                <w:bCs/>
                <w:color w:val="auto"/>
                <w:kern w:val="2"/>
                <w:lang w:val="en-US" w:eastAsia="zh-CN"/>
              </w:rPr>
              <w:t>2</w:t>
            </w:r>
            <w:r>
              <w:rPr>
                <w:rFonts w:ascii="Times New Roman" w:cs="Times New Roman"/>
                <w:bCs/>
                <w:color w:val="auto"/>
                <w:kern w:val="2"/>
              </w:rPr>
              <w:t xml:space="preserve"> 特征污染物补充监测</w:t>
            </w:r>
          </w:p>
          <w:p>
            <w:pPr>
              <w:pStyle w:val="53"/>
              <w:keepNext w:val="0"/>
              <w:keepLines w:val="0"/>
              <w:pageBreakBefore w:val="0"/>
              <w:widowControl w:val="0"/>
              <w:kinsoku/>
              <w:wordWrap/>
              <w:overflowPunct/>
              <w:topLinePunct w:val="0"/>
              <w:bidi w:val="0"/>
              <w:snapToGrid/>
              <w:spacing w:line="520" w:lineRule="exact"/>
              <w:ind w:firstLine="480" w:firstLineChars="200"/>
              <w:textAlignment w:val="auto"/>
              <w:rPr>
                <w:rFonts w:ascii="Times New Roman" w:cs="Times New Roman"/>
                <w:color w:val="auto"/>
              </w:rPr>
            </w:pPr>
            <w:r>
              <w:rPr>
                <w:rFonts w:hint="default" w:ascii="Times New Roman" w:hAnsi="Times New Roman" w:eastAsia="宋体" w:cs="Times New Roman"/>
                <w:bCs/>
                <w:color w:val="auto"/>
                <w:highlight w:val="none"/>
              </w:rPr>
              <w:t>大气环境现状监测依据《建设项目环境影响报告表编制技术指南（污染影响类）（试行）》中监测点设置要求，结合评价区域的地形特征、环境空气保护目标和区域环境特征进行布点，同时兼顾厂址主导风向</w:t>
            </w:r>
            <w:r>
              <w:rPr>
                <w:rFonts w:hint="eastAsia" w:cs="Times New Roman"/>
                <w:bCs/>
                <w:color w:val="auto"/>
                <w:highlight w:val="none"/>
                <w:lang w:eastAsia="zh-CN"/>
              </w:rPr>
              <w:t>，为</w:t>
            </w:r>
            <w:r>
              <w:rPr>
                <w:rFonts w:hint="default" w:ascii="Times New Roman" w:hAnsi="Times New Roman" w:eastAsia="宋体" w:cs="Times New Roman"/>
                <w:bCs/>
                <w:color w:val="auto"/>
                <w:highlight w:val="none"/>
              </w:rPr>
              <w:t>当季主导风向下风向1个点位补充不少于3天的监测数据。本次</w:t>
            </w:r>
            <w:r>
              <w:rPr>
                <w:rFonts w:hint="default" w:ascii="Times New Roman" w:hAnsi="Times New Roman" w:eastAsia="宋体" w:cs="Times New Roman"/>
                <w:bCs/>
                <w:color w:val="auto"/>
                <w:highlight w:val="none"/>
                <w:lang w:val="en-US" w:eastAsia="zh-CN"/>
              </w:rPr>
              <w:t>TSP现状监测</w:t>
            </w:r>
            <w:r>
              <w:rPr>
                <w:rFonts w:hint="default" w:ascii="Times New Roman" w:hAnsi="Times New Roman" w:eastAsia="宋体" w:cs="Times New Roman"/>
                <w:bCs/>
                <w:color w:val="auto"/>
                <w:highlight w:val="none"/>
              </w:rPr>
              <w:t>数据</w:t>
            </w:r>
            <w:r>
              <w:rPr>
                <w:rFonts w:hint="default" w:ascii="Times New Roman" w:hAnsi="Times New Roman" w:cs="Times New Roman"/>
                <w:bCs/>
                <w:color w:val="auto"/>
                <w:highlight w:val="none"/>
                <w:lang w:val="en-US" w:eastAsia="zh-CN"/>
              </w:rPr>
              <w:t>引用</w:t>
            </w:r>
            <w:r>
              <w:rPr>
                <w:rFonts w:hint="default" w:ascii="Times New Roman" w:hAnsi="Times New Roman" w:cs="Times New Roman"/>
                <w:bCs/>
                <w:color w:val="auto"/>
                <w:highlight w:val="none"/>
              </w:rPr>
              <w:t>新疆</w:t>
            </w:r>
            <w:r>
              <w:rPr>
                <w:rFonts w:hint="eastAsia" w:ascii="Times New Roman" w:hAnsi="Times New Roman" w:cs="Times New Roman"/>
                <w:bCs/>
                <w:color w:val="auto"/>
                <w:highlight w:val="none"/>
                <w:lang w:val="en-US" w:eastAsia="zh-CN"/>
              </w:rPr>
              <w:t>中测测试</w:t>
            </w:r>
            <w:r>
              <w:rPr>
                <w:rFonts w:hint="default" w:ascii="Times New Roman" w:hAnsi="Times New Roman" w:cs="Times New Roman"/>
                <w:bCs/>
                <w:color w:val="auto"/>
                <w:highlight w:val="none"/>
              </w:rPr>
              <w:t>有限公司</w:t>
            </w:r>
            <w:r>
              <w:rPr>
                <w:rFonts w:hint="default" w:ascii="Times New Roman" w:hAnsi="Times New Roman" w:eastAsia="宋体" w:cs="Times New Roman"/>
                <w:bCs/>
                <w:color w:val="auto"/>
                <w:highlight w:val="none"/>
              </w:rPr>
              <w:t>于</w:t>
            </w:r>
            <w:r>
              <w:rPr>
                <w:rFonts w:hint="default" w:ascii="Calibri" w:hAnsi="Calibri" w:eastAsia="宋体" w:cs="Times New Roman"/>
                <w:bCs/>
                <w:color w:val="auto"/>
                <w:highlight w:val="none"/>
                <w:shd w:val="clear" w:color="auto" w:fill="auto"/>
              </w:rPr>
              <w:t>20</w:t>
            </w:r>
            <w:r>
              <w:rPr>
                <w:rFonts w:hint="default" w:ascii="Calibri" w:hAnsi="Calibri" w:eastAsia="宋体" w:cs="Times New Roman"/>
                <w:bCs/>
                <w:color w:val="auto"/>
                <w:highlight w:val="none"/>
                <w:shd w:val="clear" w:color="auto" w:fill="auto"/>
                <w:lang w:val="en-US" w:eastAsia="zh-CN"/>
              </w:rPr>
              <w:t>2</w:t>
            </w:r>
            <w:r>
              <w:rPr>
                <w:rFonts w:hint="default" w:ascii="Calibri" w:hAnsi="Calibri" w:cs="Times New Roman"/>
                <w:bCs/>
                <w:color w:val="auto"/>
                <w:highlight w:val="none"/>
                <w:shd w:val="clear" w:color="auto" w:fill="auto"/>
                <w:lang w:val="en-US" w:eastAsia="zh-CN"/>
              </w:rPr>
              <w:t>4</w:t>
            </w:r>
            <w:r>
              <w:rPr>
                <w:rFonts w:hint="default" w:ascii="Calibri" w:hAnsi="Calibri" w:eastAsia="宋体" w:cs="Times New Roman"/>
                <w:bCs/>
                <w:color w:val="auto"/>
                <w:highlight w:val="none"/>
                <w:shd w:val="clear" w:color="auto" w:fill="auto"/>
              </w:rPr>
              <w:t>年</w:t>
            </w:r>
            <w:r>
              <w:rPr>
                <w:rFonts w:hint="default" w:ascii="Calibri" w:hAnsi="Calibri" w:cs="Times New Roman"/>
                <w:bCs/>
                <w:color w:val="auto"/>
                <w:highlight w:val="none"/>
                <w:shd w:val="clear" w:color="auto" w:fill="auto"/>
                <w:lang w:val="en-US" w:eastAsia="zh-CN"/>
              </w:rPr>
              <w:t>9</w:t>
            </w:r>
            <w:r>
              <w:rPr>
                <w:rFonts w:hint="default" w:ascii="Calibri" w:hAnsi="Calibri" w:eastAsia="宋体" w:cs="Times New Roman"/>
                <w:bCs/>
                <w:color w:val="auto"/>
                <w:highlight w:val="none"/>
                <w:shd w:val="clear" w:color="auto" w:fill="auto"/>
              </w:rPr>
              <w:t>月</w:t>
            </w:r>
            <w:r>
              <w:rPr>
                <w:rFonts w:hint="default" w:ascii="Calibri" w:hAnsi="Calibri" w:cs="Times New Roman"/>
                <w:bCs/>
                <w:color w:val="auto"/>
                <w:highlight w:val="none"/>
                <w:shd w:val="clear" w:color="auto" w:fill="auto"/>
                <w:lang w:val="en-US" w:eastAsia="zh-CN"/>
              </w:rPr>
              <w:t>15</w:t>
            </w:r>
            <w:r>
              <w:rPr>
                <w:rFonts w:hint="default" w:ascii="Calibri" w:hAnsi="Calibri" w:eastAsia="宋体" w:cs="Times New Roman"/>
                <w:bCs/>
                <w:color w:val="auto"/>
                <w:highlight w:val="none"/>
                <w:shd w:val="clear" w:color="auto" w:fill="auto"/>
              </w:rPr>
              <w:t>日至</w:t>
            </w:r>
            <w:r>
              <w:rPr>
                <w:rFonts w:hint="default" w:ascii="Calibri" w:hAnsi="Calibri" w:eastAsia="宋体" w:cs="Times New Roman"/>
                <w:bCs/>
                <w:color w:val="auto"/>
                <w:highlight w:val="none"/>
                <w:shd w:val="clear" w:color="auto" w:fill="auto"/>
                <w:lang w:val="en-US" w:eastAsia="zh-CN"/>
              </w:rPr>
              <w:t>9</w:t>
            </w:r>
            <w:r>
              <w:rPr>
                <w:rFonts w:hint="default" w:ascii="Calibri" w:hAnsi="Calibri" w:eastAsia="宋体" w:cs="Times New Roman"/>
                <w:bCs/>
                <w:color w:val="auto"/>
                <w:highlight w:val="none"/>
                <w:shd w:val="clear" w:color="auto" w:fill="auto"/>
              </w:rPr>
              <w:t>月</w:t>
            </w:r>
            <w:r>
              <w:rPr>
                <w:rFonts w:hint="default" w:ascii="Calibri" w:hAnsi="Calibri" w:eastAsia="宋体" w:cs="Times New Roman"/>
                <w:bCs/>
                <w:color w:val="auto"/>
                <w:highlight w:val="none"/>
                <w:shd w:val="clear" w:color="auto" w:fill="auto"/>
                <w:lang w:val="en-US" w:eastAsia="zh-CN"/>
              </w:rPr>
              <w:t>18</w:t>
            </w:r>
            <w:r>
              <w:rPr>
                <w:rFonts w:hint="default" w:ascii="Calibri" w:hAnsi="Calibri" w:eastAsia="宋体" w:cs="Times New Roman"/>
                <w:bCs/>
                <w:color w:val="auto"/>
                <w:highlight w:val="none"/>
                <w:shd w:val="clear" w:color="auto" w:fill="auto"/>
              </w:rPr>
              <w:t>日连</w:t>
            </w:r>
            <w:r>
              <w:rPr>
                <w:rFonts w:hint="default" w:ascii="Times New Roman" w:hAnsi="Times New Roman" w:eastAsia="宋体" w:cs="Times New Roman"/>
                <w:bCs/>
                <w:color w:val="auto"/>
                <w:highlight w:val="none"/>
                <w:shd w:val="clear" w:color="auto" w:fill="auto"/>
              </w:rPr>
              <w:t>续</w:t>
            </w:r>
            <w:r>
              <w:rPr>
                <w:rFonts w:hint="eastAsia" w:cs="Times New Roman"/>
                <w:bCs/>
                <w:color w:val="auto"/>
                <w:highlight w:val="none"/>
                <w:shd w:val="clear" w:color="auto" w:fill="auto"/>
                <w:lang w:val="en-US" w:eastAsia="zh-CN"/>
              </w:rPr>
              <w:t>3</w:t>
            </w:r>
            <w:r>
              <w:rPr>
                <w:rFonts w:hint="default" w:ascii="Times New Roman" w:hAnsi="Times New Roman" w:eastAsia="宋体" w:cs="Times New Roman"/>
                <w:bCs/>
                <w:color w:val="auto"/>
                <w:highlight w:val="none"/>
                <w:shd w:val="clear" w:color="auto" w:fill="auto"/>
              </w:rPr>
              <w:t>日对巴州磊溢泥浆材料有限公司年产5000吨石油助剂技术改造项目</w:t>
            </w:r>
            <w:r>
              <w:rPr>
                <w:rFonts w:hint="default" w:ascii="Times New Roman" w:hAnsi="Times New Roman" w:eastAsia="宋体" w:cs="Times New Roman"/>
                <w:bCs/>
                <w:color w:val="auto"/>
                <w:highlight w:val="none"/>
              </w:rPr>
              <w:t>所在区域污染物环境质量进行监测的数据</w:t>
            </w:r>
            <w:r>
              <w:rPr>
                <w:rFonts w:ascii="Times New Roman" w:cs="Times New Roman"/>
                <w:color w:val="auto"/>
              </w:rPr>
              <w:t>。</w:t>
            </w:r>
          </w:p>
          <w:p>
            <w:pPr>
              <w:pStyle w:val="53"/>
              <w:keepNext w:val="0"/>
              <w:keepLines w:val="0"/>
              <w:pageBreakBefore w:val="0"/>
              <w:widowControl w:val="0"/>
              <w:kinsoku/>
              <w:wordWrap/>
              <w:overflowPunct/>
              <w:topLinePunct w:val="0"/>
              <w:bidi w:val="0"/>
              <w:snapToGrid/>
              <w:spacing w:line="520" w:lineRule="exact"/>
              <w:ind w:firstLine="480" w:firstLineChars="200"/>
              <w:textAlignment w:val="auto"/>
              <w:rPr>
                <w:rFonts w:ascii="Times New Roman" w:cs="Times New Roman"/>
                <w:color w:val="auto"/>
              </w:rPr>
            </w:pPr>
            <w:r>
              <w:rPr>
                <w:rFonts w:ascii="Times New Roman" w:cs="Times New Roman"/>
                <w:color w:val="auto"/>
              </w:rPr>
              <w:t>（1）监测点位</w:t>
            </w:r>
          </w:p>
          <w:p>
            <w:pPr>
              <w:pStyle w:val="53"/>
              <w:keepNext w:val="0"/>
              <w:keepLines w:val="0"/>
              <w:pageBreakBefore w:val="0"/>
              <w:widowControl w:val="0"/>
              <w:kinsoku/>
              <w:wordWrap/>
              <w:overflowPunct/>
              <w:topLinePunct w:val="0"/>
              <w:bidi w:val="0"/>
              <w:snapToGrid/>
              <w:spacing w:line="520" w:lineRule="exact"/>
              <w:ind w:firstLine="480" w:firstLineChars="200"/>
              <w:textAlignment w:val="auto"/>
              <w:rPr>
                <w:rFonts w:ascii="Times New Roman" w:cs="Times New Roman"/>
                <w:color w:val="auto"/>
              </w:rPr>
            </w:pPr>
            <w:r>
              <w:rPr>
                <w:rFonts w:ascii="Times New Roman" w:cs="Times New Roman"/>
                <w:color w:val="auto"/>
              </w:rPr>
              <w:t>本次评价在项目区外布置1个现状监测点（共1个监测点），监测点位具体位置见附图</w:t>
            </w:r>
            <w:r>
              <w:rPr>
                <w:rFonts w:hint="eastAsia" w:ascii="Times New Roman" w:cs="Times New Roman"/>
                <w:color w:val="auto"/>
                <w:lang w:val="en-US" w:eastAsia="zh-CN"/>
              </w:rPr>
              <w:t>3-2</w:t>
            </w:r>
            <w:r>
              <w:rPr>
                <w:rFonts w:ascii="Times New Roman" w:cs="Times New Roman"/>
                <w:color w:val="auto"/>
              </w:rPr>
              <w:t>。</w:t>
            </w:r>
          </w:p>
          <w:p>
            <w:pPr>
              <w:pStyle w:val="53"/>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ascii="Times New Roman" w:cs="Times New Roman"/>
                <w:b/>
                <w:bCs/>
                <w:color w:val="auto"/>
              </w:rPr>
            </w:pPr>
            <w:r>
              <w:rPr>
                <w:rFonts w:ascii="Times New Roman" w:cs="Times New Roman"/>
                <w:b/>
                <w:bCs/>
                <w:color w:val="auto"/>
              </w:rPr>
              <w:t>表</w:t>
            </w:r>
            <w:r>
              <w:rPr>
                <w:rFonts w:hint="eastAsia" w:ascii="Times New Roman" w:cs="Times New Roman"/>
                <w:b/>
                <w:bCs/>
                <w:color w:val="auto"/>
                <w:lang w:val="en-US" w:eastAsia="zh-CN"/>
              </w:rPr>
              <w:t>3-2</w:t>
            </w:r>
            <w:r>
              <w:rPr>
                <w:rFonts w:ascii="Times New Roman" w:cs="Times New Roman"/>
                <w:b/>
                <w:bCs/>
                <w:color w:val="auto"/>
              </w:rPr>
              <w:t xml:space="preserve">    特征污染物补充监测点位基本信息</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2402"/>
              <w:gridCol w:w="2474"/>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trPr>
              <w:tc>
                <w:tcPr>
                  <w:tcW w:w="905" w:type="pct"/>
                  <w:noWrap w:val="0"/>
                  <w:vAlign w:val="center"/>
                </w:tcPr>
                <w:p>
                  <w:pPr>
                    <w:widowControl/>
                    <w:jc w:val="center"/>
                    <w:rPr>
                      <w:color w:val="auto"/>
                      <w:kern w:val="0"/>
                      <w:szCs w:val="21"/>
                    </w:rPr>
                  </w:pPr>
                  <w:r>
                    <w:rPr>
                      <w:color w:val="auto"/>
                      <w:kern w:val="0"/>
                      <w:szCs w:val="21"/>
                    </w:rPr>
                    <w:t>监测点位</w:t>
                  </w:r>
                </w:p>
              </w:tc>
              <w:tc>
                <w:tcPr>
                  <w:tcW w:w="2933" w:type="pct"/>
                  <w:gridSpan w:val="2"/>
                  <w:noWrap w:val="0"/>
                  <w:vAlign w:val="center"/>
                </w:tcPr>
                <w:p>
                  <w:pPr>
                    <w:widowControl/>
                    <w:jc w:val="center"/>
                    <w:rPr>
                      <w:color w:val="auto"/>
                      <w:kern w:val="0"/>
                      <w:szCs w:val="21"/>
                    </w:rPr>
                  </w:pPr>
                  <w:r>
                    <w:rPr>
                      <w:color w:val="auto"/>
                      <w:kern w:val="0"/>
                      <w:szCs w:val="21"/>
                    </w:rPr>
                    <w:t>经纬度坐标</w:t>
                  </w:r>
                </w:p>
              </w:tc>
              <w:tc>
                <w:tcPr>
                  <w:tcW w:w="1160" w:type="pct"/>
                  <w:noWrap w:val="0"/>
                  <w:vAlign w:val="center"/>
                </w:tcPr>
                <w:p>
                  <w:pPr>
                    <w:widowControl/>
                    <w:jc w:val="center"/>
                    <w:rPr>
                      <w:rFonts w:hint="eastAsia"/>
                      <w:color w:val="auto"/>
                      <w:kern w:val="0"/>
                      <w:szCs w:val="21"/>
                    </w:rPr>
                  </w:pPr>
                  <w:r>
                    <w:rPr>
                      <w:rFonts w:hint="eastAsia"/>
                      <w:color w:val="auto"/>
                      <w:kern w:val="0"/>
                      <w:szCs w:val="21"/>
                    </w:rPr>
                    <w:t>位置关系及距离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5" w:type="pct"/>
                  <w:noWrap w:val="0"/>
                  <w:vAlign w:val="center"/>
                </w:tcPr>
                <w:p>
                  <w:pPr>
                    <w:widowControl/>
                    <w:jc w:val="center"/>
                    <w:rPr>
                      <w:rFonts w:hint="eastAsia"/>
                      <w:color w:val="auto"/>
                      <w:kern w:val="0"/>
                      <w:szCs w:val="21"/>
                    </w:rPr>
                  </w:pPr>
                  <w:r>
                    <w:rPr>
                      <w:color w:val="auto"/>
                      <w:kern w:val="0"/>
                      <w:szCs w:val="21"/>
                    </w:rPr>
                    <w:t>1#</w:t>
                  </w:r>
                  <w:r>
                    <w:rPr>
                      <w:rFonts w:hint="eastAsia"/>
                      <w:color w:val="auto"/>
                      <w:kern w:val="0"/>
                      <w:szCs w:val="21"/>
                    </w:rPr>
                    <w:t>监测点</w:t>
                  </w:r>
                </w:p>
              </w:tc>
              <w:tc>
                <w:tcPr>
                  <w:tcW w:w="2402" w:type="dxa"/>
                  <w:noWrap w:val="0"/>
                  <w:vAlign w:val="center"/>
                </w:tcPr>
                <w:p>
                  <w:pPr>
                    <w:widowControl/>
                    <w:jc w:val="center"/>
                    <w:rPr>
                      <w:color w:val="auto"/>
                      <w:kern w:val="0"/>
                      <w:szCs w:val="21"/>
                    </w:rPr>
                  </w:pPr>
                  <w:r>
                    <w:rPr>
                      <w:rFonts w:hint="eastAsia"/>
                      <w:color w:val="auto"/>
                      <w:kern w:val="0"/>
                      <w:szCs w:val="21"/>
                      <w:lang w:val="en-US" w:eastAsia="zh-CN"/>
                    </w:rPr>
                    <w:t>经度84.309892</w:t>
                  </w:r>
                </w:p>
              </w:tc>
              <w:tc>
                <w:tcPr>
                  <w:tcW w:w="2474" w:type="dxa"/>
                  <w:noWrap w:val="0"/>
                  <w:vAlign w:val="center"/>
                </w:tcPr>
                <w:p>
                  <w:pPr>
                    <w:widowControl/>
                    <w:jc w:val="center"/>
                    <w:rPr>
                      <w:color w:val="auto"/>
                      <w:kern w:val="0"/>
                      <w:szCs w:val="21"/>
                    </w:rPr>
                  </w:pPr>
                  <w:r>
                    <w:rPr>
                      <w:rFonts w:hint="eastAsia"/>
                      <w:color w:val="auto"/>
                      <w:kern w:val="0"/>
                      <w:szCs w:val="21"/>
                      <w:lang w:val="en-US" w:eastAsia="zh-CN"/>
                    </w:rPr>
                    <w:t>纬度41.780376</w:t>
                  </w:r>
                </w:p>
              </w:tc>
              <w:tc>
                <w:tcPr>
                  <w:tcW w:w="1160" w:type="pct"/>
                  <w:noWrap w:val="0"/>
                  <w:vAlign w:val="center"/>
                </w:tcPr>
                <w:p>
                  <w:pPr>
                    <w:widowControl/>
                    <w:jc w:val="center"/>
                    <w:rPr>
                      <w:rFonts w:hint="default" w:eastAsia="宋体"/>
                      <w:color w:val="auto"/>
                      <w:kern w:val="0"/>
                      <w:szCs w:val="21"/>
                      <w:lang w:val="en-US" w:eastAsia="zh-CN"/>
                    </w:rPr>
                  </w:pPr>
                  <w:r>
                    <w:rPr>
                      <w:rFonts w:hint="eastAsia"/>
                      <w:color w:val="auto"/>
                      <w:kern w:val="0"/>
                      <w:szCs w:val="21"/>
                      <w:lang w:val="en-US" w:eastAsia="zh-CN"/>
                    </w:rPr>
                    <w:t>厂区西南方位距离约3.34km</w:t>
                  </w:r>
                </w:p>
              </w:tc>
            </w:tr>
          </w:tbl>
          <w:p>
            <w:pPr>
              <w:pStyle w:val="53"/>
              <w:keepNext w:val="0"/>
              <w:keepLines w:val="0"/>
              <w:pageBreakBefore w:val="0"/>
              <w:widowControl w:val="0"/>
              <w:kinsoku/>
              <w:wordWrap/>
              <w:overflowPunct/>
              <w:topLinePunct w:val="0"/>
              <w:bidi w:val="0"/>
              <w:snapToGrid/>
              <w:spacing w:line="520" w:lineRule="exact"/>
              <w:ind w:left="0" w:leftChars="0" w:firstLine="480" w:firstLineChars="200"/>
              <w:textAlignment w:val="auto"/>
              <w:rPr>
                <w:rFonts w:ascii="Times New Roman" w:cs="Times New Roman"/>
                <w:color w:val="auto"/>
              </w:rPr>
            </w:pPr>
            <w:r>
              <w:rPr>
                <w:rFonts w:ascii="Times New Roman" w:cs="Times New Roman"/>
                <w:color w:val="auto"/>
              </w:rPr>
              <w:t>（2）监测时间及监测方法</w:t>
            </w:r>
          </w:p>
          <w:p>
            <w:pPr>
              <w:pStyle w:val="53"/>
              <w:keepNext w:val="0"/>
              <w:keepLines w:val="0"/>
              <w:pageBreakBefore w:val="0"/>
              <w:widowControl w:val="0"/>
              <w:kinsoku/>
              <w:wordWrap/>
              <w:overflowPunct/>
              <w:topLinePunct w:val="0"/>
              <w:bidi w:val="0"/>
              <w:snapToGrid/>
              <w:spacing w:line="520" w:lineRule="exact"/>
              <w:ind w:left="0" w:leftChars="0" w:firstLine="480" w:firstLineChars="200"/>
              <w:textAlignment w:val="auto"/>
              <w:rPr>
                <w:rFonts w:ascii="Times New Roman" w:cs="Times New Roman"/>
                <w:color w:val="auto"/>
              </w:rPr>
            </w:pPr>
            <w:r>
              <w:rPr>
                <w:rFonts w:ascii="Times New Roman" w:cs="Times New Roman"/>
                <w:color w:val="auto"/>
              </w:rPr>
              <w:t>监测时间为连续采样</w:t>
            </w:r>
            <w:r>
              <w:rPr>
                <w:rFonts w:hint="eastAsia" w:ascii="Times New Roman" w:cs="Times New Roman"/>
                <w:color w:val="auto"/>
              </w:rPr>
              <w:t>3</w:t>
            </w:r>
            <w:r>
              <w:rPr>
                <w:rFonts w:ascii="Times New Roman" w:cs="Times New Roman"/>
                <w:color w:val="auto"/>
              </w:rPr>
              <w:t>天，</w:t>
            </w:r>
            <w:r>
              <w:rPr>
                <w:rFonts w:hint="eastAsia" w:ascii="Times New Roman" w:cs="Times New Roman"/>
                <w:color w:val="auto"/>
              </w:rPr>
              <w:t>采样</w:t>
            </w:r>
            <w:r>
              <w:rPr>
                <w:rFonts w:ascii="Times New Roman" w:cs="Times New Roman"/>
                <w:color w:val="auto"/>
              </w:rPr>
              <w:t>要求按照</w:t>
            </w:r>
            <w:r>
              <w:rPr>
                <w:rFonts w:hint="eastAsia"/>
                <w:color w:val="auto"/>
                <w:sz w:val="24"/>
                <w:szCs w:val="24"/>
                <w:highlight w:val="none"/>
                <w:lang w:val="en-US" w:eastAsia="zh-CN"/>
              </w:rPr>
              <w:t>《环境空气质量标准》（GB3095-2026）</w:t>
            </w:r>
            <w:r>
              <w:rPr>
                <w:rFonts w:hint="eastAsia"/>
                <w:lang w:val="en-US" w:eastAsia="zh-CN"/>
              </w:rPr>
              <w:t>及《</w:t>
            </w:r>
            <w:r>
              <w:rPr>
                <w:rFonts w:ascii="宋体" w:hAnsi="宋体" w:eastAsia="宋体" w:cs="宋体"/>
                <w:sz w:val="24"/>
                <w:szCs w:val="24"/>
              </w:rPr>
              <w:t>环境空气质量手工监测技术规范</w:t>
            </w:r>
            <w:r>
              <w:rPr>
                <w:rFonts w:hint="eastAsia"/>
                <w:lang w:val="en-US" w:eastAsia="zh-CN"/>
              </w:rPr>
              <w:t>》（HJ194—2017）</w:t>
            </w:r>
            <w:r>
              <w:rPr>
                <w:rFonts w:ascii="Times New Roman" w:cs="Times New Roman"/>
                <w:color w:val="auto"/>
              </w:rPr>
              <w:t>相关要求执行。</w:t>
            </w:r>
          </w:p>
          <w:p>
            <w:pPr>
              <w:keepNext w:val="0"/>
              <w:keepLines w:val="0"/>
              <w:pageBreakBefore w:val="0"/>
              <w:widowControl w:val="0"/>
              <w:kinsoku/>
              <w:wordWrap/>
              <w:overflowPunct/>
              <w:topLinePunct w:val="0"/>
              <w:bidi w:val="0"/>
              <w:snapToGrid/>
              <w:spacing w:line="520" w:lineRule="exact"/>
              <w:ind w:left="0" w:leftChars="0"/>
              <w:textAlignment w:val="auto"/>
              <w:rPr>
                <w:color w:val="auto"/>
                <w:sz w:val="24"/>
              </w:rPr>
            </w:pPr>
            <w:r>
              <w:rPr>
                <w:color w:val="auto"/>
                <w:sz w:val="24"/>
              </w:rPr>
              <w:t>（3）评价方法</w:t>
            </w:r>
          </w:p>
          <w:p>
            <w:pPr>
              <w:keepNext w:val="0"/>
              <w:keepLines w:val="0"/>
              <w:pageBreakBefore w:val="0"/>
              <w:widowControl w:val="0"/>
              <w:kinsoku/>
              <w:wordWrap/>
              <w:overflowPunct/>
              <w:topLinePunct w:val="0"/>
              <w:bidi w:val="0"/>
              <w:snapToGrid/>
              <w:spacing w:line="520" w:lineRule="exact"/>
              <w:ind w:left="0" w:leftChars="0" w:firstLine="480" w:firstLineChars="200"/>
              <w:textAlignment w:val="auto"/>
              <w:rPr>
                <w:color w:val="auto"/>
                <w:sz w:val="24"/>
              </w:rPr>
            </w:pPr>
            <w:r>
              <w:rPr>
                <w:color w:val="auto"/>
                <w:sz w:val="24"/>
              </w:rPr>
              <w:t>采用最大占标百分比，计算公式如下：</w:t>
            </w:r>
          </w:p>
          <w:p>
            <w:pPr>
              <w:keepNext w:val="0"/>
              <w:keepLines w:val="0"/>
              <w:pageBreakBefore w:val="0"/>
              <w:widowControl w:val="0"/>
              <w:kinsoku/>
              <w:wordWrap/>
              <w:overflowPunct/>
              <w:topLinePunct w:val="0"/>
              <w:bidi w:val="0"/>
              <w:snapToGrid/>
              <w:spacing w:line="520" w:lineRule="exact"/>
              <w:ind w:left="0" w:leftChars="0" w:firstLine="480" w:firstLineChars="200"/>
              <w:textAlignment w:val="auto"/>
              <w:rPr>
                <w:color w:val="auto"/>
                <w:sz w:val="24"/>
              </w:rPr>
            </w:pPr>
            <w:r>
              <w:rPr>
                <w:color w:val="auto"/>
                <w:sz w:val="24"/>
              </w:rPr>
              <w:t>P</w:t>
            </w:r>
            <w:r>
              <w:rPr>
                <w:color w:val="auto"/>
                <w:sz w:val="24"/>
                <w:vertAlign w:val="subscript"/>
              </w:rPr>
              <w:t>i</w:t>
            </w:r>
            <w:r>
              <w:rPr>
                <w:color w:val="auto"/>
                <w:sz w:val="24"/>
              </w:rPr>
              <w:t>=C</w:t>
            </w:r>
            <w:r>
              <w:rPr>
                <w:color w:val="auto"/>
                <w:sz w:val="24"/>
                <w:vertAlign w:val="subscript"/>
              </w:rPr>
              <w:t>i</w:t>
            </w:r>
            <w:r>
              <w:rPr>
                <w:color w:val="auto"/>
                <w:sz w:val="24"/>
              </w:rPr>
              <w:t>/C</w:t>
            </w:r>
            <w:r>
              <w:rPr>
                <w:color w:val="auto"/>
                <w:sz w:val="24"/>
                <w:vertAlign w:val="subscript"/>
              </w:rPr>
              <w:t>oi</w:t>
            </w:r>
          </w:p>
          <w:p>
            <w:pPr>
              <w:keepNext w:val="0"/>
              <w:keepLines w:val="0"/>
              <w:pageBreakBefore w:val="0"/>
              <w:widowControl w:val="0"/>
              <w:kinsoku/>
              <w:wordWrap/>
              <w:overflowPunct/>
              <w:topLinePunct w:val="0"/>
              <w:bidi w:val="0"/>
              <w:snapToGrid/>
              <w:spacing w:line="520" w:lineRule="exact"/>
              <w:ind w:left="0" w:leftChars="0" w:firstLine="480" w:firstLineChars="200"/>
              <w:textAlignment w:val="auto"/>
              <w:rPr>
                <w:color w:val="auto"/>
                <w:sz w:val="24"/>
              </w:rPr>
            </w:pPr>
            <w:r>
              <w:rPr>
                <w:color w:val="auto"/>
                <w:sz w:val="24"/>
              </w:rPr>
              <w:t>式中：P</w:t>
            </w:r>
            <w:r>
              <w:rPr>
                <w:color w:val="auto"/>
                <w:sz w:val="24"/>
                <w:vertAlign w:val="subscript"/>
              </w:rPr>
              <w:t>i</w:t>
            </w:r>
            <w:r>
              <w:rPr>
                <w:color w:val="auto"/>
                <w:sz w:val="24"/>
              </w:rPr>
              <w:t>——i评价因子最大浓度占标率；</w:t>
            </w:r>
          </w:p>
          <w:p>
            <w:pPr>
              <w:keepNext w:val="0"/>
              <w:keepLines w:val="0"/>
              <w:pageBreakBefore w:val="0"/>
              <w:widowControl w:val="0"/>
              <w:kinsoku/>
              <w:wordWrap/>
              <w:overflowPunct/>
              <w:topLinePunct w:val="0"/>
              <w:bidi w:val="0"/>
              <w:snapToGrid/>
              <w:spacing w:line="520" w:lineRule="exact"/>
              <w:ind w:left="0" w:leftChars="0" w:firstLine="1200" w:firstLineChars="500"/>
              <w:textAlignment w:val="auto"/>
              <w:rPr>
                <w:color w:val="auto"/>
                <w:sz w:val="24"/>
              </w:rPr>
            </w:pPr>
            <w:r>
              <w:rPr>
                <w:color w:val="auto"/>
                <w:sz w:val="24"/>
              </w:rPr>
              <w:t>C</w:t>
            </w:r>
            <w:r>
              <w:rPr>
                <w:color w:val="auto"/>
                <w:sz w:val="24"/>
                <w:vertAlign w:val="subscript"/>
              </w:rPr>
              <w:t>i</w:t>
            </w:r>
            <w:r>
              <w:rPr>
                <w:color w:val="auto"/>
                <w:sz w:val="24"/>
              </w:rPr>
              <w:t>——i评价因子的最大监测浓度（mg/m</w:t>
            </w:r>
            <w:r>
              <w:rPr>
                <w:color w:val="auto"/>
                <w:sz w:val="24"/>
                <w:vertAlign w:val="superscript"/>
              </w:rPr>
              <w:t>3</w:t>
            </w:r>
            <w:r>
              <w:rPr>
                <w:color w:val="auto"/>
                <w:sz w:val="24"/>
              </w:rPr>
              <w:t>）；</w:t>
            </w:r>
          </w:p>
          <w:p>
            <w:pPr>
              <w:pStyle w:val="53"/>
              <w:keepNext w:val="0"/>
              <w:keepLines w:val="0"/>
              <w:pageBreakBefore w:val="0"/>
              <w:widowControl w:val="0"/>
              <w:kinsoku/>
              <w:wordWrap/>
              <w:overflowPunct/>
              <w:topLinePunct w:val="0"/>
              <w:bidi w:val="0"/>
              <w:snapToGrid/>
              <w:spacing w:line="520" w:lineRule="exact"/>
              <w:ind w:left="0" w:leftChars="0" w:firstLine="1200" w:firstLineChars="500"/>
              <w:textAlignment w:val="auto"/>
              <w:rPr>
                <w:rFonts w:ascii="Times New Roman" w:cs="Times New Roman"/>
                <w:color w:val="auto"/>
              </w:rPr>
            </w:pPr>
            <w:r>
              <w:rPr>
                <w:rFonts w:ascii="Times New Roman" w:cs="Times New Roman"/>
                <w:color w:val="auto"/>
              </w:rPr>
              <w:t>C</w:t>
            </w:r>
            <w:r>
              <w:rPr>
                <w:rFonts w:ascii="Times New Roman" w:cs="Times New Roman"/>
                <w:color w:val="auto"/>
                <w:vertAlign w:val="subscript"/>
              </w:rPr>
              <w:t>oi</w:t>
            </w:r>
            <w:r>
              <w:rPr>
                <w:rFonts w:ascii="Times New Roman" w:cs="Times New Roman"/>
                <w:color w:val="auto"/>
              </w:rPr>
              <w:t>——i评价因子的评价标准（mg/m</w:t>
            </w:r>
            <w:r>
              <w:rPr>
                <w:rFonts w:ascii="Times New Roman" w:cs="Times New Roman"/>
                <w:color w:val="auto"/>
                <w:vertAlign w:val="superscript"/>
              </w:rPr>
              <w:t>3</w:t>
            </w:r>
            <w:r>
              <w:rPr>
                <w:rFonts w:ascii="Times New Roman" w:cs="Times New Roman"/>
                <w:color w:val="auto"/>
              </w:rPr>
              <w:t>）</w:t>
            </w:r>
          </w:p>
          <w:p>
            <w:pPr>
              <w:pStyle w:val="53"/>
              <w:keepNext w:val="0"/>
              <w:keepLines w:val="0"/>
              <w:pageBreakBefore w:val="0"/>
              <w:widowControl w:val="0"/>
              <w:kinsoku/>
              <w:wordWrap/>
              <w:overflowPunct/>
              <w:topLinePunct w:val="0"/>
              <w:bidi w:val="0"/>
              <w:snapToGrid/>
              <w:spacing w:line="520" w:lineRule="exact"/>
              <w:ind w:left="0" w:leftChars="0" w:firstLine="480" w:firstLineChars="200"/>
              <w:textAlignment w:val="auto"/>
              <w:rPr>
                <w:rFonts w:ascii="Times New Roman" w:cs="Times New Roman"/>
                <w:color w:val="auto"/>
              </w:rPr>
            </w:pPr>
            <w:r>
              <w:rPr>
                <w:rFonts w:ascii="Times New Roman" w:cs="Times New Roman"/>
                <w:color w:val="auto"/>
              </w:rPr>
              <w:t>（4）监测结果</w:t>
            </w:r>
          </w:p>
          <w:p>
            <w:pPr>
              <w:pStyle w:val="53"/>
              <w:keepNext w:val="0"/>
              <w:keepLines w:val="0"/>
              <w:pageBreakBefore w:val="0"/>
              <w:widowControl w:val="0"/>
              <w:kinsoku/>
              <w:wordWrap/>
              <w:overflowPunct/>
              <w:topLinePunct w:val="0"/>
              <w:bidi w:val="0"/>
              <w:snapToGrid/>
              <w:spacing w:line="520" w:lineRule="exact"/>
              <w:ind w:left="0" w:leftChars="0" w:firstLine="480" w:firstLineChars="200"/>
              <w:textAlignment w:val="auto"/>
              <w:rPr>
                <w:rFonts w:ascii="Times New Roman" w:cs="Times New Roman"/>
                <w:color w:val="auto"/>
              </w:rPr>
            </w:pPr>
            <w:r>
              <w:rPr>
                <w:rFonts w:hint="default" w:ascii="Times New Roman" w:hAnsi="Times New Roman" w:cs="Times New Roman"/>
                <w:bCs/>
                <w:color w:val="auto"/>
                <w:highlight w:val="none"/>
              </w:rPr>
              <w:t>特征污染物环境质量现状监测结果</w:t>
            </w:r>
            <w:r>
              <w:rPr>
                <w:rFonts w:ascii="Times New Roman" w:cs="Times New Roman"/>
                <w:color w:val="auto"/>
              </w:rPr>
              <w:t>见</w:t>
            </w:r>
            <w:r>
              <w:rPr>
                <w:rFonts w:hint="eastAsia" w:ascii="Times New Roman" w:cs="Times New Roman"/>
                <w:color w:val="auto"/>
              </w:rPr>
              <w:t>下表</w:t>
            </w:r>
            <w:r>
              <w:rPr>
                <w:rFonts w:ascii="Times New Roman" w:cs="Times New Roman"/>
                <w:color w:val="auto"/>
              </w:rPr>
              <w:t>。</w:t>
            </w:r>
          </w:p>
          <w:p>
            <w:pPr>
              <w:pStyle w:val="53"/>
              <w:keepNext w:val="0"/>
              <w:keepLines w:val="0"/>
              <w:pageBreakBefore w:val="0"/>
              <w:widowControl w:val="0"/>
              <w:kinsoku/>
              <w:wordWrap/>
              <w:overflowPunct/>
              <w:topLinePunct w:val="0"/>
              <w:bidi w:val="0"/>
              <w:snapToGrid/>
              <w:spacing w:line="520" w:lineRule="exact"/>
              <w:ind w:left="0" w:leftChars="0"/>
              <w:jc w:val="center"/>
              <w:textAlignment w:val="auto"/>
              <w:rPr>
                <w:rFonts w:ascii="Times New Roman" w:cs="Times New Roman"/>
                <w:b/>
                <w:bCs/>
                <w:color w:val="auto"/>
              </w:rPr>
            </w:pPr>
            <w:r>
              <w:rPr>
                <w:rFonts w:ascii="Times New Roman" w:cs="Times New Roman"/>
                <w:b/>
                <w:bCs/>
                <w:color w:val="auto"/>
              </w:rPr>
              <w:t>表</w:t>
            </w:r>
            <w:r>
              <w:rPr>
                <w:rFonts w:hint="eastAsia" w:ascii="Times New Roman" w:cs="Times New Roman"/>
                <w:b/>
                <w:bCs/>
                <w:color w:val="auto"/>
                <w:lang w:val="en-US" w:eastAsia="zh-CN"/>
              </w:rPr>
              <w:t xml:space="preserve">3-3 </w:t>
            </w:r>
            <w:r>
              <w:rPr>
                <w:rFonts w:ascii="Times New Roman" w:cs="Times New Roman"/>
                <w:b/>
                <w:bCs/>
                <w:color w:val="auto"/>
              </w:rPr>
              <w:t xml:space="preserve">  </w:t>
            </w:r>
            <w:r>
              <w:rPr>
                <w:rFonts w:hint="eastAsia" w:ascii="Times New Roman" w:cs="Times New Roman"/>
                <w:b/>
                <w:bCs/>
                <w:color w:val="auto"/>
              </w:rPr>
              <w:t>颗粒物</w:t>
            </w:r>
            <w:r>
              <w:rPr>
                <w:rFonts w:hint="eastAsia"/>
                <w:b/>
                <w:color w:val="auto"/>
              </w:rPr>
              <w:t>质量现状</w:t>
            </w:r>
            <w:r>
              <w:rPr>
                <w:rFonts w:hint="eastAsia" w:ascii="Times New Roman" w:cs="Times New Roman"/>
                <w:b/>
                <w:bCs/>
                <w:color w:val="auto"/>
              </w:rPr>
              <w:t>评价</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387"/>
              <w:gridCol w:w="1601"/>
              <w:gridCol w:w="1392"/>
              <w:gridCol w:w="2035"/>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noWrap w:val="0"/>
                  <w:vAlign w:val="center"/>
                </w:tcPr>
                <w:p>
                  <w:pPr>
                    <w:pStyle w:val="53"/>
                    <w:jc w:val="center"/>
                    <w:rPr>
                      <w:rFonts w:hint="eastAsia" w:ascii="Times New Roman" w:eastAsia="宋体" w:cs="Times New Roman"/>
                      <w:color w:val="auto"/>
                      <w:sz w:val="21"/>
                      <w:szCs w:val="21"/>
                      <w:lang w:val="en-US" w:eastAsia="zh-CN"/>
                    </w:rPr>
                  </w:pPr>
                  <w:r>
                    <w:rPr>
                      <w:rFonts w:ascii="Times New Roman" w:cs="Times New Roman"/>
                      <w:color w:val="auto"/>
                      <w:sz w:val="21"/>
                      <w:szCs w:val="21"/>
                    </w:rPr>
                    <w:t>监测</w:t>
                  </w:r>
                  <w:r>
                    <w:rPr>
                      <w:rFonts w:hint="eastAsia" w:ascii="Times New Roman" w:cs="Times New Roman"/>
                      <w:color w:val="auto"/>
                      <w:sz w:val="21"/>
                      <w:szCs w:val="21"/>
                      <w:lang w:val="en-US" w:eastAsia="zh-CN"/>
                    </w:rPr>
                    <w:t>因子</w:t>
                  </w:r>
                </w:p>
              </w:tc>
              <w:tc>
                <w:tcPr>
                  <w:tcW w:w="834" w:type="pct"/>
                  <w:noWrap w:val="0"/>
                  <w:vAlign w:val="center"/>
                </w:tcPr>
                <w:p>
                  <w:pPr>
                    <w:pStyle w:val="53"/>
                    <w:jc w:val="center"/>
                    <w:rPr>
                      <w:rFonts w:ascii="Times New Roman" w:cs="Times New Roman"/>
                      <w:color w:val="auto"/>
                      <w:sz w:val="21"/>
                      <w:szCs w:val="21"/>
                    </w:rPr>
                  </w:pPr>
                  <w:r>
                    <w:rPr>
                      <w:rFonts w:ascii="Times New Roman" w:cs="Times New Roman"/>
                      <w:color w:val="auto"/>
                      <w:sz w:val="21"/>
                      <w:szCs w:val="21"/>
                    </w:rPr>
                    <w:t>时间</w:t>
                  </w:r>
                </w:p>
              </w:tc>
              <w:tc>
                <w:tcPr>
                  <w:tcW w:w="963" w:type="pct"/>
                  <w:noWrap w:val="0"/>
                  <w:vAlign w:val="center"/>
                </w:tcPr>
                <w:p>
                  <w:pPr>
                    <w:pStyle w:val="53"/>
                    <w:jc w:val="center"/>
                    <w:rPr>
                      <w:rFonts w:ascii="Times New Roman" w:cs="Times New Roman"/>
                      <w:color w:val="auto"/>
                      <w:sz w:val="21"/>
                      <w:szCs w:val="21"/>
                    </w:rPr>
                  </w:pPr>
                  <w:r>
                    <w:rPr>
                      <w:rFonts w:ascii="Times New Roman" w:cs="Times New Roman"/>
                      <w:color w:val="auto"/>
                      <w:sz w:val="21"/>
                      <w:szCs w:val="21"/>
                    </w:rPr>
                    <w:t>浓度（mg/m</w:t>
                  </w:r>
                  <w:r>
                    <w:rPr>
                      <w:rFonts w:ascii="Times New Roman" w:cs="Times New Roman"/>
                      <w:color w:val="auto"/>
                      <w:sz w:val="21"/>
                      <w:szCs w:val="21"/>
                      <w:vertAlign w:val="superscript"/>
                    </w:rPr>
                    <w:t>3</w:t>
                  </w:r>
                  <w:r>
                    <w:rPr>
                      <w:rFonts w:ascii="Times New Roman" w:cs="Times New Roman"/>
                      <w:color w:val="auto"/>
                      <w:sz w:val="21"/>
                      <w:szCs w:val="21"/>
                    </w:rPr>
                    <w:t>）</w:t>
                  </w:r>
                </w:p>
              </w:tc>
              <w:tc>
                <w:tcPr>
                  <w:tcW w:w="837" w:type="pct"/>
                  <w:noWrap w:val="0"/>
                  <w:vAlign w:val="center"/>
                </w:tcPr>
                <w:p>
                  <w:pPr>
                    <w:pStyle w:val="53"/>
                    <w:jc w:val="center"/>
                    <w:rPr>
                      <w:rFonts w:ascii="Times New Roman" w:cs="Times New Roman"/>
                      <w:color w:val="auto"/>
                      <w:sz w:val="21"/>
                      <w:szCs w:val="21"/>
                    </w:rPr>
                  </w:pPr>
                  <w:r>
                    <w:rPr>
                      <w:rFonts w:ascii="Times New Roman" w:cs="Times New Roman"/>
                      <w:color w:val="auto"/>
                      <w:sz w:val="21"/>
                      <w:szCs w:val="21"/>
                    </w:rPr>
                    <w:t>标准值（mg/m</w:t>
                  </w:r>
                  <w:r>
                    <w:rPr>
                      <w:rFonts w:ascii="Times New Roman" w:cs="Times New Roman"/>
                      <w:color w:val="auto"/>
                      <w:sz w:val="21"/>
                      <w:szCs w:val="21"/>
                      <w:vertAlign w:val="superscript"/>
                    </w:rPr>
                    <w:t>3</w:t>
                  </w:r>
                  <w:r>
                    <w:rPr>
                      <w:rFonts w:ascii="Times New Roman" w:cs="Times New Roman"/>
                      <w:color w:val="auto"/>
                      <w:sz w:val="21"/>
                      <w:szCs w:val="21"/>
                    </w:rPr>
                    <w:t>）</w:t>
                  </w:r>
                </w:p>
              </w:tc>
              <w:tc>
                <w:tcPr>
                  <w:tcW w:w="1224" w:type="pct"/>
                  <w:noWrap w:val="0"/>
                  <w:vAlign w:val="center"/>
                </w:tcPr>
                <w:p>
                  <w:pPr>
                    <w:pStyle w:val="53"/>
                    <w:jc w:val="center"/>
                    <w:rPr>
                      <w:rFonts w:ascii="Times New Roman" w:cs="Times New Roman"/>
                      <w:color w:val="auto"/>
                      <w:sz w:val="21"/>
                      <w:szCs w:val="21"/>
                    </w:rPr>
                  </w:pPr>
                  <w:r>
                    <w:rPr>
                      <w:rFonts w:ascii="Times New Roman" w:cs="Times New Roman"/>
                      <w:color w:val="auto"/>
                      <w:sz w:val="21"/>
                      <w:szCs w:val="21"/>
                    </w:rPr>
                    <w:t>浓度占标率（％）</w:t>
                  </w:r>
                </w:p>
              </w:tc>
              <w:tc>
                <w:tcPr>
                  <w:tcW w:w="616" w:type="pct"/>
                  <w:noWrap w:val="0"/>
                  <w:vAlign w:val="center"/>
                </w:tcPr>
                <w:p>
                  <w:pPr>
                    <w:pStyle w:val="53"/>
                    <w:jc w:val="center"/>
                    <w:rPr>
                      <w:rFonts w:ascii="Times New Roman" w:cs="Times New Roman"/>
                      <w:color w:val="auto"/>
                      <w:sz w:val="21"/>
                      <w:szCs w:val="21"/>
                    </w:rPr>
                  </w:pPr>
                  <w:r>
                    <w:rPr>
                      <w:rFonts w:ascii="Times New Roman" w:cs="Times New Roman"/>
                      <w:color w:val="auto"/>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vMerge w:val="restart"/>
                  <w:noWrap w:val="0"/>
                  <w:vAlign w:val="center"/>
                </w:tcPr>
                <w:p>
                  <w:pPr>
                    <w:pStyle w:val="53"/>
                    <w:jc w:val="center"/>
                    <w:rPr>
                      <w:rFonts w:hint="default" w:ascii="Calibri" w:hAnsi="Calibri" w:eastAsia="宋体" w:cs="Times New Roman"/>
                      <w:color w:val="auto"/>
                      <w:sz w:val="21"/>
                      <w:szCs w:val="21"/>
                      <w:lang w:val="en-US" w:eastAsia="zh-CN"/>
                    </w:rPr>
                  </w:pPr>
                  <w:r>
                    <w:rPr>
                      <w:rFonts w:hint="default" w:ascii="Calibri" w:hAnsi="Calibri"/>
                      <w:sz w:val="21"/>
                      <w:szCs w:val="21"/>
                      <w:lang w:val="en-US" w:eastAsia="zh-CN"/>
                    </w:rPr>
                    <w:t>TSP</w:t>
                  </w:r>
                </w:p>
              </w:tc>
              <w:tc>
                <w:tcPr>
                  <w:tcW w:w="1387" w:type="dxa"/>
                  <w:noWrap w:val="0"/>
                  <w:vAlign w:val="center"/>
                </w:tcPr>
                <w:p>
                  <w:pPr>
                    <w:jc w:val="center"/>
                    <w:rPr>
                      <w:rFonts w:hint="default" w:ascii="Calibri" w:hAnsi="Calibri" w:eastAsia="宋体"/>
                      <w:color w:val="auto"/>
                      <w:sz w:val="21"/>
                      <w:szCs w:val="21"/>
                      <w:lang w:val="en-US" w:eastAsia="zh-CN"/>
                    </w:rPr>
                  </w:pPr>
                  <w:r>
                    <w:rPr>
                      <w:rFonts w:hint="eastAsia" w:ascii="Calibri" w:hAnsi="Calibri"/>
                      <w:color w:val="auto"/>
                      <w:sz w:val="21"/>
                      <w:szCs w:val="21"/>
                      <w:lang w:val="en-US" w:eastAsia="zh-CN"/>
                    </w:rPr>
                    <w:t>9</w:t>
                  </w:r>
                  <w:r>
                    <w:rPr>
                      <w:rFonts w:hint="default" w:ascii="Calibri" w:hAnsi="Calibri"/>
                      <w:color w:val="auto"/>
                      <w:sz w:val="21"/>
                      <w:szCs w:val="21"/>
                      <w:lang w:val="en-US" w:eastAsia="zh-CN"/>
                    </w:rPr>
                    <w:t>月</w:t>
                  </w:r>
                  <w:r>
                    <w:rPr>
                      <w:rFonts w:hint="eastAsia" w:ascii="Calibri" w:hAnsi="Calibri"/>
                      <w:color w:val="auto"/>
                      <w:sz w:val="21"/>
                      <w:szCs w:val="21"/>
                      <w:lang w:val="en-US" w:eastAsia="zh-CN"/>
                    </w:rPr>
                    <w:t>15</w:t>
                  </w:r>
                  <w:r>
                    <w:rPr>
                      <w:rFonts w:hint="default" w:ascii="Calibri" w:hAnsi="Calibri"/>
                      <w:color w:val="auto"/>
                      <w:sz w:val="21"/>
                      <w:szCs w:val="21"/>
                      <w:lang w:val="en-US" w:eastAsia="zh-CN"/>
                    </w:rPr>
                    <w:t>日</w:t>
                  </w:r>
                  <w:r>
                    <w:rPr>
                      <w:rFonts w:hint="eastAsia" w:ascii="Calibri" w:hAnsi="Calibri"/>
                      <w:color w:val="auto"/>
                      <w:sz w:val="21"/>
                      <w:szCs w:val="21"/>
                      <w:lang w:val="en-US" w:eastAsia="zh-CN"/>
                    </w:rPr>
                    <w:t>-16日</w:t>
                  </w:r>
                </w:p>
              </w:tc>
              <w:tc>
                <w:tcPr>
                  <w:tcW w:w="963" w:type="pct"/>
                  <w:noWrap w:val="0"/>
                  <w:vAlign w:val="center"/>
                </w:tcPr>
                <w:p>
                  <w:pPr>
                    <w:pStyle w:val="53"/>
                    <w:jc w:val="center"/>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0.229</w:t>
                  </w:r>
                </w:p>
              </w:tc>
              <w:tc>
                <w:tcPr>
                  <w:tcW w:w="837" w:type="pct"/>
                  <w:vMerge w:val="restart"/>
                  <w:noWrap w:val="0"/>
                  <w:vAlign w:val="center"/>
                </w:tcPr>
                <w:p>
                  <w:pPr>
                    <w:pStyle w:val="53"/>
                    <w:jc w:val="center"/>
                    <w:rPr>
                      <w:rFonts w:ascii="Times New Roman" w:cs="Times New Roman"/>
                      <w:color w:val="auto"/>
                      <w:sz w:val="21"/>
                      <w:szCs w:val="21"/>
                    </w:rPr>
                  </w:pPr>
                  <w:r>
                    <w:rPr>
                      <w:rFonts w:hint="eastAsia" w:ascii="Times New Roman" w:cs="Times New Roman"/>
                      <w:color w:val="auto"/>
                      <w:sz w:val="21"/>
                      <w:szCs w:val="21"/>
                    </w:rPr>
                    <w:t>0.3</w:t>
                  </w:r>
                </w:p>
              </w:tc>
              <w:tc>
                <w:tcPr>
                  <w:tcW w:w="1224" w:type="pct"/>
                  <w:noWrap w:val="0"/>
                  <w:vAlign w:val="center"/>
                </w:tcPr>
                <w:p>
                  <w:pPr>
                    <w:pStyle w:val="53"/>
                    <w:jc w:val="center"/>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76.3%</w:t>
                  </w:r>
                </w:p>
              </w:tc>
              <w:tc>
                <w:tcPr>
                  <w:tcW w:w="616" w:type="pct"/>
                  <w:noWrap w:val="0"/>
                  <w:vAlign w:val="center"/>
                </w:tcPr>
                <w:p>
                  <w:pPr>
                    <w:pStyle w:val="53"/>
                    <w:jc w:val="center"/>
                    <w:rPr>
                      <w:rFonts w:hint="eastAsia" w:ascii="Times New Roman" w:cs="Times New Roman"/>
                      <w:color w:val="auto"/>
                      <w:sz w:val="21"/>
                      <w:szCs w:val="21"/>
                    </w:rPr>
                  </w:pPr>
                  <w:r>
                    <w:rPr>
                      <w:rFonts w:hint="eastAsia" w:ascii="Times New Roman" w:cs="Times New Roman"/>
                      <w:color w:val="auto"/>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vMerge w:val="continue"/>
                  <w:noWrap w:val="0"/>
                  <w:vAlign w:val="center"/>
                </w:tcPr>
                <w:p>
                  <w:pPr>
                    <w:pStyle w:val="53"/>
                    <w:jc w:val="center"/>
                    <w:rPr>
                      <w:rFonts w:hint="default" w:ascii="Calibri" w:hAnsi="Calibri" w:cs="Times New Roman"/>
                      <w:color w:val="auto"/>
                      <w:sz w:val="21"/>
                      <w:szCs w:val="21"/>
                    </w:rPr>
                  </w:pPr>
                </w:p>
              </w:tc>
              <w:tc>
                <w:tcPr>
                  <w:tcW w:w="1387" w:type="dxa"/>
                  <w:noWrap w:val="0"/>
                  <w:vAlign w:val="center"/>
                </w:tcPr>
                <w:p>
                  <w:pPr>
                    <w:jc w:val="center"/>
                    <w:rPr>
                      <w:rFonts w:hint="default" w:ascii="Calibri" w:hAnsi="Calibri"/>
                      <w:color w:val="auto"/>
                      <w:sz w:val="21"/>
                      <w:szCs w:val="21"/>
                    </w:rPr>
                  </w:pPr>
                  <w:r>
                    <w:rPr>
                      <w:rFonts w:hint="eastAsia" w:ascii="Calibri" w:hAnsi="Calibri"/>
                      <w:color w:val="auto"/>
                      <w:sz w:val="21"/>
                      <w:szCs w:val="21"/>
                      <w:lang w:val="en-US" w:eastAsia="zh-CN"/>
                    </w:rPr>
                    <w:t>9</w:t>
                  </w:r>
                  <w:r>
                    <w:rPr>
                      <w:rFonts w:hint="default" w:ascii="Calibri" w:hAnsi="Calibri"/>
                      <w:color w:val="auto"/>
                      <w:sz w:val="21"/>
                      <w:szCs w:val="21"/>
                      <w:lang w:val="en-US" w:eastAsia="zh-CN"/>
                    </w:rPr>
                    <w:t>月</w:t>
                  </w:r>
                  <w:r>
                    <w:rPr>
                      <w:rFonts w:hint="eastAsia" w:ascii="Calibri" w:hAnsi="Calibri"/>
                      <w:color w:val="auto"/>
                      <w:sz w:val="21"/>
                      <w:szCs w:val="21"/>
                      <w:lang w:val="en-US" w:eastAsia="zh-CN"/>
                    </w:rPr>
                    <w:t>16</w:t>
                  </w:r>
                  <w:r>
                    <w:rPr>
                      <w:rFonts w:hint="default" w:ascii="Calibri" w:hAnsi="Calibri"/>
                      <w:color w:val="auto"/>
                      <w:sz w:val="21"/>
                      <w:szCs w:val="21"/>
                      <w:lang w:val="en-US" w:eastAsia="zh-CN"/>
                    </w:rPr>
                    <w:t>日</w:t>
                  </w:r>
                  <w:r>
                    <w:rPr>
                      <w:rFonts w:hint="eastAsia" w:ascii="Calibri" w:hAnsi="Calibri"/>
                      <w:color w:val="auto"/>
                      <w:sz w:val="21"/>
                      <w:szCs w:val="21"/>
                      <w:lang w:val="en-US" w:eastAsia="zh-CN"/>
                    </w:rPr>
                    <w:t>-17日</w:t>
                  </w:r>
                </w:p>
              </w:tc>
              <w:tc>
                <w:tcPr>
                  <w:tcW w:w="963" w:type="pct"/>
                  <w:noWrap w:val="0"/>
                  <w:vAlign w:val="center"/>
                </w:tcPr>
                <w:p>
                  <w:pPr>
                    <w:pStyle w:val="53"/>
                    <w:jc w:val="center"/>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0.221</w:t>
                  </w:r>
                </w:p>
              </w:tc>
              <w:tc>
                <w:tcPr>
                  <w:tcW w:w="837" w:type="pct"/>
                  <w:vMerge w:val="continue"/>
                  <w:noWrap w:val="0"/>
                  <w:vAlign w:val="center"/>
                </w:tcPr>
                <w:p>
                  <w:pPr>
                    <w:pStyle w:val="53"/>
                    <w:jc w:val="center"/>
                    <w:rPr>
                      <w:rFonts w:ascii="Times New Roman" w:cs="Times New Roman"/>
                      <w:color w:val="auto"/>
                      <w:sz w:val="21"/>
                      <w:szCs w:val="21"/>
                    </w:rPr>
                  </w:pPr>
                </w:p>
              </w:tc>
              <w:tc>
                <w:tcPr>
                  <w:tcW w:w="1224" w:type="pct"/>
                  <w:noWrap w:val="0"/>
                  <w:vAlign w:val="center"/>
                </w:tcPr>
                <w:p>
                  <w:pPr>
                    <w:autoSpaceDE w:val="0"/>
                    <w:autoSpaceDN w:val="0"/>
                    <w:adjustRightInd w:val="0"/>
                    <w:jc w:val="center"/>
                    <w:rPr>
                      <w:rFonts w:hint="default" w:eastAsia="宋体"/>
                      <w:color w:val="auto"/>
                      <w:szCs w:val="21"/>
                      <w:lang w:val="en-US" w:eastAsia="zh-CN"/>
                    </w:rPr>
                  </w:pPr>
                  <w:r>
                    <w:rPr>
                      <w:rFonts w:hint="eastAsia"/>
                      <w:color w:val="auto"/>
                      <w:szCs w:val="21"/>
                      <w:lang w:val="en-US" w:eastAsia="zh-CN"/>
                    </w:rPr>
                    <w:t>73.7%</w:t>
                  </w:r>
                </w:p>
              </w:tc>
              <w:tc>
                <w:tcPr>
                  <w:tcW w:w="616" w:type="pct"/>
                  <w:noWrap w:val="0"/>
                  <w:vAlign w:val="center"/>
                </w:tcPr>
                <w:p>
                  <w:pPr>
                    <w:autoSpaceDE w:val="0"/>
                    <w:autoSpaceDN w:val="0"/>
                    <w:adjustRightInd w:val="0"/>
                    <w:jc w:val="center"/>
                    <w:rPr>
                      <w:color w:val="auto"/>
                      <w:szCs w:val="21"/>
                    </w:rPr>
                  </w:pPr>
                  <w:r>
                    <w:rPr>
                      <w:rFonts w:hint="eastAsia"/>
                      <w:color w:val="auto"/>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vMerge w:val="continue"/>
                  <w:noWrap w:val="0"/>
                  <w:vAlign w:val="center"/>
                </w:tcPr>
                <w:p>
                  <w:pPr>
                    <w:pStyle w:val="53"/>
                    <w:jc w:val="center"/>
                    <w:rPr>
                      <w:rFonts w:ascii="Times New Roman" w:cs="Times New Roman"/>
                      <w:color w:val="auto"/>
                      <w:sz w:val="21"/>
                      <w:szCs w:val="21"/>
                    </w:rPr>
                  </w:pPr>
                </w:p>
              </w:tc>
              <w:tc>
                <w:tcPr>
                  <w:tcW w:w="1387" w:type="dxa"/>
                  <w:noWrap w:val="0"/>
                  <w:vAlign w:val="center"/>
                </w:tcPr>
                <w:p>
                  <w:pPr>
                    <w:jc w:val="center"/>
                    <w:rPr>
                      <w:color w:val="auto"/>
                      <w:szCs w:val="21"/>
                    </w:rPr>
                  </w:pPr>
                  <w:r>
                    <w:rPr>
                      <w:rFonts w:hint="eastAsia"/>
                      <w:color w:val="auto"/>
                      <w:szCs w:val="21"/>
                      <w:lang w:val="en-US" w:eastAsia="zh-CN"/>
                    </w:rPr>
                    <w:t>9月17日</w:t>
                  </w:r>
                  <w:r>
                    <w:rPr>
                      <w:rFonts w:hint="eastAsia" w:ascii="Calibri" w:hAnsi="Calibri"/>
                      <w:color w:val="auto"/>
                      <w:sz w:val="21"/>
                      <w:szCs w:val="21"/>
                      <w:lang w:val="en-US" w:eastAsia="zh-CN"/>
                    </w:rPr>
                    <w:t>-18日</w:t>
                  </w:r>
                </w:p>
              </w:tc>
              <w:tc>
                <w:tcPr>
                  <w:tcW w:w="963" w:type="pct"/>
                  <w:noWrap w:val="0"/>
                  <w:vAlign w:val="center"/>
                </w:tcPr>
                <w:p>
                  <w:pPr>
                    <w:pStyle w:val="53"/>
                    <w:jc w:val="center"/>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0.223</w:t>
                  </w:r>
                </w:p>
              </w:tc>
              <w:tc>
                <w:tcPr>
                  <w:tcW w:w="837" w:type="pct"/>
                  <w:vMerge w:val="continue"/>
                  <w:noWrap w:val="0"/>
                  <w:vAlign w:val="center"/>
                </w:tcPr>
                <w:p>
                  <w:pPr>
                    <w:pStyle w:val="53"/>
                    <w:jc w:val="center"/>
                    <w:rPr>
                      <w:rFonts w:ascii="Times New Roman" w:cs="Times New Roman"/>
                      <w:color w:val="auto"/>
                      <w:sz w:val="21"/>
                      <w:szCs w:val="21"/>
                    </w:rPr>
                  </w:pPr>
                </w:p>
              </w:tc>
              <w:tc>
                <w:tcPr>
                  <w:tcW w:w="1224" w:type="pct"/>
                  <w:noWrap w:val="0"/>
                  <w:vAlign w:val="center"/>
                </w:tcPr>
                <w:p>
                  <w:pPr>
                    <w:autoSpaceDE w:val="0"/>
                    <w:autoSpaceDN w:val="0"/>
                    <w:adjustRightInd w:val="0"/>
                    <w:jc w:val="center"/>
                    <w:rPr>
                      <w:rFonts w:hint="default" w:eastAsia="宋体"/>
                      <w:color w:val="auto"/>
                      <w:szCs w:val="21"/>
                      <w:lang w:val="en-US" w:eastAsia="zh-CN"/>
                    </w:rPr>
                  </w:pPr>
                  <w:r>
                    <w:rPr>
                      <w:rFonts w:hint="eastAsia"/>
                      <w:color w:val="auto"/>
                      <w:szCs w:val="21"/>
                      <w:lang w:val="en-US" w:eastAsia="zh-CN"/>
                    </w:rPr>
                    <w:t>74.3%</w:t>
                  </w:r>
                </w:p>
              </w:tc>
              <w:tc>
                <w:tcPr>
                  <w:tcW w:w="616" w:type="pct"/>
                  <w:noWrap w:val="0"/>
                  <w:vAlign w:val="center"/>
                </w:tcPr>
                <w:p>
                  <w:pPr>
                    <w:autoSpaceDE w:val="0"/>
                    <w:autoSpaceDN w:val="0"/>
                    <w:adjustRightInd w:val="0"/>
                    <w:jc w:val="center"/>
                    <w:rPr>
                      <w:color w:val="auto"/>
                      <w:szCs w:val="21"/>
                    </w:rPr>
                  </w:pPr>
                  <w:r>
                    <w:rPr>
                      <w:rFonts w:hint="eastAsia"/>
                      <w:color w:val="auto"/>
                      <w:szCs w:val="21"/>
                    </w:rPr>
                    <w:t>达标</w:t>
                  </w:r>
                </w:p>
              </w:tc>
            </w:tr>
          </w:tbl>
          <w:p>
            <w:pPr>
              <w:pStyle w:val="53"/>
              <w:keepNext w:val="0"/>
              <w:keepLines w:val="0"/>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
                <w:color w:val="auto"/>
              </w:rPr>
            </w:pPr>
            <w:r>
              <w:rPr>
                <w:rFonts w:hint="eastAsia" w:ascii="宋体" w:hAnsi="宋体" w:eastAsia="宋体" w:cs="宋体"/>
                <w:color w:val="auto"/>
              </w:rPr>
              <w:t>根据特征污染物补充监测数据结果，项目所在区域</w:t>
            </w:r>
            <w:r>
              <w:rPr>
                <w:rFonts w:hint="eastAsia" w:ascii="宋体" w:hAnsi="宋体" w:eastAsia="宋体" w:cs="宋体"/>
                <w:lang w:val="en-US" w:eastAsia="zh-CN"/>
              </w:rPr>
              <w:t>TSP</w:t>
            </w:r>
            <w:r>
              <w:rPr>
                <w:rFonts w:hint="eastAsia" w:ascii="宋体" w:hAnsi="宋体" w:eastAsia="宋体" w:cs="宋体"/>
                <w:color w:val="auto"/>
              </w:rPr>
              <w:t>最大浓度占标率范围在</w:t>
            </w:r>
            <w:r>
              <w:rPr>
                <w:rFonts w:hint="eastAsia" w:ascii="宋体" w:hAnsi="宋体" w:eastAsia="宋体" w:cs="宋体"/>
                <w:color w:val="auto"/>
                <w:lang w:eastAsia="zh-CN"/>
              </w:rPr>
              <w:t>73.7％—76.3％</w:t>
            </w:r>
            <w:r>
              <w:rPr>
                <w:rFonts w:hint="eastAsia" w:ascii="宋体" w:hAnsi="宋体" w:eastAsia="宋体" w:cs="宋体"/>
                <w:color w:val="auto"/>
              </w:rPr>
              <w:t>，满足《环境空气质量标准》（GB3095-2026）过渡阶段浓度限值中二级标准。</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sz w:val="24"/>
              </w:rPr>
            </w:pPr>
            <w:r>
              <w:rPr>
                <w:rFonts w:hint="default" w:ascii="Times New Roman" w:hAnsi="Times New Roman" w:cs="Times New Roman"/>
                <w:b/>
                <w:sz w:val="24"/>
              </w:rPr>
              <w:t>二、地表水环境质量现状调查与评价</w:t>
            </w:r>
            <w:bookmarkStart w:id="3" w:name="_Toc329596219"/>
            <w:bookmarkStart w:id="4" w:name="_Toc396385923"/>
          </w:p>
          <w:bookmarkEnd w:id="3"/>
          <w:bookmarkEnd w:id="4"/>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firstLine="480" w:firstLineChars="200"/>
              <w:textAlignment w:val="auto"/>
              <w:rPr>
                <w:rFonts w:hint="eastAsia" w:ascii="Times New Roman" w:hAnsi="Times New Roman" w:eastAsia="宋体" w:cs="Times New Roman"/>
                <w:caps w:val="0"/>
                <w:smallCaps w:val="0"/>
                <w:color w:val="auto"/>
                <w:spacing w:val="0"/>
                <w:w w:val="100"/>
                <w:kern w:val="2"/>
                <w:position w:val="0"/>
                <w:sz w:val="24"/>
                <w:highlight w:val="none"/>
                <w:lang w:val="en-US" w:eastAsia="zh-CN"/>
              </w:rPr>
            </w:pPr>
            <w:r>
              <w:rPr>
                <w:rFonts w:hint="eastAsia" w:ascii="Times New Roman" w:hAnsi="Times New Roman" w:eastAsia="宋体" w:cs="Times New Roman"/>
                <w:caps w:val="0"/>
                <w:smallCaps w:val="0"/>
                <w:color w:val="auto"/>
                <w:spacing w:val="0"/>
                <w:w w:val="100"/>
                <w:kern w:val="2"/>
                <w:position w:val="0"/>
                <w:sz w:val="24"/>
                <w:highlight w:val="none"/>
                <w:lang w:val="en-US" w:eastAsia="zh-CN"/>
              </w:rPr>
              <w:t>根据《2024年巴音郭楞蒙古自治州生态环境状况公报》可知：2024年，全州地表水监测的31个考核断面（点位）中，Ⅰ~Ⅲ类优良水质断面（点位）占比90.3%，无Ⅳ类水质。6条主要河流19个监测断面中Ⅰ~Ⅲ类优良水质断面占100%，3个重要湖泊（水库）12个监测点位中Ⅰ~Ⅲ类优良水质断面占75%，无劣Ⅴ类水体，湖泊水质影响因子为化学需氧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Cs/>
                <w:sz w:val="24"/>
                <w:szCs w:val="20"/>
              </w:rPr>
            </w:pPr>
            <w:r>
              <w:rPr>
                <w:rFonts w:hint="default" w:ascii="Times New Roman" w:hAnsi="Times New Roman" w:eastAsia="宋体" w:cs="Times New Roman"/>
                <w:caps w:val="0"/>
                <w:smallCaps w:val="0"/>
                <w:color w:val="auto"/>
                <w:spacing w:val="0"/>
                <w:w w:val="100"/>
                <w:kern w:val="2"/>
                <w:position w:val="0"/>
                <w:sz w:val="24"/>
                <w:highlight w:val="none"/>
                <w:lang w:val="en-US" w:eastAsia="zh-CN"/>
              </w:rPr>
              <w:t>本项目</w:t>
            </w:r>
            <w:r>
              <w:rPr>
                <w:rFonts w:hint="eastAsia" w:ascii="Times New Roman" w:hAnsi="Times New Roman" w:eastAsia="宋体" w:cs="Times New Roman"/>
                <w:caps w:val="0"/>
                <w:smallCaps w:val="0"/>
                <w:color w:val="auto"/>
                <w:spacing w:val="0"/>
                <w:w w:val="100"/>
                <w:kern w:val="2"/>
                <w:position w:val="0"/>
                <w:sz w:val="24"/>
                <w:highlight w:val="none"/>
                <w:lang w:val="en-US" w:eastAsia="zh-CN"/>
              </w:rPr>
              <w:t>最近地表水为迪那河</w:t>
            </w:r>
            <w:r>
              <w:rPr>
                <w:rFonts w:hint="default" w:ascii="Times New Roman" w:hAnsi="Times New Roman" w:cs="Times New Roman"/>
                <w:b w:val="0"/>
                <w:bCs w:val="0"/>
                <w:caps w:val="0"/>
                <w:smallCaps w:val="0"/>
                <w:color w:val="auto"/>
                <w:spacing w:val="0"/>
                <w:w w:val="100"/>
                <w:kern w:val="2"/>
                <w:position w:val="0"/>
                <w:sz w:val="24"/>
                <w:szCs w:val="24"/>
                <w:highlight w:val="none"/>
                <w:lang w:eastAsia="zh-CN"/>
              </w:rPr>
              <w:t>，</w:t>
            </w:r>
            <w:r>
              <w:rPr>
                <w:rFonts w:hint="eastAsia" w:ascii="Calibri" w:hAnsi="Calibri" w:eastAsia="宋体" w:cs="宋体"/>
                <w:kern w:val="0"/>
                <w:sz w:val="24"/>
                <w:szCs w:val="24"/>
                <w:lang w:val="en-US" w:eastAsia="zh-CN"/>
              </w:rPr>
              <w:t>迪那河</w:t>
            </w:r>
            <w:r>
              <w:rPr>
                <w:rFonts w:hint="default" w:ascii="Calibri" w:hAnsi="Calibri" w:eastAsia="宋体" w:cs="宋体"/>
                <w:kern w:val="0"/>
                <w:sz w:val="24"/>
                <w:szCs w:val="24"/>
                <w:lang w:val="en-US" w:eastAsia="zh-CN"/>
              </w:rPr>
              <w:t>执行《地表水环境质量标准》（GB3838-2002）Ⅱ类标准，</w:t>
            </w:r>
            <w:r>
              <w:rPr>
                <w:rFonts w:hint="eastAsia" w:ascii="Calibri" w:hAnsi="Calibri" w:eastAsia="宋体" w:cs="宋体"/>
                <w:kern w:val="0"/>
                <w:sz w:val="24"/>
                <w:szCs w:val="24"/>
                <w:lang w:val="en-US" w:eastAsia="zh-CN"/>
              </w:rPr>
              <w:t>迪那河</w:t>
            </w:r>
            <w:r>
              <w:rPr>
                <w:rFonts w:hint="default" w:ascii="Calibri" w:hAnsi="Calibri" w:eastAsia="宋体" w:cs="宋体"/>
                <w:kern w:val="0"/>
                <w:sz w:val="24"/>
                <w:szCs w:val="24"/>
                <w:lang w:val="en-US" w:eastAsia="zh-CN"/>
              </w:rPr>
              <w:t>水环境质量满足Ⅱ类标准</w:t>
            </w:r>
            <w:r>
              <w:rPr>
                <w:rFonts w:hint="default" w:ascii="Times New Roman" w:hAnsi="Times New Roman" w:cs="Times New Roman"/>
                <w:bCs/>
                <w:sz w:val="24"/>
                <w:szCs w:val="20"/>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sz w:val="24"/>
                <w:szCs w:val="20"/>
              </w:rPr>
            </w:pPr>
            <w:r>
              <w:rPr>
                <w:rFonts w:hint="default" w:ascii="Times New Roman" w:hAnsi="Times New Roman" w:cs="Times New Roman"/>
                <w:b/>
                <w:sz w:val="24"/>
                <w:szCs w:val="20"/>
              </w:rPr>
              <w:t>三、声环境状况调查与评价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本项目50米范围内不涉及以居住、医疗卫生、文化教育、科研、行政办公为主要功能的区域，故不开展现状调查。</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sz w:val="24"/>
                <w:szCs w:val="20"/>
              </w:rPr>
            </w:pPr>
            <w:r>
              <w:rPr>
                <w:rFonts w:hint="eastAsia" w:ascii="Times New Roman" w:hAnsi="Times New Roman" w:cs="Times New Roman"/>
                <w:b/>
                <w:sz w:val="24"/>
                <w:szCs w:val="20"/>
                <w:lang w:val="en-US" w:eastAsia="zh-CN"/>
              </w:rPr>
              <w:t>四</w:t>
            </w:r>
            <w:r>
              <w:rPr>
                <w:rFonts w:hint="default" w:ascii="Times New Roman" w:hAnsi="Times New Roman" w:cs="Times New Roman"/>
                <w:b/>
                <w:sz w:val="24"/>
                <w:szCs w:val="20"/>
              </w:rPr>
              <w:t>、地下水环境质量现状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Cs/>
                <w:sz w:val="24"/>
              </w:rPr>
            </w:pPr>
            <w:r>
              <w:rPr>
                <w:rFonts w:hint="eastAsia" w:ascii="Times New Roman" w:hAnsi="Times New Roman" w:eastAsia="宋体" w:cs="Times New Roman"/>
                <w:color w:val="auto"/>
                <w:sz w:val="24"/>
              </w:rPr>
              <w:t>根据《建设项目环境影响评价报告表编制技术指南（污染影响类）（试行）》，本项目在采取防渗措施后可杜绝地下水污染途径，因此本项目不存在地下水污染途径</w:t>
            </w:r>
            <w:r>
              <w:rPr>
                <w:rFonts w:hint="default" w:ascii="Times New Roman" w:hAnsi="Times New Roman" w:cs="Times New Roman"/>
                <w:bCs/>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bCs/>
                <w:sz w:val="24"/>
                <w:szCs w:val="20"/>
              </w:rPr>
            </w:pPr>
            <w:r>
              <w:rPr>
                <w:rFonts w:hint="eastAsia" w:ascii="Times New Roman" w:hAnsi="Times New Roman" w:cs="Times New Roman"/>
                <w:b/>
                <w:bCs/>
                <w:sz w:val="24"/>
                <w:szCs w:val="20"/>
                <w:lang w:val="en-US" w:eastAsia="zh-CN"/>
              </w:rPr>
              <w:t>五</w:t>
            </w:r>
            <w:r>
              <w:rPr>
                <w:rFonts w:hint="default" w:ascii="Times New Roman" w:hAnsi="Times New Roman" w:cs="Times New Roman"/>
                <w:b/>
                <w:bCs/>
                <w:sz w:val="24"/>
                <w:szCs w:val="20"/>
              </w:rPr>
              <w:t>、土壤环境质量现状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Cs/>
                <w:sz w:val="24"/>
                <w:szCs w:val="20"/>
              </w:rPr>
            </w:pPr>
            <w:r>
              <w:rPr>
                <w:rFonts w:hint="eastAsia"/>
                <w:bCs/>
                <w:sz w:val="24"/>
                <w:szCs w:val="20"/>
              </w:rPr>
              <w:t>根据《建设项目环境影响评价报告表编制技术指南（污染影响类）（试行）》，本项目在采取防渗措施后可杜绝土壤污染途径，因此本项目不存在土壤污染途径</w:t>
            </w:r>
            <w:r>
              <w:rPr>
                <w:rFonts w:hint="default" w:ascii="Times New Roman" w:hAnsi="Times New Roman" w:cs="Times New Roman"/>
                <w:bCs/>
                <w:sz w:val="24"/>
                <w:szCs w:val="20"/>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0"/>
              </w:rPr>
            </w:pPr>
            <w:r>
              <w:rPr>
                <w:rFonts w:hint="eastAsia" w:ascii="Times New Roman" w:hAnsi="Times New Roman" w:eastAsia="宋体" w:cs="Times New Roman"/>
                <w:b/>
                <w:bCs/>
                <w:sz w:val="24"/>
                <w:szCs w:val="20"/>
                <w:lang w:val="en-US" w:eastAsia="zh-CN"/>
              </w:rPr>
              <w:t>六</w:t>
            </w:r>
            <w:r>
              <w:rPr>
                <w:rFonts w:hint="eastAsia" w:ascii="Times New Roman" w:hAnsi="Times New Roman" w:eastAsia="宋体" w:cs="Times New Roman"/>
                <w:b/>
                <w:bCs/>
                <w:sz w:val="24"/>
                <w:szCs w:val="20"/>
              </w:rPr>
              <w:t>、生态环境现状评价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kern w:val="0"/>
                <w:szCs w:val="21"/>
              </w:rPr>
            </w:pPr>
            <w:r>
              <w:rPr>
                <w:rFonts w:hint="eastAsia"/>
                <w:sz w:val="24"/>
              </w:rPr>
              <w:t>根据现场调查，本项目用地范围内</w:t>
            </w:r>
            <w:r>
              <w:rPr>
                <w:rFonts w:hint="eastAsia"/>
                <w:sz w:val="24"/>
                <w:lang w:val="en-US" w:eastAsia="zh-CN"/>
              </w:rPr>
              <w:t>且</w:t>
            </w:r>
            <w:r>
              <w:rPr>
                <w:rFonts w:hint="eastAsia"/>
                <w:sz w:val="24"/>
              </w:rPr>
              <w:t>无自然保护区、</w:t>
            </w:r>
            <w:r>
              <w:rPr>
                <w:rFonts w:hint="eastAsia"/>
                <w:sz w:val="24"/>
                <w:lang w:eastAsia="zh-CN"/>
              </w:rPr>
              <w:t>其他</w:t>
            </w:r>
            <w:r>
              <w:rPr>
                <w:rFonts w:hint="eastAsia"/>
                <w:sz w:val="24"/>
              </w:rPr>
              <w:t>名胜古迹、地质遗迹、地质公园及风景旅游景点，不</w:t>
            </w:r>
            <w:r>
              <w:rPr>
                <w:rFonts w:hint="eastAsia"/>
                <w:sz w:val="24"/>
                <w:lang w:val="en-US" w:eastAsia="zh-CN"/>
              </w:rPr>
              <w:t>涉及</w:t>
            </w:r>
            <w:r>
              <w:rPr>
                <w:rFonts w:hint="eastAsia"/>
                <w:sz w:val="24"/>
              </w:rPr>
              <w:t>受影响的重要物种、生态敏感区以及其他需要保护的物种、种群、生物群落及生态空间等生态环境保护目标。根据《建设项目环境影响报告表编制技术指南（污染影响类）</w:t>
            </w:r>
            <w:r>
              <w:rPr>
                <w:rFonts w:hint="eastAsia"/>
                <w:sz w:val="24"/>
                <w:lang w:eastAsia="zh-CN"/>
              </w:rPr>
              <w:t>（试行）》</w:t>
            </w:r>
            <w:r>
              <w:rPr>
                <w:rFonts w:hint="eastAsia"/>
                <w:sz w:val="24"/>
                <w:lang w:val="en-US" w:eastAsia="zh-CN"/>
              </w:rPr>
              <w:t>依据</w:t>
            </w:r>
            <w:r>
              <w:rPr>
                <w:rFonts w:hint="eastAsia"/>
                <w:sz w:val="24"/>
              </w:rPr>
              <w:t>：项目用地范围内不含生态环境保护目标的，无需进行生态现状调查</w:t>
            </w:r>
            <w:r>
              <w:rPr>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51" w:type="dxa"/>
            <w:noWrap w:val="0"/>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环境</w:t>
            </w:r>
          </w:p>
          <w:p>
            <w:pPr>
              <w:adjustRightInd w:val="0"/>
              <w:snapToGrid w:val="0"/>
              <w:jc w:val="center"/>
              <w:rPr>
                <w:rFonts w:hint="eastAsia" w:ascii="宋体" w:hAnsi="宋体" w:cs="宋体"/>
                <w:kern w:val="0"/>
                <w:szCs w:val="21"/>
              </w:rPr>
            </w:pPr>
            <w:r>
              <w:rPr>
                <w:rFonts w:hint="eastAsia" w:ascii="宋体" w:hAnsi="宋体" w:cs="宋体"/>
                <w:kern w:val="0"/>
                <w:szCs w:val="21"/>
              </w:rPr>
              <w:t>保护</w:t>
            </w:r>
          </w:p>
          <w:p>
            <w:pPr>
              <w:adjustRightInd w:val="0"/>
              <w:snapToGrid w:val="0"/>
              <w:jc w:val="center"/>
              <w:rPr>
                <w:rFonts w:hint="eastAsia" w:ascii="宋体" w:hAnsi="宋体" w:cs="宋体"/>
                <w:kern w:val="0"/>
                <w:szCs w:val="21"/>
              </w:rPr>
            </w:pPr>
            <w:r>
              <w:rPr>
                <w:rFonts w:hint="eastAsia" w:ascii="宋体" w:hAnsi="宋体" w:cs="宋体"/>
                <w:kern w:val="0"/>
                <w:szCs w:val="21"/>
              </w:rPr>
              <w:t>目标</w:t>
            </w:r>
          </w:p>
        </w:tc>
        <w:tc>
          <w:tcPr>
            <w:tcW w:w="8539"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b/>
                <w:sz w:val="24"/>
                <w:szCs w:val="24"/>
              </w:rPr>
            </w:pPr>
            <w:r>
              <w:rPr>
                <w:rFonts w:hint="eastAsia"/>
                <w:b/>
                <w:sz w:val="24"/>
                <w:szCs w:val="24"/>
              </w:rPr>
              <w:t>主要环境保护目标：</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sz w:val="24"/>
                <w:szCs w:val="24"/>
              </w:rPr>
            </w:pPr>
            <w:r>
              <w:rPr>
                <w:rFonts w:hint="eastAsia"/>
                <w:b/>
                <w:sz w:val="24"/>
                <w:szCs w:val="24"/>
                <w:lang w:eastAsia="zh-CN"/>
              </w:rPr>
              <w:t>1.</w:t>
            </w:r>
            <w:r>
              <w:rPr>
                <w:b/>
                <w:sz w:val="24"/>
                <w:szCs w:val="24"/>
              </w:rPr>
              <w:t>大气环境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sz w:val="24"/>
                <w:szCs w:val="24"/>
              </w:rPr>
            </w:pPr>
            <w:r>
              <w:rPr>
                <w:rFonts w:hint="eastAsia" w:ascii="宋体" w:hAnsi="宋体" w:eastAsia="宋体" w:cs="宋体"/>
                <w:color w:val="auto"/>
                <w:sz w:val="24"/>
                <w:szCs w:val="24"/>
              </w:rPr>
              <w:t>本项目厂界外</w:t>
            </w:r>
            <w:r>
              <w:rPr>
                <w:rFonts w:hint="eastAsia" w:ascii="宋体" w:hAnsi="宋体" w:eastAsia="宋体" w:cs="宋体"/>
                <w:color w:val="auto"/>
                <w:sz w:val="24"/>
                <w:szCs w:val="24"/>
                <w:lang w:val="en-US" w:eastAsia="zh-CN"/>
              </w:rPr>
              <w:t>500米</w:t>
            </w:r>
            <w:r>
              <w:rPr>
                <w:rFonts w:hint="eastAsia" w:ascii="宋体" w:hAnsi="宋体" w:eastAsia="宋体" w:cs="宋体"/>
                <w:color w:val="auto"/>
                <w:sz w:val="24"/>
                <w:szCs w:val="24"/>
              </w:rPr>
              <w:t>范围内轮台县职业技术学校</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rPr>
              <w:t>主要大气环境保护目标</w:t>
            </w:r>
            <w:r>
              <w:rPr>
                <w:rFonts w:hint="eastAsia" w:ascii="宋体" w:hAnsi="宋体" w:eastAsia="宋体" w:cs="宋体"/>
                <w:color w:val="auto"/>
                <w:sz w:val="24"/>
                <w:szCs w:val="24"/>
                <w:lang w:eastAsia="zh-CN"/>
              </w:rPr>
              <w:t>，</w:t>
            </w:r>
            <w:r>
              <w:rPr>
                <w:rFonts w:hint="eastAsia" w:ascii="宋体" w:hAnsi="宋体" w:eastAsia="宋体" w:cs="宋体"/>
                <w:color w:val="000000"/>
                <w:sz w:val="24"/>
                <w:szCs w:val="24"/>
                <w:lang w:val="en-US" w:eastAsia="zh-CN"/>
              </w:rPr>
              <w:t>轮台县职业技术学校位于本项目东方位约157m</w:t>
            </w:r>
            <w:r>
              <w:rPr>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sz w:val="24"/>
                <w:szCs w:val="24"/>
              </w:rPr>
            </w:pPr>
            <w:r>
              <w:rPr>
                <w:rFonts w:hint="eastAsia"/>
                <w:b/>
                <w:sz w:val="24"/>
                <w:szCs w:val="24"/>
                <w:lang w:eastAsia="zh-CN"/>
              </w:rPr>
              <w:t>2.</w:t>
            </w:r>
            <w:r>
              <w:rPr>
                <w:b/>
                <w:sz w:val="24"/>
                <w:szCs w:val="24"/>
              </w:rPr>
              <w:t>声环境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sz w:val="24"/>
                <w:szCs w:val="24"/>
              </w:rPr>
            </w:pPr>
            <w:r>
              <w:rPr>
                <w:rFonts w:hint="eastAsia"/>
                <w:bCs/>
                <w:sz w:val="24"/>
                <w:szCs w:val="24"/>
              </w:rPr>
              <w:t>本项目厂界外50米范围内无声环境保护目标</w:t>
            </w:r>
            <w:r>
              <w:rPr>
                <w:bCs/>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sz w:val="24"/>
                <w:szCs w:val="24"/>
              </w:rPr>
            </w:pPr>
            <w:r>
              <w:rPr>
                <w:rFonts w:hint="eastAsia"/>
                <w:b/>
                <w:sz w:val="24"/>
                <w:szCs w:val="24"/>
                <w:lang w:val="en-US" w:eastAsia="zh-CN"/>
              </w:rPr>
              <w:t>3</w:t>
            </w:r>
            <w:r>
              <w:rPr>
                <w:rFonts w:hint="eastAsia"/>
                <w:b/>
                <w:sz w:val="24"/>
                <w:szCs w:val="24"/>
                <w:lang w:eastAsia="zh-CN"/>
              </w:rPr>
              <w:t>.</w:t>
            </w:r>
            <w:r>
              <w:rPr>
                <w:b/>
                <w:sz w:val="24"/>
                <w:szCs w:val="24"/>
              </w:rPr>
              <w:t>地下水环境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sz w:val="24"/>
                <w:szCs w:val="24"/>
              </w:rPr>
            </w:pPr>
            <w:r>
              <w:rPr>
                <w:bCs/>
                <w:sz w:val="24"/>
                <w:szCs w:val="24"/>
              </w:rPr>
              <w:t>本项目厂界外500m范围内无地下水集中式使用水水源和热水、矿泉水、温泉等特殊地下水资源。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sz w:val="24"/>
                <w:szCs w:val="24"/>
              </w:rPr>
            </w:pPr>
            <w:r>
              <w:rPr>
                <w:rFonts w:hint="eastAsia"/>
                <w:b/>
                <w:sz w:val="24"/>
                <w:szCs w:val="24"/>
                <w:lang w:val="en-US" w:eastAsia="zh-CN"/>
              </w:rPr>
              <w:t>4</w:t>
            </w:r>
            <w:r>
              <w:rPr>
                <w:rFonts w:hint="eastAsia"/>
                <w:b/>
                <w:sz w:val="24"/>
                <w:szCs w:val="24"/>
                <w:lang w:eastAsia="zh-CN"/>
              </w:rPr>
              <w:t>.</w:t>
            </w:r>
            <w:r>
              <w:rPr>
                <w:b/>
                <w:sz w:val="24"/>
                <w:szCs w:val="24"/>
              </w:rPr>
              <w:t>生态环境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Cs/>
                <w:sz w:val="24"/>
                <w:szCs w:val="24"/>
              </w:rPr>
            </w:pPr>
            <w:r>
              <w:rPr>
                <w:bCs/>
                <w:sz w:val="24"/>
                <w:szCs w:val="24"/>
              </w:rPr>
              <w:t>本项目位于</w:t>
            </w:r>
            <w:r>
              <w:rPr>
                <w:rFonts w:hint="eastAsia" w:ascii="Times New Roman" w:hAnsi="Times New Roman" w:cs="Times New Roman"/>
                <w:bCs/>
                <w:sz w:val="24"/>
                <w:szCs w:val="24"/>
                <w:lang w:eastAsia="zh-CN"/>
              </w:rPr>
              <w:t>新疆巴州轮台县G314国道北侧600米处</w:t>
            </w:r>
            <w:r>
              <w:rPr>
                <w:bCs/>
                <w:sz w:val="24"/>
                <w:szCs w:val="24"/>
              </w:rPr>
              <w:t>，</w:t>
            </w:r>
            <w:r>
              <w:rPr>
                <w:rFonts w:hint="eastAsia" w:ascii="Times New Roman" w:hAnsi="Times New Roman" w:eastAsia="宋体" w:cs="Times New Roman"/>
                <w:sz w:val="24"/>
                <w:szCs w:val="24"/>
              </w:rPr>
              <w:t>项目用地范围内无生态环境保护目标</w:t>
            </w:r>
            <w:r>
              <w:rPr>
                <w:rFonts w:hint="default" w:ascii="Times New Roman" w:hAnsi="Times New Roman" w:cs="Times New Roman"/>
                <w:bCs/>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Cs/>
                <w:sz w:val="24"/>
                <w:szCs w:val="24"/>
                <w:lang w:val="en-US" w:eastAsia="zh-CN"/>
              </w:rPr>
            </w:pPr>
            <w:r>
              <w:rPr>
                <w:rFonts w:hint="eastAsia" w:ascii="Times New Roman" w:hAnsi="Times New Roman" w:eastAsia="宋体" w:cs="Times New Roman"/>
                <w:color w:val="auto"/>
                <w:kern w:val="0"/>
                <w:sz w:val="24"/>
                <w:szCs w:val="24"/>
                <w:highlight w:val="none"/>
                <w:lang w:val="en-US" w:eastAsia="zh-CN" w:bidi="ar-SA"/>
              </w:rPr>
              <w:t>项目环境保护目标见下表</w:t>
            </w:r>
            <w:r>
              <w:rPr>
                <w:rFonts w:hint="eastAsia" w:ascii="Times New Roman" w:hAnsi="Times New Roman" w:cs="Times New Roman"/>
                <w:bCs/>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leftChars="0"/>
              <w:jc w:val="center"/>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表3-4   项目环境保护目标一览表</w:t>
            </w:r>
          </w:p>
          <w:tbl>
            <w:tblPr>
              <w:tblStyle w:val="21"/>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41"/>
              <w:gridCol w:w="1044"/>
              <w:gridCol w:w="1523"/>
              <w:gridCol w:w="2077"/>
              <w:gridCol w:w="910"/>
              <w:gridCol w:w="18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567" w:type="pct"/>
                  <w:tcBorders>
                    <w:tl2br w:val="nil"/>
                    <w:tr2bl w:val="nil"/>
                  </w:tcBorders>
                  <w:noWrap w:val="0"/>
                  <w:vAlign w:val="center"/>
                </w:tcPr>
                <w:p>
                  <w:pPr>
                    <w:spacing w:line="240" w:lineRule="auto"/>
                    <w:ind w:firstLine="0" w:firstLineChars="0"/>
                    <w:jc w:val="center"/>
                    <w:rPr>
                      <w:rFonts w:ascii="Calibri" w:hAnsi="Calibri" w:cs="Calibri"/>
                      <w:sz w:val="21"/>
                      <w:szCs w:val="21"/>
                    </w:rPr>
                  </w:pPr>
                  <w:r>
                    <w:rPr>
                      <w:rFonts w:ascii="Calibri" w:hAnsi="Calibri" w:cs="Calibri"/>
                      <w:sz w:val="21"/>
                      <w:szCs w:val="21"/>
                    </w:rPr>
                    <w:t>保护要素</w:t>
                  </w:r>
                </w:p>
              </w:tc>
              <w:tc>
                <w:tcPr>
                  <w:tcW w:w="629" w:type="pct"/>
                  <w:tcBorders>
                    <w:tl2br w:val="nil"/>
                    <w:tr2bl w:val="nil"/>
                  </w:tcBorders>
                  <w:noWrap w:val="0"/>
                  <w:vAlign w:val="center"/>
                </w:tcPr>
                <w:p>
                  <w:pPr>
                    <w:spacing w:line="240" w:lineRule="auto"/>
                    <w:ind w:firstLine="0" w:firstLineChars="0"/>
                    <w:jc w:val="center"/>
                    <w:rPr>
                      <w:rFonts w:ascii="Calibri" w:hAnsi="Calibri" w:cs="Calibri"/>
                      <w:sz w:val="21"/>
                      <w:szCs w:val="21"/>
                    </w:rPr>
                  </w:pPr>
                  <w:r>
                    <w:rPr>
                      <w:rFonts w:ascii="Calibri" w:hAnsi="Calibri" w:cs="Calibri"/>
                      <w:sz w:val="21"/>
                      <w:szCs w:val="21"/>
                    </w:rPr>
                    <w:t>保护目标</w:t>
                  </w:r>
                </w:p>
              </w:tc>
              <w:tc>
                <w:tcPr>
                  <w:tcW w:w="917" w:type="pct"/>
                  <w:tcBorders>
                    <w:tl2br w:val="nil"/>
                    <w:tr2bl w:val="nil"/>
                  </w:tcBorders>
                  <w:noWrap w:val="0"/>
                  <w:vAlign w:val="center"/>
                </w:tcPr>
                <w:p>
                  <w:pPr>
                    <w:spacing w:line="240" w:lineRule="auto"/>
                    <w:ind w:firstLine="0" w:firstLineChars="0"/>
                    <w:jc w:val="center"/>
                    <w:rPr>
                      <w:rFonts w:ascii="Calibri" w:hAnsi="Calibri" w:cs="Calibri"/>
                      <w:sz w:val="21"/>
                      <w:szCs w:val="21"/>
                    </w:rPr>
                  </w:pPr>
                  <w:r>
                    <w:rPr>
                      <w:rFonts w:ascii="Calibri" w:hAnsi="Calibri" w:cs="Calibri"/>
                      <w:sz w:val="21"/>
                      <w:szCs w:val="21"/>
                    </w:rPr>
                    <w:t>距离及方位</w:t>
                  </w:r>
                </w:p>
              </w:tc>
              <w:tc>
                <w:tcPr>
                  <w:tcW w:w="1251" w:type="pct"/>
                  <w:tcBorders>
                    <w:tl2br w:val="nil"/>
                    <w:tr2bl w:val="nil"/>
                  </w:tcBorders>
                  <w:noWrap w:val="0"/>
                  <w:vAlign w:val="center"/>
                </w:tcPr>
                <w:p>
                  <w:pPr>
                    <w:spacing w:line="240" w:lineRule="auto"/>
                    <w:ind w:firstLine="0" w:firstLineChars="0"/>
                    <w:jc w:val="center"/>
                    <w:rPr>
                      <w:rFonts w:ascii="Calibri" w:hAnsi="Calibri" w:cs="Calibri"/>
                      <w:sz w:val="21"/>
                      <w:szCs w:val="21"/>
                    </w:rPr>
                  </w:pPr>
                  <w:r>
                    <w:rPr>
                      <w:rFonts w:ascii="Calibri" w:hAnsi="Calibri" w:cs="Calibri"/>
                      <w:sz w:val="21"/>
                      <w:szCs w:val="21"/>
                    </w:rPr>
                    <w:t>坐标</w:t>
                  </w:r>
                </w:p>
              </w:tc>
              <w:tc>
                <w:tcPr>
                  <w:tcW w:w="548" w:type="pct"/>
                  <w:tcBorders>
                    <w:tl2br w:val="nil"/>
                    <w:tr2bl w:val="nil"/>
                  </w:tcBorders>
                  <w:noWrap w:val="0"/>
                  <w:vAlign w:val="center"/>
                </w:tcPr>
                <w:p>
                  <w:pPr>
                    <w:spacing w:line="240" w:lineRule="auto"/>
                    <w:ind w:firstLine="0" w:firstLineChars="0"/>
                    <w:jc w:val="center"/>
                    <w:rPr>
                      <w:rFonts w:ascii="Calibri" w:hAnsi="Calibri" w:cs="Calibri"/>
                      <w:sz w:val="21"/>
                      <w:szCs w:val="21"/>
                    </w:rPr>
                  </w:pPr>
                  <w:r>
                    <w:rPr>
                      <w:rFonts w:ascii="Calibri" w:hAnsi="Calibri" w:cs="Calibri"/>
                      <w:sz w:val="21"/>
                      <w:szCs w:val="21"/>
                    </w:rPr>
                    <w:t>人口</w:t>
                  </w:r>
                  <w:r>
                    <w:rPr>
                      <w:rFonts w:hint="eastAsia" w:ascii="Calibri" w:hAnsi="Calibri" w:cs="Calibri"/>
                      <w:sz w:val="21"/>
                      <w:szCs w:val="21"/>
                    </w:rPr>
                    <w:t>规模</w:t>
                  </w:r>
                </w:p>
              </w:tc>
              <w:tc>
                <w:tcPr>
                  <w:tcW w:w="1084" w:type="pct"/>
                  <w:tcBorders>
                    <w:tl2br w:val="nil"/>
                    <w:tr2bl w:val="nil"/>
                  </w:tcBorders>
                  <w:noWrap w:val="0"/>
                  <w:vAlign w:val="center"/>
                </w:tcPr>
                <w:p>
                  <w:pPr>
                    <w:spacing w:line="240" w:lineRule="auto"/>
                    <w:ind w:firstLine="0" w:firstLineChars="0"/>
                    <w:jc w:val="center"/>
                    <w:rPr>
                      <w:rFonts w:ascii="Calibri" w:hAnsi="Calibri" w:cs="Calibri"/>
                      <w:sz w:val="21"/>
                      <w:szCs w:val="21"/>
                    </w:rPr>
                  </w:pPr>
                  <w:r>
                    <w:rPr>
                      <w:rFonts w:ascii="Calibri" w:hAnsi="Calibri" w:cs="Calibri"/>
                      <w:sz w:val="21"/>
                      <w:szCs w:val="21"/>
                    </w:rPr>
                    <w:t>保护内容及要求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567" w:type="pct"/>
                  <w:tcBorders>
                    <w:tl2br w:val="nil"/>
                    <w:tr2bl w:val="nil"/>
                  </w:tcBorders>
                  <w:noWrap w:val="0"/>
                  <w:vAlign w:val="center"/>
                </w:tcPr>
                <w:p>
                  <w:pPr>
                    <w:spacing w:line="240" w:lineRule="auto"/>
                    <w:ind w:firstLine="0" w:firstLineChars="0"/>
                    <w:jc w:val="center"/>
                    <w:rPr>
                      <w:rFonts w:ascii="Calibri" w:hAnsi="Calibri" w:cs="Calibri"/>
                      <w:sz w:val="21"/>
                      <w:szCs w:val="21"/>
                    </w:rPr>
                  </w:pPr>
                  <w:r>
                    <w:rPr>
                      <w:rFonts w:ascii="Calibri" w:hAnsi="Calibri" w:cs="Calibri"/>
                      <w:sz w:val="21"/>
                      <w:szCs w:val="21"/>
                    </w:rPr>
                    <w:t>大气环境</w:t>
                  </w:r>
                </w:p>
              </w:tc>
              <w:tc>
                <w:tcPr>
                  <w:tcW w:w="629" w:type="pct"/>
                  <w:tcBorders>
                    <w:tl2br w:val="nil"/>
                    <w:tr2bl w:val="nil"/>
                  </w:tcBorders>
                  <w:noWrap w:val="0"/>
                  <w:vAlign w:val="center"/>
                </w:tcPr>
                <w:p>
                  <w:pPr>
                    <w:spacing w:line="240" w:lineRule="auto"/>
                    <w:ind w:firstLine="0" w:firstLineChars="0"/>
                    <w:jc w:val="center"/>
                    <w:rPr>
                      <w:rFonts w:hint="default" w:ascii="Calibri" w:hAnsi="Calibri" w:eastAsia="宋体" w:cs="Calibri"/>
                      <w:sz w:val="21"/>
                      <w:szCs w:val="21"/>
                      <w:lang w:val="en-US" w:eastAsia="zh-CN"/>
                    </w:rPr>
                  </w:pPr>
                  <w:r>
                    <w:rPr>
                      <w:rFonts w:hint="eastAsia"/>
                      <w:color w:val="000000"/>
                      <w:sz w:val="21"/>
                      <w:szCs w:val="21"/>
                      <w:lang w:val="en-US" w:eastAsia="zh-CN"/>
                    </w:rPr>
                    <w:t>轮台县职业技术学校</w:t>
                  </w:r>
                </w:p>
              </w:tc>
              <w:tc>
                <w:tcPr>
                  <w:tcW w:w="917" w:type="pct"/>
                  <w:tcBorders>
                    <w:tl2br w:val="nil"/>
                    <w:tr2bl w:val="nil"/>
                  </w:tcBorders>
                  <w:noWrap w:val="0"/>
                  <w:vAlign w:val="center"/>
                </w:tcPr>
                <w:p>
                  <w:pPr>
                    <w:spacing w:line="240" w:lineRule="auto"/>
                    <w:ind w:firstLine="0" w:firstLineChars="0"/>
                    <w:jc w:val="center"/>
                    <w:rPr>
                      <w:rFonts w:ascii="Calibri" w:hAnsi="Calibri" w:cs="Calibri"/>
                      <w:kern w:val="0"/>
                      <w:sz w:val="21"/>
                      <w:szCs w:val="21"/>
                    </w:rPr>
                  </w:pPr>
                  <w:r>
                    <w:rPr>
                      <w:rFonts w:hint="eastAsia" w:ascii="Calibri" w:hAnsi="Calibri" w:cs="Calibri"/>
                      <w:kern w:val="0"/>
                      <w:sz w:val="21"/>
                      <w:szCs w:val="21"/>
                      <w:lang w:val="en-US" w:eastAsia="zh-CN"/>
                    </w:rPr>
                    <w:t>厂界</w:t>
                  </w:r>
                  <w:r>
                    <w:rPr>
                      <w:rFonts w:hint="eastAsia" w:ascii="Calibri" w:hAnsi="Calibri" w:cs="Calibri"/>
                      <w:kern w:val="0"/>
                      <w:sz w:val="21"/>
                      <w:szCs w:val="21"/>
                    </w:rPr>
                    <w:t>东方位约157m</w:t>
                  </w:r>
                </w:p>
              </w:tc>
              <w:tc>
                <w:tcPr>
                  <w:tcW w:w="1251" w:type="pct"/>
                  <w:tcBorders>
                    <w:tl2br w:val="nil"/>
                    <w:tr2bl w:val="nil"/>
                  </w:tcBorders>
                  <w:noWrap w:val="0"/>
                  <w:vAlign w:val="center"/>
                </w:tcPr>
                <w:p>
                  <w:pPr>
                    <w:spacing w:line="240" w:lineRule="auto"/>
                    <w:ind w:firstLine="0" w:firstLineChars="0"/>
                    <w:jc w:val="center"/>
                    <w:rPr>
                      <w:rFonts w:ascii="Calibri" w:hAnsi="Calibri" w:cs="Calibri"/>
                      <w:kern w:val="0"/>
                      <w:sz w:val="21"/>
                      <w:szCs w:val="21"/>
                    </w:rPr>
                  </w:pPr>
                  <w:r>
                    <w:rPr>
                      <w:rFonts w:hint="eastAsia" w:ascii="Calibri" w:hAnsi="Calibri" w:cs="Calibri"/>
                      <w:kern w:val="0"/>
                      <w:sz w:val="21"/>
                      <w:szCs w:val="21"/>
                    </w:rPr>
                    <w:t>东经：84.300775</w:t>
                  </w:r>
                </w:p>
                <w:p>
                  <w:pPr>
                    <w:spacing w:line="240" w:lineRule="auto"/>
                    <w:ind w:firstLine="0" w:firstLineChars="0"/>
                    <w:jc w:val="center"/>
                    <w:rPr>
                      <w:rFonts w:ascii="Calibri" w:hAnsi="Calibri" w:cs="Calibri"/>
                      <w:kern w:val="0"/>
                      <w:sz w:val="21"/>
                      <w:szCs w:val="21"/>
                    </w:rPr>
                  </w:pPr>
                  <w:r>
                    <w:rPr>
                      <w:rFonts w:hint="eastAsia" w:ascii="Calibri" w:hAnsi="Calibri" w:cs="Calibri"/>
                      <w:kern w:val="0"/>
                      <w:sz w:val="21"/>
                      <w:szCs w:val="21"/>
                    </w:rPr>
                    <w:t>北纬：41.809175</w:t>
                  </w:r>
                </w:p>
              </w:tc>
              <w:tc>
                <w:tcPr>
                  <w:tcW w:w="548" w:type="pct"/>
                  <w:tcBorders>
                    <w:tl2br w:val="nil"/>
                    <w:tr2bl w:val="nil"/>
                  </w:tcBorders>
                  <w:noWrap w:val="0"/>
                  <w:vAlign w:val="center"/>
                </w:tcPr>
                <w:p>
                  <w:pPr>
                    <w:spacing w:line="240" w:lineRule="auto"/>
                    <w:ind w:firstLine="0" w:firstLineChars="0"/>
                    <w:jc w:val="center"/>
                    <w:rPr>
                      <w:rFonts w:hint="default" w:ascii="Calibri" w:hAnsi="Calibri" w:eastAsia="宋体" w:cs="Calibri"/>
                      <w:kern w:val="0"/>
                      <w:sz w:val="21"/>
                      <w:szCs w:val="21"/>
                      <w:lang w:val="en-US" w:eastAsia="zh-CN"/>
                    </w:rPr>
                  </w:pPr>
                  <w:r>
                    <w:rPr>
                      <w:rFonts w:hint="eastAsia" w:ascii="Calibri" w:hAnsi="Calibri" w:cs="Calibri"/>
                      <w:kern w:val="0"/>
                      <w:sz w:val="21"/>
                      <w:szCs w:val="21"/>
                      <w:lang w:val="en-US" w:eastAsia="zh-CN"/>
                    </w:rPr>
                    <w:t>800</w:t>
                  </w:r>
                </w:p>
              </w:tc>
              <w:tc>
                <w:tcPr>
                  <w:tcW w:w="1084" w:type="pct"/>
                  <w:tcBorders>
                    <w:tl2br w:val="nil"/>
                    <w:tr2bl w:val="nil"/>
                  </w:tcBorders>
                  <w:noWrap w:val="0"/>
                  <w:vAlign w:val="center"/>
                </w:tcPr>
                <w:p>
                  <w:pPr>
                    <w:spacing w:line="240" w:lineRule="auto"/>
                    <w:ind w:firstLine="0" w:firstLineChars="0"/>
                    <w:jc w:val="center"/>
                    <w:rPr>
                      <w:rFonts w:ascii="Calibri" w:hAnsi="Calibri" w:cs="Calibri"/>
                      <w:kern w:val="0"/>
                      <w:sz w:val="21"/>
                      <w:szCs w:val="21"/>
                    </w:rPr>
                  </w:pPr>
                  <w:r>
                    <w:rPr>
                      <w:rFonts w:hint="eastAsia" w:ascii="Calibri" w:hAnsi="Calibri" w:cs="Calibri"/>
                      <w:kern w:val="0"/>
                      <w:sz w:val="21"/>
                      <w:szCs w:val="21"/>
                    </w:rPr>
                    <w:t>《环境空气质量标准》（GB3095-2026）过渡阶段浓度限值中二级标准</w:t>
                  </w:r>
                </w:p>
              </w:tc>
            </w:tr>
          </w:tbl>
          <w:p>
            <w:pPr>
              <w:adjustRightInd w:val="0"/>
              <w:snapToGrid w:val="0"/>
              <w:jc w:val="both"/>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451" w:type="dxa"/>
            <w:noWrap w:val="0"/>
            <w:tcMar>
              <w:left w:w="28" w:type="dxa"/>
              <w:right w:w="28" w:type="dxa"/>
            </w:tcMar>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污染</w:t>
            </w:r>
          </w:p>
          <w:p>
            <w:pPr>
              <w:adjustRightInd w:val="0"/>
              <w:snapToGrid w:val="0"/>
              <w:jc w:val="center"/>
              <w:rPr>
                <w:rFonts w:hint="eastAsia" w:ascii="宋体" w:hAnsi="宋体" w:cs="宋体"/>
                <w:kern w:val="0"/>
                <w:szCs w:val="21"/>
              </w:rPr>
            </w:pPr>
            <w:r>
              <w:rPr>
                <w:rFonts w:hint="eastAsia" w:ascii="宋体" w:hAnsi="宋体" w:cs="宋体"/>
                <w:kern w:val="0"/>
                <w:szCs w:val="21"/>
              </w:rPr>
              <w:t>物排</w:t>
            </w:r>
          </w:p>
          <w:p>
            <w:pPr>
              <w:adjustRightInd w:val="0"/>
              <w:snapToGrid w:val="0"/>
              <w:jc w:val="center"/>
              <w:rPr>
                <w:rFonts w:hint="eastAsia" w:ascii="宋体" w:hAnsi="宋体" w:cs="宋体"/>
                <w:kern w:val="0"/>
                <w:szCs w:val="21"/>
              </w:rPr>
            </w:pPr>
            <w:r>
              <w:rPr>
                <w:rFonts w:hint="eastAsia" w:ascii="宋体" w:hAnsi="宋体" w:cs="宋体"/>
                <w:kern w:val="0"/>
                <w:szCs w:val="21"/>
              </w:rPr>
              <w:t>放控</w:t>
            </w:r>
          </w:p>
          <w:p>
            <w:pPr>
              <w:adjustRightInd w:val="0"/>
              <w:snapToGrid w:val="0"/>
              <w:jc w:val="center"/>
              <w:rPr>
                <w:rFonts w:hint="eastAsia" w:ascii="宋体" w:hAnsi="宋体" w:cs="宋体"/>
                <w:kern w:val="0"/>
                <w:szCs w:val="21"/>
              </w:rPr>
            </w:pPr>
            <w:r>
              <w:rPr>
                <w:rFonts w:hint="eastAsia" w:ascii="宋体" w:hAnsi="宋体" w:cs="宋体"/>
                <w:kern w:val="0"/>
                <w:szCs w:val="21"/>
              </w:rPr>
              <w:t>制标</w:t>
            </w:r>
          </w:p>
          <w:p>
            <w:pPr>
              <w:adjustRightInd w:val="0"/>
              <w:snapToGrid w:val="0"/>
              <w:jc w:val="center"/>
              <w:rPr>
                <w:rFonts w:ascii="宋体" w:hAnsi="宋体" w:cs="宋体"/>
                <w:kern w:val="0"/>
                <w:szCs w:val="21"/>
              </w:rPr>
            </w:pPr>
            <w:r>
              <w:rPr>
                <w:rFonts w:hint="eastAsia" w:ascii="宋体" w:hAnsi="宋体" w:cs="宋体"/>
                <w:kern w:val="0"/>
                <w:szCs w:val="21"/>
              </w:rPr>
              <w:t>准</w:t>
            </w:r>
          </w:p>
        </w:tc>
        <w:tc>
          <w:tcPr>
            <w:tcW w:w="8539" w:type="dxa"/>
            <w:noWrap w:val="0"/>
            <w:vAlign w:val="center"/>
          </w:tcPr>
          <w:p>
            <w:pPr>
              <w:widowControl/>
              <w:spacing w:line="520" w:lineRule="exact"/>
              <w:ind w:firstLine="482" w:firstLineChars="200"/>
              <w:jc w:val="left"/>
              <w:rPr>
                <w:rFonts w:hint="eastAsia"/>
                <w:b/>
                <w:bCs/>
                <w:sz w:val="24"/>
              </w:rPr>
            </w:pPr>
            <w:r>
              <w:rPr>
                <w:rFonts w:hint="eastAsia"/>
                <w:b/>
                <w:bCs/>
                <w:sz w:val="24"/>
                <w:lang w:eastAsia="zh-CN"/>
              </w:rPr>
              <w:t>1.</w:t>
            </w:r>
            <w:r>
              <w:rPr>
                <w:b/>
                <w:bCs/>
                <w:sz w:val="24"/>
              </w:rPr>
              <w:t>大气污染物排放标准</w:t>
            </w:r>
          </w:p>
          <w:p>
            <w:pPr>
              <w:widowControl/>
              <w:spacing w:line="520" w:lineRule="exact"/>
              <w:ind w:firstLine="480" w:firstLineChars="200"/>
              <w:jc w:val="left"/>
              <w:rPr>
                <w:rFonts w:hint="eastAsia"/>
                <w:sz w:val="24"/>
              </w:rPr>
            </w:pPr>
            <w:r>
              <w:rPr>
                <w:rFonts w:hint="eastAsia"/>
                <w:sz w:val="24"/>
              </w:rPr>
              <w:t>施工期扬尘执行《大气污染物综合排放标准》（GB16297-1996）表2规定的浓度限值；</w:t>
            </w:r>
          </w:p>
          <w:p>
            <w:pPr>
              <w:widowControl/>
              <w:spacing w:line="520" w:lineRule="exact"/>
              <w:ind w:firstLine="480" w:firstLineChars="200"/>
              <w:jc w:val="left"/>
              <w:rPr>
                <w:rFonts w:hint="eastAsia"/>
                <w:sz w:val="24"/>
              </w:rPr>
            </w:pPr>
            <w:r>
              <w:rPr>
                <w:rFonts w:hint="eastAsia"/>
                <w:sz w:val="24"/>
              </w:rPr>
              <w:t>项目运营产生的颗粒物排放执行《水泥工业大气污染物排放标准》（GB4915-2013）表3大气污染物无组织排放限值；生活区食堂产生的油烟</w:t>
            </w:r>
            <w:r>
              <w:rPr>
                <w:rFonts w:hint="eastAsia"/>
                <w:color w:val="000000"/>
                <w:kern w:val="0"/>
                <w:sz w:val="24"/>
                <w:lang w:val="en-US" w:eastAsia="zh-CN"/>
              </w:rPr>
              <w:t>执行</w:t>
            </w:r>
            <w:r>
              <w:rPr>
                <w:color w:val="000000"/>
                <w:kern w:val="0"/>
                <w:sz w:val="24"/>
              </w:rPr>
              <w:t>安装去除效率不小于60％的油烟净化器（小型规模饮食业单位）后，执行《饮食业油烟排放标准》</w:t>
            </w:r>
            <w:r>
              <w:rPr>
                <w:rFonts w:hint="eastAsia"/>
                <w:color w:val="000000"/>
                <w:kern w:val="0"/>
                <w:sz w:val="24"/>
                <w:lang w:eastAsia="zh-CN"/>
              </w:rPr>
              <w:t>（</w:t>
            </w:r>
            <w:r>
              <w:rPr>
                <w:color w:val="000000"/>
                <w:kern w:val="0"/>
                <w:sz w:val="24"/>
              </w:rPr>
              <w:t>GB18483-2001</w:t>
            </w:r>
            <w:r>
              <w:rPr>
                <w:rFonts w:hint="eastAsia"/>
                <w:color w:val="000000"/>
                <w:kern w:val="0"/>
                <w:sz w:val="24"/>
                <w:lang w:eastAsia="zh-CN"/>
              </w:rPr>
              <w:t>）</w:t>
            </w:r>
            <w:r>
              <w:rPr>
                <w:color w:val="000000"/>
                <w:kern w:val="0"/>
                <w:sz w:val="24"/>
              </w:rPr>
              <w:t>中“饮食业单位的油烟最高允许排放浓度”即2.0mg/m</w:t>
            </w:r>
            <w:r>
              <w:rPr>
                <w:color w:val="000000"/>
                <w:kern w:val="0"/>
                <w:sz w:val="24"/>
                <w:vertAlign w:val="superscript"/>
              </w:rPr>
              <w:t>3</w:t>
            </w:r>
            <w:r>
              <w:rPr>
                <w:rFonts w:hint="eastAsia"/>
                <w:sz w:val="24"/>
              </w:rPr>
              <w:t>。</w:t>
            </w:r>
          </w:p>
          <w:p>
            <w:pPr>
              <w:spacing w:line="520" w:lineRule="exact"/>
              <w:jc w:val="center"/>
              <w:rPr>
                <w:rFonts w:hint="default" w:eastAsia="宋体"/>
                <w:b/>
                <w:sz w:val="24"/>
                <w:lang w:val="en-US" w:eastAsia="zh-CN"/>
              </w:rPr>
            </w:pPr>
            <w:r>
              <w:rPr>
                <w:rFonts w:hint="eastAsia"/>
                <w:b/>
                <w:sz w:val="24"/>
              </w:rPr>
              <w:t>表</w:t>
            </w:r>
            <w:r>
              <w:rPr>
                <w:rFonts w:hint="eastAsia"/>
                <w:b/>
                <w:sz w:val="24"/>
                <w:lang w:val="en-US" w:eastAsia="zh-CN"/>
              </w:rPr>
              <w:t xml:space="preserve">3-5  </w:t>
            </w:r>
            <w:r>
              <w:rPr>
                <w:rFonts w:hint="eastAsia"/>
                <w:b/>
                <w:sz w:val="24"/>
              </w:rPr>
              <w:t xml:space="preserve"> </w:t>
            </w:r>
            <w:r>
              <w:rPr>
                <w:rFonts w:hint="eastAsia"/>
                <w:b/>
                <w:sz w:val="24"/>
                <w:lang w:val="en-US" w:eastAsia="zh-CN"/>
              </w:rPr>
              <w:t>大气污染物</w:t>
            </w:r>
            <w:r>
              <w:rPr>
                <w:rFonts w:hint="eastAsia"/>
                <w:b/>
                <w:sz w:val="24"/>
              </w:rPr>
              <w:t>排放标准</w:t>
            </w:r>
            <w:r>
              <w:rPr>
                <w:rFonts w:hint="eastAsia"/>
                <w:b/>
                <w:sz w:val="24"/>
                <w:lang w:val="en-US" w:eastAsia="zh-CN"/>
              </w:rPr>
              <w:t>限值一览表</w:t>
            </w:r>
          </w:p>
          <w:tbl>
            <w:tblPr>
              <w:tblStyle w:val="2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844"/>
              <w:gridCol w:w="1305"/>
              <w:gridCol w:w="1251"/>
              <w:gridCol w:w="1599"/>
              <w:gridCol w:w="24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508"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w:t>
                  </w:r>
                </w:p>
              </w:tc>
              <w:tc>
                <w:tcPr>
                  <w:tcW w:w="508"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排放形式</w:t>
                  </w:r>
                </w:p>
              </w:tc>
              <w:tc>
                <w:tcPr>
                  <w:tcW w:w="786"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75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浓度限值（mg/m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96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最高允许排放速率</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15m高排气筒</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（kg/h）</w:t>
                  </w:r>
                </w:p>
              </w:tc>
              <w:tc>
                <w:tcPr>
                  <w:tcW w:w="1480" w:type="pct"/>
                  <w:tcBorders>
                    <w:tl2br w:val="nil"/>
                    <w:tr2bl w:val="nil"/>
                  </w:tcBorders>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pct"/>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施工期</w:t>
                  </w:r>
                </w:p>
              </w:tc>
              <w:tc>
                <w:tcPr>
                  <w:tcW w:w="508" w:type="pct"/>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786"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75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96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1480" w:type="pct"/>
                  <w:tcBorders>
                    <w:tl2br w:val="nil"/>
                    <w:tr2bl w:val="nil"/>
                  </w:tcBorders>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《大气污染物综合排放标准》GB6116297-1996）表2规定的浓度限值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67" w:hRule="atLeast"/>
                <w:jc w:val="center"/>
              </w:trPr>
              <w:tc>
                <w:tcPr>
                  <w:tcW w:w="508" w:type="pct"/>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运营期</w:t>
                  </w:r>
                </w:p>
              </w:tc>
              <w:tc>
                <w:tcPr>
                  <w:tcW w:w="508"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86"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食堂油烟</w:t>
                  </w:r>
                </w:p>
              </w:tc>
              <w:tc>
                <w:tcPr>
                  <w:tcW w:w="75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96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480" w:type="pct"/>
                  <w:tcBorders>
                    <w:tl2br w:val="nil"/>
                    <w:tr2bl w:val="nil"/>
                  </w:tcBorders>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《饮食行业油烟排放标准（试行）》</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GB18483-2001</w:t>
                  </w:r>
                  <w:r>
                    <w:rPr>
                      <w:rFonts w:hint="eastAsia" w:cs="Times New Roman"/>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508" w:type="pct"/>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508"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w:t>
                  </w:r>
                </w:p>
              </w:tc>
              <w:tc>
                <w:tcPr>
                  <w:tcW w:w="786"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5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96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480" w:type="pct"/>
                  <w:tcBorders>
                    <w:tl2br w:val="nil"/>
                    <w:tr2bl w:val="nil"/>
                  </w:tcBorders>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《水泥工业大气污染物排放标准》（GB4915-2013）表3大气污染物无组织排放限值（浓度差值0.5mg/m³）</w:t>
                  </w:r>
                </w:p>
              </w:tc>
            </w:tr>
          </w:tbl>
          <w:p>
            <w:pPr>
              <w:widowControl/>
              <w:spacing w:line="520" w:lineRule="exact"/>
              <w:ind w:firstLine="482" w:firstLineChars="200"/>
              <w:jc w:val="left"/>
              <w:rPr>
                <w:rFonts w:hint="default" w:eastAsia="宋体"/>
                <w:color w:val="000000"/>
                <w:kern w:val="0"/>
                <w:sz w:val="24"/>
                <w:lang w:val="en-US" w:eastAsia="zh-CN"/>
              </w:rPr>
            </w:pPr>
            <w:r>
              <w:rPr>
                <w:rFonts w:hint="eastAsia"/>
                <w:b/>
                <w:bCs/>
                <w:sz w:val="24"/>
                <w:lang w:eastAsia="zh-CN"/>
              </w:rPr>
              <w:t>2.</w:t>
            </w:r>
            <w:r>
              <w:rPr>
                <w:rFonts w:hint="eastAsia"/>
                <w:b/>
                <w:bCs/>
                <w:kern w:val="0"/>
                <w:sz w:val="24"/>
              </w:rPr>
              <w:t>废水</w:t>
            </w:r>
          </w:p>
          <w:p>
            <w:pPr>
              <w:spacing w:line="520" w:lineRule="exact"/>
              <w:ind w:firstLine="480" w:firstLineChars="200"/>
              <w:contextualSpacing/>
              <w:rPr>
                <w:rFonts w:hint="eastAsia"/>
                <w:sz w:val="24"/>
              </w:rPr>
            </w:pPr>
            <w:r>
              <w:rPr>
                <w:rFonts w:hint="eastAsia"/>
                <w:color w:val="000000"/>
                <w:kern w:val="0"/>
                <w:sz w:val="24"/>
              </w:rPr>
              <w:t>营运期</w:t>
            </w:r>
            <w:r>
              <w:rPr>
                <w:rFonts w:hint="eastAsia"/>
                <w:color w:val="000000"/>
                <w:kern w:val="0"/>
                <w:sz w:val="24"/>
                <w:lang w:val="en-US" w:eastAsia="zh-CN"/>
              </w:rPr>
              <w:t>生产废水不外排。</w:t>
            </w:r>
            <w:r>
              <w:rPr>
                <w:rFonts w:hint="eastAsia"/>
                <w:color w:val="000000"/>
                <w:kern w:val="0"/>
                <w:sz w:val="24"/>
              </w:rPr>
              <w:t>职工生活产生的生活污水执行</w:t>
            </w:r>
            <w:r>
              <w:rPr>
                <w:kern w:val="0"/>
                <w:sz w:val="24"/>
              </w:rPr>
              <w:t>《</w:t>
            </w:r>
            <w:r>
              <w:rPr>
                <w:rFonts w:hint="eastAsia"/>
                <w:kern w:val="0"/>
                <w:sz w:val="24"/>
              </w:rPr>
              <w:t>污水综合排放</w:t>
            </w:r>
            <w:r>
              <w:rPr>
                <w:color w:val="000000"/>
                <w:kern w:val="0"/>
                <w:sz w:val="24"/>
              </w:rPr>
              <w:t>标准》（GB</w:t>
            </w:r>
            <w:r>
              <w:rPr>
                <w:rFonts w:hint="eastAsia"/>
                <w:color w:val="000000"/>
                <w:kern w:val="0"/>
                <w:sz w:val="24"/>
              </w:rPr>
              <w:t>8978</w:t>
            </w:r>
            <w:r>
              <w:rPr>
                <w:color w:val="000000"/>
                <w:kern w:val="0"/>
                <w:sz w:val="24"/>
              </w:rPr>
              <w:t>-</w:t>
            </w:r>
            <w:r>
              <w:rPr>
                <w:rFonts w:hint="eastAsia"/>
                <w:color w:val="000000"/>
                <w:kern w:val="0"/>
                <w:sz w:val="24"/>
              </w:rPr>
              <w:t>1996</w:t>
            </w:r>
            <w:r>
              <w:rPr>
                <w:color w:val="000000"/>
                <w:kern w:val="0"/>
                <w:sz w:val="24"/>
              </w:rPr>
              <w:t>）</w:t>
            </w:r>
            <w:r>
              <w:rPr>
                <w:rFonts w:hint="eastAsia"/>
                <w:color w:val="000000"/>
                <w:kern w:val="0"/>
                <w:sz w:val="24"/>
              </w:rPr>
              <w:t>三级标准</w:t>
            </w:r>
            <w:r>
              <w:rPr>
                <w:rFonts w:hint="eastAsia"/>
                <w:sz w:val="24"/>
              </w:rPr>
              <w:t>。</w:t>
            </w:r>
          </w:p>
          <w:p>
            <w:pPr>
              <w:spacing w:line="520" w:lineRule="exact"/>
              <w:jc w:val="center"/>
              <w:rPr>
                <w:rFonts w:hint="eastAsia"/>
                <w:b/>
                <w:sz w:val="24"/>
              </w:rPr>
            </w:pPr>
            <w:r>
              <w:rPr>
                <w:rFonts w:hint="eastAsia"/>
                <w:b/>
                <w:sz w:val="24"/>
              </w:rPr>
              <w:t>表</w:t>
            </w:r>
            <w:r>
              <w:rPr>
                <w:rFonts w:hint="eastAsia"/>
                <w:b/>
                <w:sz w:val="24"/>
                <w:lang w:val="en-US" w:eastAsia="zh-CN"/>
              </w:rPr>
              <w:t xml:space="preserve">3-6 </w:t>
            </w:r>
            <w:r>
              <w:rPr>
                <w:rFonts w:hint="eastAsia"/>
                <w:b/>
                <w:sz w:val="24"/>
              </w:rPr>
              <w:t xml:space="preserve">  污水综合排放标准  单位：mg/L</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1886"/>
              <w:gridCol w:w="2047"/>
              <w:gridCol w:w="3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416" w:type="dxa"/>
                  <w:noWrap w:val="0"/>
                  <w:vAlign w:val="center"/>
                </w:tcPr>
                <w:p>
                  <w:pPr>
                    <w:adjustRightInd w:val="0"/>
                    <w:snapToGrid w:val="0"/>
                    <w:jc w:val="center"/>
                    <w:rPr>
                      <w:bCs/>
                      <w:szCs w:val="21"/>
                    </w:rPr>
                  </w:pPr>
                  <w:r>
                    <w:rPr>
                      <w:rFonts w:hint="eastAsia"/>
                      <w:bCs/>
                      <w:szCs w:val="21"/>
                    </w:rPr>
                    <w:t>序号</w:t>
                  </w:r>
                </w:p>
              </w:tc>
              <w:tc>
                <w:tcPr>
                  <w:tcW w:w="2094" w:type="dxa"/>
                  <w:noWrap w:val="0"/>
                  <w:vAlign w:val="center"/>
                </w:tcPr>
                <w:p>
                  <w:pPr>
                    <w:adjustRightInd w:val="0"/>
                    <w:snapToGrid w:val="0"/>
                    <w:jc w:val="center"/>
                    <w:rPr>
                      <w:bCs/>
                      <w:szCs w:val="21"/>
                    </w:rPr>
                  </w:pPr>
                  <w:r>
                    <w:rPr>
                      <w:rFonts w:hint="eastAsia"/>
                      <w:bCs/>
                      <w:szCs w:val="21"/>
                    </w:rPr>
                    <w:t>项目</w:t>
                  </w:r>
                </w:p>
              </w:tc>
              <w:tc>
                <w:tcPr>
                  <w:tcW w:w="2231" w:type="dxa"/>
                  <w:noWrap w:val="0"/>
                  <w:vAlign w:val="center"/>
                </w:tcPr>
                <w:p>
                  <w:pPr>
                    <w:adjustRightInd w:val="0"/>
                    <w:snapToGrid w:val="0"/>
                    <w:jc w:val="center"/>
                    <w:rPr>
                      <w:bCs/>
                      <w:szCs w:val="21"/>
                    </w:rPr>
                  </w:pPr>
                  <w:r>
                    <w:rPr>
                      <w:rFonts w:hint="eastAsia"/>
                      <w:bCs/>
                      <w:szCs w:val="21"/>
                    </w:rPr>
                    <w:t>标准值（mg/L）</w:t>
                  </w:r>
                </w:p>
              </w:tc>
              <w:tc>
                <w:tcPr>
                  <w:tcW w:w="3372" w:type="dxa"/>
                  <w:noWrap w:val="0"/>
                  <w:vAlign w:val="center"/>
                </w:tcPr>
                <w:p>
                  <w:pPr>
                    <w:adjustRightInd w:val="0"/>
                    <w:snapToGrid w:val="0"/>
                    <w:jc w:val="center"/>
                    <w:rPr>
                      <w:bCs/>
                      <w:szCs w:val="21"/>
                    </w:rPr>
                  </w:pPr>
                  <w:r>
                    <w:rPr>
                      <w:rFonts w:hint="eastAsia"/>
                      <w:bCs/>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416" w:type="dxa"/>
                  <w:noWrap w:val="0"/>
                  <w:vAlign w:val="center"/>
                </w:tcPr>
                <w:p>
                  <w:pPr>
                    <w:adjustRightInd w:val="0"/>
                    <w:snapToGrid w:val="0"/>
                    <w:jc w:val="center"/>
                    <w:rPr>
                      <w:szCs w:val="21"/>
                    </w:rPr>
                  </w:pPr>
                  <w:r>
                    <w:rPr>
                      <w:szCs w:val="21"/>
                    </w:rPr>
                    <w:t>1</w:t>
                  </w:r>
                </w:p>
              </w:tc>
              <w:tc>
                <w:tcPr>
                  <w:tcW w:w="2094" w:type="dxa"/>
                  <w:noWrap w:val="0"/>
                  <w:vAlign w:val="center"/>
                </w:tcPr>
                <w:p>
                  <w:pPr>
                    <w:adjustRightInd w:val="0"/>
                    <w:snapToGrid w:val="0"/>
                    <w:jc w:val="center"/>
                    <w:rPr>
                      <w:szCs w:val="21"/>
                    </w:rPr>
                  </w:pPr>
                  <w:r>
                    <w:rPr>
                      <w:szCs w:val="21"/>
                    </w:rPr>
                    <w:t>pH</w:t>
                  </w:r>
                </w:p>
              </w:tc>
              <w:tc>
                <w:tcPr>
                  <w:tcW w:w="2231" w:type="dxa"/>
                  <w:noWrap w:val="0"/>
                  <w:vAlign w:val="center"/>
                </w:tcPr>
                <w:p>
                  <w:pPr>
                    <w:adjustRightInd w:val="0"/>
                    <w:snapToGrid w:val="0"/>
                    <w:jc w:val="center"/>
                    <w:rPr>
                      <w:szCs w:val="21"/>
                    </w:rPr>
                  </w:pPr>
                  <w:r>
                    <w:rPr>
                      <w:szCs w:val="21"/>
                    </w:rPr>
                    <w:t>6</w:t>
                  </w:r>
                  <w:r>
                    <w:rPr>
                      <w:rFonts w:hint="eastAsia"/>
                      <w:szCs w:val="21"/>
                      <w:lang w:eastAsia="zh-CN"/>
                    </w:rPr>
                    <w:t>~</w:t>
                  </w:r>
                  <w:r>
                    <w:rPr>
                      <w:szCs w:val="21"/>
                    </w:rPr>
                    <w:t>9</w:t>
                  </w:r>
                </w:p>
              </w:tc>
              <w:tc>
                <w:tcPr>
                  <w:tcW w:w="3372" w:type="dxa"/>
                  <w:vMerge w:val="restart"/>
                  <w:noWrap w:val="0"/>
                  <w:vAlign w:val="center"/>
                </w:tcPr>
                <w:p>
                  <w:pPr>
                    <w:adjustRightInd w:val="0"/>
                    <w:snapToGrid w:val="0"/>
                    <w:jc w:val="center"/>
                    <w:rPr>
                      <w:szCs w:val="21"/>
                    </w:rPr>
                  </w:pPr>
                  <w:r>
                    <w:rPr>
                      <w:rFonts w:hint="eastAsia"/>
                      <w:szCs w:val="21"/>
                    </w:rPr>
                    <w:t>《污水综合排放标准》（GB8978-1996）中三级标准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416" w:type="dxa"/>
                  <w:noWrap w:val="0"/>
                  <w:vAlign w:val="center"/>
                </w:tcPr>
                <w:p>
                  <w:pPr>
                    <w:adjustRightInd w:val="0"/>
                    <w:snapToGrid w:val="0"/>
                    <w:jc w:val="center"/>
                    <w:rPr>
                      <w:szCs w:val="21"/>
                    </w:rPr>
                  </w:pPr>
                  <w:r>
                    <w:rPr>
                      <w:szCs w:val="21"/>
                    </w:rPr>
                    <w:t>2</w:t>
                  </w:r>
                </w:p>
              </w:tc>
              <w:tc>
                <w:tcPr>
                  <w:tcW w:w="2094" w:type="dxa"/>
                  <w:noWrap w:val="0"/>
                  <w:vAlign w:val="center"/>
                </w:tcPr>
                <w:p>
                  <w:pPr>
                    <w:adjustRightInd w:val="0"/>
                    <w:snapToGrid w:val="0"/>
                    <w:jc w:val="center"/>
                    <w:rPr>
                      <w:szCs w:val="21"/>
                    </w:rPr>
                  </w:pPr>
                  <w:r>
                    <w:rPr>
                      <w:szCs w:val="21"/>
                    </w:rPr>
                    <w:t>COD</w:t>
                  </w:r>
                </w:p>
              </w:tc>
              <w:tc>
                <w:tcPr>
                  <w:tcW w:w="2231" w:type="dxa"/>
                  <w:noWrap w:val="0"/>
                  <w:vAlign w:val="center"/>
                </w:tcPr>
                <w:p>
                  <w:pPr>
                    <w:adjustRightInd w:val="0"/>
                    <w:snapToGrid w:val="0"/>
                    <w:jc w:val="center"/>
                    <w:rPr>
                      <w:szCs w:val="21"/>
                    </w:rPr>
                  </w:pPr>
                  <w:r>
                    <w:rPr>
                      <w:rFonts w:hint="eastAsia"/>
                      <w:szCs w:val="21"/>
                    </w:rPr>
                    <w:t>500</w:t>
                  </w:r>
                </w:p>
              </w:tc>
              <w:tc>
                <w:tcPr>
                  <w:tcW w:w="3372" w:type="dxa"/>
                  <w:vMerge w:val="continue"/>
                  <w:noWrap w:val="0"/>
                  <w:vAlign w:val="center"/>
                </w:tcPr>
                <w:p>
                  <w:pPr>
                    <w:adjustRightInd w:val="0"/>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416" w:type="dxa"/>
                  <w:noWrap w:val="0"/>
                  <w:vAlign w:val="center"/>
                </w:tcPr>
                <w:p>
                  <w:pPr>
                    <w:adjustRightInd w:val="0"/>
                    <w:snapToGrid w:val="0"/>
                    <w:jc w:val="center"/>
                    <w:rPr>
                      <w:rFonts w:hint="eastAsia"/>
                      <w:szCs w:val="21"/>
                    </w:rPr>
                  </w:pPr>
                  <w:r>
                    <w:rPr>
                      <w:rFonts w:hint="eastAsia"/>
                      <w:szCs w:val="21"/>
                    </w:rPr>
                    <w:t>3</w:t>
                  </w:r>
                </w:p>
              </w:tc>
              <w:tc>
                <w:tcPr>
                  <w:tcW w:w="2094" w:type="dxa"/>
                  <w:noWrap w:val="0"/>
                  <w:vAlign w:val="center"/>
                </w:tcPr>
                <w:p>
                  <w:pPr>
                    <w:adjustRightInd w:val="0"/>
                    <w:snapToGrid w:val="0"/>
                    <w:jc w:val="center"/>
                    <w:rPr>
                      <w:szCs w:val="21"/>
                    </w:rPr>
                  </w:pPr>
                  <w:r>
                    <w:rPr>
                      <w:szCs w:val="21"/>
                    </w:rPr>
                    <w:t>NH</w:t>
                  </w:r>
                  <w:r>
                    <w:rPr>
                      <w:szCs w:val="21"/>
                      <w:vertAlign w:val="subscript"/>
                    </w:rPr>
                    <w:t>3</w:t>
                  </w:r>
                  <w:r>
                    <w:rPr>
                      <w:szCs w:val="21"/>
                    </w:rPr>
                    <w:t>-N</w:t>
                  </w:r>
                </w:p>
              </w:tc>
              <w:tc>
                <w:tcPr>
                  <w:tcW w:w="2231" w:type="dxa"/>
                  <w:noWrap w:val="0"/>
                  <w:vAlign w:val="center"/>
                </w:tcPr>
                <w:p>
                  <w:pPr>
                    <w:adjustRightInd w:val="0"/>
                    <w:snapToGrid w:val="0"/>
                    <w:jc w:val="center"/>
                    <w:rPr>
                      <w:szCs w:val="21"/>
                    </w:rPr>
                  </w:pPr>
                  <w:r>
                    <w:rPr>
                      <w:rFonts w:hint="eastAsia"/>
                      <w:szCs w:val="21"/>
                    </w:rPr>
                    <w:t>/</w:t>
                  </w:r>
                </w:p>
              </w:tc>
              <w:tc>
                <w:tcPr>
                  <w:tcW w:w="3372" w:type="dxa"/>
                  <w:vMerge w:val="continue"/>
                  <w:noWrap w:val="0"/>
                  <w:vAlign w:val="center"/>
                </w:tcPr>
                <w:p>
                  <w:pPr>
                    <w:adjustRightInd w:val="0"/>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416" w:type="dxa"/>
                  <w:noWrap w:val="0"/>
                  <w:vAlign w:val="center"/>
                </w:tcPr>
                <w:p>
                  <w:pPr>
                    <w:adjustRightInd w:val="0"/>
                    <w:snapToGrid w:val="0"/>
                    <w:jc w:val="center"/>
                    <w:rPr>
                      <w:rFonts w:hint="eastAsia"/>
                      <w:szCs w:val="21"/>
                    </w:rPr>
                  </w:pPr>
                  <w:r>
                    <w:rPr>
                      <w:rFonts w:hint="eastAsia"/>
                      <w:szCs w:val="21"/>
                    </w:rPr>
                    <w:t>4</w:t>
                  </w:r>
                </w:p>
              </w:tc>
              <w:tc>
                <w:tcPr>
                  <w:tcW w:w="2094" w:type="dxa"/>
                  <w:noWrap w:val="0"/>
                  <w:vAlign w:val="center"/>
                </w:tcPr>
                <w:p>
                  <w:pPr>
                    <w:adjustRightInd w:val="0"/>
                    <w:snapToGrid w:val="0"/>
                    <w:jc w:val="center"/>
                    <w:rPr>
                      <w:rFonts w:hint="eastAsia"/>
                      <w:szCs w:val="21"/>
                    </w:rPr>
                  </w:pPr>
                  <w:r>
                    <w:rPr>
                      <w:rFonts w:hint="eastAsia"/>
                      <w:szCs w:val="21"/>
                    </w:rPr>
                    <w:t>BOD</w:t>
                  </w:r>
                </w:p>
              </w:tc>
              <w:tc>
                <w:tcPr>
                  <w:tcW w:w="2231" w:type="dxa"/>
                  <w:noWrap w:val="0"/>
                  <w:vAlign w:val="center"/>
                </w:tcPr>
                <w:p>
                  <w:pPr>
                    <w:adjustRightInd w:val="0"/>
                    <w:snapToGrid w:val="0"/>
                    <w:jc w:val="center"/>
                    <w:rPr>
                      <w:rFonts w:hint="eastAsia"/>
                      <w:szCs w:val="21"/>
                    </w:rPr>
                  </w:pPr>
                  <w:r>
                    <w:rPr>
                      <w:rFonts w:hint="eastAsia"/>
                      <w:szCs w:val="21"/>
                    </w:rPr>
                    <w:t>300</w:t>
                  </w:r>
                </w:p>
              </w:tc>
              <w:tc>
                <w:tcPr>
                  <w:tcW w:w="3372" w:type="dxa"/>
                  <w:vMerge w:val="continue"/>
                  <w:noWrap w:val="0"/>
                  <w:vAlign w:val="center"/>
                </w:tcPr>
                <w:p>
                  <w:pPr>
                    <w:adjustRightInd w:val="0"/>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416" w:type="dxa"/>
                  <w:noWrap w:val="0"/>
                  <w:vAlign w:val="center"/>
                </w:tcPr>
                <w:p>
                  <w:pPr>
                    <w:adjustRightInd w:val="0"/>
                    <w:snapToGrid w:val="0"/>
                    <w:jc w:val="center"/>
                    <w:rPr>
                      <w:rFonts w:hint="eastAsia"/>
                      <w:szCs w:val="21"/>
                    </w:rPr>
                  </w:pPr>
                  <w:r>
                    <w:rPr>
                      <w:rFonts w:hint="eastAsia"/>
                      <w:szCs w:val="21"/>
                    </w:rPr>
                    <w:t>5</w:t>
                  </w:r>
                </w:p>
              </w:tc>
              <w:tc>
                <w:tcPr>
                  <w:tcW w:w="2094" w:type="dxa"/>
                  <w:noWrap w:val="0"/>
                  <w:vAlign w:val="center"/>
                </w:tcPr>
                <w:p>
                  <w:pPr>
                    <w:adjustRightInd w:val="0"/>
                    <w:snapToGrid w:val="0"/>
                    <w:jc w:val="center"/>
                    <w:rPr>
                      <w:szCs w:val="21"/>
                    </w:rPr>
                  </w:pPr>
                  <w:r>
                    <w:rPr>
                      <w:rFonts w:hint="eastAsia"/>
                      <w:szCs w:val="21"/>
                    </w:rPr>
                    <w:t>SS</w:t>
                  </w:r>
                </w:p>
              </w:tc>
              <w:tc>
                <w:tcPr>
                  <w:tcW w:w="2231" w:type="dxa"/>
                  <w:noWrap w:val="0"/>
                  <w:vAlign w:val="center"/>
                </w:tcPr>
                <w:p>
                  <w:pPr>
                    <w:adjustRightInd w:val="0"/>
                    <w:snapToGrid w:val="0"/>
                    <w:jc w:val="center"/>
                    <w:rPr>
                      <w:szCs w:val="21"/>
                    </w:rPr>
                  </w:pPr>
                  <w:r>
                    <w:rPr>
                      <w:rFonts w:hint="eastAsia"/>
                      <w:szCs w:val="21"/>
                    </w:rPr>
                    <w:t>400</w:t>
                  </w:r>
                </w:p>
              </w:tc>
              <w:tc>
                <w:tcPr>
                  <w:tcW w:w="3372" w:type="dxa"/>
                  <w:vMerge w:val="continue"/>
                  <w:noWrap w:val="0"/>
                  <w:vAlign w:val="center"/>
                </w:tcPr>
                <w:p>
                  <w:pPr>
                    <w:adjustRightInd w:val="0"/>
                    <w:snapToGrid w:val="0"/>
                    <w:jc w:val="center"/>
                    <w:rPr>
                      <w:szCs w:val="21"/>
                    </w:rPr>
                  </w:pPr>
                </w:p>
              </w:tc>
            </w:tr>
          </w:tbl>
          <w:p>
            <w:pPr>
              <w:spacing w:line="520" w:lineRule="exact"/>
              <w:ind w:firstLine="482" w:firstLineChars="200"/>
              <w:contextualSpacing/>
              <w:rPr>
                <w:rFonts w:hint="eastAsia"/>
                <w:b/>
                <w:bCs/>
                <w:sz w:val="24"/>
              </w:rPr>
            </w:pPr>
            <w:r>
              <w:rPr>
                <w:rFonts w:hint="eastAsia"/>
                <w:b/>
                <w:bCs/>
                <w:color w:val="000000"/>
                <w:sz w:val="24"/>
                <w:lang w:eastAsia="zh-CN"/>
              </w:rPr>
              <w:t>3.</w:t>
            </w:r>
            <w:r>
              <w:rPr>
                <w:b/>
                <w:bCs/>
                <w:sz w:val="24"/>
              </w:rPr>
              <w:t>噪声</w:t>
            </w:r>
          </w:p>
          <w:p>
            <w:pPr>
              <w:spacing w:line="520" w:lineRule="exact"/>
              <w:ind w:firstLine="480" w:firstLineChars="200"/>
              <w:contextualSpacing/>
              <w:rPr>
                <w:rFonts w:hint="eastAsia"/>
                <w:sz w:val="24"/>
              </w:rPr>
            </w:pPr>
            <w:r>
              <w:rPr>
                <w:sz w:val="24"/>
              </w:rPr>
              <w:t>运营期项目区厂界噪声执行满足《工业企业厂界环境噪声排放标准》（GB12348-2008）中</w:t>
            </w:r>
            <w:r>
              <w:rPr>
                <w:rFonts w:hint="eastAsia"/>
                <w:sz w:val="24"/>
                <w:lang w:val="en-US" w:eastAsia="zh-CN"/>
              </w:rPr>
              <w:t>2</w:t>
            </w:r>
            <w:r>
              <w:rPr>
                <w:rFonts w:hint="eastAsia"/>
                <w:sz w:val="24"/>
              </w:rPr>
              <w:t>类</w:t>
            </w:r>
            <w:r>
              <w:rPr>
                <w:sz w:val="24"/>
              </w:rPr>
              <w:t>标准。</w:t>
            </w:r>
          </w:p>
          <w:p>
            <w:pPr>
              <w:widowControl/>
              <w:spacing w:line="520" w:lineRule="exact"/>
              <w:contextualSpacing/>
              <w:jc w:val="center"/>
              <w:rPr>
                <w:rFonts w:hint="eastAsia"/>
                <w:b/>
                <w:kern w:val="0"/>
                <w:sz w:val="24"/>
              </w:rPr>
            </w:pPr>
            <w:r>
              <w:rPr>
                <w:rFonts w:hint="eastAsia"/>
                <w:b/>
                <w:sz w:val="24"/>
              </w:rPr>
              <w:t>表</w:t>
            </w:r>
            <w:r>
              <w:rPr>
                <w:rFonts w:hint="eastAsia"/>
                <w:b/>
                <w:sz w:val="24"/>
                <w:lang w:val="en-US" w:eastAsia="zh-CN"/>
              </w:rPr>
              <w:t xml:space="preserve">3-7  </w:t>
            </w:r>
            <w:r>
              <w:rPr>
                <w:rFonts w:hint="eastAsia"/>
                <w:b/>
                <w:sz w:val="24"/>
              </w:rPr>
              <w:t xml:space="preserve">  </w:t>
            </w:r>
            <w:r>
              <w:rPr>
                <w:b/>
                <w:sz w:val="24"/>
              </w:rPr>
              <w:t>工业企业厂界环境噪声排放标准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2107"/>
              <w:gridCol w:w="2069"/>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78" w:type="dxa"/>
                  <w:noWrap w:val="0"/>
                  <w:vAlign w:val="center"/>
                </w:tcPr>
                <w:p>
                  <w:pPr>
                    <w:widowControl/>
                    <w:jc w:val="center"/>
                    <w:rPr>
                      <w:kern w:val="0"/>
                      <w:szCs w:val="21"/>
                    </w:rPr>
                  </w:pPr>
                  <w:r>
                    <w:rPr>
                      <w:rFonts w:hint="eastAsia"/>
                      <w:kern w:val="0"/>
                      <w:szCs w:val="21"/>
                    </w:rPr>
                    <w:t>类别</w:t>
                  </w:r>
                </w:p>
              </w:tc>
              <w:tc>
                <w:tcPr>
                  <w:tcW w:w="2279" w:type="dxa"/>
                  <w:noWrap w:val="0"/>
                  <w:vAlign w:val="center"/>
                </w:tcPr>
                <w:p>
                  <w:pPr>
                    <w:widowControl/>
                    <w:jc w:val="center"/>
                    <w:rPr>
                      <w:kern w:val="0"/>
                      <w:szCs w:val="21"/>
                    </w:rPr>
                  </w:pPr>
                  <w:r>
                    <w:rPr>
                      <w:rFonts w:hint="eastAsia"/>
                      <w:kern w:val="0"/>
                      <w:szCs w:val="21"/>
                    </w:rPr>
                    <w:t>单位</w:t>
                  </w:r>
                </w:p>
              </w:tc>
              <w:tc>
                <w:tcPr>
                  <w:tcW w:w="2278" w:type="dxa"/>
                  <w:noWrap w:val="0"/>
                  <w:vAlign w:val="center"/>
                </w:tcPr>
                <w:p>
                  <w:pPr>
                    <w:widowControl/>
                    <w:jc w:val="center"/>
                    <w:rPr>
                      <w:kern w:val="0"/>
                      <w:szCs w:val="21"/>
                    </w:rPr>
                  </w:pPr>
                  <w:r>
                    <w:rPr>
                      <w:rFonts w:hint="eastAsia"/>
                      <w:kern w:val="0"/>
                      <w:szCs w:val="21"/>
                    </w:rPr>
                    <w:t>昼间</w:t>
                  </w:r>
                </w:p>
              </w:tc>
              <w:tc>
                <w:tcPr>
                  <w:tcW w:w="2278" w:type="dxa"/>
                  <w:noWrap w:val="0"/>
                  <w:vAlign w:val="center"/>
                </w:tcPr>
                <w:p>
                  <w:pPr>
                    <w:widowControl/>
                    <w:jc w:val="center"/>
                    <w:rPr>
                      <w:kern w:val="0"/>
                      <w:szCs w:val="21"/>
                    </w:rPr>
                  </w:pPr>
                  <w:r>
                    <w:rPr>
                      <w:rFonts w:hint="eastAsia"/>
                      <w:kern w:val="0"/>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78" w:type="dxa"/>
                  <w:noWrap w:val="0"/>
                  <w:vAlign w:val="center"/>
                </w:tcPr>
                <w:p>
                  <w:pPr>
                    <w:widowControl/>
                    <w:jc w:val="center"/>
                    <w:rPr>
                      <w:kern w:val="0"/>
                      <w:szCs w:val="21"/>
                    </w:rPr>
                  </w:pPr>
                  <w:r>
                    <w:rPr>
                      <w:rFonts w:hint="eastAsia"/>
                      <w:kern w:val="0"/>
                      <w:szCs w:val="21"/>
                      <w:lang w:val="en-US" w:eastAsia="zh-CN"/>
                    </w:rPr>
                    <w:t>2</w:t>
                  </w:r>
                  <w:r>
                    <w:rPr>
                      <w:rFonts w:hint="eastAsia"/>
                      <w:kern w:val="0"/>
                      <w:szCs w:val="21"/>
                    </w:rPr>
                    <w:t>类</w:t>
                  </w:r>
                </w:p>
              </w:tc>
              <w:tc>
                <w:tcPr>
                  <w:tcW w:w="2279" w:type="dxa"/>
                  <w:noWrap w:val="0"/>
                  <w:vAlign w:val="center"/>
                </w:tcPr>
                <w:p>
                  <w:pPr>
                    <w:widowControl/>
                    <w:jc w:val="center"/>
                    <w:rPr>
                      <w:kern w:val="0"/>
                      <w:szCs w:val="21"/>
                    </w:rPr>
                  </w:pPr>
                  <w:r>
                    <w:rPr>
                      <w:rFonts w:hint="eastAsia"/>
                      <w:kern w:val="0"/>
                      <w:szCs w:val="21"/>
                    </w:rPr>
                    <w:t>dB</w:t>
                  </w:r>
                  <w:r>
                    <w:rPr>
                      <w:rFonts w:hint="eastAsia"/>
                      <w:kern w:val="0"/>
                      <w:szCs w:val="21"/>
                      <w:lang w:eastAsia="zh-CN"/>
                    </w:rPr>
                    <w:t>(</w:t>
                  </w:r>
                  <w:r>
                    <w:rPr>
                      <w:rFonts w:hint="eastAsia"/>
                      <w:kern w:val="0"/>
                      <w:szCs w:val="21"/>
                    </w:rPr>
                    <w:t>A</w:t>
                  </w:r>
                  <w:r>
                    <w:rPr>
                      <w:rFonts w:hint="eastAsia"/>
                      <w:kern w:val="0"/>
                      <w:szCs w:val="21"/>
                      <w:lang w:eastAsia="zh-CN"/>
                    </w:rPr>
                    <w:t>)</w:t>
                  </w:r>
                </w:p>
              </w:tc>
              <w:tc>
                <w:tcPr>
                  <w:tcW w:w="2278" w:type="dxa"/>
                  <w:noWrap w:val="0"/>
                  <w:vAlign w:val="center"/>
                </w:tcPr>
                <w:p>
                  <w:pPr>
                    <w:widowControl/>
                    <w:jc w:val="center"/>
                    <w:rPr>
                      <w:rFonts w:hint="default" w:eastAsia="宋体"/>
                      <w:kern w:val="0"/>
                      <w:szCs w:val="21"/>
                      <w:lang w:val="en-US" w:eastAsia="zh-CN"/>
                    </w:rPr>
                  </w:pPr>
                  <w:r>
                    <w:rPr>
                      <w:rFonts w:hint="eastAsia"/>
                      <w:kern w:val="0"/>
                      <w:szCs w:val="21"/>
                      <w:lang w:val="en-US" w:eastAsia="zh-CN"/>
                    </w:rPr>
                    <w:t>60</w:t>
                  </w:r>
                </w:p>
              </w:tc>
              <w:tc>
                <w:tcPr>
                  <w:tcW w:w="2278" w:type="dxa"/>
                  <w:noWrap w:val="0"/>
                  <w:vAlign w:val="center"/>
                </w:tcPr>
                <w:p>
                  <w:pPr>
                    <w:widowControl/>
                    <w:jc w:val="center"/>
                    <w:rPr>
                      <w:rFonts w:hint="default" w:eastAsia="宋体"/>
                      <w:kern w:val="0"/>
                      <w:szCs w:val="21"/>
                      <w:lang w:val="en-US" w:eastAsia="zh-CN"/>
                    </w:rPr>
                  </w:pPr>
                  <w:r>
                    <w:rPr>
                      <w:rFonts w:hint="eastAsia"/>
                      <w:kern w:val="0"/>
                      <w:szCs w:val="21"/>
                      <w:lang w:val="en-US" w:eastAsia="zh-CN"/>
                    </w:rPr>
                    <w:t>50</w:t>
                  </w:r>
                </w:p>
              </w:tc>
            </w:tr>
          </w:tbl>
          <w:p>
            <w:pPr>
              <w:spacing w:line="520" w:lineRule="exact"/>
              <w:ind w:firstLine="482" w:firstLineChars="200"/>
              <w:jc w:val="left"/>
              <w:rPr>
                <w:rFonts w:hint="eastAsia"/>
                <w:b/>
                <w:bCs/>
                <w:color w:val="000000"/>
                <w:sz w:val="24"/>
              </w:rPr>
            </w:pPr>
            <w:r>
              <w:rPr>
                <w:rFonts w:hint="eastAsia"/>
                <w:b/>
                <w:bCs/>
                <w:color w:val="000000"/>
                <w:sz w:val="24"/>
                <w:lang w:eastAsia="zh-CN"/>
              </w:rPr>
              <w:t>4.</w:t>
            </w:r>
            <w:r>
              <w:rPr>
                <w:b/>
                <w:bCs/>
                <w:color w:val="000000"/>
                <w:sz w:val="24"/>
              </w:rPr>
              <w:t>固废</w:t>
            </w:r>
          </w:p>
          <w:p>
            <w:pPr>
              <w:spacing w:line="520" w:lineRule="exact"/>
              <w:ind w:firstLine="480" w:firstLineChars="200"/>
              <w:jc w:val="left"/>
              <w:rPr>
                <w:rFonts w:hint="default" w:ascii="Times New Roman" w:hAnsi="Times New Roman" w:cs="Times New Roman"/>
                <w:color w:val="000000"/>
                <w:sz w:val="24"/>
              </w:rPr>
            </w:pPr>
            <w:r>
              <w:rPr>
                <w:rFonts w:hint="default" w:ascii="Times New Roman" w:hAnsi="Times New Roman" w:cs="Times New Roman"/>
                <w:color w:val="000000"/>
                <w:sz w:val="24"/>
              </w:rPr>
              <w:t>本项目产生的一般工业固体废物其贮存参考《一般工业固体废物贮存和填埋污染控制标准》（GB18599-2020）中的相关要求。</w:t>
            </w:r>
          </w:p>
          <w:p>
            <w:pPr>
              <w:spacing w:line="520" w:lineRule="exact"/>
              <w:ind w:firstLine="480" w:firstLineChars="200"/>
              <w:jc w:val="left"/>
              <w:rPr>
                <w:rFonts w:hint="eastAsia" w:ascii="Times New Roman" w:hAnsi="Times New Roman" w:eastAsia="宋体" w:cs="Times New Roman"/>
                <w:color w:val="000000"/>
                <w:sz w:val="24"/>
                <w:lang w:eastAsia="zh-CN"/>
              </w:rPr>
            </w:pPr>
            <w:r>
              <w:rPr>
                <w:rFonts w:hint="default" w:ascii="Times New Roman" w:hAnsi="Times New Roman" w:cs="Times New Roman"/>
                <w:color w:val="000000"/>
                <w:sz w:val="24"/>
              </w:rPr>
              <w:t>危险废物贮存执行《危险废物贮存污染控制标准》（GB18957-2023）</w:t>
            </w:r>
            <w:r>
              <w:rPr>
                <w:rFonts w:hint="eastAsia" w:ascii="Times New Roman" w:hAnsi="Times New Roman" w:cs="Times New Roman"/>
                <w:color w:val="000000"/>
                <w:sz w:val="24"/>
                <w:lang w:eastAsia="zh-CN"/>
              </w:rPr>
              <w:t>。</w:t>
            </w:r>
          </w:p>
          <w:p>
            <w:pPr>
              <w:adjustRightInd w:val="0"/>
              <w:snapToGrid w:val="0"/>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451" w:type="dxa"/>
            <w:noWrap w:val="0"/>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总量</w:t>
            </w:r>
          </w:p>
          <w:p>
            <w:pPr>
              <w:adjustRightInd w:val="0"/>
              <w:snapToGrid w:val="0"/>
              <w:jc w:val="center"/>
              <w:rPr>
                <w:rFonts w:hint="eastAsia" w:ascii="宋体" w:hAnsi="宋体" w:cs="宋体"/>
                <w:kern w:val="0"/>
                <w:szCs w:val="21"/>
              </w:rPr>
            </w:pPr>
            <w:r>
              <w:rPr>
                <w:rFonts w:hint="eastAsia" w:ascii="宋体" w:hAnsi="宋体" w:cs="宋体"/>
                <w:kern w:val="0"/>
                <w:szCs w:val="21"/>
              </w:rPr>
              <w:t>控制</w:t>
            </w:r>
          </w:p>
          <w:p>
            <w:pPr>
              <w:adjustRightInd w:val="0"/>
              <w:snapToGrid w:val="0"/>
              <w:jc w:val="center"/>
              <w:rPr>
                <w:rFonts w:ascii="宋体" w:hAnsi="宋体" w:cs="宋体"/>
                <w:kern w:val="0"/>
                <w:szCs w:val="21"/>
              </w:rPr>
            </w:pPr>
            <w:r>
              <w:rPr>
                <w:rFonts w:hint="eastAsia" w:ascii="宋体" w:hAnsi="宋体" w:cs="宋体"/>
                <w:kern w:val="0"/>
                <w:szCs w:val="21"/>
              </w:rPr>
              <w:t>指标</w:t>
            </w:r>
          </w:p>
        </w:tc>
        <w:tc>
          <w:tcPr>
            <w:tcW w:w="8539" w:type="dxa"/>
            <w:noWrap w:val="0"/>
            <w:vAlign w:val="center"/>
          </w:tcPr>
          <w:p>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left"/>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根据本项目生产工艺废气排放特点，</w:t>
            </w:r>
            <w:r>
              <w:rPr>
                <w:rFonts w:hint="eastAsia" w:ascii="Times New Roman" w:hAnsi="Times New Roman" w:eastAsia="宋体"/>
                <w:bCs/>
                <w:color w:val="auto"/>
                <w:sz w:val="24"/>
                <w:szCs w:val="24"/>
              </w:rPr>
              <w:t>本项目</w:t>
            </w:r>
            <w:r>
              <w:rPr>
                <w:rFonts w:hint="eastAsia" w:ascii="Times New Roman" w:hAnsi="Times New Roman" w:eastAsia="宋体"/>
                <w:bCs/>
                <w:color w:val="auto"/>
                <w:sz w:val="24"/>
                <w:szCs w:val="24"/>
                <w:lang w:val="en-US" w:eastAsia="zh-CN"/>
              </w:rPr>
              <w:t>无需申请总量</w:t>
            </w:r>
            <w:r>
              <w:rPr>
                <w:rFonts w:hint="eastAsia" w:ascii="Times New Roman" w:hAnsi="Times New Roman" w:eastAsia="宋体"/>
                <w:bCs/>
                <w:color w:val="auto"/>
                <w:sz w:val="24"/>
                <w:szCs w:val="24"/>
              </w:rPr>
              <w:t>控制指标</w:t>
            </w:r>
            <w:r>
              <w:rPr>
                <w:rFonts w:hint="eastAsia" w:ascii="Times New Roman" w:hAnsi="Times New Roman" w:eastAsia="宋体" w:cs="Times New Roman"/>
                <w:color w:val="auto"/>
                <w:sz w:val="24"/>
                <w:lang w:eastAsia="zh-CN"/>
              </w:rPr>
              <w:t>。</w:t>
            </w:r>
          </w:p>
          <w:p>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left"/>
              <w:textAlignment w:val="auto"/>
              <w:rPr>
                <w:rFonts w:hint="eastAsia" w:ascii="Times New Roman" w:hAnsi="Times New Roman" w:eastAsia="宋体" w:cs="Times New Roman"/>
                <w:sz w:val="24"/>
                <w:lang w:eastAsia="zh-CN"/>
              </w:rPr>
            </w:pPr>
          </w:p>
          <w:p>
            <w:pPr>
              <w:spacing w:line="520" w:lineRule="exact"/>
              <w:ind w:firstLine="480" w:firstLineChars="200"/>
              <w:jc w:val="left"/>
              <w:rPr>
                <w:rFonts w:hint="eastAsia" w:ascii="Times New Roman" w:hAnsi="Times New Roman" w:eastAsia="宋体" w:cs="Times New Roman"/>
                <w:sz w:val="24"/>
                <w:lang w:eastAsia="zh-CN"/>
              </w:rPr>
            </w:pPr>
          </w:p>
          <w:p>
            <w:pPr>
              <w:spacing w:line="540" w:lineRule="exact"/>
              <w:ind w:firstLine="480" w:firstLineChars="200"/>
              <w:jc w:val="center"/>
              <w:rPr>
                <w:rFonts w:hint="eastAsia"/>
                <w:sz w:val="24"/>
              </w:rPr>
            </w:pPr>
          </w:p>
          <w:p>
            <w:pPr>
              <w:spacing w:line="540" w:lineRule="exact"/>
              <w:ind w:firstLine="480" w:firstLineChars="200"/>
              <w:jc w:val="center"/>
              <w:rPr>
                <w:rFonts w:hint="eastAsia" w:eastAsia="宋体"/>
                <w:sz w:val="24"/>
                <w:lang w:eastAsia="zh-CN"/>
              </w:rPr>
            </w:pPr>
          </w:p>
          <w:p>
            <w:pPr>
              <w:spacing w:line="540" w:lineRule="exact"/>
              <w:ind w:firstLine="480" w:firstLineChars="200"/>
              <w:jc w:val="center"/>
              <w:rPr>
                <w:rFonts w:hint="eastAsia" w:eastAsia="宋体"/>
                <w:sz w:val="24"/>
                <w:lang w:eastAsia="zh-CN"/>
              </w:rPr>
            </w:pPr>
          </w:p>
          <w:p>
            <w:pPr>
              <w:spacing w:line="540" w:lineRule="exact"/>
              <w:ind w:firstLine="480" w:firstLineChars="200"/>
              <w:jc w:val="center"/>
              <w:rPr>
                <w:rFonts w:hint="eastAsia" w:eastAsia="宋体"/>
                <w:sz w:val="24"/>
                <w:lang w:eastAsia="zh-CN"/>
              </w:rPr>
            </w:pPr>
          </w:p>
          <w:p>
            <w:pPr>
              <w:spacing w:line="540" w:lineRule="exact"/>
              <w:ind w:firstLine="480" w:firstLineChars="200"/>
              <w:jc w:val="center"/>
              <w:rPr>
                <w:rFonts w:hint="eastAsia" w:eastAsia="宋体"/>
                <w:sz w:val="24"/>
                <w:lang w:eastAsia="zh-CN"/>
              </w:rPr>
            </w:pPr>
          </w:p>
          <w:p>
            <w:pPr>
              <w:spacing w:line="540" w:lineRule="exact"/>
              <w:ind w:firstLine="480" w:firstLineChars="200"/>
              <w:jc w:val="center"/>
              <w:rPr>
                <w:rFonts w:hint="eastAsia" w:eastAsia="宋体"/>
                <w:sz w:val="24"/>
                <w:lang w:eastAsia="zh-CN"/>
              </w:rPr>
            </w:pPr>
          </w:p>
          <w:p>
            <w:pPr>
              <w:spacing w:line="540" w:lineRule="exact"/>
              <w:ind w:firstLine="480" w:firstLineChars="200"/>
              <w:jc w:val="center"/>
              <w:rPr>
                <w:rFonts w:hint="eastAsia" w:eastAsia="宋体"/>
                <w:sz w:val="24"/>
                <w:lang w:eastAsia="zh-CN"/>
              </w:rPr>
            </w:pPr>
          </w:p>
          <w:p>
            <w:pPr>
              <w:spacing w:line="540" w:lineRule="exact"/>
              <w:ind w:firstLine="480" w:firstLineChars="200"/>
              <w:jc w:val="center"/>
              <w:rPr>
                <w:rFonts w:hint="eastAsia"/>
                <w:sz w:val="24"/>
              </w:rPr>
            </w:pPr>
          </w:p>
          <w:p>
            <w:pPr>
              <w:spacing w:line="540" w:lineRule="exact"/>
              <w:ind w:firstLine="480" w:firstLineChars="200"/>
              <w:jc w:val="center"/>
              <w:rPr>
                <w:rFonts w:hint="eastAsia"/>
                <w:sz w:val="24"/>
              </w:rPr>
            </w:pPr>
          </w:p>
          <w:p>
            <w:pPr>
              <w:spacing w:line="540" w:lineRule="exact"/>
              <w:ind w:firstLine="480" w:firstLineChars="200"/>
              <w:jc w:val="center"/>
              <w:rPr>
                <w:rFonts w:hint="eastAsia"/>
                <w:sz w:val="24"/>
              </w:rPr>
            </w:pPr>
          </w:p>
          <w:p>
            <w:pPr>
              <w:adjustRightInd w:val="0"/>
              <w:snapToGrid w:val="0"/>
              <w:rPr>
                <w:rFonts w:ascii="宋体" w:hAnsi="宋体" w:cs="宋体"/>
                <w:kern w:val="0"/>
                <w:szCs w:val="21"/>
              </w:rPr>
            </w:pPr>
          </w:p>
        </w:tc>
      </w:tr>
    </w:tbl>
    <w:p>
      <w:pPr>
        <w:pStyle w:val="18"/>
        <w:jc w:val="center"/>
        <w:outlineLvl w:val="0"/>
        <w:rPr>
          <w:rFonts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1"/>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8"/>
        <w:gridCol w:w="85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458" w:type="dxa"/>
            <w:noWrap w:val="0"/>
            <w:tcMar>
              <w:left w:w="28" w:type="dxa"/>
              <w:right w:w="28" w:type="dxa"/>
            </w:tcMar>
            <w:vAlign w:val="center"/>
          </w:tcPr>
          <w:p>
            <w:pPr>
              <w:pStyle w:val="18"/>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施工</w:t>
            </w:r>
          </w:p>
          <w:p>
            <w:pPr>
              <w:pStyle w:val="18"/>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期环</w:t>
            </w:r>
          </w:p>
          <w:p>
            <w:pPr>
              <w:pStyle w:val="18"/>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境保</w:t>
            </w:r>
          </w:p>
          <w:p>
            <w:pPr>
              <w:pStyle w:val="18"/>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护措</w:t>
            </w:r>
          </w:p>
          <w:p>
            <w:pPr>
              <w:pStyle w:val="18"/>
              <w:adjustRightInd w:val="0"/>
              <w:snapToGrid w:val="0"/>
              <w:spacing w:before="0" w:beforeAutospacing="0" w:after="0" w:afterAutospacing="0"/>
              <w:jc w:val="center"/>
              <w:rPr>
                <w:rFonts w:hint="eastAsia" w:cs="宋体"/>
                <w:bCs/>
                <w:kern w:val="2"/>
                <w:sz w:val="21"/>
                <w:szCs w:val="21"/>
              </w:rPr>
            </w:pPr>
            <w:r>
              <w:rPr>
                <w:rFonts w:hint="eastAsia" w:cs="宋体"/>
                <w:kern w:val="2"/>
                <w:sz w:val="21"/>
                <w:szCs w:val="21"/>
              </w:rPr>
              <w:t>施</w:t>
            </w:r>
          </w:p>
        </w:tc>
        <w:tc>
          <w:tcPr>
            <w:tcW w:w="852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rPr>
            </w:pPr>
            <w:bookmarkStart w:id="5" w:name="_Toc168121571"/>
            <w:bookmarkStart w:id="6" w:name="_Toc167859200"/>
            <w:bookmarkStart w:id="7" w:name="_Toc168312904"/>
            <w:bookmarkStart w:id="8" w:name="_Toc156819103"/>
            <w:bookmarkStart w:id="9" w:name="_Toc168121379"/>
            <w:r>
              <w:rPr>
                <w:rFonts w:hint="eastAsia" w:ascii="宋体" w:hAnsi="宋体" w:eastAsia="宋体" w:cs="宋体"/>
                <w:sz w:val="24"/>
              </w:rPr>
              <w:t>本项目施工工程内容有：</w:t>
            </w:r>
            <w:r>
              <w:rPr>
                <w:rFonts w:hint="eastAsia" w:ascii="宋体" w:hAnsi="宋体" w:eastAsia="宋体" w:cs="宋体"/>
                <w:sz w:val="24"/>
                <w:lang w:eastAsia="zh-CN"/>
              </w:rPr>
              <w:t>主要包括拌合站、原料堆仓、检验室、洗车台的建设以及厂区地面的硬化</w:t>
            </w:r>
            <w:r>
              <w:rPr>
                <w:rFonts w:hint="eastAsia" w:ascii="宋体" w:hAnsi="宋体" w:eastAsia="宋体" w:cs="宋体"/>
                <w:sz w:val="24"/>
              </w:rPr>
              <w:t>。</w:t>
            </w:r>
          </w:p>
          <w:p>
            <w:pPr>
              <w:pStyle w:val="47"/>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宋体" w:hAnsi="宋体" w:cs="宋体"/>
                <w:b/>
              </w:rPr>
            </w:pPr>
            <w:r>
              <w:rPr>
                <w:rFonts w:hint="eastAsia" w:ascii="宋体" w:hAnsi="宋体" w:cs="宋体"/>
                <w:b/>
              </w:rPr>
              <w:t>（一）施工期大气</w:t>
            </w:r>
            <w:bookmarkEnd w:id="5"/>
            <w:bookmarkEnd w:id="6"/>
            <w:bookmarkEnd w:id="7"/>
            <w:bookmarkEnd w:id="8"/>
            <w:bookmarkEnd w:id="9"/>
            <w:r>
              <w:rPr>
                <w:rFonts w:hint="eastAsia" w:ascii="宋体" w:hAnsi="宋体" w:cs="宋体"/>
                <w:b/>
              </w:rPr>
              <w:t>污染控制措施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①施工方严格按照《防治城市扬尘污染技术规范》（HJ/T393-2007）中的要求，晴朗天气每周等时间间隔洒水二至七次，扬尘严重时加大洒水频次。一般原则每天早</w:t>
            </w:r>
            <w:r>
              <w:rPr>
                <w:rFonts w:hint="eastAsia" w:ascii="宋体" w:hAnsi="宋体" w:cs="宋体"/>
                <w:sz w:val="24"/>
                <w:lang w:eastAsia="zh-CN"/>
              </w:rPr>
              <w:t>（</w:t>
            </w:r>
            <w:r>
              <w:rPr>
                <w:rFonts w:hint="eastAsia" w:ascii="宋体" w:hAnsi="宋体" w:cs="宋体"/>
                <w:sz w:val="24"/>
              </w:rPr>
              <w:t>9</w:t>
            </w:r>
            <w:r>
              <w:rPr>
                <w:rFonts w:hint="eastAsia" w:ascii="宋体" w:hAnsi="宋体" w:cs="宋体"/>
                <w:sz w:val="24"/>
                <w:lang w:eastAsia="zh-CN"/>
              </w:rPr>
              <w:t>:</w:t>
            </w:r>
            <w:r>
              <w:rPr>
                <w:rFonts w:hint="eastAsia" w:ascii="宋体" w:hAnsi="宋体" w:cs="宋体"/>
                <w:sz w:val="24"/>
              </w:rPr>
              <w:t>00-10</w:t>
            </w:r>
            <w:r>
              <w:rPr>
                <w:rFonts w:hint="eastAsia" w:ascii="宋体" w:hAnsi="宋体" w:cs="宋体"/>
                <w:sz w:val="24"/>
                <w:lang w:eastAsia="zh-CN"/>
              </w:rPr>
              <w:t>:00）</w:t>
            </w:r>
            <w:r>
              <w:rPr>
                <w:rFonts w:hint="eastAsia" w:ascii="宋体" w:hAnsi="宋体" w:cs="宋体"/>
                <w:sz w:val="24"/>
              </w:rPr>
              <w:t>中</w:t>
            </w:r>
            <w:r>
              <w:rPr>
                <w:rFonts w:hint="eastAsia" w:ascii="宋体" w:hAnsi="宋体" w:cs="宋体"/>
                <w:sz w:val="24"/>
                <w:lang w:eastAsia="zh-CN"/>
              </w:rPr>
              <w:t>（</w:t>
            </w:r>
            <w:r>
              <w:rPr>
                <w:rFonts w:hint="eastAsia" w:ascii="宋体" w:hAnsi="宋体" w:cs="宋体"/>
                <w:sz w:val="24"/>
              </w:rPr>
              <w:t>13</w:t>
            </w:r>
            <w:r>
              <w:rPr>
                <w:rFonts w:hint="eastAsia" w:ascii="宋体" w:hAnsi="宋体" w:cs="宋体"/>
                <w:sz w:val="24"/>
                <w:lang w:eastAsia="zh-CN"/>
              </w:rPr>
              <w:t>:</w:t>
            </w:r>
            <w:r>
              <w:rPr>
                <w:rFonts w:hint="eastAsia" w:ascii="宋体" w:hAnsi="宋体" w:cs="宋体"/>
                <w:sz w:val="24"/>
              </w:rPr>
              <w:t>30-16</w:t>
            </w:r>
            <w:r>
              <w:rPr>
                <w:rFonts w:hint="eastAsia" w:ascii="宋体" w:hAnsi="宋体" w:cs="宋体"/>
                <w:sz w:val="24"/>
                <w:lang w:eastAsia="zh-CN"/>
              </w:rPr>
              <w:t>:00）</w:t>
            </w:r>
            <w:r>
              <w:rPr>
                <w:rFonts w:hint="eastAsia" w:ascii="宋体" w:hAnsi="宋体" w:cs="宋体"/>
                <w:sz w:val="24"/>
              </w:rPr>
              <w:t>晚</w:t>
            </w:r>
            <w:r>
              <w:rPr>
                <w:rFonts w:hint="eastAsia" w:ascii="宋体" w:hAnsi="宋体" w:cs="宋体"/>
                <w:sz w:val="24"/>
                <w:lang w:eastAsia="zh-CN"/>
              </w:rPr>
              <w:t>（</w:t>
            </w:r>
            <w:r>
              <w:rPr>
                <w:rFonts w:hint="eastAsia" w:ascii="宋体" w:hAnsi="宋体" w:cs="宋体"/>
                <w:sz w:val="24"/>
              </w:rPr>
              <w:t>18</w:t>
            </w:r>
            <w:r>
              <w:rPr>
                <w:rFonts w:hint="eastAsia" w:ascii="宋体" w:hAnsi="宋体" w:cs="宋体"/>
                <w:sz w:val="24"/>
                <w:lang w:eastAsia="zh-CN"/>
              </w:rPr>
              <w:t>:</w:t>
            </w:r>
            <w:r>
              <w:rPr>
                <w:rFonts w:hint="eastAsia" w:ascii="宋体" w:hAnsi="宋体" w:cs="宋体"/>
                <w:sz w:val="24"/>
              </w:rPr>
              <w:t>00-19</w:t>
            </w:r>
            <w:r>
              <w:rPr>
                <w:rFonts w:hint="eastAsia" w:ascii="宋体" w:hAnsi="宋体" w:cs="宋体"/>
                <w:sz w:val="24"/>
                <w:lang w:eastAsia="zh-CN"/>
              </w:rPr>
              <w:t>:</w:t>
            </w:r>
            <w:r>
              <w:rPr>
                <w:rFonts w:hint="eastAsia" w:ascii="宋体" w:hAnsi="宋体" w:cs="宋体"/>
                <w:sz w:val="24"/>
              </w:rPr>
              <w:t>00</w:t>
            </w:r>
            <w:r>
              <w:rPr>
                <w:rFonts w:hint="eastAsia" w:ascii="宋体" w:hAnsi="宋体" w:cs="宋体"/>
                <w:sz w:val="24"/>
                <w:lang w:eastAsia="zh-CN"/>
              </w:rPr>
              <w:t>）</w:t>
            </w:r>
            <w:r>
              <w:rPr>
                <w:rFonts w:hint="eastAsia" w:ascii="宋体" w:hAnsi="宋体" w:cs="宋体"/>
                <w:sz w:val="24"/>
              </w:rPr>
              <w:t>各洒水一次，当风速大于3级、夏季晴好的天气应每隔3个小时洒水一次；当风速大于4级，停止施工。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②</w:t>
            </w:r>
            <w:r>
              <w:rPr>
                <w:rFonts w:hint="eastAsia" w:hAnsi="宋体"/>
                <w:bCs/>
                <w:sz w:val="24"/>
              </w:rPr>
              <w:t>采取设置围栏、洒水压尘、加强物料防尘管理、及时清运施工垃圾等措施。</w:t>
            </w:r>
            <w:r>
              <w:rPr>
                <w:rFonts w:hint="eastAsia" w:ascii="宋体" w:hAnsi="宋体" w:cs="宋体"/>
                <w:sz w:val="24"/>
              </w:rPr>
              <w:t>运载设备材料的车辆为货车，车辆驶出装、卸场地前用水将</w:t>
            </w:r>
            <w:r>
              <w:rPr>
                <w:rFonts w:hint="eastAsia" w:ascii="宋体" w:hAnsi="宋体" w:cs="宋体"/>
                <w:sz w:val="24"/>
                <w:lang w:eastAsia="zh-CN"/>
              </w:rPr>
              <w:t>车厢外</w:t>
            </w:r>
            <w:r>
              <w:rPr>
                <w:rFonts w:hint="eastAsia" w:ascii="宋体" w:hAnsi="宋体" w:cs="宋体"/>
                <w:sz w:val="24"/>
              </w:rPr>
              <w:t>和轮胎冲洗干净，运输车辆行驶路线要尽量避开居民点和环境敏感点。</w:t>
            </w:r>
            <w:bookmarkStart w:id="10" w:name="_Toc168312906"/>
            <w:bookmarkStart w:id="11" w:name="_Toc168121381"/>
            <w:bookmarkStart w:id="12" w:name="_Toc167859202"/>
            <w:bookmarkStart w:id="13" w:name="_Toc168121573"/>
            <w:bookmarkStart w:id="14" w:name="_Toc156819106"/>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bCs/>
                <w:sz w:val="24"/>
              </w:rPr>
            </w:pPr>
            <w:r>
              <w:rPr>
                <w:rFonts w:hint="eastAsia" w:ascii="宋体" w:hAnsi="宋体" w:cs="宋体"/>
                <w:b/>
                <w:sz w:val="24"/>
              </w:rPr>
              <w:t>（二）</w:t>
            </w:r>
            <w:bookmarkEnd w:id="10"/>
            <w:bookmarkEnd w:id="11"/>
            <w:bookmarkEnd w:id="12"/>
            <w:bookmarkEnd w:id="13"/>
            <w:bookmarkEnd w:id="14"/>
            <w:r>
              <w:rPr>
                <w:rFonts w:hint="eastAsia" w:ascii="宋体" w:hAnsi="宋体" w:cs="宋体"/>
                <w:b/>
                <w:bCs/>
                <w:sz w:val="24"/>
              </w:rPr>
              <w:t>施工期水污染控制措施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本项目施工期生产废水包括工程养护水及进出施工场地车辆清洗废水等。生产废水经</w:t>
            </w:r>
            <w:r>
              <w:rPr>
                <w:rFonts w:hint="eastAsia" w:ascii="宋体" w:hAnsi="宋体" w:cs="宋体"/>
                <w:sz w:val="24"/>
                <w:lang w:val="en-US" w:eastAsia="zh-CN"/>
              </w:rPr>
              <w:t>临时</w:t>
            </w:r>
            <w:r>
              <w:rPr>
                <w:rFonts w:hint="eastAsia" w:ascii="宋体" w:hAnsi="宋体" w:cs="宋体"/>
                <w:sz w:val="24"/>
              </w:rPr>
              <w:t>沉淀池处理后全部用于施工现场喷洒道路，不外排，不会对周围环境造成不利影响。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本项目不设施工营地，无生活污水产生。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sz w:val="24"/>
              </w:rPr>
            </w:pPr>
            <w:r>
              <w:rPr>
                <w:rFonts w:hint="eastAsia" w:ascii="宋体" w:hAnsi="宋体" w:cs="宋体"/>
                <w:b/>
                <w:sz w:val="24"/>
              </w:rPr>
              <w:t>（三）施工期噪声控制</w:t>
            </w:r>
            <w:r>
              <w:rPr>
                <w:rFonts w:hint="eastAsia" w:ascii="宋体" w:hAnsi="宋体" w:cs="宋体"/>
                <w:b/>
                <w:bCs/>
                <w:sz w:val="24"/>
              </w:rPr>
              <w:t>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①从声源上控制：建设单位与施工单位签订合同时，应要求其使用的主要机械设备为低噪声机械设备。同时在施工过程中施工单位应设专人对设备进行定期保养和维护，并负责对现场工作人员进行培训，严格按操作规范使用各类机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kern w:val="24"/>
                <w:sz w:val="24"/>
                <w:lang w:val="zh-CN"/>
              </w:rPr>
            </w:pPr>
            <w:r>
              <w:rPr>
                <w:rFonts w:hint="eastAsia" w:ascii="宋体" w:hAnsi="宋体" w:cs="宋体"/>
                <w:sz w:val="24"/>
              </w:rPr>
              <w:t>②合理安排施工时间：</w:t>
            </w:r>
            <w:r>
              <w:rPr>
                <w:rFonts w:hint="eastAsia" w:ascii="宋体" w:hAnsi="宋体" w:cs="宋体"/>
                <w:kern w:val="24"/>
                <w:sz w:val="24"/>
                <w:lang w:val="zh-CN"/>
              </w:rPr>
              <w:t>首先制订施工计划时，应尽可能避免大量高噪声设备同时施工。除此之外，高噪声施工时间尽量安排在日间，减少夜间施工量。中午（14∶00-16∶00）及夜间（0∶00-8∶00）禁止施工。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③合理布置施工现场。施工现场应合理布局，将施工中的固定噪声源相对集中摆放，闲置不用的设备立即关闭，降低施工噪声对周边声环境的影响。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④车辆出入施工现场时应低速、禁鸣。</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宋体" w:hAnsi="宋体" w:cs="宋体"/>
                <w:b/>
                <w:sz w:val="24"/>
              </w:rPr>
            </w:pPr>
            <w:bookmarkStart w:id="15" w:name="_Toc527339557"/>
            <w:bookmarkStart w:id="16" w:name="_Toc520705159"/>
            <w:bookmarkStart w:id="17" w:name="_Toc41270224"/>
            <w:bookmarkStart w:id="18" w:name="_Toc527339390"/>
            <w:bookmarkStart w:id="19" w:name="_Toc519840850"/>
            <w:bookmarkStart w:id="20" w:name="_Toc508028298"/>
            <w:bookmarkStart w:id="21" w:name="_Toc13105922"/>
            <w:r>
              <w:rPr>
                <w:rFonts w:hint="eastAsia" w:ascii="宋体" w:hAnsi="宋体" w:cs="宋体"/>
                <w:b/>
                <w:sz w:val="24"/>
              </w:rPr>
              <w:t>（四）施工期固废</w:t>
            </w:r>
            <w:bookmarkEnd w:id="15"/>
            <w:bookmarkEnd w:id="16"/>
            <w:bookmarkEnd w:id="17"/>
            <w:bookmarkEnd w:id="18"/>
            <w:bookmarkEnd w:id="19"/>
            <w:bookmarkEnd w:id="20"/>
            <w:bookmarkEnd w:id="21"/>
            <w:r>
              <w:rPr>
                <w:rFonts w:hint="eastAsia" w:ascii="宋体" w:hAnsi="宋体" w:cs="宋体"/>
                <w:b/>
                <w:bCs/>
                <w:sz w:val="24"/>
              </w:rPr>
              <w:t>控制措施</w:t>
            </w: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eastAsia="宋体"/>
              </w:rPr>
            </w:pPr>
            <w:r>
              <w:rPr>
                <w:rFonts w:hint="eastAsia" w:eastAsia="宋体"/>
              </w:rPr>
              <w:t>本项目不设施工营地，故无生活垃圾产生，</w:t>
            </w:r>
            <w:r>
              <w:rPr>
                <w:rFonts w:eastAsia="宋体"/>
              </w:rPr>
              <w:t>施工固废主要为施工建筑垃圾。</w:t>
            </w: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color w:val="000000"/>
              </w:rPr>
            </w:pPr>
            <w:r>
              <w:rPr>
                <w:rFonts w:eastAsia="宋体"/>
              </w:rPr>
              <w:t>项目建筑垃圾主要来自散落的砂浆和混凝土，碎砖和碎混凝土块。</w:t>
            </w:r>
            <w:r>
              <w:rPr>
                <w:rFonts w:hint="eastAsia" w:eastAsia="宋体"/>
                <w:color w:val="000000"/>
              </w:rPr>
              <w:t>建筑垃圾不可随意丢弃，送往</w:t>
            </w:r>
            <w:r>
              <w:rPr>
                <w:rFonts w:hint="eastAsia" w:eastAsia="宋体"/>
                <w:color w:val="000000"/>
                <w:lang w:val="en-US" w:eastAsia="zh-CN"/>
              </w:rPr>
              <w:t>住建部门</w:t>
            </w:r>
            <w:r>
              <w:rPr>
                <w:rFonts w:hint="eastAsia" w:eastAsia="宋体"/>
                <w:color w:val="000000"/>
              </w:rPr>
              <w:t>指定的</w:t>
            </w:r>
            <w:r>
              <w:rPr>
                <w:rFonts w:hint="eastAsia" w:eastAsia="宋体"/>
                <w:color w:val="000000"/>
                <w:lang w:val="en-US" w:eastAsia="zh-CN"/>
              </w:rPr>
              <w:t>地点</w:t>
            </w:r>
            <w:r>
              <w:rPr>
                <w:rFonts w:hint="eastAsia" w:eastAsia="宋体"/>
                <w:color w:val="000000"/>
              </w:rPr>
              <w:t>进行处置</w:t>
            </w:r>
            <w:r>
              <w:rPr>
                <w:color w:val="000000"/>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lang w:val="en-US" w:eastAsia="zh-CN"/>
              </w:rPr>
            </w:pPr>
            <w:r>
              <w:rPr>
                <w:rFonts w:hint="eastAsia" w:ascii="宋体" w:hAnsi="宋体" w:cs="宋体"/>
                <w:b/>
                <w:bCs/>
                <w:sz w:val="24"/>
                <w:lang w:val="en-US" w:eastAsia="zh-CN"/>
              </w:rPr>
              <w:t>（五）施工期水土保持、防沙治沙措施</w:t>
            </w: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项目</w:t>
            </w:r>
            <w:r>
              <w:rPr>
                <w:rFonts w:hint="eastAsia"/>
                <w:sz w:val="24"/>
                <w:lang w:val="en-US" w:eastAsia="zh-CN"/>
              </w:rPr>
              <w:t>位于新疆巴州轮台县G314国道北侧600米处</w:t>
            </w:r>
            <w:r>
              <w:rPr>
                <w:rFonts w:hint="eastAsia" w:eastAsia="宋体"/>
                <w:lang w:eastAsia="zh-CN"/>
              </w:rPr>
              <w:t>，地处沙漠边缘区域，气候干旱少雨，大风天气较多，施工过程中容易产生扬尘和水土流失，因此施工期需采取针对性的水土保持、防沙治沙措施：施工过程中尽量减少对原有地表植被的破坏，对施工临时裸露场地采取土工布覆盖措施，防止大风起沙；施工结束后及时对项目占地范围内的空地进行平整压实，减少地表裸露面积，降低风沙侵蚀风险；在厂区边界因地制宜</w:t>
            </w:r>
            <w:r>
              <w:rPr>
                <w:rFonts w:hint="eastAsia" w:eastAsia="宋体"/>
                <w:lang w:val="en-US" w:eastAsia="zh-CN"/>
              </w:rPr>
              <w:t>的种植植被，起到防风固沙的作用，</w:t>
            </w:r>
            <w:r>
              <w:rPr>
                <w:rFonts w:hint="eastAsia" w:eastAsia="宋体"/>
                <w:lang w:eastAsia="zh-CN"/>
              </w:rPr>
              <w:t>减少区域风沙对项目建设及周边环境的影响</w:t>
            </w:r>
            <w:r>
              <w:rPr>
                <w:rFonts w:hint="eastAsia" w:ascii="宋体" w:hAnsi="宋体"/>
                <w:sz w:val="24"/>
                <w:lang w:val="en-US" w:eastAsia="zh-CN"/>
              </w:rPr>
              <w:t>。</w:t>
            </w: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lang w:val="en-US" w:eastAsia="zh-CN"/>
              </w:rPr>
            </w:pPr>
          </w:p>
          <w:p>
            <w:pPr>
              <w:pStyle w:val="50"/>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Cs/>
                <w:spacing w:val="-1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458" w:type="dxa"/>
            <w:noWrap w:val="0"/>
            <w:tcMar>
              <w:left w:w="28" w:type="dxa"/>
              <w:right w:w="28" w:type="dxa"/>
            </w:tcMar>
            <w:vAlign w:val="center"/>
          </w:tcPr>
          <w:p>
            <w:pPr>
              <w:adjustRightInd w:val="0"/>
              <w:snapToGrid w:val="0"/>
              <w:jc w:val="center"/>
              <w:rPr>
                <w:rFonts w:hint="eastAsia" w:ascii="宋体" w:hAnsi="宋体" w:cs="宋体"/>
                <w:bCs/>
                <w:szCs w:val="21"/>
              </w:rPr>
            </w:pPr>
            <w:r>
              <w:rPr>
                <w:rFonts w:hint="eastAsia" w:ascii="宋体" w:hAnsi="宋体" w:cs="宋体"/>
                <w:bCs/>
                <w:szCs w:val="21"/>
              </w:rPr>
              <w:t>运营</w:t>
            </w:r>
          </w:p>
          <w:p>
            <w:pPr>
              <w:adjustRightInd w:val="0"/>
              <w:snapToGrid w:val="0"/>
              <w:jc w:val="center"/>
              <w:rPr>
                <w:rFonts w:hint="eastAsia" w:ascii="宋体" w:hAnsi="宋体" w:cs="宋体"/>
                <w:bCs/>
                <w:szCs w:val="21"/>
              </w:rPr>
            </w:pPr>
            <w:r>
              <w:rPr>
                <w:rFonts w:hint="eastAsia" w:ascii="宋体" w:hAnsi="宋体" w:cs="宋体"/>
                <w:bCs/>
                <w:szCs w:val="21"/>
              </w:rPr>
              <w:t>期环</w:t>
            </w:r>
          </w:p>
          <w:p>
            <w:pPr>
              <w:adjustRightInd w:val="0"/>
              <w:snapToGrid w:val="0"/>
              <w:jc w:val="center"/>
              <w:rPr>
                <w:rFonts w:hint="eastAsia" w:ascii="宋体" w:hAnsi="宋体" w:cs="宋体"/>
                <w:bCs/>
                <w:szCs w:val="21"/>
              </w:rPr>
            </w:pPr>
            <w:r>
              <w:rPr>
                <w:rFonts w:hint="eastAsia" w:ascii="宋体" w:hAnsi="宋体" w:cs="宋体"/>
                <w:bCs/>
                <w:szCs w:val="21"/>
              </w:rPr>
              <w:t>境影</w:t>
            </w:r>
          </w:p>
          <w:p>
            <w:pPr>
              <w:adjustRightInd w:val="0"/>
              <w:snapToGrid w:val="0"/>
              <w:jc w:val="center"/>
              <w:rPr>
                <w:rFonts w:hint="eastAsia" w:ascii="宋体" w:hAnsi="宋体" w:cs="宋体"/>
                <w:bCs/>
                <w:szCs w:val="21"/>
              </w:rPr>
            </w:pPr>
            <w:r>
              <w:rPr>
                <w:rFonts w:hint="eastAsia" w:ascii="宋体" w:hAnsi="宋体" w:cs="宋体"/>
                <w:bCs/>
                <w:szCs w:val="21"/>
              </w:rPr>
              <w:t>响和</w:t>
            </w:r>
          </w:p>
          <w:p>
            <w:pPr>
              <w:adjustRightInd w:val="0"/>
              <w:snapToGrid w:val="0"/>
              <w:jc w:val="center"/>
              <w:rPr>
                <w:rFonts w:hint="eastAsia" w:ascii="宋体" w:hAnsi="宋体" w:cs="宋体"/>
                <w:bCs/>
                <w:szCs w:val="21"/>
              </w:rPr>
            </w:pPr>
            <w:r>
              <w:rPr>
                <w:rFonts w:hint="eastAsia" w:ascii="宋体" w:hAnsi="宋体" w:cs="宋体"/>
                <w:bCs/>
                <w:szCs w:val="21"/>
              </w:rPr>
              <w:t>保护</w:t>
            </w:r>
          </w:p>
          <w:p>
            <w:pPr>
              <w:adjustRightInd w:val="0"/>
              <w:snapToGrid w:val="0"/>
              <w:jc w:val="center"/>
              <w:rPr>
                <w:rFonts w:ascii="宋体" w:hAnsi="宋体" w:cs="宋体"/>
                <w:bCs/>
                <w:szCs w:val="21"/>
              </w:rPr>
            </w:pPr>
            <w:r>
              <w:rPr>
                <w:rFonts w:hint="eastAsia" w:ascii="宋体" w:hAnsi="宋体" w:cs="宋体"/>
                <w:bCs/>
                <w:szCs w:val="21"/>
              </w:rPr>
              <w:t>措施</w:t>
            </w:r>
          </w:p>
        </w:tc>
        <w:tc>
          <w:tcPr>
            <w:tcW w:w="852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cs="宋体"/>
                <w:b/>
                <w:sz w:val="24"/>
              </w:rPr>
            </w:pPr>
            <w:r>
              <w:rPr>
                <w:rFonts w:hint="eastAsia" w:ascii="宋体" w:hAnsi="宋体" w:cs="宋体"/>
                <w:b/>
                <w:sz w:val="24"/>
              </w:rPr>
              <w:t>运营期大气环境影响和保护措施</w:t>
            </w:r>
          </w:p>
          <w:p>
            <w:pPr>
              <w:keepNext w:val="0"/>
              <w:keepLines w:val="0"/>
              <w:pageBreakBefore w:val="0"/>
              <w:kinsoku/>
              <w:wordWrap/>
              <w:overflowPunct/>
              <w:topLinePunct w:val="0"/>
              <w:autoSpaceDE/>
              <w:autoSpaceDN/>
              <w:bidi w:val="0"/>
              <w:spacing w:line="520" w:lineRule="exact"/>
              <w:ind w:firstLine="482" w:firstLineChars="200"/>
              <w:textAlignment w:val="auto"/>
              <w:rPr>
                <w:b/>
                <w:bCs/>
                <w:sz w:val="24"/>
              </w:rPr>
            </w:pPr>
            <w:r>
              <w:rPr>
                <w:rFonts w:hint="eastAsia"/>
                <w:b/>
                <w:bCs/>
                <w:sz w:val="24"/>
                <w:lang w:val="en-US" w:eastAsia="zh-CN"/>
              </w:rPr>
              <w:t>1.</w:t>
            </w:r>
            <w:r>
              <w:rPr>
                <w:b/>
                <w:bCs/>
                <w:sz w:val="24"/>
              </w:rPr>
              <w:t>大气污染工序及源强分析</w:t>
            </w:r>
          </w:p>
          <w:p>
            <w:pPr>
              <w:pStyle w:val="48"/>
              <w:keepNext w:val="0"/>
              <w:keepLines w:val="0"/>
              <w:pageBreakBefore w:val="0"/>
              <w:tabs>
                <w:tab w:val="left" w:pos="2850"/>
                <w:tab w:val="left" w:pos="3918"/>
              </w:tabs>
              <w:kinsoku/>
              <w:wordWrap/>
              <w:overflowPunct/>
              <w:topLinePunct w:val="0"/>
              <w:autoSpaceDE/>
              <w:autoSpaceDN/>
              <w:bidi w:val="0"/>
              <w:adjustRightInd/>
              <w:snapToGrid/>
              <w:spacing w:before="0" w:beforeLines="0" w:line="520" w:lineRule="exact"/>
              <w:ind w:firstLine="480" w:firstLineChars="200"/>
              <w:textAlignment w:val="auto"/>
              <w:outlineLvl w:val="9"/>
              <w:rPr>
                <w:rFonts w:hint="default" w:eastAsia="宋体"/>
                <w:b w:val="0"/>
                <w:bCs w:val="0"/>
                <w:sz w:val="24"/>
                <w:szCs w:val="24"/>
                <w:lang w:val="en-US" w:eastAsia="zh-CN"/>
              </w:rPr>
            </w:pPr>
            <w:r>
              <w:rPr>
                <w:b w:val="0"/>
                <w:bCs w:val="0"/>
                <w:sz w:val="24"/>
                <w:szCs w:val="24"/>
              </w:rPr>
              <w:t>（1）原料堆</w:t>
            </w:r>
            <w:r>
              <w:rPr>
                <w:rFonts w:ascii="Times New Roman" w:hAnsi="Times New Roman" w:eastAsia="宋体" w:cs="Times New Roman"/>
                <w:b w:val="0"/>
                <w:bCs w:val="0"/>
                <w:sz w:val="24"/>
                <w:szCs w:val="24"/>
              </w:rPr>
              <w:t>存</w:t>
            </w:r>
            <w:r>
              <w:rPr>
                <w:rFonts w:hint="eastAsia" w:ascii="Times New Roman" w:hAnsi="Times New Roman" w:eastAsia="宋体" w:cs="Times New Roman"/>
                <w:b w:val="0"/>
                <w:bCs w:val="0"/>
                <w:sz w:val="24"/>
                <w:szCs w:val="24"/>
                <w:lang w:val="en-US" w:eastAsia="zh-CN"/>
              </w:rPr>
              <w:t>和装卸粉尘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b w:val="0"/>
                <w:bCs w:val="0"/>
                <w:color w:val="auto"/>
                <w:sz w:val="24"/>
                <w:szCs w:val="24"/>
              </w:rPr>
            </w:pPr>
            <w:r>
              <w:rPr>
                <w:rFonts w:hint="eastAsia"/>
                <w:b w:val="0"/>
                <w:bCs w:val="0"/>
                <w:color w:val="000000"/>
                <w:sz w:val="24"/>
                <w:szCs w:val="24"/>
                <w:lang w:eastAsia="zh-CN"/>
              </w:rPr>
              <w:t>本项目原料无需进行筛选分离，外购的砂石料直接入</w:t>
            </w:r>
            <w:r>
              <w:rPr>
                <w:rFonts w:hint="eastAsia"/>
                <w:sz w:val="24"/>
                <w:szCs w:val="24"/>
                <w:lang w:val="en-US" w:eastAsia="zh-CN"/>
              </w:rPr>
              <w:t>原材料堆仓</w:t>
            </w:r>
            <w:r>
              <w:rPr>
                <w:rFonts w:hint="eastAsia"/>
                <w:b w:val="0"/>
                <w:bCs w:val="0"/>
                <w:color w:val="000000"/>
                <w:sz w:val="24"/>
                <w:szCs w:val="24"/>
                <w:lang w:eastAsia="zh-CN"/>
              </w:rPr>
              <w:t>堆存，原料</w:t>
            </w:r>
            <w:r>
              <w:rPr>
                <w:rFonts w:hint="eastAsia"/>
                <w:b w:val="0"/>
                <w:bCs w:val="0"/>
                <w:color w:val="000000"/>
                <w:sz w:val="24"/>
                <w:szCs w:val="24"/>
              </w:rPr>
              <w:t>在堆场堆存会产生一定的粉尘</w:t>
            </w:r>
            <w:r>
              <w:rPr>
                <w:b w:val="0"/>
                <w:bCs w:val="0"/>
                <w:color w:val="000000"/>
                <w:sz w:val="24"/>
                <w:szCs w:val="24"/>
              </w:rPr>
              <w:t>。</w:t>
            </w:r>
            <w:r>
              <w:rPr>
                <w:rFonts w:hint="default" w:ascii="Times New Roman" w:hAnsi="Times New Roman" w:eastAsia="宋体" w:cs="Times New Roman"/>
                <w:b w:val="0"/>
                <w:bCs w:val="0"/>
                <w:color w:val="auto"/>
                <w:sz w:val="24"/>
                <w:szCs w:val="24"/>
              </w:rPr>
              <w:t>参照《排放源统计调查产排污核算方法和系数手册》中《</w:t>
            </w:r>
            <w:r>
              <w:rPr>
                <w:rFonts w:hint="eastAsia" w:ascii="Times New Roman" w:hAnsi="Times New Roman" w:eastAsia="宋体" w:cs="Times New Roman"/>
                <w:b w:val="0"/>
                <w:bCs w:val="0"/>
                <w:color w:val="auto"/>
                <w:sz w:val="24"/>
                <w:szCs w:val="24"/>
                <w:lang w:val="en-US" w:eastAsia="zh-CN"/>
              </w:rPr>
              <w:t>工业源</w:t>
            </w:r>
            <w:r>
              <w:rPr>
                <w:rFonts w:hint="default" w:ascii="Times New Roman" w:hAnsi="Times New Roman" w:eastAsia="宋体" w:cs="Times New Roman"/>
                <w:b w:val="0"/>
                <w:bCs w:val="0"/>
                <w:color w:val="auto"/>
                <w:sz w:val="24"/>
                <w:szCs w:val="24"/>
              </w:rPr>
              <w:t>固体物料堆存颗粒物产排污核算系数手册》可知：堆场颗粒物产生量核算公式：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b w:val="0"/>
                <w:bCs w:val="0"/>
                <w:color w:val="auto"/>
                <w:sz w:val="24"/>
                <w:szCs w:val="24"/>
              </w:rPr>
            </w:pPr>
            <w:r>
              <w:rPr>
                <w:rFonts w:ascii="Cambria Math" w:hAnsi="Cambria Math" w:cs="Cambria Math"/>
                <w:b w:val="0"/>
                <w:bCs w:val="0"/>
                <w:color w:val="auto"/>
                <w:sz w:val="24"/>
                <w:szCs w:val="24"/>
              </w:rPr>
              <w:t>𝑃</w:t>
            </w:r>
            <w:r>
              <w:rPr>
                <w:b w:val="0"/>
                <w:bCs w:val="0"/>
                <w:color w:val="auto"/>
                <w:sz w:val="24"/>
                <w:szCs w:val="24"/>
              </w:rPr>
              <w:t>=</w:t>
            </w:r>
            <w:r>
              <w:rPr>
                <w:rFonts w:ascii="Cambria Math" w:hAnsi="Cambria Math" w:cs="Cambria Math"/>
                <w:b w:val="0"/>
                <w:bCs w:val="0"/>
                <w:color w:val="auto"/>
                <w:sz w:val="24"/>
                <w:szCs w:val="24"/>
              </w:rPr>
              <w:t>𝑍𝐶</w:t>
            </w:r>
            <w:r>
              <w:rPr>
                <w:rFonts w:ascii="Cambria Math" w:hAnsi="Cambria Math" w:cs="Cambria Math"/>
                <w:b w:val="0"/>
                <w:bCs w:val="0"/>
                <w:color w:val="auto"/>
                <w:sz w:val="24"/>
                <w:szCs w:val="24"/>
                <w:vertAlign w:val="subscript"/>
              </w:rPr>
              <w:t>𝑦</w:t>
            </w:r>
            <w:r>
              <w:rPr>
                <w:b w:val="0"/>
                <w:bCs w:val="0"/>
                <w:color w:val="auto"/>
                <w:sz w:val="24"/>
                <w:szCs w:val="24"/>
              </w:rPr>
              <w:t>+</w:t>
            </w:r>
            <w:r>
              <w:rPr>
                <w:rFonts w:ascii="Cambria Math" w:hAnsi="Cambria Math" w:cs="Cambria Math"/>
                <w:b w:val="0"/>
                <w:bCs w:val="0"/>
                <w:color w:val="auto"/>
                <w:sz w:val="24"/>
                <w:szCs w:val="24"/>
              </w:rPr>
              <w:t>𝐹𝐶</w:t>
            </w:r>
            <w:r>
              <w:rPr>
                <w:rFonts w:ascii="Cambria Math" w:hAnsi="Cambria Math" w:cs="Cambria Math"/>
                <w:b w:val="0"/>
                <w:bCs w:val="0"/>
                <w:color w:val="auto"/>
                <w:sz w:val="24"/>
                <w:szCs w:val="24"/>
                <w:vertAlign w:val="subscript"/>
              </w:rPr>
              <w:t>𝑦</w:t>
            </w:r>
            <w:r>
              <w:rPr>
                <w:b w:val="0"/>
                <w:bCs w:val="0"/>
                <w:color w:val="auto"/>
                <w:sz w:val="24"/>
                <w:szCs w:val="24"/>
              </w:rPr>
              <w:t>={</w:t>
            </w:r>
            <w:r>
              <w:rPr>
                <w:rFonts w:ascii="Cambria Math" w:hAnsi="Cambria Math" w:cs="Cambria Math"/>
                <w:b w:val="0"/>
                <w:bCs w:val="0"/>
                <w:color w:val="auto"/>
                <w:sz w:val="24"/>
                <w:szCs w:val="24"/>
              </w:rPr>
              <w:t>𝑁</w:t>
            </w:r>
            <w:r>
              <w:rPr>
                <w:rFonts w:ascii="Cambria Math" w:hAnsi="Cambria Math" w:cs="Cambria Math"/>
                <w:b w:val="0"/>
                <w:bCs w:val="0"/>
                <w:color w:val="auto"/>
                <w:sz w:val="24"/>
                <w:szCs w:val="24"/>
                <w:vertAlign w:val="subscript"/>
              </w:rPr>
              <w:t>𝐶</w:t>
            </w:r>
            <w:r>
              <w:rPr>
                <w:b w:val="0"/>
                <w:bCs w:val="0"/>
                <w:color w:val="auto"/>
                <w:sz w:val="24"/>
                <w:szCs w:val="24"/>
              </w:rPr>
              <w:t>×</w:t>
            </w:r>
            <w:r>
              <w:rPr>
                <w:rFonts w:ascii="Cambria Math" w:hAnsi="Cambria Math" w:cs="Cambria Math"/>
                <w:b w:val="0"/>
                <w:bCs w:val="0"/>
                <w:color w:val="auto"/>
                <w:sz w:val="24"/>
                <w:szCs w:val="24"/>
              </w:rPr>
              <w:t>𝐷</w:t>
            </w:r>
            <w:r>
              <w:rPr>
                <w:b w:val="0"/>
                <w:bCs w:val="0"/>
                <w:color w:val="auto"/>
                <w:sz w:val="24"/>
                <w:szCs w:val="24"/>
              </w:rPr>
              <w:t>×(</w:t>
            </w:r>
            <w:r>
              <w:rPr>
                <w:rFonts w:ascii="Cambria Math" w:hAnsi="Cambria Math" w:cs="Cambria Math"/>
                <w:b w:val="0"/>
                <w:bCs w:val="0"/>
                <w:color w:val="auto"/>
                <w:sz w:val="24"/>
                <w:szCs w:val="24"/>
              </w:rPr>
              <w:t>𝑎</w:t>
            </w:r>
            <w:r>
              <w:rPr>
                <w:b w:val="0"/>
                <w:bCs w:val="0"/>
                <w:color w:val="auto"/>
                <w:sz w:val="24"/>
                <w:szCs w:val="24"/>
              </w:rPr>
              <w:t>⁄</w:t>
            </w:r>
            <w:r>
              <w:rPr>
                <w:rFonts w:ascii="Cambria Math" w:hAnsi="Cambria Math" w:cs="Cambria Math"/>
                <w:b w:val="0"/>
                <w:bCs w:val="0"/>
                <w:color w:val="auto"/>
                <w:sz w:val="24"/>
                <w:szCs w:val="24"/>
              </w:rPr>
              <w:t>𝑏</w:t>
            </w:r>
            <w:r>
              <w:rPr>
                <w:b w:val="0"/>
                <w:bCs w:val="0"/>
                <w:color w:val="auto"/>
                <w:sz w:val="24"/>
                <w:szCs w:val="24"/>
              </w:rPr>
              <w:t>)+2×E</w:t>
            </w:r>
            <w:r>
              <w:rPr>
                <w:rFonts w:ascii="Cambria Math" w:hAnsi="Cambria Math" w:cs="Cambria Math"/>
                <w:b w:val="0"/>
                <w:bCs w:val="0"/>
                <w:color w:val="auto"/>
                <w:sz w:val="24"/>
                <w:szCs w:val="24"/>
                <w:vertAlign w:val="subscript"/>
              </w:rPr>
              <w:t>𝑓</w:t>
            </w:r>
            <w:r>
              <w:rPr>
                <w:b w:val="0"/>
                <w:bCs w:val="0"/>
                <w:color w:val="auto"/>
                <w:sz w:val="24"/>
                <w:szCs w:val="24"/>
              </w:rPr>
              <w:t>×</w:t>
            </w:r>
            <w:r>
              <w:rPr>
                <w:rFonts w:ascii="Cambria Math" w:hAnsi="Cambria Math" w:cs="Cambria Math"/>
                <w:b w:val="0"/>
                <w:bCs w:val="0"/>
                <w:color w:val="auto"/>
                <w:sz w:val="24"/>
                <w:szCs w:val="24"/>
              </w:rPr>
              <w:t>𝑆</w:t>
            </w:r>
            <w:r>
              <w:rPr>
                <w:b w:val="0"/>
                <w:bCs w:val="0"/>
                <w:color w:val="auto"/>
                <w:sz w:val="24"/>
                <w:szCs w:val="24"/>
              </w:rPr>
              <w:t>}×10</w:t>
            </w:r>
            <w:r>
              <w:rPr>
                <w:b w:val="0"/>
                <w:bCs w:val="0"/>
                <w:color w:val="auto"/>
                <w:sz w:val="24"/>
                <w:szCs w:val="24"/>
                <w:vertAlign w:val="superscript"/>
              </w:rPr>
              <w:t>−3</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 w:val="0"/>
                <w:bCs w:val="0"/>
                <w:color w:val="auto"/>
                <w:sz w:val="24"/>
                <w:szCs w:val="24"/>
              </w:rPr>
            </w:pPr>
            <w:r>
              <w:rPr>
                <w:b w:val="0"/>
                <w:bCs w:val="0"/>
                <w:color w:val="auto"/>
                <w:sz w:val="24"/>
                <w:szCs w:val="24"/>
              </w:rPr>
              <w:t>式中：P指颗粒物产生量（单位：</w:t>
            </w:r>
            <w:r>
              <w:rPr>
                <w:rFonts w:hint="eastAsia"/>
                <w:b w:val="0"/>
                <w:bCs w:val="0"/>
                <w:color w:val="auto"/>
                <w:sz w:val="24"/>
                <w:szCs w:val="24"/>
                <w:lang w:val="en-US" w:eastAsia="zh-CN"/>
              </w:rPr>
              <w:t>t</w:t>
            </w:r>
            <w:r>
              <w:rPr>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b w:val="0"/>
                <w:bCs w:val="0"/>
                <w:color w:val="auto"/>
                <w:sz w:val="24"/>
                <w:szCs w:val="24"/>
              </w:rPr>
            </w:pPr>
            <w:r>
              <w:rPr>
                <w:rFonts w:ascii="Cambria Math" w:hAnsi="Cambria Math" w:cs="Cambria Math"/>
                <w:b w:val="0"/>
                <w:bCs w:val="0"/>
                <w:color w:val="auto"/>
                <w:sz w:val="24"/>
                <w:szCs w:val="24"/>
              </w:rPr>
              <w:t>𝑍𝐶</w:t>
            </w:r>
            <w:r>
              <w:rPr>
                <w:rFonts w:ascii="Cambria Math" w:hAnsi="Cambria Math" w:cs="Cambria Math"/>
                <w:b w:val="0"/>
                <w:bCs w:val="0"/>
                <w:color w:val="auto"/>
                <w:sz w:val="24"/>
                <w:szCs w:val="24"/>
                <w:vertAlign w:val="subscript"/>
              </w:rPr>
              <w:t>𝑦</w:t>
            </w:r>
            <w:r>
              <w:rPr>
                <w:b w:val="0"/>
                <w:bCs w:val="0"/>
                <w:color w:val="auto"/>
                <w:sz w:val="24"/>
                <w:szCs w:val="24"/>
              </w:rPr>
              <w:t>指装卸扬尘产生量（单位：</w:t>
            </w:r>
            <w:r>
              <w:rPr>
                <w:rFonts w:hint="eastAsia"/>
                <w:b w:val="0"/>
                <w:bCs w:val="0"/>
                <w:color w:val="auto"/>
                <w:sz w:val="24"/>
                <w:szCs w:val="24"/>
                <w:lang w:val="en-US" w:eastAsia="zh-CN"/>
              </w:rPr>
              <w:t>t</w:t>
            </w:r>
            <w:r>
              <w:rPr>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b w:val="0"/>
                <w:bCs w:val="0"/>
                <w:color w:val="auto"/>
                <w:sz w:val="24"/>
                <w:szCs w:val="24"/>
              </w:rPr>
            </w:pPr>
            <w:r>
              <w:rPr>
                <w:rFonts w:ascii="Cambria Math" w:hAnsi="Cambria Math" w:cs="Cambria Math"/>
                <w:b w:val="0"/>
                <w:bCs w:val="0"/>
                <w:color w:val="auto"/>
                <w:sz w:val="24"/>
                <w:szCs w:val="24"/>
              </w:rPr>
              <w:t>𝐹𝐶</w:t>
            </w:r>
            <w:r>
              <w:rPr>
                <w:rFonts w:ascii="Cambria Math" w:hAnsi="Cambria Math" w:cs="Cambria Math"/>
                <w:b w:val="0"/>
                <w:bCs w:val="0"/>
                <w:color w:val="auto"/>
                <w:sz w:val="24"/>
                <w:szCs w:val="24"/>
                <w:vertAlign w:val="subscript"/>
              </w:rPr>
              <w:t>𝑦</w:t>
            </w:r>
            <w:r>
              <w:rPr>
                <w:b w:val="0"/>
                <w:bCs w:val="0"/>
                <w:color w:val="auto"/>
                <w:sz w:val="24"/>
                <w:szCs w:val="24"/>
              </w:rPr>
              <w:t>指风蚀扬尘产生量（单位：</w:t>
            </w:r>
            <w:r>
              <w:rPr>
                <w:rFonts w:hint="eastAsia"/>
                <w:b w:val="0"/>
                <w:bCs w:val="0"/>
                <w:color w:val="auto"/>
                <w:sz w:val="24"/>
                <w:szCs w:val="24"/>
                <w:lang w:val="en-US" w:eastAsia="zh-CN"/>
              </w:rPr>
              <w:t>t</w:t>
            </w:r>
            <w:r>
              <w:rPr>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b w:val="0"/>
                <w:bCs w:val="0"/>
                <w:color w:val="auto"/>
                <w:sz w:val="24"/>
                <w:szCs w:val="24"/>
              </w:rPr>
            </w:pPr>
            <w:r>
              <w:rPr>
                <w:rFonts w:ascii="Cambria Math" w:hAnsi="Cambria Math" w:cs="Cambria Math"/>
                <w:b w:val="0"/>
                <w:bCs w:val="0"/>
                <w:color w:val="auto"/>
                <w:sz w:val="24"/>
                <w:szCs w:val="24"/>
              </w:rPr>
              <w:t>𝑁</w:t>
            </w:r>
            <w:r>
              <w:rPr>
                <w:rFonts w:ascii="Cambria Math" w:hAnsi="Cambria Math" w:cs="Cambria Math"/>
                <w:b w:val="0"/>
                <w:bCs w:val="0"/>
                <w:color w:val="auto"/>
                <w:sz w:val="24"/>
                <w:szCs w:val="24"/>
                <w:vertAlign w:val="subscript"/>
              </w:rPr>
              <w:t>𝐶</w:t>
            </w:r>
            <w:r>
              <w:rPr>
                <w:b w:val="0"/>
                <w:bCs w:val="0"/>
                <w:color w:val="auto"/>
                <w:sz w:val="24"/>
                <w:szCs w:val="24"/>
              </w:rPr>
              <w:t>指年物料运载车次（单位：车）；</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b w:val="0"/>
                <w:bCs w:val="0"/>
                <w:color w:val="auto"/>
                <w:sz w:val="24"/>
                <w:szCs w:val="24"/>
              </w:rPr>
            </w:pPr>
            <w:r>
              <w:rPr>
                <w:b w:val="0"/>
                <w:bCs w:val="0"/>
                <w:color w:val="auto"/>
                <w:sz w:val="24"/>
                <w:szCs w:val="24"/>
              </w:rPr>
              <w:t>D指单车平均运载量（单位：</w:t>
            </w:r>
            <w:r>
              <w:rPr>
                <w:rFonts w:hint="eastAsia"/>
                <w:b w:val="0"/>
                <w:bCs w:val="0"/>
                <w:color w:val="auto"/>
                <w:sz w:val="24"/>
                <w:szCs w:val="24"/>
                <w:lang w:val="en-US" w:eastAsia="zh-CN"/>
              </w:rPr>
              <w:t>t</w:t>
            </w:r>
            <w:r>
              <w:rPr>
                <w:b w:val="0"/>
                <w:bCs w:val="0"/>
                <w:color w:val="auto"/>
                <w:sz w:val="24"/>
                <w:szCs w:val="24"/>
              </w:rPr>
              <w:t>/车）</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hint="default" w:ascii="Times New Roman" w:hAnsi="Times New Roman" w:cs="Times New Roman"/>
                <w:b w:val="0"/>
                <w:bCs w:val="0"/>
                <w:color w:val="auto"/>
                <w:sz w:val="24"/>
                <w:szCs w:val="24"/>
              </w:rPr>
            </w:pPr>
            <w:r>
              <w:rPr>
                <w:rFonts w:hint="eastAsia" w:cs="Times New Roman"/>
                <w:b w:val="0"/>
                <w:bCs w:val="0"/>
                <w:color w:val="auto"/>
                <w:sz w:val="24"/>
                <w:szCs w:val="24"/>
                <w:lang w:eastAsia="zh-CN"/>
              </w:rPr>
              <w:t>（</w:t>
            </w:r>
            <w:r>
              <w:rPr>
                <w:rFonts w:ascii="Cambria Math" w:hAnsi="Cambria Math" w:cs="Cambria Math"/>
                <w:b w:val="0"/>
                <w:bCs w:val="0"/>
                <w:color w:val="auto"/>
                <w:sz w:val="24"/>
                <w:szCs w:val="24"/>
              </w:rPr>
              <w:t>𝑎</w:t>
            </w:r>
            <w:r>
              <w:rPr>
                <w:b w:val="0"/>
                <w:bCs w:val="0"/>
                <w:color w:val="auto"/>
                <w:sz w:val="24"/>
                <w:szCs w:val="24"/>
              </w:rPr>
              <w:t>⁄</w:t>
            </w:r>
            <w:r>
              <w:rPr>
                <w:rFonts w:ascii="Cambria Math" w:hAnsi="Cambria Math" w:cs="Cambria Math"/>
                <w:b w:val="0"/>
                <w:bCs w:val="0"/>
                <w:color w:val="auto"/>
                <w:sz w:val="24"/>
                <w:szCs w:val="24"/>
              </w:rPr>
              <w:t>𝑏</w:t>
            </w:r>
            <w:r>
              <w:rPr>
                <w:rFonts w:hint="eastAsia" w:ascii="Cambria Math" w:hAnsi="Cambria Math" w:cs="Cambria Math"/>
                <w:b w:val="0"/>
                <w:bCs w:val="0"/>
                <w:color w:val="auto"/>
                <w:sz w:val="24"/>
                <w:szCs w:val="24"/>
                <w:lang w:eastAsia="zh-CN"/>
              </w:rPr>
              <w:t>）</w:t>
            </w:r>
            <w:r>
              <w:rPr>
                <w:rFonts w:hint="default" w:ascii="Times New Roman" w:hAnsi="Times New Roman" w:cs="Times New Roman"/>
                <w:b w:val="0"/>
                <w:bCs w:val="0"/>
                <w:color w:val="auto"/>
                <w:sz w:val="24"/>
                <w:szCs w:val="24"/>
              </w:rPr>
              <w:t>指装卸扬尘概化系数（单位：</w:t>
            </w:r>
            <w:r>
              <w:rPr>
                <w:rFonts w:hint="eastAsia" w:cs="Times New Roman"/>
                <w:b w:val="0"/>
                <w:bCs w:val="0"/>
                <w:color w:val="auto"/>
                <w:sz w:val="24"/>
                <w:szCs w:val="24"/>
                <w:lang w:val="en-US" w:eastAsia="zh-CN"/>
              </w:rPr>
              <w:t>kg</w:t>
            </w:r>
            <w:r>
              <w:rPr>
                <w:rFonts w:hint="default" w:ascii="Times New Roman" w:hAnsi="Times New Roman" w:cs="Times New Roman"/>
                <w:b w:val="0"/>
                <w:bCs w:val="0"/>
                <w:color w:val="auto"/>
                <w:sz w:val="24"/>
                <w:szCs w:val="24"/>
              </w:rPr>
              <w:t>/</w:t>
            </w:r>
            <w:r>
              <w:rPr>
                <w:rFonts w:hint="eastAsia" w:cs="Times New Roman"/>
                <w:b w:val="0"/>
                <w:bCs w:val="0"/>
                <w:color w:val="auto"/>
                <w:sz w:val="24"/>
                <w:szCs w:val="24"/>
                <w:lang w:val="en-US" w:eastAsia="zh-CN"/>
              </w:rPr>
              <w:t>t</w:t>
            </w:r>
            <w:r>
              <w:rPr>
                <w:rFonts w:hint="default" w:ascii="Times New Roman" w:hAnsi="Times New Roman" w:cs="Times New Roman"/>
                <w:b w:val="0"/>
                <w:bCs w:val="0"/>
                <w:color w:val="auto"/>
                <w:sz w:val="24"/>
                <w:szCs w:val="24"/>
              </w:rPr>
              <w:t>），</w:t>
            </w:r>
            <w:r>
              <w:rPr>
                <w:rFonts w:ascii="Cambria Math" w:hAnsi="Cambria Math" w:cs="Cambria Math"/>
                <w:b w:val="0"/>
                <w:bCs w:val="0"/>
                <w:color w:val="auto"/>
                <w:sz w:val="24"/>
                <w:szCs w:val="24"/>
              </w:rPr>
              <w:t>𝑎</w:t>
            </w:r>
            <w:r>
              <w:rPr>
                <w:rFonts w:hint="default" w:ascii="Times New Roman" w:hAnsi="Times New Roman" w:cs="Times New Roman"/>
                <w:b w:val="0"/>
                <w:bCs w:val="0"/>
                <w:color w:val="auto"/>
                <w:sz w:val="24"/>
                <w:szCs w:val="24"/>
              </w:rPr>
              <w:t>指各省风速概化系数，</w:t>
            </w:r>
            <w:r>
              <w:rPr>
                <w:rFonts w:ascii="Cambria Math" w:hAnsi="Cambria Math" w:cs="Cambria Math"/>
                <w:b w:val="0"/>
                <w:bCs w:val="0"/>
                <w:color w:val="auto"/>
                <w:sz w:val="24"/>
                <w:szCs w:val="24"/>
              </w:rPr>
              <w:t>𝑏</w:t>
            </w:r>
            <w:r>
              <w:rPr>
                <w:rFonts w:hint="default" w:ascii="Times New Roman" w:hAnsi="Times New Roman" w:cs="Times New Roman"/>
                <w:b w:val="0"/>
                <w:bCs w:val="0"/>
                <w:color w:val="auto"/>
                <w:sz w:val="24"/>
                <w:szCs w:val="24"/>
              </w:rPr>
              <w:t>指物料含水率概化系数；</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hint="default" w:ascii="Times New Roman" w:hAnsi="Times New Roman" w:cs="Times New Roman"/>
                <w:b w:val="0"/>
                <w:bCs w:val="0"/>
                <w:color w:val="auto"/>
                <w:sz w:val="24"/>
                <w:szCs w:val="24"/>
              </w:rPr>
            </w:pPr>
            <w:r>
              <w:rPr>
                <w:b w:val="0"/>
                <w:bCs w:val="0"/>
                <w:color w:val="auto"/>
                <w:sz w:val="24"/>
                <w:szCs w:val="24"/>
              </w:rPr>
              <w:t>E</w:t>
            </w:r>
            <w:r>
              <w:rPr>
                <w:rFonts w:ascii="Cambria Math" w:hAnsi="Cambria Math" w:cs="Cambria Math"/>
                <w:b w:val="0"/>
                <w:bCs w:val="0"/>
                <w:color w:val="auto"/>
                <w:sz w:val="24"/>
                <w:szCs w:val="24"/>
                <w:vertAlign w:val="subscript"/>
              </w:rPr>
              <w:t>𝑓</w:t>
            </w:r>
            <w:r>
              <w:rPr>
                <w:rFonts w:hint="default" w:ascii="Times New Roman" w:hAnsi="Times New Roman" w:cs="Times New Roman"/>
                <w:b w:val="0"/>
                <w:bCs w:val="0"/>
                <w:color w:val="auto"/>
                <w:sz w:val="24"/>
                <w:szCs w:val="24"/>
              </w:rPr>
              <w:t>指堆场风蚀扬尘概化系数（单位：</w:t>
            </w:r>
            <w:r>
              <w:rPr>
                <w:rFonts w:hint="eastAsia" w:cs="Times New Roman"/>
                <w:b w:val="0"/>
                <w:bCs w:val="0"/>
                <w:color w:val="auto"/>
                <w:sz w:val="24"/>
                <w:szCs w:val="24"/>
                <w:lang w:val="en-US" w:eastAsia="zh-CN"/>
              </w:rPr>
              <w:t>kg</w:t>
            </w:r>
            <w:r>
              <w:rPr>
                <w:rFonts w:hint="default" w:ascii="Times New Roman" w:hAnsi="Times New Roman" w:cs="Times New Roman"/>
                <w:b w:val="0"/>
                <w:bCs w:val="0"/>
                <w:color w:val="auto"/>
                <w:sz w:val="24"/>
                <w:szCs w:val="24"/>
              </w:rPr>
              <w:t>/</w:t>
            </w:r>
            <w:r>
              <w:rPr>
                <w:rFonts w:hint="eastAsia" w:cs="Times New Roman"/>
                <w:b w:val="0"/>
                <w:bCs w:val="0"/>
                <w:color w:val="auto"/>
                <w:sz w:val="24"/>
                <w:szCs w:val="24"/>
                <w:lang w:val="en-US" w:eastAsia="zh-CN"/>
              </w:rPr>
              <w:t>m³</w:t>
            </w:r>
            <w:r>
              <w:rPr>
                <w:rFonts w:hint="default" w:ascii="Times New Roman" w:hAnsi="Times New Roman" w:cs="Times New Roman"/>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hint="default" w:ascii="Times New Roman" w:hAnsi="Times New Roman" w:eastAsia="宋体" w:cs="Times New Roman"/>
                <w:b w:val="0"/>
                <w:bCs w:val="0"/>
                <w:color w:val="auto"/>
                <w:sz w:val="24"/>
                <w:szCs w:val="24"/>
                <w:highlight w:val="none"/>
              </w:rPr>
            </w:pPr>
            <w:r>
              <w:rPr>
                <w:rFonts w:ascii="Cambria Math" w:hAnsi="Cambria Math" w:cs="Cambria Math"/>
                <w:b w:val="0"/>
                <w:bCs w:val="0"/>
                <w:color w:val="auto"/>
                <w:sz w:val="24"/>
                <w:szCs w:val="24"/>
              </w:rPr>
              <w:t>𝑆</w:t>
            </w:r>
            <w:r>
              <w:rPr>
                <w:rFonts w:hint="default" w:ascii="Times New Roman" w:hAnsi="Times New Roman" w:cs="Times New Roman"/>
                <w:b w:val="0"/>
                <w:bCs w:val="0"/>
                <w:color w:val="auto"/>
                <w:sz w:val="24"/>
                <w:szCs w:val="24"/>
              </w:rPr>
              <w:t>指堆场占地面积（</w:t>
            </w:r>
            <w:r>
              <w:rPr>
                <w:rFonts w:hint="eastAsia" w:cs="Times New Roman"/>
                <w:b w:val="0"/>
                <w:bCs w:val="0"/>
                <w:color w:val="auto"/>
                <w:sz w:val="24"/>
                <w:szCs w:val="24"/>
                <w:highlight w:val="none"/>
                <w:lang w:val="en-US" w:eastAsia="zh-CN"/>
              </w:rPr>
              <w:t>m</w:t>
            </w:r>
            <w:r>
              <w:rPr>
                <w:rFonts w:hint="eastAsia" w:cs="Times New Roman"/>
                <w:b w:val="0"/>
                <w:bCs w:val="0"/>
                <w:color w:val="auto"/>
                <w:sz w:val="24"/>
                <w:szCs w:val="24"/>
                <w:highlight w:val="none"/>
                <w:vertAlign w:val="superscript"/>
                <w:lang w:val="en-US" w:eastAsia="zh-CN"/>
              </w:rPr>
              <w:t>2</w:t>
            </w:r>
            <w:r>
              <w:rPr>
                <w:rFonts w:hint="default" w:ascii="Times New Roman" w:hAnsi="Times New Roman" w:cs="Times New Roman"/>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b w:val="0"/>
                <w:bCs w:val="0"/>
                <w:color w:val="auto"/>
                <w:sz w:val="24"/>
                <w:szCs w:val="24"/>
              </w:rPr>
            </w:pPr>
            <w:r>
              <w:rPr>
                <w:rFonts w:hint="eastAsia"/>
                <w:b w:val="0"/>
                <w:color w:val="000000"/>
                <w:sz w:val="24"/>
              </w:rPr>
              <w:t>本项目骨料年堆存</w:t>
            </w:r>
            <w:r>
              <w:rPr>
                <w:rFonts w:hint="eastAsia"/>
                <w:b w:val="0"/>
                <w:color w:val="000000"/>
                <w:sz w:val="24"/>
                <w:lang w:val="en-US" w:eastAsia="zh-CN"/>
              </w:rPr>
              <w:t>242190</w:t>
            </w:r>
            <w:r>
              <w:rPr>
                <w:rFonts w:hint="eastAsia"/>
                <w:b w:val="0"/>
                <w:color w:val="000000"/>
                <w:sz w:val="24"/>
              </w:rPr>
              <w:t>t，</w:t>
            </w:r>
            <w:r>
              <w:rPr>
                <w:rFonts w:hint="eastAsia"/>
                <w:b w:val="0"/>
                <w:color w:val="000000"/>
                <w:sz w:val="24"/>
                <w:lang w:val="en-US" w:eastAsia="zh-CN"/>
              </w:rPr>
              <w:t>D单车平均</w:t>
            </w:r>
            <w:r>
              <w:rPr>
                <w:rFonts w:hint="eastAsia"/>
                <w:b w:val="0"/>
                <w:color w:val="000000"/>
                <w:sz w:val="24"/>
                <w:lang w:eastAsia="zh-CN"/>
              </w:rPr>
              <w:t>装载量</w:t>
            </w:r>
            <w:r>
              <w:rPr>
                <w:rFonts w:hint="eastAsia"/>
                <w:b w:val="0"/>
                <w:color w:val="000000"/>
                <w:sz w:val="24"/>
                <w:lang w:val="en-US" w:eastAsia="zh-CN"/>
              </w:rPr>
              <w:t>10t，Nc年物料运载车次24219次，a查表取0.0011，b查表取0.0084，Ef为0，S为1800m</w:t>
            </w:r>
            <w:r>
              <w:rPr>
                <w:rFonts w:hint="eastAsia"/>
                <w:b w:val="0"/>
                <w:color w:val="000000"/>
                <w:sz w:val="24"/>
                <w:vertAlign w:val="superscript"/>
                <w:lang w:val="en-US" w:eastAsia="zh-CN"/>
              </w:rPr>
              <w:t>2</w:t>
            </w:r>
            <w:r>
              <w:rPr>
                <w:rFonts w:hint="eastAsia"/>
                <w:b w:val="0"/>
                <w:color w:val="000000"/>
                <w:sz w:val="24"/>
                <w:vertAlign w:val="baseline"/>
                <w:lang w:val="en-US" w:eastAsia="zh-CN"/>
              </w:rPr>
              <w:t>。</w:t>
            </w:r>
            <w:r>
              <w:rPr>
                <w:rFonts w:hint="default" w:ascii="Times New Roman" w:hAnsi="Times New Roman" w:eastAsia="宋体" w:cs="Times New Roman"/>
                <w:b w:val="0"/>
                <w:bCs w:val="0"/>
                <w:color w:val="auto"/>
                <w:sz w:val="24"/>
                <w:szCs w:val="24"/>
              </w:rPr>
              <w:t>经计算堆场粉尘产量</w:t>
            </w:r>
            <w:r>
              <w:rPr>
                <w:rFonts w:hint="eastAsia" w:cs="Times New Roman"/>
                <w:b w:val="0"/>
                <w:bCs w:val="0"/>
                <w:color w:val="auto"/>
                <w:sz w:val="24"/>
                <w:szCs w:val="24"/>
                <w:lang w:val="en-US" w:eastAsia="zh-CN"/>
              </w:rPr>
              <w:t>31.72</w:t>
            </w:r>
            <w:r>
              <w:rPr>
                <w:rFonts w:hint="default" w:ascii="Times New Roman" w:hAnsi="Times New Roman" w:eastAsia="宋体" w:cs="Times New Roman"/>
                <w:b w:val="0"/>
                <w:bCs w:val="0"/>
                <w:color w:val="auto"/>
                <w:sz w:val="24"/>
                <w:szCs w:val="24"/>
              </w:rPr>
              <w:t>t/a，根据工业企业固体物料堆场颗粒物排放量核算公式：</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rPr>
              <w:t>U</w:t>
            </w:r>
            <w:r>
              <w:rPr>
                <w:rFonts w:hint="default" w:ascii="Times New Roman" w:hAnsi="Times New Roman" w:eastAsia="宋体" w:cs="Times New Roman"/>
                <w:b w:val="0"/>
                <w:bCs w:val="0"/>
                <w:color w:val="auto"/>
                <w:sz w:val="24"/>
                <w:szCs w:val="24"/>
                <w:vertAlign w:val="subscript"/>
              </w:rPr>
              <w:t>c</w:t>
            </w:r>
            <w:r>
              <w:rPr>
                <w:rFonts w:hint="default" w:ascii="Times New Roman" w:hAnsi="Times New Roman" w:eastAsia="宋体" w:cs="Times New Roman"/>
                <w:b w:val="0"/>
                <w:bCs w:val="0"/>
                <w:color w:val="auto"/>
                <w:sz w:val="24"/>
                <w:szCs w:val="24"/>
              </w:rPr>
              <w:t>=P×</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1-C</w:t>
            </w:r>
            <w:r>
              <w:rPr>
                <w:rFonts w:hint="default" w:ascii="Times New Roman" w:hAnsi="Times New Roman" w:eastAsia="宋体" w:cs="Times New Roman"/>
                <w:b w:val="0"/>
                <w:bCs w:val="0"/>
                <w:color w:val="auto"/>
                <w:sz w:val="24"/>
                <w:szCs w:val="24"/>
                <w:vertAlign w:val="subscript"/>
              </w:rPr>
              <w:t>m</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rPr>
              <w:t>×</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rPr>
              <w:t>1-T</w:t>
            </w:r>
            <w:r>
              <w:rPr>
                <w:rFonts w:hint="default" w:ascii="Times New Roman" w:hAnsi="Times New Roman" w:eastAsia="宋体" w:cs="Times New Roman"/>
                <w:b w:val="0"/>
                <w:bCs w:val="0"/>
                <w:color w:val="auto"/>
                <w:sz w:val="24"/>
                <w:szCs w:val="24"/>
                <w:vertAlign w:val="subscript"/>
              </w:rPr>
              <w:t>m</w:t>
            </w:r>
            <w:r>
              <w:rPr>
                <w:rFonts w:hint="eastAsia" w:cs="Times New Roman"/>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式中：P指颗粒物产生量（单位：吨）；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 xml:space="preserve">      Uc指颗粒物排放量（单位：吨）；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 xml:space="preserve">      Cm指颗粒物控制措施控制效率（单位：%）；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 xml:space="preserve">      Tm指堆场类型控制效率（单位：%）</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eastAsia="宋体"/>
                <w:sz w:val="24"/>
                <w:lang w:eastAsia="zh-CN"/>
              </w:rPr>
            </w:pPr>
            <w:r>
              <w:rPr>
                <w:rFonts w:hint="default" w:ascii="Times New Roman" w:hAnsi="Times New Roman" w:eastAsia="宋体" w:cs="Times New Roman"/>
                <w:b w:val="0"/>
                <w:bCs w:val="0"/>
                <w:color w:val="auto"/>
                <w:sz w:val="24"/>
                <w:szCs w:val="24"/>
              </w:rPr>
              <w:t>经计算，本项目</w:t>
            </w:r>
            <w:r>
              <w:rPr>
                <w:rFonts w:hint="eastAsia" w:ascii="Times New Roman" w:hAnsi="Times New Roman" w:eastAsia="宋体" w:cs="Times New Roman"/>
                <w:b w:val="0"/>
                <w:bCs w:val="0"/>
                <w:color w:val="auto"/>
                <w:sz w:val="24"/>
                <w:szCs w:val="24"/>
                <w:lang w:val="en-US" w:eastAsia="zh-CN"/>
              </w:rPr>
              <w:t>堆仓</w:t>
            </w:r>
            <w:r>
              <w:rPr>
                <w:rFonts w:hint="default" w:ascii="Times New Roman" w:hAnsi="Times New Roman" w:eastAsia="宋体" w:cs="Times New Roman"/>
                <w:b w:val="0"/>
                <w:bCs w:val="0"/>
                <w:color w:val="auto"/>
                <w:sz w:val="24"/>
                <w:szCs w:val="24"/>
              </w:rPr>
              <w:t>颗粒物产生量约为</w:t>
            </w:r>
            <w:r>
              <w:rPr>
                <w:rFonts w:hint="eastAsia" w:eastAsia="宋体" w:cs="Times New Roman"/>
                <w:b w:val="0"/>
                <w:bCs w:val="0"/>
                <w:color w:val="auto"/>
                <w:sz w:val="24"/>
                <w:szCs w:val="24"/>
                <w:lang w:val="en-US" w:eastAsia="zh-CN"/>
              </w:rPr>
              <w:t>31.72</w:t>
            </w:r>
            <w:r>
              <w:rPr>
                <w:rFonts w:hint="default" w:ascii="Times New Roman" w:hAnsi="Times New Roman" w:eastAsia="宋体" w:cs="Times New Roman"/>
                <w:b w:val="0"/>
                <w:bCs w:val="0"/>
                <w:color w:val="auto"/>
                <w:sz w:val="24"/>
                <w:szCs w:val="24"/>
              </w:rPr>
              <w:t>t/a。</w:t>
            </w:r>
            <w:r>
              <w:rPr>
                <w:rFonts w:hint="eastAsia" w:ascii="Times New Roman" w:hAnsi="Times New Roman" w:eastAsia="宋体" w:cs="Times New Roman"/>
                <w:b w:val="0"/>
                <w:bCs w:val="0"/>
                <w:color w:val="auto"/>
                <w:sz w:val="24"/>
                <w:szCs w:val="24"/>
                <w:lang w:val="en-US" w:eastAsia="zh-CN"/>
              </w:rPr>
              <w:t>项目</w:t>
            </w:r>
            <w:r>
              <w:rPr>
                <w:rFonts w:hint="default" w:ascii="Times New Roman" w:hAnsi="Times New Roman" w:eastAsia="宋体" w:cs="Times New Roman"/>
                <w:b w:val="0"/>
                <w:bCs w:val="0"/>
                <w:color w:val="auto"/>
                <w:sz w:val="24"/>
                <w:szCs w:val="24"/>
              </w:rPr>
              <w:t>采取封闭式</w:t>
            </w:r>
            <w:r>
              <w:rPr>
                <w:rFonts w:hint="eastAsia" w:ascii="Times New Roman" w:hAnsi="Times New Roman" w:eastAsia="宋体" w:cs="Times New Roman"/>
                <w:b w:val="0"/>
                <w:bCs w:val="0"/>
                <w:color w:val="auto"/>
                <w:sz w:val="24"/>
                <w:szCs w:val="24"/>
                <w:lang w:val="en-US" w:eastAsia="zh-CN"/>
              </w:rPr>
              <w:t>堆仓</w:t>
            </w:r>
            <w:r>
              <w:rPr>
                <w:rFonts w:hint="default" w:ascii="Times New Roman" w:hAnsi="Times New Roman" w:eastAsia="宋体" w:cs="Times New Roman"/>
                <w:b w:val="0"/>
                <w:bCs w:val="0"/>
                <w:color w:val="auto"/>
                <w:sz w:val="24"/>
                <w:szCs w:val="24"/>
              </w:rPr>
              <w:t>可有效减少粉尘，控制效率为</w:t>
            </w:r>
            <w:r>
              <w:rPr>
                <w:rFonts w:hint="eastAsia" w:ascii="Times New Roman" w:hAnsi="Times New Roman" w:eastAsia="宋体" w:cs="Times New Roman"/>
                <w:b w:val="0"/>
                <w:bCs w:val="0"/>
                <w:color w:val="auto"/>
                <w:sz w:val="24"/>
                <w:szCs w:val="24"/>
                <w:lang w:val="en-US" w:eastAsia="zh-CN"/>
              </w:rPr>
              <w:t>99</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水喷淋设施洒水降尘控制效率为74</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则堆场无组织粉尘排放量为</w:t>
            </w:r>
            <w:r>
              <w:rPr>
                <w:rFonts w:hint="eastAsia" w:eastAsia="宋体" w:cs="Times New Roman"/>
                <w:b w:val="0"/>
                <w:bCs w:val="0"/>
                <w:color w:val="auto"/>
                <w:sz w:val="24"/>
                <w:szCs w:val="24"/>
                <w:lang w:val="en-US" w:eastAsia="zh-CN"/>
              </w:rPr>
              <w:t>0.082</w:t>
            </w:r>
            <w:r>
              <w:rPr>
                <w:rFonts w:hint="default" w:ascii="Times New Roman" w:hAnsi="Times New Roman" w:eastAsia="宋体" w:cs="Times New Roman"/>
                <w:b w:val="0"/>
                <w:bCs w:val="0"/>
                <w:color w:val="auto"/>
                <w:sz w:val="24"/>
                <w:szCs w:val="24"/>
              </w:rPr>
              <w:t>t/a</w:t>
            </w:r>
            <w:r>
              <w:rPr>
                <w:rFonts w:hint="eastAsia"/>
                <w:b w:val="0"/>
                <w:bCs w:val="0"/>
                <w:sz w:val="24"/>
                <w:szCs w:val="24"/>
                <w:lang w:eastAsia="zh-CN"/>
              </w:rPr>
              <w:t>。</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rFonts w:hint="eastAsia"/>
                <w:b w:val="0"/>
                <w:sz w:val="24"/>
                <w:lang w:eastAsia="zh-CN"/>
              </w:rPr>
            </w:pPr>
            <w:r>
              <w:rPr>
                <w:rFonts w:hint="eastAsia"/>
                <w:b w:val="0"/>
                <w:sz w:val="24"/>
                <w:lang w:eastAsia="zh-CN"/>
              </w:rPr>
              <w:t>（</w:t>
            </w:r>
            <w:r>
              <w:rPr>
                <w:rFonts w:hint="eastAsia"/>
                <w:b w:val="0"/>
                <w:sz w:val="24"/>
                <w:lang w:val="en-US" w:eastAsia="zh-CN"/>
              </w:rPr>
              <w:t>2</w:t>
            </w:r>
            <w:r>
              <w:rPr>
                <w:rFonts w:hint="eastAsia"/>
                <w:b w:val="0"/>
                <w:sz w:val="24"/>
                <w:lang w:eastAsia="zh-CN"/>
              </w:rPr>
              <w:t>）上料、输送粉尘</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b w:val="0"/>
                <w:sz w:val="24"/>
              </w:rPr>
            </w:pPr>
            <w:r>
              <w:rPr>
                <w:rFonts w:hint="eastAsia"/>
                <w:b w:val="0"/>
                <w:sz w:val="24"/>
                <w:lang w:eastAsia="zh-CN"/>
              </w:rPr>
              <w:t>项目</w:t>
            </w:r>
            <w:r>
              <w:rPr>
                <w:rFonts w:hint="eastAsia"/>
                <w:b w:val="0"/>
                <w:sz w:val="24"/>
                <w:lang w:val="en-US" w:eastAsia="zh-CN"/>
              </w:rPr>
              <w:t>砂石料</w:t>
            </w:r>
            <w:r>
              <w:rPr>
                <w:rFonts w:hint="eastAsia"/>
                <w:b w:val="0"/>
                <w:sz w:val="24"/>
                <w:lang w:eastAsia="zh-CN"/>
              </w:rPr>
              <w:t>生产上料、输送过程会产生粉尘，参照《逸散性工业粉尘控制技术》“表22-1混凝土分批搅拌厂的逸散尘排放因子”中碎石“送料上堆”的产污系数进行核算，粉尘产污系数为0.0006kg/t-原料，项目原料中砂、石子用量为</w:t>
            </w:r>
            <w:r>
              <w:rPr>
                <w:rFonts w:hint="eastAsia"/>
                <w:b w:val="0"/>
                <w:color w:val="000000"/>
                <w:sz w:val="24"/>
                <w:lang w:val="en-US" w:eastAsia="zh-CN"/>
              </w:rPr>
              <w:t>242190</w:t>
            </w:r>
            <w:r>
              <w:rPr>
                <w:rFonts w:hint="eastAsia"/>
                <w:b w:val="0"/>
                <w:sz w:val="24"/>
                <w:lang w:eastAsia="zh-CN"/>
              </w:rPr>
              <w:t>t/a，则粉尘产生量为</w:t>
            </w:r>
            <w:r>
              <w:rPr>
                <w:rFonts w:hint="eastAsia"/>
                <w:b w:val="0"/>
                <w:sz w:val="24"/>
                <w:lang w:val="en-US" w:eastAsia="zh-CN"/>
              </w:rPr>
              <w:t>0.145</w:t>
            </w:r>
            <w:r>
              <w:rPr>
                <w:rFonts w:hint="eastAsia"/>
                <w:b w:val="0"/>
                <w:sz w:val="24"/>
                <w:lang w:eastAsia="zh-CN"/>
              </w:rPr>
              <w:t>t/a。本项目对</w:t>
            </w:r>
            <w:r>
              <w:rPr>
                <w:rFonts w:hint="eastAsia"/>
                <w:b w:val="0"/>
                <w:sz w:val="24"/>
                <w:lang w:val="en-US" w:eastAsia="zh-CN"/>
              </w:rPr>
              <w:t>上料仓</w:t>
            </w:r>
            <w:r>
              <w:rPr>
                <w:rFonts w:hint="eastAsia"/>
                <w:b w:val="0"/>
                <w:sz w:val="24"/>
                <w:lang w:eastAsia="zh-CN"/>
              </w:rPr>
              <w:t>进行半封闭，仅留汽车进料位置，再配合洒水降尘，根据《排放源统计调查产排污核算方法和系数手册》（生态环境部公告2021年第24号）附表2“工业源固体物料堆场颗粒物核算系数手册”中附录4：粉尘控制措施控制效率：洒水降尘74%，</w:t>
            </w:r>
            <w:r>
              <w:rPr>
                <w:rFonts w:hint="eastAsia"/>
                <w:b w:val="0"/>
                <w:sz w:val="24"/>
                <w:lang w:val="en-US" w:eastAsia="zh-CN"/>
              </w:rPr>
              <w:t>半敞开式</w:t>
            </w:r>
            <w:r>
              <w:rPr>
                <w:rFonts w:hint="eastAsia"/>
                <w:b w:val="0"/>
                <w:sz w:val="24"/>
                <w:lang w:eastAsia="zh-CN"/>
              </w:rPr>
              <w:t>控制效率60%，则项目原料投料、输送排放量为0.01</w:t>
            </w:r>
            <w:r>
              <w:rPr>
                <w:rFonts w:hint="eastAsia"/>
                <w:b w:val="0"/>
                <w:sz w:val="24"/>
                <w:lang w:val="en-US" w:eastAsia="zh-CN"/>
              </w:rPr>
              <w:t>5</w:t>
            </w:r>
            <w:r>
              <w:rPr>
                <w:rFonts w:hint="eastAsia"/>
                <w:b w:val="0"/>
                <w:sz w:val="24"/>
                <w:lang w:eastAsia="zh-CN"/>
              </w:rPr>
              <w:t>t/a。</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b w:val="0"/>
                <w:sz w:val="24"/>
              </w:rPr>
            </w:pPr>
            <w:r>
              <w:rPr>
                <w:b w:val="0"/>
                <w:sz w:val="24"/>
              </w:rPr>
              <w:t>（</w:t>
            </w:r>
            <w:r>
              <w:rPr>
                <w:rFonts w:hint="eastAsia"/>
                <w:b w:val="0"/>
                <w:sz w:val="24"/>
                <w:lang w:val="en-US" w:eastAsia="zh-CN"/>
              </w:rPr>
              <w:t>3</w:t>
            </w:r>
            <w:r>
              <w:rPr>
                <w:b w:val="0"/>
                <w:sz w:val="24"/>
              </w:rPr>
              <w:t>）搅拌粉尘</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sz w:val="24"/>
              </w:rPr>
            </w:pPr>
            <w:r>
              <w:rPr>
                <w:sz w:val="24"/>
              </w:rPr>
              <w:t>本项目</w:t>
            </w:r>
            <w:r>
              <w:rPr>
                <w:rFonts w:hint="eastAsia"/>
                <w:sz w:val="24"/>
                <w:lang w:val="en-US" w:eastAsia="zh-CN"/>
              </w:rPr>
              <w:t>搅拌楼</w:t>
            </w:r>
            <w:r>
              <w:rPr>
                <w:rFonts w:hint="eastAsia"/>
                <w:sz w:val="24"/>
              </w:rPr>
              <w:t>为封闭式结构</w:t>
            </w:r>
            <w:r>
              <w:rPr>
                <w:sz w:val="24"/>
              </w:rPr>
              <w:t>，砂石料运至搅拌机搅拌，</w:t>
            </w:r>
            <w:r>
              <w:rPr>
                <w:rFonts w:hint="eastAsia"/>
                <w:sz w:val="24"/>
                <w:lang w:eastAsia="zh-CN"/>
              </w:rPr>
              <w:t>这个</w:t>
            </w:r>
            <w:r>
              <w:rPr>
                <w:sz w:val="24"/>
              </w:rPr>
              <w:t>过程会有粉尘产生。</w:t>
            </w:r>
            <w:r>
              <w:rPr>
                <w:rFonts w:hint="default" w:ascii="Times New Roman" w:hAnsi="Times New Roman" w:cs="Times New Roman"/>
                <w:b w:val="0"/>
                <w:color w:val="000000"/>
                <w:sz w:val="24"/>
              </w:rPr>
              <w:t>根据</w:t>
            </w:r>
            <w:r>
              <w:rPr>
                <w:rFonts w:hint="default" w:ascii="Times New Roman" w:hAnsi="Times New Roman" w:cs="Times New Roman"/>
                <w:b w:val="0"/>
                <w:color w:val="000000"/>
                <w:sz w:val="24"/>
                <w:lang w:eastAsia="zh-CN"/>
              </w:rPr>
              <w:t>《</w:t>
            </w:r>
            <w:r>
              <w:rPr>
                <w:rFonts w:hint="default" w:ascii="Times New Roman" w:hAnsi="Times New Roman" w:cs="Times New Roman"/>
                <w:b w:val="0"/>
                <w:color w:val="000000"/>
                <w:sz w:val="24"/>
              </w:rPr>
              <w:t>排放源统计调查产排污核算方法和系数手册</w:t>
            </w:r>
            <w:r>
              <w:rPr>
                <w:rFonts w:hint="default" w:ascii="Times New Roman" w:hAnsi="Times New Roman" w:cs="Times New Roman"/>
                <w:b w:val="0"/>
                <w:color w:val="000000"/>
                <w:sz w:val="24"/>
                <w:lang w:eastAsia="zh-CN"/>
              </w:rPr>
              <w:t>》</w:t>
            </w:r>
            <w:r>
              <w:rPr>
                <w:rFonts w:hint="default" w:ascii="Times New Roman" w:hAnsi="Times New Roman" w:cs="Times New Roman"/>
                <w:b w:val="0"/>
                <w:color w:val="000000"/>
                <w:sz w:val="24"/>
              </w:rPr>
              <w:t>中</w:t>
            </w:r>
            <w:r>
              <w:rPr>
                <w:rFonts w:hint="default" w:ascii="Times New Roman" w:hAnsi="Times New Roman" w:cs="Times New Roman"/>
                <w:b w:val="0"/>
                <w:color w:val="000000"/>
                <w:sz w:val="24"/>
                <w:lang w:val="en-US" w:eastAsia="zh-CN"/>
              </w:rPr>
              <w:t>3021</w:t>
            </w:r>
            <w:r>
              <w:rPr>
                <w:rFonts w:hint="default" w:ascii="Times New Roman" w:hAnsi="Times New Roman" w:cs="Times New Roman"/>
                <w:b w:val="0"/>
                <w:color w:val="000000"/>
                <w:sz w:val="24"/>
                <w:lang w:eastAsia="zh-CN"/>
              </w:rPr>
              <w:t>水泥制品制造（含 3022 砼结构构件制造、3029 其他水泥类似制品制造）行业系数表：物料混合搅拌</w:t>
            </w:r>
            <w:r>
              <w:rPr>
                <w:rFonts w:hint="default" w:ascii="Times New Roman" w:hAnsi="Times New Roman" w:cs="Times New Roman"/>
                <w:b w:val="0"/>
                <w:color w:val="000000"/>
                <w:sz w:val="24"/>
                <w:lang w:val="en-US" w:eastAsia="zh-CN"/>
              </w:rPr>
              <w:t>0.13千克/吨</w:t>
            </w:r>
            <w:r>
              <w:rPr>
                <w:rFonts w:hint="eastAsia" w:ascii="Times New Roman" w:hAnsi="Times New Roman" w:cs="Times New Roman"/>
                <w:b w:val="0"/>
                <w:color w:val="000000"/>
                <w:sz w:val="24"/>
                <w:lang w:val="en-US" w:eastAsia="zh-CN"/>
              </w:rPr>
              <w:t>－</w:t>
            </w:r>
            <w:r>
              <w:rPr>
                <w:rFonts w:hint="default" w:ascii="Times New Roman" w:hAnsi="Times New Roman" w:cs="Times New Roman"/>
                <w:b w:val="0"/>
                <w:color w:val="000000"/>
                <w:sz w:val="24"/>
                <w:lang w:val="en-US" w:eastAsia="zh-CN"/>
              </w:rPr>
              <w:t>产品进行核算</w:t>
            </w:r>
            <w:r>
              <w:rPr>
                <w:rFonts w:hint="default" w:ascii="Times New Roman" w:hAnsi="Times New Roman" w:cs="Times New Roman"/>
                <w:sz w:val="24"/>
              </w:rPr>
              <w:t>，本项目</w:t>
            </w:r>
            <w:r>
              <w:rPr>
                <w:rFonts w:hint="default" w:ascii="Times New Roman" w:hAnsi="Times New Roman" w:cs="Times New Roman"/>
                <w:color w:val="auto"/>
                <w:sz w:val="24"/>
              </w:rPr>
              <w:t>年产</w:t>
            </w:r>
            <w:r>
              <w:rPr>
                <w:rFonts w:hint="eastAsia" w:ascii="Times New Roman" w:hAnsi="Times New Roman" w:cs="Times New Roman"/>
                <w:color w:val="auto"/>
                <w:sz w:val="24"/>
                <w:lang w:eastAsia="zh-CN"/>
              </w:rPr>
              <w:t>商品混凝土</w:t>
            </w:r>
            <w:r>
              <w:rPr>
                <w:rFonts w:hint="eastAsia" w:ascii="Times New Roman" w:hAnsi="Times New Roman" w:cs="Times New Roman"/>
                <w:color w:val="auto"/>
                <w:sz w:val="24"/>
                <w:lang w:val="en-US" w:eastAsia="zh-CN"/>
              </w:rPr>
              <w:t>20</w:t>
            </w:r>
            <w:r>
              <w:rPr>
                <w:rFonts w:hint="default" w:ascii="Times New Roman" w:hAnsi="Times New Roman" w:cs="Times New Roman"/>
                <w:color w:val="auto"/>
                <w:sz w:val="24"/>
              </w:rPr>
              <w:t>万m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vertAlign w:val="baseline"/>
                <w:lang w:eastAsia="zh-CN"/>
              </w:rPr>
              <w:t>（</w:t>
            </w:r>
            <w:r>
              <w:rPr>
                <w:rFonts w:hint="eastAsia" w:ascii="Times New Roman" w:hAnsi="Times New Roman" w:cs="Times New Roman"/>
                <w:color w:val="auto"/>
                <w:sz w:val="24"/>
                <w:vertAlign w:val="baseline"/>
                <w:lang w:val="en-US" w:eastAsia="zh-CN"/>
              </w:rPr>
              <w:t>400582</w:t>
            </w:r>
            <w:r>
              <w:rPr>
                <w:rFonts w:hint="default" w:ascii="Times New Roman" w:hAnsi="Times New Roman" w:cs="Times New Roman"/>
                <w:color w:val="auto"/>
                <w:sz w:val="24"/>
                <w:vertAlign w:val="baseline"/>
                <w:lang w:val="en-US" w:eastAsia="zh-CN"/>
              </w:rPr>
              <w:t>t/a</w:t>
            </w:r>
            <w:r>
              <w:rPr>
                <w:rFonts w:hint="default" w:ascii="Times New Roman" w:hAnsi="Times New Roman" w:cs="Times New Roman"/>
                <w:color w:val="auto"/>
                <w:sz w:val="24"/>
                <w:vertAlign w:val="baseline"/>
                <w:lang w:eastAsia="zh-CN"/>
              </w:rPr>
              <w:t>）</w:t>
            </w:r>
            <w:r>
              <w:rPr>
                <w:sz w:val="24"/>
              </w:rPr>
              <w:t>，则在</w:t>
            </w:r>
            <w:r>
              <w:rPr>
                <w:rFonts w:hint="eastAsia"/>
                <w:sz w:val="24"/>
              </w:rPr>
              <w:t>输送搅拌</w:t>
            </w:r>
            <w:r>
              <w:rPr>
                <w:sz w:val="24"/>
              </w:rPr>
              <w:t>过程中产生的颗粒物为</w:t>
            </w:r>
            <w:r>
              <w:rPr>
                <w:rFonts w:hint="eastAsia"/>
                <w:sz w:val="24"/>
                <w:lang w:val="en-US" w:eastAsia="zh-CN"/>
              </w:rPr>
              <w:t>52.075</w:t>
            </w:r>
            <w:r>
              <w:rPr>
                <w:sz w:val="24"/>
              </w:rPr>
              <w:t>t/a，</w:t>
            </w:r>
            <w:r>
              <w:rPr>
                <w:rFonts w:hint="eastAsia"/>
                <w:sz w:val="24"/>
              </w:rPr>
              <w:t>此环节产生的粉尘经搅拌机自带的</w:t>
            </w:r>
            <w:r>
              <w:rPr>
                <w:rFonts w:hint="eastAsia"/>
                <w:sz w:val="24"/>
                <w:lang w:val="en-US" w:eastAsia="zh-CN"/>
              </w:rPr>
              <w:t>布袋</w:t>
            </w:r>
            <w:r>
              <w:rPr>
                <w:rFonts w:hint="eastAsia"/>
                <w:sz w:val="24"/>
              </w:rPr>
              <w:t>除尘器（除尘效率按99.7%计）处理后，粉尘无组织排放量为</w:t>
            </w:r>
            <w:r>
              <w:rPr>
                <w:rFonts w:hint="eastAsia"/>
                <w:sz w:val="24"/>
                <w:lang w:val="en-US" w:eastAsia="zh-CN"/>
              </w:rPr>
              <w:t>0.156</w:t>
            </w:r>
            <w:r>
              <w:rPr>
                <w:rFonts w:hint="eastAsia"/>
                <w:sz w:val="24"/>
              </w:rPr>
              <w:t>t/a</w:t>
            </w:r>
            <w:r>
              <w:rPr>
                <w:sz w:val="24"/>
              </w:rPr>
              <w:t>。</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sz w:val="24"/>
              </w:rPr>
            </w:pPr>
            <w:r>
              <w:rPr>
                <w:sz w:val="24"/>
              </w:rPr>
              <w:t>（3）水泥、</w:t>
            </w:r>
            <w:r>
              <w:rPr>
                <w:rFonts w:hint="eastAsia"/>
                <w:sz w:val="24"/>
                <w:lang w:val="en-US" w:eastAsia="zh-CN"/>
              </w:rPr>
              <w:t>矿粉、</w:t>
            </w:r>
            <w:r>
              <w:rPr>
                <w:sz w:val="24"/>
              </w:rPr>
              <w:t>粉煤灰筒仓呼吸孔粉尘</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sz w:val="24"/>
              </w:rPr>
            </w:pPr>
            <w:r>
              <w:rPr>
                <w:sz w:val="24"/>
              </w:rPr>
              <w:t>本项目设置</w:t>
            </w:r>
            <w:r>
              <w:rPr>
                <w:rFonts w:hint="eastAsia"/>
                <w:sz w:val="24"/>
                <w:lang w:val="en-US" w:eastAsia="zh-CN"/>
              </w:rPr>
              <w:t>4</w:t>
            </w:r>
            <w:r>
              <w:rPr>
                <w:sz w:val="24"/>
              </w:rPr>
              <w:t>个水泥筒仓</w:t>
            </w:r>
            <w:r>
              <w:rPr>
                <w:rFonts w:hint="eastAsia"/>
                <w:sz w:val="24"/>
                <w:lang w:eastAsia="zh-CN"/>
              </w:rPr>
              <w:t>、</w:t>
            </w:r>
            <w:r>
              <w:rPr>
                <w:rFonts w:hint="eastAsia"/>
                <w:sz w:val="24"/>
                <w:lang w:val="en-US" w:eastAsia="zh-CN"/>
              </w:rPr>
              <w:t>2个矿粉筒仓及2个</w:t>
            </w:r>
            <w:r>
              <w:rPr>
                <w:sz w:val="24"/>
              </w:rPr>
              <w:t>粉煤灰</w:t>
            </w:r>
            <w:r>
              <w:rPr>
                <w:rFonts w:hint="eastAsia"/>
                <w:sz w:val="24"/>
                <w:lang w:eastAsia="zh-CN"/>
              </w:rPr>
              <w:t>筒仓</w:t>
            </w:r>
            <w:r>
              <w:rPr>
                <w:sz w:val="24"/>
              </w:rPr>
              <w:t>储存</w:t>
            </w:r>
            <w:r>
              <w:rPr>
                <w:rFonts w:hint="eastAsia"/>
                <w:sz w:val="24"/>
                <w:lang w:eastAsia="zh-CN"/>
              </w:rPr>
              <w:t>粉料</w:t>
            </w:r>
            <w:r>
              <w:rPr>
                <w:sz w:val="24"/>
              </w:rPr>
              <w:t>，筒仓仓顶配备有</w:t>
            </w:r>
            <w:r>
              <w:rPr>
                <w:rFonts w:hint="eastAsia"/>
                <w:sz w:val="24"/>
                <w:lang w:eastAsia="zh-CN"/>
              </w:rPr>
              <w:t>仓顶除尘器</w:t>
            </w:r>
            <w:r>
              <w:rPr>
                <w:sz w:val="24"/>
              </w:rPr>
              <w:t>，水泥</w:t>
            </w:r>
            <w:r>
              <w:rPr>
                <w:rFonts w:hint="eastAsia"/>
                <w:sz w:val="24"/>
                <w:lang w:eastAsia="zh-CN"/>
              </w:rPr>
              <w:t>及</w:t>
            </w:r>
            <w:r>
              <w:rPr>
                <w:rFonts w:hint="eastAsia"/>
                <w:sz w:val="24"/>
              </w:rPr>
              <w:t>粉煤灰</w:t>
            </w:r>
            <w:r>
              <w:rPr>
                <w:sz w:val="24"/>
              </w:rPr>
              <w:t>由罐车运输进厂，然后由罐车自带的泵送入筒仓，该过程粉料呈流化态，仓顶呼吸孔很大，易产生粉尘。</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color w:val="auto"/>
                <w:sz w:val="24"/>
              </w:rPr>
            </w:pPr>
            <w:r>
              <w:rPr>
                <w:rFonts w:hint="eastAsia"/>
                <w:sz w:val="24"/>
              </w:rPr>
              <w:t>本项目</w:t>
            </w:r>
            <w:r>
              <w:rPr>
                <w:rFonts w:hint="eastAsia"/>
                <w:sz w:val="24"/>
                <w:lang w:eastAsia="zh-CN"/>
              </w:rPr>
              <w:t>仓顶除尘器</w:t>
            </w:r>
            <w:r>
              <w:rPr>
                <w:sz w:val="24"/>
              </w:rPr>
              <w:t>紧密安装在筒仓仓顶，含尘废气全部经过</w:t>
            </w:r>
            <w:r>
              <w:rPr>
                <w:rFonts w:hint="eastAsia"/>
                <w:sz w:val="24"/>
                <w:lang w:eastAsia="zh-CN"/>
              </w:rPr>
              <w:t>仓顶除尘器</w:t>
            </w:r>
            <w:r>
              <w:rPr>
                <w:sz w:val="24"/>
              </w:rPr>
              <w:t>处理后通过筒仓仓顶排出，由于筒仓为全封闭状态，</w:t>
            </w:r>
            <w:r>
              <w:rPr>
                <w:rFonts w:hint="eastAsia"/>
                <w:sz w:val="24"/>
              </w:rPr>
              <w:t>收集过程全密闭，因此废气收集效率可达100%</w:t>
            </w:r>
            <w:r>
              <w:rPr>
                <w:rFonts w:hint="eastAsia"/>
                <w:sz w:val="24"/>
                <w:lang w:eastAsia="zh-CN"/>
              </w:rPr>
              <w:t>。水泥</w:t>
            </w:r>
            <w:r>
              <w:rPr>
                <w:sz w:val="24"/>
              </w:rPr>
              <w:t>筒仓仅在顶部设有一处呼吸孔，</w:t>
            </w:r>
            <w:r>
              <w:rPr>
                <w:rFonts w:hint="eastAsia"/>
                <w:sz w:val="24"/>
              </w:rPr>
              <w:t>该粉尘经除尘器</w:t>
            </w:r>
            <w:r>
              <w:rPr>
                <w:rFonts w:hint="eastAsia"/>
                <w:sz w:val="24"/>
                <w:lang w:val="en-US" w:eastAsia="zh-CN"/>
              </w:rPr>
              <w:t>处理后</w:t>
            </w:r>
            <w:r>
              <w:rPr>
                <w:rFonts w:hint="eastAsia"/>
                <w:sz w:val="24"/>
              </w:rPr>
              <w:t>无组织排放</w:t>
            </w:r>
            <w:r>
              <w:rPr>
                <w:sz w:val="24"/>
              </w:rPr>
              <w:t>。</w:t>
            </w:r>
            <w:r>
              <w:rPr>
                <w:rFonts w:hint="eastAsia"/>
                <w:sz w:val="24"/>
              </w:rPr>
              <w:t>本项目年用水泥</w:t>
            </w:r>
            <w:r>
              <w:rPr>
                <w:rFonts w:hint="eastAsia"/>
                <w:sz w:val="24"/>
                <w:lang w:val="en-US" w:eastAsia="zh-CN"/>
              </w:rPr>
              <w:t>45892</w:t>
            </w:r>
            <w:r>
              <w:rPr>
                <w:rFonts w:hint="eastAsia"/>
                <w:sz w:val="24"/>
              </w:rPr>
              <w:t>吨、</w:t>
            </w:r>
            <w:r>
              <w:rPr>
                <w:rFonts w:hint="eastAsia"/>
                <w:sz w:val="24"/>
                <w:lang w:val="en-US" w:eastAsia="zh-CN"/>
              </w:rPr>
              <w:t>矿粉44196吨，</w:t>
            </w:r>
            <w:r>
              <w:rPr>
                <w:rFonts w:hint="eastAsia"/>
                <w:sz w:val="24"/>
              </w:rPr>
              <w:t>粉煤灰</w:t>
            </w:r>
            <w:r>
              <w:rPr>
                <w:rFonts w:hint="eastAsia"/>
                <w:sz w:val="24"/>
                <w:lang w:val="en-US" w:eastAsia="zh-CN"/>
              </w:rPr>
              <w:t>36576</w:t>
            </w:r>
            <w:r>
              <w:rPr>
                <w:rFonts w:hint="eastAsia"/>
                <w:sz w:val="24"/>
              </w:rPr>
              <w:t>吨，根据《排放源统计调查产排污核算方法和系数手册》中“工业源产排污核算方法和系数手册”的“3021水泥制品制造（含3022砼结构构件制造、3029其他水泥类似制品制造）行业系数手册”，在物料输送储存环节颗粒物产污系数为0.12kg/t-产品，则本项目水泥产尘量</w:t>
            </w:r>
            <w:r>
              <w:rPr>
                <w:rFonts w:hint="eastAsia"/>
                <w:sz w:val="24"/>
                <w:lang w:val="en-US" w:eastAsia="zh-CN"/>
              </w:rPr>
              <w:t>5.507</w:t>
            </w:r>
            <w:r>
              <w:rPr>
                <w:rFonts w:hint="eastAsia"/>
                <w:sz w:val="24"/>
              </w:rPr>
              <w:t>t/a</w:t>
            </w:r>
            <w:r>
              <w:rPr>
                <w:rFonts w:hint="eastAsia"/>
                <w:sz w:val="24"/>
                <w:lang w:eastAsia="zh-CN"/>
              </w:rPr>
              <w:t>、</w:t>
            </w:r>
            <w:r>
              <w:rPr>
                <w:rFonts w:hint="eastAsia"/>
                <w:sz w:val="24"/>
                <w:lang w:val="en-US" w:eastAsia="zh-CN"/>
              </w:rPr>
              <w:t>矿粉产尘量5.303t/a、</w:t>
            </w:r>
            <w:r>
              <w:rPr>
                <w:rFonts w:hint="eastAsia"/>
                <w:sz w:val="24"/>
              </w:rPr>
              <w:t>粉煤灰产尘量</w:t>
            </w:r>
            <w:r>
              <w:rPr>
                <w:rFonts w:hint="eastAsia"/>
                <w:sz w:val="24"/>
                <w:lang w:val="en-US" w:eastAsia="zh-CN"/>
              </w:rPr>
              <w:t>4.389</w:t>
            </w:r>
            <w:r>
              <w:rPr>
                <w:rFonts w:hint="eastAsia"/>
                <w:sz w:val="24"/>
              </w:rPr>
              <w:t>t/a。本项目粉料罐呼吸口通过管道与</w:t>
            </w:r>
            <w:r>
              <w:rPr>
                <w:rFonts w:hint="eastAsia"/>
                <w:sz w:val="24"/>
                <w:lang w:val="en-US" w:eastAsia="zh-CN"/>
              </w:rPr>
              <w:t>仓顶</w:t>
            </w:r>
            <w:r>
              <w:rPr>
                <w:rFonts w:hint="eastAsia"/>
                <w:sz w:val="24"/>
              </w:rPr>
              <w:t>除尘器密闭连接，并且粉料筒仓进行全密闭（不设排放口），呼吸孔采用脉冲布袋除尘装置进行除尘，其除尘效率稳定可达到99.7%以上，则水泥筒仓无组织粉尘排放量0.017t/a，</w:t>
            </w:r>
            <w:r>
              <w:rPr>
                <w:rFonts w:hint="eastAsia"/>
                <w:sz w:val="24"/>
                <w:lang w:val="en-US" w:eastAsia="zh-CN"/>
              </w:rPr>
              <w:t>矿粉</w:t>
            </w:r>
            <w:r>
              <w:rPr>
                <w:rFonts w:hint="eastAsia"/>
                <w:sz w:val="24"/>
              </w:rPr>
              <w:t>筒仓无组织粉尘排放量0.01</w:t>
            </w:r>
            <w:r>
              <w:rPr>
                <w:rFonts w:hint="eastAsia"/>
                <w:sz w:val="24"/>
                <w:lang w:val="en-US" w:eastAsia="zh-CN"/>
              </w:rPr>
              <w:t>6</w:t>
            </w:r>
            <w:r>
              <w:rPr>
                <w:rFonts w:hint="eastAsia"/>
                <w:sz w:val="24"/>
              </w:rPr>
              <w:t>t/a</w:t>
            </w:r>
            <w:r>
              <w:rPr>
                <w:rFonts w:hint="eastAsia"/>
                <w:sz w:val="24"/>
                <w:lang w:eastAsia="zh-CN"/>
              </w:rPr>
              <w:t>、</w:t>
            </w:r>
            <w:r>
              <w:rPr>
                <w:rFonts w:hint="eastAsia"/>
                <w:sz w:val="24"/>
              </w:rPr>
              <w:t>粉煤灰筒仓无组织粉尘排放量0.01</w:t>
            </w:r>
            <w:r>
              <w:rPr>
                <w:rFonts w:hint="eastAsia"/>
                <w:sz w:val="24"/>
                <w:lang w:val="en-US" w:eastAsia="zh-CN"/>
              </w:rPr>
              <w:t>3</w:t>
            </w:r>
            <w:r>
              <w:rPr>
                <w:rFonts w:hint="eastAsia"/>
                <w:sz w:val="24"/>
              </w:rPr>
              <w:t>t/a</w:t>
            </w:r>
            <w:r>
              <w:rPr>
                <w:color w:val="auto"/>
                <w:sz w:val="24"/>
              </w:rPr>
              <w:t>。</w:t>
            </w:r>
          </w:p>
          <w:p>
            <w:pPr>
              <w:keepNext w:val="0"/>
              <w:keepLines w:val="0"/>
              <w:pageBreakBefore w:val="0"/>
              <w:widowControl w:val="0"/>
              <w:tabs>
                <w:tab w:val="left" w:pos="2850"/>
              </w:tabs>
              <w:kinsoku/>
              <w:wordWrap/>
              <w:overflowPunct/>
              <w:topLinePunct w:val="0"/>
              <w:autoSpaceDE/>
              <w:autoSpaceDN/>
              <w:bidi w:val="0"/>
              <w:adjustRightInd/>
              <w:snapToGrid/>
              <w:spacing w:line="520" w:lineRule="exact"/>
              <w:ind w:firstLine="480" w:firstLineChars="200"/>
              <w:textAlignment w:val="auto"/>
              <w:outlineLvl w:val="0"/>
              <w:rPr>
                <w:rFonts w:hint="default" w:eastAsia="宋体"/>
                <w:sz w:val="24"/>
                <w:lang w:val="en-US" w:eastAsia="zh-CN"/>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lang w:val="en-US" w:eastAsia="zh-CN"/>
              </w:rPr>
              <w:t>运输粉尘、</w:t>
            </w:r>
            <w:r>
              <w:rPr>
                <w:rFonts w:hint="eastAsia"/>
                <w:sz w:val="24"/>
                <w:lang w:eastAsia="zh-CN"/>
              </w:rPr>
              <w:t>尾气</w:t>
            </w:r>
          </w:p>
          <w:p>
            <w:pPr>
              <w:keepNext w:val="0"/>
              <w:keepLines w:val="0"/>
              <w:pageBreakBefore w:val="0"/>
              <w:widowControl w:val="0"/>
              <w:tabs>
                <w:tab w:val="left" w:pos="2850"/>
              </w:tabs>
              <w:kinsoku/>
              <w:wordWrap/>
              <w:overflowPunct/>
              <w:topLinePunct w:val="0"/>
              <w:autoSpaceDE/>
              <w:autoSpaceDN/>
              <w:bidi w:val="0"/>
              <w:adjustRightInd/>
              <w:snapToGrid/>
              <w:spacing w:line="520" w:lineRule="exact"/>
              <w:ind w:firstLine="480" w:firstLineChars="200"/>
              <w:textAlignment w:val="auto"/>
              <w:outlineLvl w:val="0"/>
              <w:rPr>
                <w:rFonts w:hint="eastAsia" w:ascii="Times New Roman" w:hAnsi="Times New Roman" w:eastAsia="宋体" w:cs="Times New Roman"/>
                <w:sz w:val="24"/>
                <w:szCs w:val="24"/>
              </w:rPr>
            </w:pPr>
            <w:r>
              <w:rPr>
                <w:rFonts w:hint="eastAsia" w:ascii="Times New Roman" w:hAnsi="Times New Roman" w:eastAsia="宋体" w:cs="Times New Roman"/>
                <w:sz w:val="24"/>
              </w:rPr>
              <w:t>本项目</w:t>
            </w:r>
            <w:r>
              <w:rPr>
                <w:rFonts w:hint="eastAsia" w:ascii="Times New Roman" w:hAnsi="Times New Roman" w:eastAsia="宋体" w:cs="Times New Roman"/>
                <w:sz w:val="24"/>
                <w:lang w:eastAsia="zh-CN"/>
              </w:rPr>
              <w:t>砂石料</w:t>
            </w:r>
            <w:r>
              <w:rPr>
                <w:rFonts w:hint="eastAsia" w:ascii="Times New Roman" w:hAnsi="Times New Roman" w:eastAsia="宋体" w:cs="Times New Roman"/>
                <w:sz w:val="24"/>
              </w:rPr>
              <w:t>采用汽车运输，</w:t>
            </w:r>
            <w:r>
              <w:rPr>
                <w:rFonts w:hint="eastAsia" w:ascii="Times New Roman" w:hAnsi="Times New Roman" w:eastAsia="宋体" w:cs="Times New Roman"/>
                <w:sz w:val="24"/>
                <w:lang w:eastAsia="zh-CN"/>
              </w:rPr>
              <w:t>汽车</w:t>
            </w:r>
            <w:r>
              <w:rPr>
                <w:rFonts w:hint="eastAsia" w:ascii="Times New Roman" w:hAnsi="Times New Roman" w:eastAsia="宋体" w:cs="Times New Roman"/>
                <w:sz w:val="24"/>
              </w:rPr>
              <w:t>在运输过程中产生一定粉尘，</w:t>
            </w:r>
            <w:r>
              <w:rPr>
                <w:rFonts w:hint="eastAsia" w:ascii="Times New Roman" w:hAnsi="Times New Roman" w:eastAsia="宋体" w:cs="Times New Roman"/>
                <w:sz w:val="24"/>
                <w:lang w:eastAsia="zh-CN"/>
              </w:rPr>
              <w:t>水泥、</w:t>
            </w:r>
            <w:r>
              <w:rPr>
                <w:rFonts w:hint="eastAsia" w:ascii="Times New Roman" w:hAnsi="Times New Roman" w:eastAsia="宋体" w:cs="Times New Roman"/>
                <w:sz w:val="24"/>
                <w:lang w:val="en-US" w:eastAsia="zh-CN"/>
              </w:rPr>
              <w:t>矿粉、粉煤灰</w:t>
            </w:r>
            <w:r>
              <w:rPr>
                <w:rFonts w:hint="eastAsia" w:ascii="Times New Roman" w:hAnsi="Times New Roman" w:eastAsia="宋体" w:cs="Times New Roman"/>
                <w:sz w:val="24"/>
                <w:lang w:eastAsia="zh-CN"/>
              </w:rPr>
              <w:t>运输为全密闭罐车运输，这一过程不产生粉尘。</w:t>
            </w:r>
            <w:r>
              <w:rPr>
                <w:rFonts w:hint="eastAsia" w:ascii="Times New Roman" w:hAnsi="Times New Roman" w:eastAsia="宋体" w:cs="Times New Roman"/>
                <w:sz w:val="24"/>
              </w:rPr>
              <w:t>根据项目生产能力及运输方式，只对</w:t>
            </w:r>
            <w:r>
              <w:rPr>
                <w:rFonts w:hint="eastAsia" w:ascii="Times New Roman" w:hAnsi="Times New Roman" w:eastAsia="宋体" w:cs="Times New Roman"/>
                <w:sz w:val="24"/>
                <w:lang w:eastAsia="zh-CN"/>
              </w:rPr>
              <w:t>厂区及</w:t>
            </w:r>
            <w:r>
              <w:rPr>
                <w:rFonts w:hint="eastAsia" w:ascii="Times New Roman" w:hAnsi="Times New Roman" w:eastAsia="宋体" w:cs="Times New Roman"/>
                <w:sz w:val="24"/>
              </w:rPr>
              <w:t>附近有局部影响</w:t>
            </w:r>
            <w:r>
              <w:rPr>
                <w:rFonts w:hint="eastAsia" w:ascii="Times New Roman" w:hAnsi="Times New Roman" w:eastAsia="宋体" w:cs="Times New Roman"/>
                <w:sz w:val="24"/>
                <w:lang w:eastAsia="zh-CN"/>
              </w:rPr>
              <w:t>，再加上厂区地面采取硬化措施</w:t>
            </w:r>
            <w:r>
              <w:rPr>
                <w:rFonts w:hint="eastAsia" w:ascii="Times New Roman" w:hAnsi="Times New Roman" w:eastAsia="宋体" w:cs="Times New Roman"/>
                <w:sz w:val="24"/>
              </w:rPr>
              <w:t>，运输路面为</w:t>
            </w:r>
            <w:r>
              <w:rPr>
                <w:rFonts w:hint="eastAsia" w:ascii="Times New Roman" w:hAnsi="Times New Roman" w:eastAsia="宋体" w:cs="Times New Roman"/>
                <w:sz w:val="24"/>
                <w:lang w:eastAsia="zh-CN"/>
              </w:rPr>
              <w:t>水泥路</w:t>
            </w:r>
            <w:r>
              <w:rPr>
                <w:rFonts w:hint="eastAsia" w:ascii="Times New Roman" w:hAnsi="Times New Roman" w:eastAsia="宋体" w:cs="Times New Roman"/>
                <w:sz w:val="24"/>
              </w:rPr>
              <w:t>面起尘量很</w:t>
            </w:r>
            <w:r>
              <w:rPr>
                <w:rFonts w:hint="eastAsia" w:ascii="Times New Roman" w:hAnsi="Times New Roman" w:eastAsia="宋体" w:cs="Times New Roman"/>
                <w:sz w:val="24"/>
                <w:szCs w:val="24"/>
              </w:rPr>
              <w:t>小，运输线路上的起尘量按下式计算：</w:t>
            </w:r>
          </w:p>
          <w:p>
            <w:pPr>
              <w:keepNext w:val="0"/>
              <w:keepLines w:val="0"/>
              <w:pageBreakBefore w:val="0"/>
              <w:widowControl w:val="0"/>
              <w:kinsoku/>
              <w:wordWrap/>
              <w:overflowPunct/>
              <w:topLinePunct w:val="0"/>
              <w:autoSpaceDE/>
              <w:autoSpaceDN/>
              <w:bidi w:val="0"/>
              <w:spacing w:line="520" w:lineRule="exact"/>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Q=0.123</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V/5</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W/6.8</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vertAlign w:val="superscript"/>
              </w:rPr>
              <w:t>0.85</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P/0.5</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vertAlign w:val="superscript"/>
              </w:rPr>
              <w:t>0.72</w:t>
            </w:r>
            <w:r>
              <w:rPr>
                <w:rFonts w:hint="default" w:ascii="Times New Roman" w:hAnsi="Times New Roman" w:cs="Times New Roman"/>
                <w:color w:val="auto"/>
                <w:sz w:val="24"/>
                <w:szCs w:val="24"/>
                <w:highlight w:val="none"/>
              </w:rPr>
              <w:t>·L</w:t>
            </w:r>
          </w:p>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式中：Q——汽车行驶时的扬尘，kg/辆；</w:t>
            </w:r>
          </w:p>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V——汽车速度，取5km/h；</w:t>
            </w:r>
          </w:p>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W——汽车载重量，空车取10吨，满载取</w:t>
            </w: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0吨</w:t>
            </w:r>
          </w:p>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P——道路表面粉尘量，取0.</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kg/m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L——道路长度，</w:t>
            </w:r>
            <w:r>
              <w:rPr>
                <w:rFonts w:hint="default" w:ascii="Times New Roman" w:hAnsi="Times New Roman" w:cs="Times New Roman"/>
                <w:color w:val="auto"/>
                <w:sz w:val="24"/>
                <w:szCs w:val="24"/>
                <w:highlight w:val="none"/>
                <w:lang w:val="en-US" w:eastAsia="zh-CN"/>
              </w:rPr>
              <w:t>0.</w:t>
            </w: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k</w:t>
            </w:r>
            <w:r>
              <w:rPr>
                <w:rFonts w:hint="default" w:ascii="Times New Roman" w:hAnsi="Times New Roman" w:cs="Times New Roman"/>
                <w:color w:val="auto"/>
                <w:sz w:val="24"/>
                <w:szCs w:val="24"/>
                <w:highlight w:val="none"/>
              </w:rPr>
              <w:t>m</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本项目厂区大门至加工区的平均运输距离按</w:t>
            </w: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00</w:t>
            </w:r>
            <w:r>
              <w:rPr>
                <w:rFonts w:hint="default" w:ascii="Times New Roman" w:hAnsi="Times New Roman" w:cs="Times New Roman"/>
                <w:color w:val="auto"/>
                <w:sz w:val="24"/>
                <w:szCs w:val="24"/>
                <w:highlight w:val="none"/>
              </w:rPr>
              <w:t>m计，运输车辆速度按5km/h计，评价每年运载次数约</w:t>
            </w:r>
            <w:r>
              <w:rPr>
                <w:rFonts w:hint="eastAsia" w:cs="Times New Roman"/>
                <w:color w:val="auto"/>
                <w:sz w:val="24"/>
                <w:szCs w:val="24"/>
                <w:highlight w:val="none"/>
                <w:lang w:val="en-US" w:eastAsia="zh-CN"/>
              </w:rPr>
              <w:t>24219</w:t>
            </w:r>
            <w:r>
              <w:rPr>
                <w:rFonts w:hint="default" w:ascii="Times New Roman" w:hAnsi="Times New Roman" w:cs="Times New Roman"/>
                <w:color w:val="auto"/>
                <w:sz w:val="24"/>
                <w:szCs w:val="24"/>
                <w:highlight w:val="none"/>
              </w:rPr>
              <w:t>次</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采取洒水抑尘</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扬尘控制率约</w:t>
            </w:r>
            <w:r>
              <w:rPr>
                <w:rFonts w:hint="default" w:ascii="Times New Roman" w:hAnsi="Times New Roman" w:cs="Times New Roman"/>
                <w:color w:val="auto"/>
                <w:sz w:val="24"/>
                <w:szCs w:val="24"/>
                <w:highlight w:val="none"/>
                <w:lang w:val="en-US" w:eastAsia="zh-CN"/>
              </w:rPr>
              <w:t>74</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，道路表面粉尘量按0.1kg/m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计算</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则汽车空车行驶扬尘强度为</w:t>
            </w:r>
            <w:r>
              <w:rPr>
                <w:rFonts w:hint="eastAsia" w:ascii="Times New Roman" w:hAnsi="Times New Roman" w:cs="Times New Roman"/>
                <w:color w:val="auto"/>
                <w:sz w:val="24"/>
                <w:szCs w:val="24"/>
                <w:highlight w:val="none"/>
                <w:lang w:val="en-US" w:eastAsia="zh-CN"/>
              </w:rPr>
              <w:t>0.011</w:t>
            </w:r>
            <w:r>
              <w:rPr>
                <w:rFonts w:hint="default" w:ascii="Times New Roman" w:hAnsi="Times New Roman" w:cs="Times New Roman"/>
                <w:color w:val="auto"/>
                <w:sz w:val="24"/>
                <w:szCs w:val="24"/>
                <w:highlight w:val="none"/>
              </w:rPr>
              <w:t>kg/辆，满载行驶扬尘强度为0.</w:t>
            </w:r>
            <w:r>
              <w:rPr>
                <w:rFonts w:hint="eastAsia" w:cs="Times New Roman"/>
                <w:color w:val="auto"/>
                <w:sz w:val="24"/>
                <w:szCs w:val="24"/>
                <w:highlight w:val="none"/>
                <w:lang w:val="en-US" w:eastAsia="zh-CN"/>
              </w:rPr>
              <w:t>019</w:t>
            </w:r>
            <w:r>
              <w:rPr>
                <w:rFonts w:hint="default" w:ascii="Times New Roman" w:hAnsi="Times New Roman" w:cs="Times New Roman"/>
                <w:color w:val="auto"/>
                <w:sz w:val="24"/>
                <w:szCs w:val="24"/>
                <w:highlight w:val="none"/>
              </w:rPr>
              <w:t>kg/辆，运营期车辆运输起尘量计算结果见下表：</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表4-</w:t>
            </w:r>
            <w:r>
              <w:rPr>
                <w:rFonts w:hint="eastAsia" w:cs="Times New Roman"/>
                <w:b/>
                <w:bCs/>
                <w:color w:val="auto"/>
                <w:sz w:val="24"/>
                <w:szCs w:val="24"/>
                <w:highlight w:val="none"/>
                <w:lang w:val="en-US" w:eastAsia="zh-CN"/>
              </w:rPr>
              <w:t xml:space="preserve">1  </w:t>
            </w:r>
            <w:r>
              <w:rPr>
                <w:rFonts w:hint="default" w:ascii="Times New Roman" w:hAnsi="Times New Roman" w:cs="Times New Roman"/>
                <w:b/>
                <w:bCs/>
                <w:color w:val="auto"/>
                <w:sz w:val="24"/>
                <w:szCs w:val="24"/>
                <w:highlight w:val="none"/>
              </w:rPr>
              <w:t>车辆运输过程颗粒物排放情况一览表</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957"/>
              <w:gridCol w:w="1225"/>
              <w:gridCol w:w="1066"/>
              <w:gridCol w:w="2275"/>
              <w:gridCol w:w="13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2" w:type="pct"/>
                  <w:tcBorders>
                    <w:tl2br w:val="nil"/>
                    <w:tr2bl w:val="nil"/>
                  </w:tcBorders>
                  <w:noWrap w:val="0"/>
                  <w:vAlign w:val="center"/>
                </w:tcPr>
                <w:p>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产污环节</w:t>
                  </w:r>
                </w:p>
              </w:tc>
              <w:tc>
                <w:tcPr>
                  <w:tcW w:w="577" w:type="pct"/>
                  <w:tcBorders>
                    <w:tl2br w:val="nil"/>
                    <w:tr2bl w:val="nil"/>
                  </w:tcBorders>
                  <w:noWrap w:val="0"/>
                  <w:vAlign w:val="center"/>
                </w:tcPr>
                <w:p>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平均运距（</w:t>
                  </w:r>
                  <w:r>
                    <w:rPr>
                      <w:rFonts w:hint="default" w:ascii="Times New Roman" w:hAnsi="Times New Roman" w:cs="Times New Roman"/>
                      <w:b/>
                      <w:bCs/>
                      <w:color w:val="auto"/>
                      <w:sz w:val="21"/>
                      <w:szCs w:val="21"/>
                      <w:highlight w:val="none"/>
                      <w:lang w:val="en-US" w:eastAsia="zh-CN"/>
                    </w:rPr>
                    <w:t>k</w:t>
                  </w:r>
                  <w:r>
                    <w:rPr>
                      <w:rFonts w:hint="default" w:ascii="Times New Roman" w:hAnsi="Times New Roman" w:cs="Times New Roman"/>
                      <w:b/>
                      <w:bCs/>
                      <w:color w:val="auto"/>
                      <w:sz w:val="21"/>
                      <w:szCs w:val="21"/>
                      <w:highlight w:val="none"/>
                    </w:rPr>
                    <w:t>m）</w:t>
                  </w:r>
                </w:p>
              </w:tc>
              <w:tc>
                <w:tcPr>
                  <w:tcW w:w="739" w:type="pct"/>
                  <w:tcBorders>
                    <w:tl2br w:val="nil"/>
                    <w:tr2bl w:val="nil"/>
                  </w:tcBorders>
                  <w:noWrap w:val="0"/>
                  <w:vAlign w:val="center"/>
                </w:tcPr>
                <w:p>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运输车次（</w:t>
                  </w:r>
                  <w:r>
                    <w:rPr>
                      <w:rFonts w:hint="eastAsia" w:ascii="Times New Roman" w:hAnsi="Times New Roman" w:cs="Times New Roman"/>
                      <w:b/>
                      <w:bCs/>
                      <w:color w:val="auto"/>
                      <w:sz w:val="21"/>
                      <w:szCs w:val="21"/>
                      <w:highlight w:val="none"/>
                      <w:lang w:val="en-US" w:eastAsia="zh-CN"/>
                    </w:rPr>
                    <w:t>次</w:t>
                  </w:r>
                  <w:r>
                    <w:rPr>
                      <w:rFonts w:hint="default" w:ascii="Times New Roman" w:hAnsi="Times New Roman" w:cs="Times New Roman"/>
                      <w:b/>
                      <w:bCs/>
                      <w:color w:val="auto"/>
                      <w:sz w:val="21"/>
                      <w:szCs w:val="21"/>
                      <w:highlight w:val="none"/>
                    </w:rPr>
                    <w:t>）</w:t>
                  </w:r>
                </w:p>
              </w:tc>
              <w:tc>
                <w:tcPr>
                  <w:tcW w:w="643" w:type="pct"/>
                  <w:tcBorders>
                    <w:tl2br w:val="nil"/>
                    <w:tr2bl w:val="nil"/>
                  </w:tcBorders>
                  <w:noWrap w:val="0"/>
                  <w:vAlign w:val="center"/>
                </w:tcPr>
                <w:p>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产尘量（t/a）</w:t>
                  </w:r>
                </w:p>
              </w:tc>
              <w:tc>
                <w:tcPr>
                  <w:tcW w:w="1372" w:type="pct"/>
                  <w:tcBorders>
                    <w:tl2br w:val="nil"/>
                    <w:tr2bl w:val="nil"/>
                  </w:tcBorders>
                  <w:noWrap w:val="0"/>
                  <w:vAlign w:val="center"/>
                </w:tcPr>
                <w:p>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治理措施</w:t>
                  </w:r>
                </w:p>
              </w:tc>
              <w:tc>
                <w:tcPr>
                  <w:tcW w:w="833" w:type="pct"/>
                  <w:tcBorders>
                    <w:tl2br w:val="nil"/>
                    <w:tr2bl w:val="nil"/>
                  </w:tcBorders>
                  <w:noWrap w:val="0"/>
                  <w:vAlign w:val="center"/>
                </w:tcPr>
                <w:p>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排放量（t/a）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pct"/>
                  <w:tcBorders>
                    <w:tl2br w:val="nil"/>
                    <w:tr2bl w:val="nil"/>
                  </w:tcBorders>
                  <w:noWrap w:val="0"/>
                  <w:vAlign w:val="center"/>
                </w:tcPr>
                <w:p>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空车</w:t>
                  </w:r>
                </w:p>
              </w:tc>
              <w:tc>
                <w:tcPr>
                  <w:tcW w:w="577"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739"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24219</w:t>
                  </w:r>
                </w:p>
              </w:tc>
              <w:tc>
                <w:tcPr>
                  <w:tcW w:w="64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0.266</w:t>
                  </w:r>
                </w:p>
              </w:tc>
              <w:tc>
                <w:tcPr>
                  <w:tcW w:w="1372" w:type="pct"/>
                  <w:vMerge w:val="restart"/>
                  <w:tcBorders>
                    <w:tl2br w:val="nil"/>
                    <w:tr2bl w:val="nil"/>
                  </w:tcBorders>
                  <w:noWrap w:val="0"/>
                  <w:vAlign w:val="center"/>
                </w:tcPr>
                <w:p>
                  <w:pPr>
                    <w:spacing w:line="240" w:lineRule="auto"/>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洒水抑尘、严禁超载、控制车速</w:t>
                  </w:r>
                </w:p>
              </w:tc>
              <w:tc>
                <w:tcPr>
                  <w:tcW w:w="83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2" w:type="pct"/>
                  <w:tcBorders>
                    <w:tl2br w:val="nil"/>
                    <w:tr2bl w:val="nil"/>
                  </w:tcBorders>
                  <w:noWrap w:val="0"/>
                  <w:vAlign w:val="center"/>
                </w:tcPr>
                <w:p>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满载</w:t>
                  </w:r>
                </w:p>
              </w:tc>
              <w:tc>
                <w:tcPr>
                  <w:tcW w:w="577"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739"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24219</w:t>
                  </w:r>
                </w:p>
              </w:tc>
              <w:tc>
                <w:tcPr>
                  <w:tcW w:w="64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0.460</w:t>
                  </w:r>
                </w:p>
              </w:tc>
              <w:tc>
                <w:tcPr>
                  <w:tcW w:w="1372" w:type="pct"/>
                  <w:vMerge w:val="continue"/>
                  <w:tcBorders>
                    <w:tl2br w:val="nil"/>
                    <w:tr2bl w:val="nil"/>
                  </w:tcBorders>
                  <w:noWrap w:val="0"/>
                  <w:vAlign w:val="center"/>
                </w:tcPr>
                <w:p>
                  <w:pPr>
                    <w:spacing w:line="240" w:lineRule="auto"/>
                    <w:jc w:val="center"/>
                    <w:rPr>
                      <w:rFonts w:hint="default" w:ascii="Times New Roman" w:hAnsi="Times New Roman" w:cs="Times New Roman"/>
                      <w:color w:val="auto"/>
                      <w:sz w:val="21"/>
                      <w:szCs w:val="21"/>
                      <w:highlight w:val="none"/>
                    </w:rPr>
                  </w:pPr>
                </w:p>
              </w:tc>
              <w:tc>
                <w:tcPr>
                  <w:tcW w:w="83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2" w:type="pct"/>
                  <w:tcBorders>
                    <w:tl2br w:val="nil"/>
                    <w:tr2bl w:val="nil"/>
                  </w:tcBorders>
                  <w:noWrap w:val="0"/>
                  <w:vAlign w:val="center"/>
                </w:tcPr>
                <w:p>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合计</w:t>
                  </w:r>
                </w:p>
              </w:tc>
              <w:tc>
                <w:tcPr>
                  <w:tcW w:w="577" w:type="pct"/>
                  <w:tcBorders>
                    <w:tl2br w:val="nil"/>
                    <w:tr2bl w:val="nil"/>
                  </w:tcBorders>
                  <w:noWrap w:val="0"/>
                  <w:vAlign w:val="center"/>
                </w:tcPr>
                <w:p>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39" w:type="pct"/>
                  <w:tcBorders>
                    <w:tl2br w:val="nil"/>
                    <w:tr2bl w:val="nil"/>
                  </w:tcBorders>
                  <w:noWrap w:val="0"/>
                  <w:vAlign w:val="center"/>
                </w:tcPr>
                <w:p>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4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0.726</w:t>
                  </w:r>
                </w:p>
              </w:tc>
              <w:tc>
                <w:tcPr>
                  <w:tcW w:w="1372" w:type="pct"/>
                  <w:tcBorders>
                    <w:tl2br w:val="nil"/>
                    <w:tr2bl w:val="nil"/>
                  </w:tcBorders>
                  <w:noWrap w:val="0"/>
                  <w:vAlign w:val="center"/>
                </w:tcPr>
                <w:p>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33" w:type="pc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0.179</w:t>
                  </w:r>
                </w:p>
              </w:tc>
            </w:tr>
          </w:tbl>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rFonts w:hint="eastAsia" w:eastAsia="宋体"/>
                <w:sz w:val="24"/>
                <w:lang w:eastAsia="zh-CN"/>
              </w:rPr>
            </w:pPr>
            <w:r>
              <w:rPr>
                <w:rFonts w:hint="eastAsia" w:ascii="Times New Roman" w:hAnsi="Times New Roman" w:eastAsia="宋体" w:cs="Times New Roman"/>
                <w:sz w:val="24"/>
              </w:rPr>
              <w:t>营运期项目进出车辆会产生汽车尾气。</w:t>
            </w:r>
            <w:r>
              <w:rPr>
                <w:rFonts w:hint="eastAsia" w:ascii="Times New Roman" w:hAnsi="Times New Roman" w:eastAsia="宋体" w:cs="Times New Roman"/>
                <w:sz w:val="24"/>
                <w:lang w:eastAsia="zh-CN"/>
              </w:rPr>
              <w:t>根据资料</w:t>
            </w:r>
            <w:r>
              <w:rPr>
                <w:rFonts w:hint="eastAsia" w:ascii="Times New Roman" w:hAnsi="Times New Roman" w:eastAsia="宋体" w:cs="Times New Roman"/>
                <w:sz w:val="24"/>
              </w:rPr>
              <w:t>，汽车尾气污染源主要含THC、CO、NO</w:t>
            </w:r>
            <w:r>
              <w:rPr>
                <w:rFonts w:hint="eastAsia" w:ascii="Times New Roman" w:hAnsi="Times New Roman" w:eastAsia="宋体" w:cs="Times New Roman"/>
                <w:sz w:val="24"/>
                <w:vertAlign w:val="subscript"/>
              </w:rPr>
              <w:t>X</w:t>
            </w:r>
            <w:r>
              <w:rPr>
                <w:rFonts w:hint="eastAsia" w:ascii="Times New Roman" w:hAnsi="Times New Roman" w:eastAsia="宋体" w:cs="Times New Roman"/>
                <w:sz w:val="24"/>
              </w:rPr>
              <w:t>等，本项目</w:t>
            </w:r>
            <w:r>
              <w:rPr>
                <w:rFonts w:hint="eastAsia" w:ascii="Times New Roman" w:hAnsi="Times New Roman" w:eastAsia="宋体" w:cs="Times New Roman"/>
                <w:sz w:val="24"/>
                <w:lang w:eastAsia="zh-CN"/>
              </w:rPr>
              <w:t>装载机为</w:t>
            </w:r>
            <w:r>
              <w:rPr>
                <w:rFonts w:hint="eastAsia" w:ascii="Times New Roman" w:hAnsi="Times New Roman" w:eastAsia="宋体" w:cs="Times New Roman"/>
                <w:sz w:val="24"/>
                <w:lang w:val="en-US" w:eastAsia="zh-CN"/>
              </w:rPr>
              <w:t>0号柴油，不属于重污染燃料</w:t>
            </w:r>
            <w:r>
              <w:rPr>
                <w:rFonts w:hint="eastAsia" w:ascii="Times New Roman" w:hAnsi="Times New Roman" w:eastAsia="宋体" w:cs="Times New Roman"/>
                <w:sz w:val="24"/>
                <w:lang w:eastAsia="zh-CN"/>
              </w:rPr>
              <w:t>，产生的</w:t>
            </w:r>
            <w:r>
              <w:rPr>
                <w:rFonts w:hint="eastAsia" w:ascii="Times New Roman" w:hAnsi="Times New Roman" w:eastAsia="宋体" w:cs="Times New Roman"/>
                <w:sz w:val="24"/>
              </w:rPr>
              <w:t>尾气产生量小，且属于无组织、无规律间歇性排放，且排放量少，经自然扩散后，对周边大气环境影响较小</w:t>
            </w:r>
            <w:r>
              <w:rPr>
                <w:rFonts w:hint="eastAsia" w:ascii="Times New Roman" w:hAnsi="Times New Roman" w:eastAsia="宋体" w:cs="Times New Roman"/>
                <w:sz w:val="24"/>
                <w:lang w:eastAsia="zh-CN"/>
              </w:rPr>
              <w:t>。</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sz w:val="24"/>
              </w:rPr>
            </w:pPr>
            <w:r>
              <w:rPr>
                <w:sz w:val="24"/>
              </w:rPr>
              <w:t>（</w:t>
            </w:r>
            <w:r>
              <w:rPr>
                <w:rFonts w:hint="eastAsia"/>
                <w:sz w:val="24"/>
                <w:lang w:val="en-US" w:eastAsia="zh-CN"/>
              </w:rPr>
              <w:t>5</w:t>
            </w:r>
            <w:r>
              <w:rPr>
                <w:sz w:val="24"/>
              </w:rPr>
              <w:t>）油烟废气</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sz w:val="24"/>
              </w:rPr>
            </w:pPr>
            <w:r>
              <w:rPr>
                <w:sz w:val="24"/>
              </w:rPr>
              <w:t>本项目设置1个职工食堂，设2个灶台，属小型规模。</w:t>
            </w:r>
            <w:r>
              <w:rPr>
                <w:rFonts w:hint="eastAsia"/>
                <w:sz w:val="24"/>
              </w:rPr>
              <w:t>劳动</w:t>
            </w:r>
            <w:r>
              <w:rPr>
                <w:sz w:val="24"/>
              </w:rPr>
              <w:t>定员</w:t>
            </w:r>
            <w:r>
              <w:rPr>
                <w:rFonts w:hint="eastAsia"/>
                <w:sz w:val="24"/>
                <w:lang w:val="en-US" w:eastAsia="zh-CN"/>
              </w:rPr>
              <w:t>12</w:t>
            </w:r>
            <w:r>
              <w:rPr>
                <w:sz w:val="24"/>
              </w:rPr>
              <w:t>人，人均耗油量约为30g/p·餐，</w:t>
            </w:r>
            <w:r>
              <w:rPr>
                <w:rFonts w:hint="eastAsia"/>
                <w:sz w:val="24"/>
                <w:lang w:val="en-US" w:eastAsia="zh-CN"/>
              </w:rPr>
              <w:t>1天2餐计，</w:t>
            </w:r>
            <w:r>
              <w:rPr>
                <w:sz w:val="24"/>
              </w:rPr>
              <w:t>即</w:t>
            </w:r>
            <w:r>
              <w:rPr>
                <w:rFonts w:hint="eastAsia"/>
                <w:sz w:val="24"/>
                <w:lang w:val="en-US" w:eastAsia="zh-CN"/>
              </w:rPr>
              <w:t>0.72</w:t>
            </w:r>
            <w:r>
              <w:rPr>
                <w:sz w:val="24"/>
              </w:rPr>
              <w:t>kg/d，食堂油烟气中油烟含量占耗油量的2%，则油烟废气产生量约0.0</w:t>
            </w:r>
            <w:r>
              <w:rPr>
                <w:rFonts w:hint="eastAsia"/>
                <w:sz w:val="24"/>
                <w:lang w:val="en-US" w:eastAsia="zh-CN"/>
              </w:rPr>
              <w:t>14</w:t>
            </w:r>
            <w:r>
              <w:rPr>
                <w:sz w:val="24"/>
              </w:rPr>
              <w:t>kg/d、</w:t>
            </w:r>
            <w:r>
              <w:rPr>
                <w:rFonts w:hint="eastAsia"/>
                <w:sz w:val="24"/>
                <w:lang w:val="en-US" w:eastAsia="zh-CN"/>
              </w:rPr>
              <w:t>3.78</w:t>
            </w:r>
            <w:r>
              <w:rPr>
                <w:sz w:val="24"/>
              </w:rPr>
              <w:t>kg/a（年使用</w:t>
            </w:r>
            <w:r>
              <w:rPr>
                <w:rFonts w:hint="eastAsia"/>
                <w:sz w:val="24"/>
                <w:lang w:val="en-US" w:eastAsia="zh-CN"/>
              </w:rPr>
              <w:t>270</w:t>
            </w:r>
            <w:r>
              <w:rPr>
                <w:sz w:val="24"/>
              </w:rPr>
              <w:t>天）。食堂的吸排油烟机总风量为</w:t>
            </w:r>
            <w:r>
              <w:rPr>
                <w:rFonts w:hint="eastAsia"/>
                <w:sz w:val="24"/>
                <w:lang w:val="en-US" w:eastAsia="zh-CN"/>
              </w:rPr>
              <w:t>15</w:t>
            </w:r>
            <w:r>
              <w:rPr>
                <w:sz w:val="24"/>
              </w:rPr>
              <w:t>00m</w:t>
            </w:r>
            <w:r>
              <w:rPr>
                <w:sz w:val="24"/>
                <w:vertAlign w:val="superscript"/>
              </w:rPr>
              <w:t>3</w:t>
            </w:r>
            <w:r>
              <w:rPr>
                <w:sz w:val="24"/>
              </w:rPr>
              <w:t>/h。日均烹饪时间</w:t>
            </w:r>
            <w:r>
              <w:rPr>
                <w:rFonts w:hint="eastAsia"/>
                <w:sz w:val="24"/>
                <w:lang w:val="en-US" w:eastAsia="zh-CN"/>
              </w:rPr>
              <w:t>4</w:t>
            </w:r>
            <w:r>
              <w:rPr>
                <w:sz w:val="24"/>
              </w:rPr>
              <w:t>h，通过企业净化效率在60%以上的油烟净化装置处理，最终通过建筑物屋顶高空排放，则排放量为</w:t>
            </w:r>
            <w:r>
              <w:rPr>
                <w:rFonts w:hint="eastAsia"/>
                <w:sz w:val="24"/>
                <w:lang w:val="en-US" w:eastAsia="zh-CN"/>
              </w:rPr>
              <w:t>1.512</w:t>
            </w:r>
            <w:r>
              <w:rPr>
                <w:sz w:val="24"/>
              </w:rPr>
              <w:t>kg/a，排放速率为0.</w:t>
            </w:r>
            <w:r>
              <w:rPr>
                <w:rFonts w:hint="eastAsia"/>
                <w:sz w:val="24"/>
                <w:lang w:val="en-US" w:eastAsia="zh-CN"/>
              </w:rPr>
              <w:t>001</w:t>
            </w:r>
            <w:r>
              <w:rPr>
                <w:sz w:val="24"/>
              </w:rPr>
              <w:t>kg/h，油烟排放浓度为</w:t>
            </w:r>
            <w:r>
              <w:rPr>
                <w:rFonts w:hint="eastAsia"/>
                <w:sz w:val="24"/>
                <w:lang w:val="en-US" w:eastAsia="zh-CN"/>
              </w:rPr>
              <w:t>0.933</w:t>
            </w:r>
            <w:r>
              <w:rPr>
                <w:sz w:val="24"/>
              </w:rPr>
              <w:t>mg/m</w:t>
            </w:r>
            <w:r>
              <w:rPr>
                <w:sz w:val="24"/>
                <w:vertAlign w:val="superscript"/>
              </w:rPr>
              <w:t>3</w:t>
            </w:r>
            <w:r>
              <w:rPr>
                <w:sz w:val="24"/>
              </w:rPr>
              <w:t>，能满足《饮食业油烟排放标准</w:t>
            </w:r>
            <w:r>
              <w:rPr>
                <w:rFonts w:hint="eastAsia"/>
                <w:sz w:val="24"/>
                <w:lang w:eastAsia="zh-CN"/>
              </w:rPr>
              <w:t>（</w:t>
            </w:r>
            <w:r>
              <w:rPr>
                <w:sz w:val="24"/>
              </w:rPr>
              <w:t>试行</w:t>
            </w:r>
            <w:r>
              <w:rPr>
                <w:rFonts w:hint="eastAsia"/>
                <w:sz w:val="24"/>
                <w:lang w:eastAsia="zh-CN"/>
              </w:rPr>
              <w:t>）</w:t>
            </w:r>
            <w:r>
              <w:rPr>
                <w:sz w:val="24"/>
              </w:rPr>
              <w:t>》（GB18483-2001）。满足《饮食业油烟排放标准》（GB18483-2001）中的相关要求。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42" w:firstLineChars="200"/>
              <w:textAlignment w:val="auto"/>
              <w:rPr>
                <w:rFonts w:hint="eastAsia" w:ascii="宋体" w:hAnsi="宋体" w:cs="宋体"/>
                <w:b/>
                <w:spacing w:val="-10"/>
                <w:sz w:val="24"/>
              </w:rPr>
            </w:pPr>
            <w:r>
              <w:rPr>
                <w:rFonts w:hint="eastAsia" w:ascii="宋体" w:hAnsi="宋体" w:cs="宋体"/>
                <w:b/>
                <w:spacing w:val="-10"/>
                <w:sz w:val="24"/>
                <w:lang w:eastAsia="zh-CN"/>
              </w:rPr>
              <w:t>2.</w:t>
            </w:r>
            <w:r>
              <w:rPr>
                <w:b/>
                <w:bCs/>
                <w:sz w:val="24"/>
              </w:rPr>
              <w:t>非正常排污的源强统计与分析</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hint="eastAsia" w:ascii="宋体" w:hAnsi="宋体" w:cs="宋体"/>
                <w:bCs/>
                <w:spacing w:val="-10"/>
                <w:sz w:val="24"/>
              </w:rPr>
            </w:pPr>
            <w:r>
              <w:rPr>
                <w:rFonts w:hint="eastAsia" w:ascii="宋体" w:hAnsi="宋体" w:cs="宋体"/>
                <w:bCs/>
                <w:spacing w:val="-10"/>
                <w:sz w:val="24"/>
              </w:rPr>
              <w:t>本项目非正常排放主要是指生产过程中废气处理设施故障情况下造成污染物超标排放；非正常排放大小及频率与生产装置的工艺水平、操作管理水平等因素有密切关系，若没有严格的处理措施，往往是造成污染的重要因素。</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hint="eastAsia" w:ascii="宋体" w:hAnsi="宋体" w:cs="宋体"/>
                <w:bCs/>
                <w:spacing w:val="-10"/>
                <w:sz w:val="24"/>
              </w:rPr>
            </w:pPr>
            <w:r>
              <w:rPr>
                <w:rFonts w:hint="eastAsia" w:ascii="宋体" w:hAnsi="宋体" w:cs="宋体"/>
                <w:bCs/>
                <w:spacing w:val="-10"/>
                <w:sz w:val="24"/>
              </w:rPr>
              <w:t>本项目非正常工况主要包括开、停车，检修；电力供应突然中断；除尘设备故障。项目非正常工况会引起污染物的非正常排放。本项目非正常工况下情况分析如下：</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ascii="宋体" w:hAnsi="宋体" w:cs="宋体"/>
                <w:bCs/>
                <w:spacing w:val="-10"/>
                <w:sz w:val="24"/>
              </w:rPr>
            </w:pPr>
            <w:r>
              <w:rPr>
                <w:rFonts w:ascii="宋体" w:hAnsi="宋体" w:cs="宋体"/>
                <w:bCs/>
                <w:spacing w:val="-10"/>
                <w:sz w:val="24"/>
              </w:rPr>
              <w:t>①开停车</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ascii="宋体" w:hAnsi="宋体" w:cs="宋体"/>
                <w:bCs/>
                <w:spacing w:val="-10"/>
                <w:sz w:val="24"/>
              </w:rPr>
            </w:pPr>
            <w:r>
              <w:rPr>
                <w:rFonts w:ascii="宋体" w:hAnsi="宋体" w:cs="宋体"/>
                <w:bCs/>
                <w:spacing w:val="-10"/>
                <w:sz w:val="24"/>
              </w:rPr>
              <w:t>项目计划停车，装置首先要停工，生产</w:t>
            </w:r>
            <w:r>
              <w:rPr>
                <w:rFonts w:hint="eastAsia" w:ascii="宋体" w:hAnsi="宋体" w:cs="宋体"/>
                <w:bCs/>
                <w:spacing w:val="-10"/>
                <w:sz w:val="24"/>
              </w:rPr>
              <w:t>设备</w:t>
            </w:r>
            <w:r>
              <w:rPr>
                <w:rFonts w:ascii="宋体" w:hAnsi="宋体" w:cs="宋体"/>
                <w:bCs/>
                <w:spacing w:val="-10"/>
                <w:sz w:val="24"/>
              </w:rPr>
              <w:t>及环保设施等同步进行检修、维护和保养后，再开工生产。</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ascii="宋体" w:hAnsi="宋体" w:cs="宋体"/>
                <w:bCs/>
                <w:spacing w:val="-10"/>
                <w:sz w:val="24"/>
              </w:rPr>
            </w:pPr>
            <w:r>
              <w:rPr>
                <w:rFonts w:ascii="宋体" w:hAnsi="宋体" w:cs="宋体"/>
                <w:bCs/>
                <w:spacing w:val="-10"/>
                <w:sz w:val="24"/>
              </w:rPr>
              <w:t>②设备故障</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ascii="宋体" w:hAnsi="宋体" w:cs="宋体"/>
                <w:bCs/>
                <w:spacing w:val="-10"/>
                <w:sz w:val="24"/>
              </w:rPr>
            </w:pPr>
            <w:r>
              <w:rPr>
                <w:rFonts w:ascii="宋体" w:hAnsi="宋体" w:cs="宋体"/>
                <w:bCs/>
                <w:spacing w:val="-10"/>
                <w:sz w:val="24"/>
              </w:rPr>
              <w:t>当生产系统出现故障如停电、</w:t>
            </w:r>
            <w:r>
              <w:rPr>
                <w:rFonts w:hint="eastAsia" w:ascii="宋体" w:hAnsi="宋体" w:cs="宋体"/>
                <w:bCs/>
                <w:spacing w:val="-10"/>
                <w:sz w:val="24"/>
              </w:rPr>
              <w:t>气泵、机电</w:t>
            </w:r>
            <w:r>
              <w:rPr>
                <w:rFonts w:ascii="宋体" w:hAnsi="宋体" w:cs="宋体"/>
                <w:bCs/>
                <w:spacing w:val="-10"/>
                <w:sz w:val="24"/>
              </w:rPr>
              <w:t>故障，由于</w:t>
            </w:r>
            <w:r>
              <w:rPr>
                <w:rFonts w:hint="eastAsia" w:ascii="宋体" w:hAnsi="宋体" w:cs="宋体"/>
                <w:bCs/>
                <w:spacing w:val="-10"/>
                <w:sz w:val="24"/>
              </w:rPr>
              <w:t>本项目</w:t>
            </w:r>
            <w:r>
              <w:rPr>
                <w:rFonts w:ascii="宋体" w:hAnsi="宋体" w:cs="宋体"/>
                <w:bCs/>
                <w:spacing w:val="-10"/>
                <w:sz w:val="24"/>
              </w:rPr>
              <w:t>控制系统采用DCS自动控制系统，因此出现上述情况的概率较低</w:t>
            </w:r>
            <w:r>
              <w:rPr>
                <w:rFonts w:hint="eastAsia" w:ascii="宋体" w:hAnsi="宋体" w:cs="宋体"/>
                <w:bCs/>
                <w:spacing w:val="-10"/>
                <w:sz w:val="24"/>
              </w:rPr>
              <w:t>，就算出现上述情况也会停机检修，</w:t>
            </w:r>
            <w:r>
              <w:rPr>
                <w:rFonts w:ascii="宋体" w:hAnsi="宋体" w:cs="宋体"/>
                <w:bCs/>
                <w:spacing w:val="-10"/>
                <w:sz w:val="24"/>
              </w:rPr>
              <w:t>非正常工况产生的废气量均比正常工况的小，污染物也比正常工况时产生量少，废气经</w:t>
            </w:r>
            <w:r>
              <w:rPr>
                <w:rFonts w:hint="eastAsia" w:ascii="宋体" w:hAnsi="宋体" w:cs="宋体"/>
                <w:bCs/>
                <w:spacing w:val="-10"/>
                <w:sz w:val="24"/>
              </w:rPr>
              <w:t>除尘设备</w:t>
            </w:r>
            <w:r>
              <w:rPr>
                <w:rFonts w:ascii="宋体" w:hAnsi="宋体" w:cs="宋体"/>
                <w:bCs/>
                <w:spacing w:val="-10"/>
                <w:sz w:val="24"/>
              </w:rPr>
              <w:t>处理后排放对周围环境的影响也相应地比正常工况轻。因此本次评价不考虑开停车及设备检修产生的污染物影响。</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ascii="宋体" w:hAnsi="宋体" w:cs="宋体"/>
                <w:bCs/>
                <w:spacing w:val="-10"/>
                <w:sz w:val="24"/>
              </w:rPr>
            </w:pPr>
            <w:r>
              <w:rPr>
                <w:rFonts w:ascii="宋体" w:hAnsi="宋体" w:cs="宋体"/>
                <w:bCs/>
                <w:spacing w:val="-10"/>
                <w:sz w:val="24"/>
              </w:rPr>
              <w:t>③</w:t>
            </w:r>
            <w:r>
              <w:rPr>
                <w:rFonts w:hint="eastAsia" w:ascii="宋体" w:hAnsi="宋体" w:cs="宋体"/>
                <w:bCs/>
                <w:spacing w:val="-10"/>
                <w:sz w:val="24"/>
              </w:rPr>
              <w:t>废气处理设施</w:t>
            </w:r>
            <w:r>
              <w:rPr>
                <w:rFonts w:ascii="宋体" w:hAnsi="宋体" w:cs="宋体"/>
                <w:bCs/>
                <w:spacing w:val="-10"/>
                <w:sz w:val="24"/>
              </w:rPr>
              <w:t>效率降低</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ascii="宋体" w:hAnsi="宋体" w:cs="宋体"/>
                <w:bCs/>
                <w:spacing w:val="-10"/>
                <w:sz w:val="24"/>
              </w:rPr>
            </w:pPr>
            <w:r>
              <w:rPr>
                <w:rFonts w:hint="eastAsia" w:ascii="宋体" w:hAnsi="宋体" w:cs="宋体"/>
                <w:bCs/>
                <w:spacing w:val="-10"/>
                <w:sz w:val="24"/>
              </w:rPr>
              <w:t>废气处理设施</w:t>
            </w:r>
            <w:r>
              <w:rPr>
                <w:rFonts w:ascii="宋体" w:hAnsi="宋体" w:cs="宋体"/>
                <w:bCs/>
                <w:spacing w:val="-10"/>
                <w:sz w:val="24"/>
              </w:rPr>
              <w:t>效率降低的原因是长时间未检修、没有做到定期更换，导致</w:t>
            </w:r>
            <w:r>
              <w:rPr>
                <w:rFonts w:hint="eastAsia" w:ascii="宋体" w:hAnsi="宋体" w:cs="宋体"/>
                <w:bCs/>
                <w:spacing w:val="-10"/>
                <w:sz w:val="24"/>
              </w:rPr>
              <w:t>处理</w:t>
            </w:r>
            <w:r>
              <w:rPr>
                <w:rFonts w:ascii="宋体" w:hAnsi="宋体" w:cs="宋体"/>
                <w:bCs/>
                <w:spacing w:val="-10"/>
                <w:sz w:val="24"/>
              </w:rPr>
              <w:t>效率变低，污染物超标排放。加强日常管理，做到定期检修、定期更换。</w:t>
            </w:r>
          </w:p>
          <w:p>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rPr>
                <w:rFonts w:ascii="宋体" w:hAnsi="宋体" w:cs="宋体"/>
                <w:bCs/>
                <w:spacing w:val="-10"/>
                <w:sz w:val="24"/>
              </w:rPr>
            </w:pPr>
            <w:r>
              <w:rPr>
                <w:rFonts w:ascii="宋体" w:hAnsi="宋体" w:cs="宋体"/>
                <w:bCs/>
                <w:spacing w:val="-10"/>
                <w:sz w:val="24"/>
              </w:rPr>
              <w:t>鉴于本项目产污主要集中在</w:t>
            </w:r>
            <w:r>
              <w:rPr>
                <w:rFonts w:hint="eastAsia" w:ascii="宋体" w:hAnsi="宋体" w:cs="宋体"/>
                <w:bCs/>
                <w:spacing w:val="-10"/>
                <w:sz w:val="24"/>
              </w:rPr>
              <w:t>设备区</w:t>
            </w:r>
            <w:r>
              <w:rPr>
                <w:rFonts w:ascii="宋体" w:hAnsi="宋体" w:cs="宋体"/>
                <w:bCs/>
                <w:spacing w:val="-10"/>
                <w:sz w:val="24"/>
              </w:rPr>
              <w:t>，污染物产生速率较大，本项目非正常工况</w:t>
            </w:r>
            <w:r>
              <w:rPr>
                <w:rFonts w:hint="eastAsia" w:ascii="宋体" w:hAnsi="宋体" w:cs="宋体"/>
                <w:bCs/>
                <w:spacing w:val="-10"/>
                <w:sz w:val="24"/>
              </w:rPr>
              <w:t>废气处理设施</w:t>
            </w:r>
            <w:r>
              <w:rPr>
                <w:rFonts w:ascii="宋体" w:hAnsi="宋体" w:cs="宋体"/>
                <w:bCs/>
                <w:spacing w:val="-10"/>
                <w:sz w:val="24"/>
              </w:rPr>
              <w:t>处理效率无法达到设计效率时，出现频次约</w:t>
            </w:r>
            <w:r>
              <w:rPr>
                <w:rFonts w:hint="eastAsia" w:ascii="宋体" w:hAnsi="宋体" w:cs="宋体"/>
                <w:bCs/>
                <w:spacing w:val="-10"/>
                <w:sz w:val="24"/>
                <w:lang w:val="en-US" w:eastAsia="zh-CN"/>
              </w:rPr>
              <w:t>2</w:t>
            </w:r>
            <w:r>
              <w:rPr>
                <w:rFonts w:ascii="宋体" w:hAnsi="宋体" w:cs="宋体"/>
                <w:bCs/>
                <w:spacing w:val="-10"/>
                <w:sz w:val="24"/>
              </w:rPr>
              <w:t>次/年，非正常工况年排放时间按1h时间计算，废气在未经有效处理的情况通过排气筒排放，非正常工况下废气排放详</w:t>
            </w:r>
            <w:r>
              <w:rPr>
                <w:rFonts w:hint="eastAsia" w:ascii="宋体" w:hAnsi="宋体" w:cs="宋体"/>
                <w:bCs/>
                <w:spacing w:val="-10"/>
                <w:sz w:val="24"/>
                <w:lang w:eastAsia="zh-CN"/>
              </w:rPr>
              <w:t>见表</w:t>
            </w:r>
            <w:r>
              <w:rPr>
                <w:rFonts w:hint="eastAsia" w:ascii="宋体" w:hAnsi="宋体" w:cs="宋体"/>
                <w:bCs/>
                <w:spacing w:val="-10"/>
                <w:sz w:val="24"/>
                <w:lang w:val="en-US" w:eastAsia="zh-CN"/>
              </w:rPr>
              <w:t>4-3</w:t>
            </w:r>
            <w:r>
              <w:rPr>
                <w:rFonts w:ascii="宋体" w:hAnsi="宋体" w:cs="宋体"/>
                <w:bCs/>
                <w:spacing w:val="-10"/>
                <w:sz w:val="24"/>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42" w:firstLineChars="200"/>
              <w:jc w:val="center"/>
              <w:textAlignment w:val="auto"/>
              <w:rPr>
                <w:rFonts w:hint="eastAsia" w:ascii="宋体" w:hAnsi="宋体" w:eastAsia="宋体" w:cs="宋体"/>
                <w:bCs/>
                <w:spacing w:val="-10"/>
                <w:sz w:val="24"/>
                <w:lang w:val="en-US" w:eastAsia="zh-CN"/>
              </w:rPr>
            </w:pPr>
            <w:r>
              <w:rPr>
                <w:rFonts w:hint="eastAsia" w:ascii="宋体" w:hAnsi="宋体" w:cs="宋体"/>
                <w:b/>
                <w:bCs/>
                <w:spacing w:val="-10"/>
                <w:sz w:val="24"/>
              </w:rPr>
              <w:t>表</w:t>
            </w:r>
            <w:r>
              <w:rPr>
                <w:rFonts w:hint="eastAsia" w:ascii="宋体" w:hAnsi="宋体" w:cs="宋体"/>
                <w:b/>
                <w:bCs/>
                <w:spacing w:val="-10"/>
                <w:sz w:val="24"/>
                <w:lang w:val="en-US" w:eastAsia="zh-CN"/>
              </w:rPr>
              <w:t xml:space="preserve">4-2 </w:t>
            </w:r>
            <w:r>
              <w:rPr>
                <w:rFonts w:hint="eastAsia" w:ascii="宋体" w:hAnsi="宋体" w:cs="宋体"/>
                <w:b/>
                <w:bCs/>
                <w:spacing w:val="-10"/>
                <w:sz w:val="24"/>
              </w:rPr>
              <w:t xml:space="preserve">  本项目非正常工况污染物产排情况</w:t>
            </w:r>
          </w:p>
          <w:tbl>
            <w:tblPr>
              <w:tblStyle w:val="21"/>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463"/>
              <w:gridCol w:w="758"/>
              <w:gridCol w:w="1139"/>
              <w:gridCol w:w="1012"/>
              <w:gridCol w:w="788"/>
              <w:gridCol w:w="935"/>
              <w:gridCol w:w="711"/>
              <w:gridCol w:w="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38" w:type="pct"/>
                  <w:noWrap w:val="0"/>
                  <w:vAlign w:val="center"/>
                </w:tcPr>
                <w:p>
                  <w:pPr>
                    <w:adjustRightInd w:val="0"/>
                    <w:snapToGrid w:val="0"/>
                    <w:spacing w:line="320" w:lineRule="exact"/>
                    <w:jc w:val="center"/>
                    <w:rPr>
                      <w:bCs/>
                      <w:spacing w:val="-10"/>
                      <w:sz w:val="21"/>
                      <w:szCs w:val="21"/>
                    </w:rPr>
                  </w:pPr>
                  <w:r>
                    <w:rPr>
                      <w:bCs/>
                      <w:spacing w:val="-10"/>
                      <w:sz w:val="21"/>
                      <w:szCs w:val="21"/>
                    </w:rPr>
                    <w:t>污染源</w:t>
                  </w:r>
                </w:p>
              </w:tc>
              <w:tc>
                <w:tcPr>
                  <w:tcW w:w="882" w:type="pct"/>
                  <w:noWrap w:val="0"/>
                  <w:vAlign w:val="center"/>
                </w:tcPr>
                <w:p>
                  <w:pPr>
                    <w:adjustRightInd w:val="0"/>
                    <w:snapToGrid w:val="0"/>
                    <w:spacing w:line="320" w:lineRule="exact"/>
                    <w:jc w:val="center"/>
                    <w:rPr>
                      <w:bCs/>
                      <w:spacing w:val="-10"/>
                      <w:sz w:val="21"/>
                      <w:szCs w:val="21"/>
                    </w:rPr>
                  </w:pPr>
                  <w:r>
                    <w:rPr>
                      <w:bCs/>
                      <w:spacing w:val="-10"/>
                      <w:sz w:val="21"/>
                      <w:szCs w:val="21"/>
                    </w:rPr>
                    <w:t>非正常排放原因</w:t>
                  </w:r>
                </w:p>
              </w:tc>
              <w:tc>
                <w:tcPr>
                  <w:tcW w:w="457" w:type="pct"/>
                  <w:noWrap w:val="0"/>
                  <w:vAlign w:val="center"/>
                </w:tcPr>
                <w:p>
                  <w:pPr>
                    <w:adjustRightInd w:val="0"/>
                    <w:snapToGrid w:val="0"/>
                    <w:spacing w:line="320" w:lineRule="exact"/>
                    <w:jc w:val="center"/>
                    <w:rPr>
                      <w:bCs/>
                      <w:spacing w:val="-10"/>
                      <w:sz w:val="21"/>
                      <w:szCs w:val="21"/>
                    </w:rPr>
                  </w:pPr>
                  <w:r>
                    <w:rPr>
                      <w:bCs/>
                      <w:spacing w:val="-10"/>
                      <w:sz w:val="21"/>
                      <w:szCs w:val="21"/>
                    </w:rPr>
                    <w:t>污染物</w:t>
                  </w:r>
                </w:p>
              </w:tc>
              <w:tc>
                <w:tcPr>
                  <w:tcW w:w="687" w:type="pct"/>
                  <w:noWrap w:val="0"/>
                  <w:vAlign w:val="center"/>
                </w:tcPr>
                <w:p>
                  <w:pPr>
                    <w:adjustRightInd w:val="0"/>
                    <w:snapToGrid w:val="0"/>
                    <w:spacing w:line="320" w:lineRule="exact"/>
                    <w:jc w:val="center"/>
                    <w:rPr>
                      <w:bCs/>
                      <w:spacing w:val="-10"/>
                      <w:sz w:val="21"/>
                      <w:szCs w:val="21"/>
                    </w:rPr>
                  </w:pPr>
                  <w:r>
                    <w:rPr>
                      <w:bCs/>
                      <w:spacing w:val="-10"/>
                      <w:sz w:val="21"/>
                      <w:szCs w:val="21"/>
                    </w:rPr>
                    <w:t>非正常排放浓度/(mg/m³)</w:t>
                  </w:r>
                </w:p>
              </w:tc>
              <w:tc>
                <w:tcPr>
                  <w:tcW w:w="610" w:type="pct"/>
                  <w:noWrap w:val="0"/>
                  <w:vAlign w:val="center"/>
                </w:tcPr>
                <w:p>
                  <w:pPr>
                    <w:pStyle w:val="16"/>
                    <w:spacing w:line="320" w:lineRule="exact"/>
                    <w:ind w:left="0" w:firstLine="0" w:firstLineChars="0"/>
                    <w:jc w:val="center"/>
                    <w:rPr>
                      <w:sz w:val="21"/>
                      <w:szCs w:val="21"/>
                    </w:rPr>
                  </w:pPr>
                  <w:r>
                    <w:rPr>
                      <w:sz w:val="21"/>
                      <w:szCs w:val="21"/>
                    </w:rPr>
                    <w:t>非正常排放速率</w:t>
                  </w:r>
                  <w:r>
                    <w:rPr>
                      <w:rFonts w:hint="eastAsia"/>
                      <w:sz w:val="21"/>
                      <w:szCs w:val="21"/>
                      <w:lang w:eastAsia="zh-CN"/>
                    </w:rPr>
                    <w:t>（</w:t>
                  </w:r>
                  <w:r>
                    <w:rPr>
                      <w:sz w:val="21"/>
                      <w:szCs w:val="21"/>
                    </w:rPr>
                    <w:t>kg/h</w:t>
                  </w:r>
                  <w:r>
                    <w:rPr>
                      <w:rFonts w:hint="eastAsia"/>
                      <w:sz w:val="21"/>
                      <w:szCs w:val="21"/>
                      <w:lang w:eastAsia="zh-CN"/>
                    </w:rPr>
                    <w:t>）</w:t>
                  </w:r>
                </w:p>
              </w:tc>
              <w:tc>
                <w:tcPr>
                  <w:tcW w:w="475" w:type="pct"/>
                  <w:noWrap w:val="0"/>
                  <w:vAlign w:val="center"/>
                </w:tcPr>
                <w:p>
                  <w:pPr>
                    <w:adjustRightInd w:val="0"/>
                    <w:snapToGrid w:val="0"/>
                    <w:spacing w:line="320" w:lineRule="exact"/>
                    <w:jc w:val="center"/>
                    <w:rPr>
                      <w:bCs/>
                      <w:spacing w:val="-10"/>
                      <w:sz w:val="21"/>
                      <w:szCs w:val="21"/>
                    </w:rPr>
                  </w:pPr>
                  <w:r>
                    <w:rPr>
                      <w:bCs/>
                      <w:spacing w:val="-10"/>
                      <w:sz w:val="21"/>
                      <w:szCs w:val="21"/>
                    </w:rPr>
                    <w:t>单次持续时间</w:t>
                  </w:r>
                </w:p>
                <w:p>
                  <w:pPr>
                    <w:adjustRightInd w:val="0"/>
                    <w:snapToGrid w:val="0"/>
                    <w:spacing w:line="320" w:lineRule="exact"/>
                    <w:jc w:val="center"/>
                    <w:rPr>
                      <w:bCs/>
                      <w:spacing w:val="-10"/>
                      <w:sz w:val="21"/>
                      <w:szCs w:val="21"/>
                    </w:rPr>
                  </w:pPr>
                  <w:r>
                    <w:rPr>
                      <w:bCs/>
                      <w:spacing w:val="-10"/>
                      <w:sz w:val="21"/>
                      <w:szCs w:val="21"/>
                    </w:rPr>
                    <w:t>/h</w:t>
                  </w:r>
                </w:p>
              </w:tc>
              <w:tc>
                <w:tcPr>
                  <w:tcW w:w="564" w:type="pct"/>
                  <w:noWrap w:val="0"/>
                  <w:vAlign w:val="center"/>
                </w:tcPr>
                <w:p>
                  <w:pPr>
                    <w:widowControl/>
                    <w:adjustRightInd w:val="0"/>
                    <w:snapToGrid w:val="0"/>
                    <w:spacing w:line="320" w:lineRule="exact"/>
                    <w:jc w:val="center"/>
                    <w:rPr>
                      <w:bCs/>
                      <w:spacing w:val="-10"/>
                      <w:sz w:val="21"/>
                      <w:szCs w:val="21"/>
                    </w:rPr>
                  </w:pPr>
                  <w:r>
                    <w:rPr>
                      <w:bCs/>
                      <w:spacing w:val="-10"/>
                      <w:sz w:val="21"/>
                      <w:szCs w:val="21"/>
                    </w:rPr>
                    <w:t>年发生频次</w:t>
                  </w:r>
                </w:p>
                <w:p>
                  <w:pPr>
                    <w:widowControl/>
                    <w:adjustRightInd w:val="0"/>
                    <w:snapToGrid w:val="0"/>
                    <w:spacing w:line="320" w:lineRule="exact"/>
                    <w:jc w:val="center"/>
                    <w:rPr>
                      <w:bCs/>
                      <w:spacing w:val="-10"/>
                      <w:sz w:val="21"/>
                      <w:szCs w:val="21"/>
                    </w:rPr>
                  </w:pPr>
                  <w:r>
                    <w:rPr>
                      <w:bCs/>
                      <w:spacing w:val="-10"/>
                      <w:sz w:val="21"/>
                      <w:szCs w:val="21"/>
                    </w:rPr>
                    <w:t>次/年</w:t>
                  </w:r>
                </w:p>
              </w:tc>
              <w:tc>
                <w:tcPr>
                  <w:tcW w:w="429" w:type="pct"/>
                  <w:noWrap w:val="0"/>
                  <w:vAlign w:val="center"/>
                </w:tcPr>
                <w:p>
                  <w:pPr>
                    <w:adjustRightInd w:val="0"/>
                    <w:snapToGrid w:val="0"/>
                    <w:spacing w:line="320" w:lineRule="exact"/>
                    <w:jc w:val="center"/>
                    <w:rPr>
                      <w:bCs/>
                      <w:spacing w:val="-10"/>
                      <w:sz w:val="21"/>
                      <w:szCs w:val="21"/>
                    </w:rPr>
                  </w:pPr>
                  <w:r>
                    <w:rPr>
                      <w:bCs/>
                      <w:spacing w:val="-10"/>
                      <w:sz w:val="21"/>
                      <w:szCs w:val="21"/>
                    </w:rPr>
                    <w:t>排放量</w:t>
                  </w:r>
                </w:p>
                <w:p>
                  <w:pPr>
                    <w:adjustRightInd w:val="0"/>
                    <w:snapToGrid w:val="0"/>
                    <w:spacing w:line="320" w:lineRule="exact"/>
                    <w:jc w:val="center"/>
                    <w:rPr>
                      <w:bCs/>
                      <w:spacing w:val="-10"/>
                      <w:sz w:val="21"/>
                      <w:szCs w:val="21"/>
                    </w:rPr>
                  </w:pPr>
                  <w:r>
                    <w:rPr>
                      <w:bCs/>
                      <w:spacing w:val="-10"/>
                      <w:sz w:val="21"/>
                      <w:szCs w:val="21"/>
                    </w:rPr>
                    <w:t>(</w:t>
                  </w:r>
                  <w:r>
                    <w:rPr>
                      <w:rFonts w:hint="eastAsia"/>
                      <w:bCs/>
                      <w:spacing w:val="-10"/>
                      <w:sz w:val="21"/>
                      <w:szCs w:val="21"/>
                      <w:lang w:val="en-US" w:eastAsia="zh-CN"/>
                    </w:rPr>
                    <w:t>kg</w:t>
                  </w:r>
                  <w:r>
                    <w:rPr>
                      <w:bCs/>
                      <w:spacing w:val="-10"/>
                      <w:sz w:val="21"/>
                      <w:szCs w:val="21"/>
                    </w:rPr>
                    <w:t>)</w:t>
                  </w:r>
                </w:p>
              </w:tc>
              <w:tc>
                <w:tcPr>
                  <w:tcW w:w="453" w:type="pct"/>
                  <w:noWrap w:val="0"/>
                  <w:vAlign w:val="center"/>
                </w:tcPr>
                <w:p>
                  <w:pPr>
                    <w:adjustRightInd w:val="0"/>
                    <w:snapToGrid w:val="0"/>
                    <w:spacing w:line="320" w:lineRule="exact"/>
                    <w:jc w:val="center"/>
                    <w:rPr>
                      <w:bCs/>
                      <w:spacing w:val="-10"/>
                      <w:sz w:val="21"/>
                      <w:szCs w:val="21"/>
                    </w:rPr>
                  </w:pPr>
                  <w:r>
                    <w:rPr>
                      <w:bCs/>
                      <w:spacing w:val="-10"/>
                      <w:sz w:val="21"/>
                      <w:szCs w:val="21"/>
                    </w:rPr>
                    <w:t>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8" w:type="pct"/>
                  <w:noWrap w:val="0"/>
                  <w:vAlign w:val="center"/>
                </w:tcPr>
                <w:p>
                  <w:pPr>
                    <w:spacing w:line="240" w:lineRule="auto"/>
                    <w:jc w:val="center"/>
                    <w:rPr>
                      <w:bCs/>
                      <w:spacing w:val="-10"/>
                      <w:sz w:val="21"/>
                      <w:szCs w:val="21"/>
                    </w:rPr>
                  </w:pPr>
                  <w:r>
                    <w:rPr>
                      <w:rFonts w:hint="default" w:ascii="Times New Roman" w:hAnsi="Times New Roman" w:eastAsia="宋体" w:cs="Times New Roman"/>
                      <w:color w:val="auto"/>
                      <w:sz w:val="21"/>
                      <w:szCs w:val="21"/>
                      <w:highlight w:val="none"/>
                      <w:lang w:val="en-US" w:eastAsia="zh-CN"/>
                    </w:rPr>
                    <w:t>水泥筒仓</w:t>
                  </w:r>
                </w:p>
              </w:tc>
              <w:tc>
                <w:tcPr>
                  <w:tcW w:w="882" w:type="pct"/>
                  <w:noWrap w:val="0"/>
                  <w:vAlign w:val="center"/>
                </w:tcPr>
                <w:p>
                  <w:pPr>
                    <w:adjustRightInd w:val="0"/>
                    <w:snapToGrid w:val="0"/>
                    <w:spacing w:line="320" w:lineRule="exact"/>
                    <w:jc w:val="center"/>
                    <w:rPr>
                      <w:bCs/>
                      <w:spacing w:val="-10"/>
                      <w:sz w:val="21"/>
                      <w:szCs w:val="21"/>
                    </w:rPr>
                  </w:pPr>
                  <w:r>
                    <w:rPr>
                      <w:rFonts w:hint="eastAsia"/>
                      <w:bCs/>
                      <w:spacing w:val="-10"/>
                      <w:sz w:val="21"/>
                      <w:szCs w:val="21"/>
                      <w:lang w:val="en-US" w:eastAsia="zh-CN"/>
                    </w:rPr>
                    <w:t>除尘设施失效</w:t>
                  </w:r>
                  <w:r>
                    <w:rPr>
                      <w:bCs/>
                      <w:spacing w:val="-10"/>
                      <w:sz w:val="21"/>
                      <w:szCs w:val="21"/>
                    </w:rPr>
                    <w:t>，除尘效率</w:t>
                  </w:r>
                  <w:r>
                    <w:rPr>
                      <w:rFonts w:hint="eastAsia"/>
                      <w:bCs/>
                      <w:spacing w:val="-10"/>
                      <w:sz w:val="21"/>
                      <w:szCs w:val="21"/>
                    </w:rPr>
                    <w:t>0</w:t>
                  </w:r>
                  <w:r>
                    <w:rPr>
                      <w:bCs/>
                      <w:spacing w:val="-10"/>
                      <w:sz w:val="21"/>
                      <w:szCs w:val="21"/>
                    </w:rPr>
                    <w:t>%</w:t>
                  </w:r>
                </w:p>
              </w:tc>
              <w:tc>
                <w:tcPr>
                  <w:tcW w:w="457" w:type="pct"/>
                  <w:noWrap w:val="0"/>
                  <w:vAlign w:val="center"/>
                </w:tcPr>
                <w:p>
                  <w:pPr>
                    <w:adjustRightInd w:val="0"/>
                    <w:snapToGrid w:val="0"/>
                    <w:spacing w:line="320" w:lineRule="exact"/>
                    <w:jc w:val="center"/>
                    <w:rPr>
                      <w:rFonts w:hint="eastAsia"/>
                      <w:bCs/>
                      <w:spacing w:val="-10"/>
                      <w:sz w:val="21"/>
                      <w:szCs w:val="21"/>
                    </w:rPr>
                  </w:pPr>
                  <w:r>
                    <w:rPr>
                      <w:rFonts w:hint="eastAsia"/>
                      <w:sz w:val="21"/>
                      <w:szCs w:val="21"/>
                    </w:rPr>
                    <w:t>颗粒物</w:t>
                  </w:r>
                </w:p>
              </w:tc>
              <w:tc>
                <w:tcPr>
                  <w:tcW w:w="687" w:type="pct"/>
                  <w:noWrap w:val="0"/>
                  <w:vAlign w:val="center"/>
                </w:tcPr>
                <w:p>
                  <w:pPr>
                    <w:adjustRightInd w:val="0"/>
                    <w:snapToGrid w:val="0"/>
                    <w:spacing w:line="320" w:lineRule="exact"/>
                    <w:jc w:val="center"/>
                    <w:rPr>
                      <w:rFonts w:hint="default" w:eastAsia="宋体"/>
                      <w:bCs/>
                      <w:spacing w:val="-10"/>
                      <w:sz w:val="21"/>
                      <w:szCs w:val="21"/>
                      <w:lang w:val="en-US" w:eastAsia="zh-CN"/>
                    </w:rPr>
                  </w:pPr>
                  <w:r>
                    <w:rPr>
                      <w:rFonts w:hint="eastAsia"/>
                      <w:bCs/>
                      <w:sz w:val="21"/>
                      <w:szCs w:val="21"/>
                      <w:lang w:val="en-US" w:eastAsia="zh-CN"/>
                    </w:rPr>
                    <w:t>/</w:t>
                  </w:r>
                </w:p>
              </w:tc>
              <w:tc>
                <w:tcPr>
                  <w:tcW w:w="610" w:type="pct"/>
                  <w:noWrap w:val="0"/>
                  <w:vAlign w:val="center"/>
                </w:tcPr>
                <w:p>
                  <w:pPr>
                    <w:adjustRightInd w:val="0"/>
                    <w:snapToGrid w:val="0"/>
                    <w:spacing w:line="320" w:lineRule="exact"/>
                    <w:jc w:val="center"/>
                    <w:rPr>
                      <w:rFonts w:hint="default" w:eastAsia="宋体"/>
                      <w:bCs/>
                      <w:spacing w:val="-10"/>
                      <w:sz w:val="21"/>
                      <w:szCs w:val="21"/>
                      <w:lang w:val="en-US" w:eastAsia="zh-CN"/>
                    </w:rPr>
                  </w:pPr>
                  <w:r>
                    <w:rPr>
                      <w:rFonts w:hint="eastAsia" w:eastAsia="宋体"/>
                      <w:bCs/>
                      <w:spacing w:val="-10"/>
                      <w:sz w:val="21"/>
                      <w:szCs w:val="21"/>
                      <w:lang w:val="en-US" w:eastAsia="zh-CN"/>
                    </w:rPr>
                    <w:t>2.550</w:t>
                  </w:r>
                </w:p>
              </w:tc>
              <w:tc>
                <w:tcPr>
                  <w:tcW w:w="475" w:type="pct"/>
                  <w:noWrap w:val="0"/>
                  <w:vAlign w:val="center"/>
                </w:tcPr>
                <w:p>
                  <w:pPr>
                    <w:adjustRightInd w:val="0"/>
                    <w:snapToGrid w:val="0"/>
                    <w:spacing w:line="320" w:lineRule="exact"/>
                    <w:jc w:val="center"/>
                    <w:rPr>
                      <w:bCs/>
                      <w:spacing w:val="-10"/>
                      <w:sz w:val="21"/>
                      <w:szCs w:val="21"/>
                    </w:rPr>
                  </w:pPr>
                  <w:r>
                    <w:rPr>
                      <w:bCs/>
                      <w:spacing w:val="-10"/>
                      <w:sz w:val="21"/>
                      <w:szCs w:val="21"/>
                    </w:rPr>
                    <w:t>1</w:t>
                  </w:r>
                </w:p>
              </w:tc>
              <w:tc>
                <w:tcPr>
                  <w:tcW w:w="564" w:type="pct"/>
                  <w:noWrap w:val="0"/>
                  <w:vAlign w:val="center"/>
                </w:tcPr>
                <w:p>
                  <w:pPr>
                    <w:adjustRightInd w:val="0"/>
                    <w:snapToGrid w:val="0"/>
                    <w:spacing w:line="320" w:lineRule="exact"/>
                    <w:jc w:val="center"/>
                    <w:rPr>
                      <w:rFonts w:hint="eastAsia" w:eastAsia="宋体"/>
                      <w:bCs/>
                      <w:spacing w:val="-10"/>
                      <w:sz w:val="21"/>
                      <w:szCs w:val="21"/>
                      <w:lang w:eastAsia="zh-CN"/>
                    </w:rPr>
                  </w:pPr>
                  <w:r>
                    <w:rPr>
                      <w:rFonts w:hint="eastAsia"/>
                      <w:bCs/>
                      <w:spacing w:val="-10"/>
                      <w:sz w:val="21"/>
                      <w:szCs w:val="21"/>
                      <w:lang w:val="en-US" w:eastAsia="zh-CN"/>
                    </w:rPr>
                    <w:t>2</w:t>
                  </w:r>
                </w:p>
              </w:tc>
              <w:tc>
                <w:tcPr>
                  <w:tcW w:w="429" w:type="pct"/>
                  <w:noWrap w:val="0"/>
                  <w:vAlign w:val="center"/>
                </w:tcPr>
                <w:p>
                  <w:pPr>
                    <w:adjustRightInd w:val="0"/>
                    <w:snapToGrid w:val="0"/>
                    <w:spacing w:line="320" w:lineRule="exact"/>
                    <w:jc w:val="center"/>
                    <w:rPr>
                      <w:rFonts w:hint="default" w:eastAsia="宋体"/>
                      <w:bCs/>
                      <w:spacing w:val="-10"/>
                      <w:sz w:val="21"/>
                      <w:szCs w:val="21"/>
                      <w:lang w:val="en-US" w:eastAsia="zh-CN"/>
                    </w:rPr>
                  </w:pPr>
                  <w:r>
                    <w:rPr>
                      <w:rFonts w:hint="eastAsia" w:eastAsia="宋体"/>
                      <w:bCs/>
                      <w:spacing w:val="-10"/>
                      <w:sz w:val="21"/>
                      <w:szCs w:val="21"/>
                      <w:lang w:val="en-US" w:eastAsia="zh-CN"/>
                    </w:rPr>
                    <w:t>5.100</w:t>
                  </w:r>
                </w:p>
              </w:tc>
              <w:tc>
                <w:tcPr>
                  <w:tcW w:w="453" w:type="pct"/>
                  <w:vMerge w:val="restart"/>
                  <w:noWrap w:val="0"/>
                  <w:vAlign w:val="center"/>
                </w:tcPr>
                <w:p>
                  <w:pPr>
                    <w:adjustRightInd w:val="0"/>
                    <w:snapToGrid w:val="0"/>
                    <w:spacing w:line="320" w:lineRule="exact"/>
                    <w:jc w:val="center"/>
                    <w:rPr>
                      <w:bCs/>
                      <w:spacing w:val="-10"/>
                      <w:sz w:val="21"/>
                      <w:szCs w:val="21"/>
                    </w:rPr>
                  </w:pPr>
                  <w:r>
                    <w:rPr>
                      <w:bCs/>
                      <w:spacing w:val="-10"/>
                      <w:sz w:val="21"/>
                      <w:szCs w:val="21"/>
                    </w:rPr>
                    <w:t>发现问题第一时间维修、停止生产，待设备正常后恢复生产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38" w:type="pct"/>
                  <w:noWrap w:val="0"/>
                  <w:vAlign w:val="center"/>
                </w:tcPr>
                <w:p>
                  <w:pPr>
                    <w:spacing w:line="240" w:lineRule="auto"/>
                    <w:jc w:val="center"/>
                    <w:rPr>
                      <w:rFonts w:hint="default" w:eastAsia="宋体"/>
                      <w:bCs/>
                      <w:spacing w:val="-10"/>
                      <w:sz w:val="21"/>
                      <w:szCs w:val="21"/>
                      <w:lang w:val="en-US" w:eastAsia="zh-CN"/>
                    </w:rPr>
                  </w:pPr>
                  <w:r>
                    <w:rPr>
                      <w:rFonts w:hint="eastAsia" w:ascii="Times New Roman" w:hAnsi="Times New Roman" w:eastAsia="宋体" w:cs="Times New Roman"/>
                      <w:color w:val="auto"/>
                      <w:sz w:val="21"/>
                      <w:szCs w:val="21"/>
                      <w:highlight w:val="none"/>
                      <w:lang w:val="en-US" w:eastAsia="zh-CN"/>
                    </w:rPr>
                    <w:t>矿粉</w:t>
                  </w:r>
                  <w:r>
                    <w:rPr>
                      <w:rFonts w:hint="default" w:ascii="Times New Roman" w:hAnsi="Times New Roman" w:eastAsia="宋体" w:cs="Times New Roman"/>
                      <w:color w:val="auto"/>
                      <w:sz w:val="21"/>
                      <w:szCs w:val="21"/>
                      <w:highlight w:val="none"/>
                      <w:lang w:val="en-US" w:eastAsia="zh-CN"/>
                    </w:rPr>
                    <w:t>筒仓</w:t>
                  </w:r>
                </w:p>
              </w:tc>
              <w:tc>
                <w:tcPr>
                  <w:tcW w:w="882" w:type="pct"/>
                  <w:noWrap w:val="0"/>
                  <w:vAlign w:val="center"/>
                </w:tcPr>
                <w:p>
                  <w:pPr>
                    <w:adjustRightInd w:val="0"/>
                    <w:snapToGrid w:val="0"/>
                    <w:spacing w:line="320" w:lineRule="exact"/>
                    <w:jc w:val="center"/>
                    <w:rPr>
                      <w:rFonts w:hint="default" w:eastAsia="宋体"/>
                      <w:bCs/>
                      <w:spacing w:val="-10"/>
                      <w:sz w:val="21"/>
                      <w:szCs w:val="21"/>
                      <w:lang w:val="en-US" w:eastAsia="zh-CN"/>
                    </w:rPr>
                  </w:pPr>
                  <w:r>
                    <w:rPr>
                      <w:rFonts w:hint="eastAsia"/>
                      <w:bCs/>
                      <w:spacing w:val="-10"/>
                      <w:sz w:val="21"/>
                      <w:szCs w:val="21"/>
                      <w:lang w:val="en-US" w:eastAsia="zh-CN"/>
                    </w:rPr>
                    <w:t>除尘设施失效</w:t>
                  </w:r>
                  <w:r>
                    <w:rPr>
                      <w:bCs/>
                      <w:spacing w:val="-10"/>
                      <w:sz w:val="21"/>
                      <w:szCs w:val="21"/>
                    </w:rPr>
                    <w:t>，除尘效率</w:t>
                  </w:r>
                  <w:r>
                    <w:rPr>
                      <w:rFonts w:hint="eastAsia"/>
                      <w:bCs/>
                      <w:spacing w:val="-10"/>
                      <w:sz w:val="21"/>
                      <w:szCs w:val="21"/>
                    </w:rPr>
                    <w:t>0</w:t>
                  </w:r>
                  <w:r>
                    <w:rPr>
                      <w:bCs/>
                      <w:spacing w:val="-10"/>
                      <w:sz w:val="21"/>
                      <w:szCs w:val="21"/>
                    </w:rPr>
                    <w:t>%</w:t>
                  </w:r>
                </w:p>
              </w:tc>
              <w:tc>
                <w:tcPr>
                  <w:tcW w:w="457" w:type="pct"/>
                  <w:noWrap w:val="0"/>
                  <w:vAlign w:val="center"/>
                </w:tcPr>
                <w:p>
                  <w:pPr>
                    <w:adjustRightInd w:val="0"/>
                    <w:snapToGrid w:val="0"/>
                    <w:spacing w:line="320" w:lineRule="exact"/>
                    <w:jc w:val="center"/>
                    <w:rPr>
                      <w:rFonts w:hint="eastAsia"/>
                      <w:bCs/>
                      <w:spacing w:val="-10"/>
                      <w:sz w:val="21"/>
                      <w:szCs w:val="21"/>
                    </w:rPr>
                  </w:pPr>
                  <w:r>
                    <w:rPr>
                      <w:bCs/>
                      <w:spacing w:val="-10"/>
                      <w:sz w:val="21"/>
                      <w:szCs w:val="21"/>
                    </w:rPr>
                    <w:t>颗粒物</w:t>
                  </w:r>
                </w:p>
              </w:tc>
              <w:tc>
                <w:tcPr>
                  <w:tcW w:w="687" w:type="pct"/>
                  <w:noWrap w:val="0"/>
                  <w:vAlign w:val="center"/>
                </w:tcPr>
                <w:p>
                  <w:pPr>
                    <w:adjustRightInd w:val="0"/>
                    <w:snapToGrid w:val="0"/>
                    <w:spacing w:line="320" w:lineRule="exact"/>
                    <w:jc w:val="center"/>
                    <w:rPr>
                      <w:rFonts w:hint="default" w:eastAsia="宋体"/>
                      <w:bCs/>
                      <w:spacing w:val="-10"/>
                      <w:sz w:val="21"/>
                      <w:szCs w:val="21"/>
                      <w:lang w:val="en-US" w:eastAsia="zh-CN"/>
                    </w:rPr>
                  </w:pPr>
                  <w:r>
                    <w:rPr>
                      <w:rFonts w:hint="eastAsia"/>
                      <w:bCs/>
                      <w:sz w:val="21"/>
                      <w:szCs w:val="21"/>
                      <w:lang w:val="en-US" w:eastAsia="zh-CN"/>
                    </w:rPr>
                    <w:t>/</w:t>
                  </w:r>
                </w:p>
              </w:tc>
              <w:tc>
                <w:tcPr>
                  <w:tcW w:w="610" w:type="pct"/>
                  <w:noWrap w:val="0"/>
                  <w:vAlign w:val="center"/>
                </w:tcPr>
                <w:p>
                  <w:pPr>
                    <w:adjustRightInd w:val="0"/>
                    <w:snapToGrid w:val="0"/>
                    <w:spacing w:line="320" w:lineRule="exact"/>
                    <w:jc w:val="center"/>
                    <w:rPr>
                      <w:rFonts w:hint="default" w:eastAsia="宋体"/>
                      <w:bCs/>
                      <w:spacing w:val="-10"/>
                      <w:sz w:val="21"/>
                      <w:szCs w:val="21"/>
                      <w:lang w:val="en-US" w:eastAsia="zh-CN"/>
                    </w:rPr>
                  </w:pPr>
                  <w:r>
                    <w:rPr>
                      <w:rFonts w:hint="eastAsia"/>
                      <w:bCs/>
                      <w:spacing w:val="-10"/>
                      <w:sz w:val="21"/>
                      <w:szCs w:val="21"/>
                      <w:lang w:val="en-US" w:eastAsia="zh-CN"/>
                    </w:rPr>
                    <w:t>2.455</w:t>
                  </w:r>
                </w:p>
              </w:tc>
              <w:tc>
                <w:tcPr>
                  <w:tcW w:w="475" w:type="pct"/>
                  <w:noWrap w:val="0"/>
                  <w:vAlign w:val="center"/>
                </w:tcPr>
                <w:p>
                  <w:pPr>
                    <w:adjustRightInd w:val="0"/>
                    <w:snapToGrid w:val="0"/>
                    <w:spacing w:line="320" w:lineRule="exact"/>
                    <w:jc w:val="center"/>
                    <w:rPr>
                      <w:bCs/>
                      <w:spacing w:val="-10"/>
                      <w:sz w:val="21"/>
                      <w:szCs w:val="21"/>
                    </w:rPr>
                  </w:pPr>
                  <w:r>
                    <w:rPr>
                      <w:bCs/>
                      <w:spacing w:val="-10"/>
                      <w:sz w:val="21"/>
                      <w:szCs w:val="21"/>
                    </w:rPr>
                    <w:t>1</w:t>
                  </w:r>
                </w:p>
              </w:tc>
              <w:tc>
                <w:tcPr>
                  <w:tcW w:w="564" w:type="pct"/>
                  <w:noWrap w:val="0"/>
                  <w:vAlign w:val="center"/>
                </w:tcPr>
                <w:p>
                  <w:pPr>
                    <w:adjustRightInd w:val="0"/>
                    <w:snapToGrid w:val="0"/>
                    <w:spacing w:line="320" w:lineRule="exact"/>
                    <w:jc w:val="center"/>
                    <w:rPr>
                      <w:bCs/>
                      <w:spacing w:val="-10"/>
                      <w:sz w:val="21"/>
                      <w:szCs w:val="21"/>
                    </w:rPr>
                  </w:pPr>
                  <w:r>
                    <w:rPr>
                      <w:rFonts w:hint="eastAsia"/>
                      <w:bCs/>
                      <w:spacing w:val="-10"/>
                      <w:sz w:val="21"/>
                      <w:szCs w:val="21"/>
                      <w:lang w:val="en-US" w:eastAsia="zh-CN"/>
                    </w:rPr>
                    <w:t>2</w:t>
                  </w:r>
                </w:p>
              </w:tc>
              <w:tc>
                <w:tcPr>
                  <w:tcW w:w="429" w:type="pct"/>
                  <w:noWrap w:val="0"/>
                  <w:vAlign w:val="center"/>
                </w:tcPr>
                <w:p>
                  <w:pPr>
                    <w:adjustRightInd w:val="0"/>
                    <w:snapToGrid w:val="0"/>
                    <w:spacing w:line="320" w:lineRule="exact"/>
                    <w:jc w:val="center"/>
                    <w:rPr>
                      <w:rFonts w:hint="default" w:eastAsia="宋体"/>
                      <w:bCs/>
                      <w:spacing w:val="-10"/>
                      <w:sz w:val="21"/>
                      <w:szCs w:val="21"/>
                      <w:lang w:val="en-US" w:eastAsia="zh-CN"/>
                    </w:rPr>
                  </w:pPr>
                  <w:r>
                    <w:rPr>
                      <w:rFonts w:hint="eastAsia" w:eastAsia="宋体"/>
                      <w:bCs/>
                      <w:spacing w:val="-10"/>
                      <w:sz w:val="21"/>
                      <w:szCs w:val="21"/>
                      <w:lang w:val="en-US" w:eastAsia="zh-CN"/>
                    </w:rPr>
                    <w:t>4.910</w:t>
                  </w:r>
                </w:p>
              </w:tc>
              <w:tc>
                <w:tcPr>
                  <w:tcW w:w="453" w:type="pct"/>
                  <w:vMerge w:val="continue"/>
                  <w:noWrap w:val="0"/>
                  <w:vAlign w:val="center"/>
                </w:tcPr>
                <w:p>
                  <w:pPr>
                    <w:adjustRightInd w:val="0"/>
                    <w:snapToGrid w:val="0"/>
                    <w:spacing w:line="320" w:lineRule="exact"/>
                    <w:jc w:val="center"/>
                    <w:rPr>
                      <w:bCs/>
                      <w:spacing w:val="-1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38" w:type="pct"/>
                  <w:noWrap w:val="0"/>
                  <w:vAlign w:val="center"/>
                </w:tcPr>
                <w:p>
                  <w:pPr>
                    <w:spacing w:line="240" w:lineRule="auto"/>
                    <w:jc w:val="center"/>
                    <w:rPr>
                      <w:rFonts w:hint="eastAsia" w:eastAsia="宋体"/>
                      <w:bCs/>
                      <w:sz w:val="21"/>
                      <w:szCs w:val="21"/>
                      <w:lang w:val="en-US" w:eastAsia="zh-CN"/>
                    </w:rPr>
                  </w:pPr>
                  <w:r>
                    <w:rPr>
                      <w:rFonts w:hint="default" w:ascii="Times New Roman" w:hAnsi="Times New Roman" w:eastAsia="宋体" w:cs="Times New Roman"/>
                      <w:color w:val="auto"/>
                      <w:sz w:val="21"/>
                      <w:szCs w:val="21"/>
                      <w:highlight w:val="none"/>
                      <w:lang w:val="en-US" w:eastAsia="zh-CN"/>
                    </w:rPr>
                    <w:t>粉煤灰筒仓</w:t>
                  </w:r>
                </w:p>
              </w:tc>
              <w:tc>
                <w:tcPr>
                  <w:tcW w:w="882" w:type="pct"/>
                  <w:noWrap w:val="0"/>
                  <w:vAlign w:val="center"/>
                </w:tcPr>
                <w:p>
                  <w:pPr>
                    <w:adjustRightInd w:val="0"/>
                    <w:snapToGrid w:val="0"/>
                    <w:spacing w:line="320" w:lineRule="exact"/>
                    <w:jc w:val="center"/>
                    <w:rPr>
                      <w:bCs/>
                      <w:spacing w:val="-10"/>
                      <w:sz w:val="21"/>
                      <w:szCs w:val="21"/>
                    </w:rPr>
                  </w:pPr>
                  <w:r>
                    <w:rPr>
                      <w:rFonts w:hint="eastAsia"/>
                      <w:bCs/>
                      <w:spacing w:val="-10"/>
                      <w:sz w:val="21"/>
                      <w:szCs w:val="21"/>
                      <w:lang w:val="en-US" w:eastAsia="zh-CN"/>
                    </w:rPr>
                    <w:t>除尘设施失效</w:t>
                  </w:r>
                  <w:r>
                    <w:rPr>
                      <w:bCs/>
                      <w:spacing w:val="-10"/>
                      <w:sz w:val="21"/>
                      <w:szCs w:val="21"/>
                    </w:rPr>
                    <w:t>，除尘效率</w:t>
                  </w:r>
                  <w:r>
                    <w:rPr>
                      <w:rFonts w:hint="eastAsia"/>
                      <w:bCs/>
                      <w:spacing w:val="-10"/>
                      <w:sz w:val="21"/>
                      <w:szCs w:val="21"/>
                    </w:rPr>
                    <w:t>0</w:t>
                  </w:r>
                  <w:r>
                    <w:rPr>
                      <w:bCs/>
                      <w:spacing w:val="-10"/>
                      <w:sz w:val="21"/>
                      <w:szCs w:val="21"/>
                    </w:rPr>
                    <w:t>%</w:t>
                  </w:r>
                </w:p>
              </w:tc>
              <w:tc>
                <w:tcPr>
                  <w:tcW w:w="457" w:type="pct"/>
                  <w:noWrap w:val="0"/>
                  <w:vAlign w:val="center"/>
                </w:tcPr>
                <w:p>
                  <w:pPr>
                    <w:adjustRightInd w:val="0"/>
                    <w:snapToGrid w:val="0"/>
                    <w:spacing w:line="320" w:lineRule="exact"/>
                    <w:jc w:val="center"/>
                    <w:rPr>
                      <w:rFonts w:hint="eastAsia"/>
                      <w:sz w:val="21"/>
                      <w:szCs w:val="21"/>
                    </w:rPr>
                  </w:pPr>
                  <w:r>
                    <w:rPr>
                      <w:bCs/>
                      <w:spacing w:val="-10"/>
                      <w:sz w:val="21"/>
                      <w:szCs w:val="21"/>
                    </w:rPr>
                    <w:t>颗粒物</w:t>
                  </w:r>
                </w:p>
              </w:tc>
              <w:tc>
                <w:tcPr>
                  <w:tcW w:w="687" w:type="pct"/>
                  <w:noWrap w:val="0"/>
                  <w:vAlign w:val="center"/>
                </w:tcPr>
                <w:p>
                  <w:pPr>
                    <w:adjustRightInd w:val="0"/>
                    <w:snapToGrid w:val="0"/>
                    <w:spacing w:line="320" w:lineRule="exact"/>
                    <w:jc w:val="center"/>
                    <w:rPr>
                      <w:rFonts w:hint="default" w:eastAsia="宋体"/>
                      <w:bCs/>
                      <w:color w:val="auto"/>
                      <w:sz w:val="21"/>
                      <w:szCs w:val="21"/>
                      <w:lang w:val="en-US" w:eastAsia="zh-CN"/>
                    </w:rPr>
                  </w:pPr>
                  <w:r>
                    <w:rPr>
                      <w:rFonts w:hint="eastAsia"/>
                      <w:bCs/>
                      <w:sz w:val="21"/>
                      <w:szCs w:val="21"/>
                      <w:lang w:val="en-US" w:eastAsia="zh-CN"/>
                    </w:rPr>
                    <w:t>/</w:t>
                  </w:r>
                </w:p>
              </w:tc>
              <w:tc>
                <w:tcPr>
                  <w:tcW w:w="610" w:type="pct"/>
                  <w:noWrap w:val="0"/>
                  <w:vAlign w:val="center"/>
                </w:tcPr>
                <w:p>
                  <w:pPr>
                    <w:adjustRightInd w:val="0"/>
                    <w:snapToGrid w:val="0"/>
                    <w:spacing w:line="320" w:lineRule="exact"/>
                    <w:jc w:val="center"/>
                    <w:rPr>
                      <w:rFonts w:hint="default" w:eastAsia="宋体"/>
                      <w:bCs/>
                      <w:color w:val="auto"/>
                      <w:sz w:val="21"/>
                      <w:szCs w:val="21"/>
                      <w:lang w:val="en-US" w:eastAsia="zh-CN"/>
                    </w:rPr>
                  </w:pPr>
                  <w:r>
                    <w:rPr>
                      <w:rFonts w:hint="eastAsia"/>
                      <w:bCs/>
                      <w:spacing w:val="-10"/>
                      <w:sz w:val="21"/>
                      <w:szCs w:val="21"/>
                      <w:lang w:val="en-US" w:eastAsia="zh-CN"/>
                    </w:rPr>
                    <w:t>2.032</w:t>
                  </w:r>
                </w:p>
              </w:tc>
              <w:tc>
                <w:tcPr>
                  <w:tcW w:w="475" w:type="pct"/>
                  <w:noWrap w:val="0"/>
                  <w:vAlign w:val="center"/>
                </w:tcPr>
                <w:p>
                  <w:pPr>
                    <w:adjustRightInd w:val="0"/>
                    <w:snapToGrid w:val="0"/>
                    <w:spacing w:line="320" w:lineRule="exact"/>
                    <w:jc w:val="center"/>
                    <w:rPr>
                      <w:rFonts w:hint="eastAsia"/>
                      <w:bCs/>
                      <w:color w:val="auto"/>
                      <w:spacing w:val="-10"/>
                      <w:sz w:val="21"/>
                      <w:szCs w:val="21"/>
                      <w:lang w:val="en-US" w:eastAsia="zh-CN"/>
                    </w:rPr>
                  </w:pPr>
                  <w:r>
                    <w:rPr>
                      <w:bCs/>
                      <w:spacing w:val="-10"/>
                      <w:sz w:val="21"/>
                      <w:szCs w:val="21"/>
                    </w:rPr>
                    <w:t>1</w:t>
                  </w:r>
                </w:p>
              </w:tc>
              <w:tc>
                <w:tcPr>
                  <w:tcW w:w="564" w:type="pct"/>
                  <w:noWrap w:val="0"/>
                  <w:vAlign w:val="center"/>
                </w:tcPr>
                <w:p>
                  <w:pPr>
                    <w:adjustRightInd w:val="0"/>
                    <w:snapToGrid w:val="0"/>
                    <w:spacing w:line="320" w:lineRule="exact"/>
                    <w:jc w:val="center"/>
                    <w:rPr>
                      <w:rFonts w:hint="eastAsia"/>
                      <w:bCs/>
                      <w:color w:val="auto"/>
                      <w:spacing w:val="-10"/>
                      <w:sz w:val="21"/>
                      <w:szCs w:val="21"/>
                      <w:lang w:val="en-US" w:eastAsia="zh-CN"/>
                    </w:rPr>
                  </w:pPr>
                  <w:r>
                    <w:rPr>
                      <w:rFonts w:hint="eastAsia"/>
                      <w:bCs/>
                      <w:spacing w:val="-10"/>
                      <w:sz w:val="21"/>
                      <w:szCs w:val="21"/>
                      <w:lang w:val="en-US" w:eastAsia="zh-CN"/>
                    </w:rPr>
                    <w:t>2</w:t>
                  </w:r>
                </w:p>
              </w:tc>
              <w:tc>
                <w:tcPr>
                  <w:tcW w:w="429" w:type="pct"/>
                  <w:noWrap w:val="0"/>
                  <w:vAlign w:val="center"/>
                </w:tcPr>
                <w:p>
                  <w:pPr>
                    <w:adjustRightInd w:val="0"/>
                    <w:snapToGrid w:val="0"/>
                    <w:spacing w:line="320" w:lineRule="exact"/>
                    <w:jc w:val="center"/>
                    <w:rPr>
                      <w:rFonts w:hint="default" w:eastAsia="宋体"/>
                      <w:bCs/>
                      <w:color w:val="auto"/>
                      <w:sz w:val="21"/>
                      <w:szCs w:val="21"/>
                      <w:lang w:val="en-US" w:eastAsia="zh-CN"/>
                    </w:rPr>
                  </w:pPr>
                  <w:r>
                    <w:rPr>
                      <w:rFonts w:hint="eastAsia" w:eastAsia="宋体"/>
                      <w:bCs/>
                      <w:color w:val="auto"/>
                      <w:sz w:val="21"/>
                      <w:szCs w:val="21"/>
                      <w:lang w:val="en-US" w:eastAsia="zh-CN"/>
                    </w:rPr>
                    <w:t>4.064</w:t>
                  </w:r>
                </w:p>
              </w:tc>
              <w:tc>
                <w:tcPr>
                  <w:tcW w:w="453" w:type="pct"/>
                  <w:vMerge w:val="continue"/>
                  <w:noWrap w:val="0"/>
                  <w:vAlign w:val="center"/>
                </w:tcPr>
                <w:p>
                  <w:pPr>
                    <w:adjustRightInd w:val="0"/>
                    <w:snapToGrid w:val="0"/>
                    <w:spacing w:line="320" w:lineRule="exact"/>
                    <w:jc w:val="center"/>
                    <w:rPr>
                      <w:bCs/>
                      <w:spacing w:val="-1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38" w:type="pct"/>
                  <w:noWrap w:val="0"/>
                  <w:vAlign w:val="center"/>
                </w:tcPr>
                <w:p>
                  <w:pPr>
                    <w:spacing w:line="240" w:lineRule="auto"/>
                    <w:jc w:val="center"/>
                    <w:rPr>
                      <w:rFonts w:hint="default" w:eastAsia="宋体"/>
                      <w:bCs/>
                      <w:spacing w:val="-10"/>
                      <w:sz w:val="21"/>
                      <w:szCs w:val="21"/>
                      <w:lang w:val="en-US" w:eastAsia="zh-CN"/>
                    </w:rPr>
                  </w:pPr>
                  <w:r>
                    <w:rPr>
                      <w:rFonts w:hint="eastAsia" w:eastAsia="宋体"/>
                      <w:bCs/>
                      <w:spacing w:val="-10"/>
                      <w:sz w:val="21"/>
                      <w:szCs w:val="21"/>
                      <w:lang w:val="en-US" w:eastAsia="zh-CN"/>
                    </w:rPr>
                    <w:t>搅拌粉尘</w:t>
                  </w:r>
                </w:p>
              </w:tc>
              <w:tc>
                <w:tcPr>
                  <w:tcW w:w="882" w:type="pct"/>
                  <w:noWrap w:val="0"/>
                  <w:vAlign w:val="center"/>
                </w:tcPr>
                <w:p>
                  <w:pPr>
                    <w:adjustRightInd w:val="0"/>
                    <w:snapToGrid w:val="0"/>
                    <w:spacing w:line="320" w:lineRule="exact"/>
                    <w:jc w:val="center"/>
                    <w:rPr>
                      <w:bCs/>
                      <w:spacing w:val="-10"/>
                      <w:sz w:val="21"/>
                      <w:szCs w:val="21"/>
                    </w:rPr>
                  </w:pPr>
                  <w:r>
                    <w:rPr>
                      <w:rFonts w:hint="eastAsia"/>
                      <w:bCs/>
                      <w:spacing w:val="-10"/>
                      <w:sz w:val="21"/>
                      <w:szCs w:val="21"/>
                      <w:lang w:val="en-US" w:eastAsia="zh-CN"/>
                    </w:rPr>
                    <w:t>除尘设施失效</w:t>
                  </w:r>
                  <w:r>
                    <w:rPr>
                      <w:bCs/>
                      <w:spacing w:val="-10"/>
                      <w:sz w:val="21"/>
                      <w:szCs w:val="21"/>
                    </w:rPr>
                    <w:t>，除尘效率</w:t>
                  </w:r>
                  <w:r>
                    <w:rPr>
                      <w:rFonts w:hint="eastAsia"/>
                      <w:bCs/>
                      <w:spacing w:val="-10"/>
                      <w:sz w:val="21"/>
                      <w:szCs w:val="21"/>
                    </w:rPr>
                    <w:t>0</w:t>
                  </w:r>
                  <w:r>
                    <w:rPr>
                      <w:bCs/>
                      <w:spacing w:val="-10"/>
                      <w:sz w:val="21"/>
                      <w:szCs w:val="21"/>
                    </w:rPr>
                    <w:t>%</w:t>
                  </w:r>
                </w:p>
              </w:tc>
              <w:tc>
                <w:tcPr>
                  <w:tcW w:w="457" w:type="pct"/>
                  <w:noWrap w:val="0"/>
                  <w:vAlign w:val="center"/>
                </w:tcPr>
                <w:p>
                  <w:pPr>
                    <w:adjustRightInd w:val="0"/>
                    <w:snapToGrid w:val="0"/>
                    <w:spacing w:line="320" w:lineRule="exact"/>
                    <w:jc w:val="center"/>
                    <w:rPr>
                      <w:bCs/>
                      <w:spacing w:val="-10"/>
                      <w:sz w:val="21"/>
                      <w:szCs w:val="21"/>
                    </w:rPr>
                  </w:pPr>
                  <w:r>
                    <w:rPr>
                      <w:bCs/>
                      <w:spacing w:val="-10"/>
                      <w:sz w:val="21"/>
                      <w:szCs w:val="21"/>
                    </w:rPr>
                    <w:t>颗粒物</w:t>
                  </w:r>
                </w:p>
              </w:tc>
              <w:tc>
                <w:tcPr>
                  <w:tcW w:w="687" w:type="pct"/>
                  <w:noWrap w:val="0"/>
                  <w:vAlign w:val="center"/>
                </w:tcPr>
                <w:p>
                  <w:pPr>
                    <w:adjustRightInd w:val="0"/>
                    <w:snapToGrid w:val="0"/>
                    <w:spacing w:line="320" w:lineRule="exact"/>
                    <w:jc w:val="center"/>
                    <w:rPr>
                      <w:bCs/>
                      <w:sz w:val="21"/>
                      <w:szCs w:val="21"/>
                    </w:rPr>
                  </w:pPr>
                  <w:r>
                    <w:rPr>
                      <w:rFonts w:hint="eastAsia"/>
                      <w:bCs/>
                      <w:sz w:val="21"/>
                      <w:szCs w:val="21"/>
                      <w:lang w:val="en-US" w:eastAsia="zh-CN"/>
                    </w:rPr>
                    <w:t>/</w:t>
                  </w:r>
                </w:p>
              </w:tc>
              <w:tc>
                <w:tcPr>
                  <w:tcW w:w="610" w:type="pct"/>
                  <w:noWrap w:val="0"/>
                  <w:vAlign w:val="center"/>
                </w:tcPr>
                <w:p>
                  <w:pPr>
                    <w:adjustRightInd w:val="0"/>
                    <w:snapToGrid w:val="0"/>
                    <w:spacing w:line="320" w:lineRule="exact"/>
                    <w:jc w:val="center"/>
                    <w:rPr>
                      <w:bCs/>
                      <w:sz w:val="21"/>
                      <w:szCs w:val="21"/>
                    </w:rPr>
                  </w:pPr>
                  <w:r>
                    <w:rPr>
                      <w:rFonts w:hint="eastAsia"/>
                      <w:sz w:val="21"/>
                      <w:szCs w:val="21"/>
                      <w:lang w:val="en-US" w:eastAsia="zh-CN"/>
                    </w:rPr>
                    <w:t>24.109</w:t>
                  </w:r>
                </w:p>
              </w:tc>
              <w:tc>
                <w:tcPr>
                  <w:tcW w:w="475" w:type="pct"/>
                  <w:noWrap w:val="0"/>
                  <w:vAlign w:val="center"/>
                </w:tcPr>
                <w:p>
                  <w:pPr>
                    <w:adjustRightInd w:val="0"/>
                    <w:snapToGrid w:val="0"/>
                    <w:spacing w:line="320" w:lineRule="exact"/>
                    <w:jc w:val="center"/>
                    <w:rPr>
                      <w:bCs/>
                      <w:spacing w:val="-10"/>
                      <w:sz w:val="21"/>
                      <w:szCs w:val="21"/>
                    </w:rPr>
                  </w:pPr>
                  <w:r>
                    <w:rPr>
                      <w:bCs/>
                      <w:spacing w:val="-10"/>
                      <w:sz w:val="21"/>
                      <w:szCs w:val="21"/>
                    </w:rPr>
                    <w:t>1</w:t>
                  </w:r>
                </w:p>
              </w:tc>
              <w:tc>
                <w:tcPr>
                  <w:tcW w:w="564" w:type="pct"/>
                  <w:noWrap w:val="0"/>
                  <w:vAlign w:val="center"/>
                </w:tcPr>
                <w:p>
                  <w:pPr>
                    <w:adjustRightInd w:val="0"/>
                    <w:snapToGrid w:val="0"/>
                    <w:spacing w:line="320" w:lineRule="exact"/>
                    <w:jc w:val="center"/>
                    <w:rPr>
                      <w:rFonts w:hint="eastAsia"/>
                      <w:bCs/>
                      <w:spacing w:val="-10"/>
                      <w:sz w:val="21"/>
                      <w:szCs w:val="21"/>
                    </w:rPr>
                  </w:pPr>
                  <w:r>
                    <w:rPr>
                      <w:rFonts w:hint="eastAsia"/>
                      <w:bCs/>
                      <w:spacing w:val="-10"/>
                      <w:sz w:val="21"/>
                      <w:szCs w:val="21"/>
                      <w:lang w:val="en-US" w:eastAsia="zh-CN"/>
                    </w:rPr>
                    <w:t>2</w:t>
                  </w:r>
                </w:p>
              </w:tc>
              <w:tc>
                <w:tcPr>
                  <w:tcW w:w="429" w:type="pct"/>
                  <w:noWrap w:val="0"/>
                  <w:vAlign w:val="center"/>
                </w:tcPr>
                <w:p>
                  <w:pPr>
                    <w:adjustRightInd w:val="0"/>
                    <w:snapToGrid w:val="0"/>
                    <w:spacing w:line="320" w:lineRule="exact"/>
                    <w:jc w:val="center"/>
                    <w:rPr>
                      <w:rFonts w:hint="default" w:eastAsia="宋体"/>
                      <w:bCs/>
                      <w:sz w:val="21"/>
                      <w:szCs w:val="21"/>
                      <w:lang w:val="en-US" w:eastAsia="zh-CN"/>
                    </w:rPr>
                  </w:pPr>
                  <w:r>
                    <w:rPr>
                      <w:rFonts w:hint="eastAsia"/>
                      <w:bCs/>
                      <w:sz w:val="21"/>
                      <w:szCs w:val="21"/>
                      <w:lang w:val="en-US" w:eastAsia="zh-CN"/>
                    </w:rPr>
                    <w:t>48.218</w:t>
                  </w:r>
                </w:p>
              </w:tc>
              <w:tc>
                <w:tcPr>
                  <w:tcW w:w="453" w:type="pct"/>
                  <w:vMerge w:val="continue"/>
                  <w:noWrap w:val="0"/>
                  <w:vAlign w:val="center"/>
                </w:tcPr>
                <w:p>
                  <w:pPr>
                    <w:adjustRightInd w:val="0"/>
                    <w:snapToGrid w:val="0"/>
                    <w:spacing w:line="320" w:lineRule="exact"/>
                    <w:jc w:val="center"/>
                    <w:rPr>
                      <w:bCs/>
                      <w:spacing w:val="-10"/>
                      <w:sz w:val="21"/>
                      <w:szCs w:val="21"/>
                    </w:rPr>
                  </w:pPr>
                </w:p>
              </w:tc>
            </w:tr>
          </w:tbl>
          <w:p>
            <w:pPr>
              <w:keepNext w:val="0"/>
              <w:keepLines w:val="0"/>
              <w:pageBreakBefore w:val="0"/>
              <w:kinsoku/>
              <w:wordWrap/>
              <w:overflowPunct/>
              <w:topLinePunct w:val="0"/>
              <w:autoSpaceDE/>
              <w:autoSpaceDN/>
              <w:bidi w:val="0"/>
              <w:adjustRightInd w:val="0"/>
              <w:snapToGrid w:val="0"/>
              <w:spacing w:line="520" w:lineRule="exact"/>
              <w:ind w:firstLine="440" w:firstLineChars="200"/>
              <w:textAlignment w:val="auto"/>
              <w:rPr>
                <w:rFonts w:hint="eastAsia" w:ascii="宋体" w:hAnsi="宋体" w:cs="宋体"/>
                <w:sz w:val="24"/>
              </w:rPr>
            </w:pPr>
            <w:r>
              <w:rPr>
                <w:rFonts w:hint="eastAsia" w:ascii="宋体" w:hAnsi="宋体" w:cs="宋体"/>
                <w:bCs/>
                <w:spacing w:val="-10"/>
                <w:sz w:val="24"/>
              </w:rPr>
              <w:t>为防止生产废气非正常工况排放，</w:t>
            </w:r>
            <w:r>
              <w:rPr>
                <w:sz w:val="24"/>
              </w:rPr>
              <w:t>及时检查废气处理装置的有效性和设备的运行情况，确保废气处理系统正常运行；开、停、检修要有预案，有严密周全的计划，降低非正常排放</w:t>
            </w:r>
            <w:r>
              <w:rPr>
                <w:rFonts w:hint="eastAsia"/>
                <w:sz w:val="24"/>
                <w:lang w:eastAsia="zh-CN"/>
              </w:rPr>
              <w:t>概率</w:t>
            </w:r>
            <w:r>
              <w:rPr>
                <w:sz w:val="24"/>
              </w:rPr>
              <w:t>，或使影响最小</w:t>
            </w:r>
            <w:r>
              <w:rPr>
                <w:rFonts w:hint="eastAsia" w:ascii="宋体" w:hAnsi="宋体" w:cs="宋体"/>
                <w:sz w:val="24"/>
              </w:rPr>
              <w:t>：</w:t>
            </w:r>
          </w:p>
          <w:p>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cs="宋体"/>
                <w:sz w:val="24"/>
              </w:rPr>
            </w:pPr>
            <w:r>
              <w:rPr>
                <w:rFonts w:hint="eastAsia" w:ascii="宋体" w:hAnsi="宋体" w:cs="宋体"/>
                <w:sz w:val="24"/>
              </w:rPr>
              <w:t>①为确保项目布袋除尘器能够有效收集和处理，评价建议定期对布袋除尘器装置检查和维修等；</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b w:val="0"/>
                <w:sz w:val="24"/>
              </w:rPr>
            </w:pPr>
            <w:r>
              <w:rPr>
                <w:b w:val="0"/>
                <w:sz w:val="24"/>
              </w:rPr>
              <w:t>②应设有备用电源和备用处理设备和零件，以备停电或设备出现故障时保障及时更换使废气全部做到达标排放。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ascii="宋体" w:hAnsi="宋体" w:cs="宋体"/>
                <w:b/>
                <w:bCs/>
                <w:sz w:val="24"/>
              </w:rPr>
            </w:pPr>
            <w:r>
              <w:rPr>
                <w:sz w:val="24"/>
              </w:rPr>
              <w:t>③对员工进行岗位培训。做好值班记录，实行岗位责任制</w:t>
            </w:r>
            <w:r>
              <w:rPr>
                <w:rFonts w:hint="eastAsia" w:ascii="宋体" w:hAnsi="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b/>
                <w:bCs/>
                <w:sz w:val="24"/>
              </w:rPr>
            </w:pPr>
            <w:r>
              <w:rPr>
                <w:rFonts w:hint="eastAsia"/>
                <w:b/>
                <w:bCs/>
                <w:kern w:val="2"/>
                <w:sz w:val="24"/>
                <w:szCs w:val="24"/>
                <w:lang w:val="en-US" w:eastAsia="zh-CN" w:bidi="ar-SA"/>
              </w:rPr>
              <w:t>3.</w:t>
            </w:r>
            <w:r>
              <w:rPr>
                <w:b/>
                <w:bCs/>
                <w:sz w:val="24"/>
              </w:rPr>
              <w:t>废气污染源源强核算</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textAlignment w:val="auto"/>
              <w:rPr>
                <w:rFonts w:hint="eastAsia"/>
                <w:b/>
                <w:bCs/>
                <w:sz w:val="24"/>
              </w:rPr>
            </w:pPr>
            <w:r>
              <w:rPr>
                <w:rFonts w:hint="eastAsia"/>
                <w:b/>
                <w:bCs/>
                <w:sz w:val="24"/>
              </w:rPr>
              <w:t>表</w:t>
            </w:r>
            <w:r>
              <w:rPr>
                <w:rFonts w:hint="eastAsia"/>
                <w:b/>
                <w:bCs/>
                <w:sz w:val="24"/>
                <w:lang w:val="en-US" w:eastAsia="zh-CN"/>
              </w:rPr>
              <w:t>4-3</w:t>
            </w:r>
            <w:r>
              <w:rPr>
                <w:rFonts w:hint="eastAsia"/>
                <w:b/>
                <w:bCs/>
                <w:sz w:val="24"/>
              </w:rPr>
              <w:t xml:space="preserve">   废气污染源源强核算结果一览表</w:t>
            </w:r>
          </w:p>
          <w:tbl>
            <w:tblPr>
              <w:tblStyle w:val="2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
              <w:gridCol w:w="463"/>
              <w:gridCol w:w="520"/>
              <w:gridCol w:w="335"/>
              <w:gridCol w:w="510"/>
              <w:gridCol w:w="518"/>
              <w:gridCol w:w="777"/>
              <w:gridCol w:w="407"/>
              <w:gridCol w:w="536"/>
              <w:gridCol w:w="463"/>
              <w:gridCol w:w="496"/>
              <w:gridCol w:w="563"/>
              <w:gridCol w:w="581"/>
              <w:gridCol w:w="579"/>
              <w:gridCol w:w="800"/>
              <w:gridCol w:w="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00"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序号</w:t>
                  </w:r>
                </w:p>
              </w:tc>
              <w:tc>
                <w:tcPr>
                  <w:tcW w:w="279"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产排污环节</w:t>
                  </w:r>
                </w:p>
              </w:tc>
              <w:tc>
                <w:tcPr>
                  <w:tcW w:w="313"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污染物种类</w:t>
                  </w:r>
                </w:p>
              </w:tc>
              <w:tc>
                <w:tcPr>
                  <w:tcW w:w="202"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排放形式</w:t>
                  </w:r>
                </w:p>
              </w:tc>
              <w:tc>
                <w:tcPr>
                  <w:tcW w:w="307"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污染物产生量</w:t>
                  </w:r>
                  <w:r>
                    <w:rPr>
                      <w:rFonts w:hint="eastAsia" w:ascii="Calibri" w:hAnsi="Calibri"/>
                      <w:color w:val="auto"/>
                      <w:sz w:val="21"/>
                      <w:szCs w:val="21"/>
                      <w:lang w:eastAsia="zh-CN"/>
                    </w:rPr>
                    <w:t>（</w:t>
                  </w:r>
                  <w:r>
                    <w:rPr>
                      <w:rFonts w:hint="default" w:ascii="Calibri" w:hAnsi="Calibri"/>
                      <w:color w:val="auto"/>
                      <w:sz w:val="21"/>
                      <w:szCs w:val="21"/>
                    </w:rPr>
                    <w:t>t/a</w:t>
                  </w:r>
                  <w:r>
                    <w:rPr>
                      <w:rFonts w:hint="eastAsia" w:ascii="Calibri" w:hAnsi="Calibri"/>
                      <w:color w:val="auto"/>
                      <w:sz w:val="21"/>
                      <w:szCs w:val="21"/>
                      <w:lang w:eastAsia="zh-CN"/>
                    </w:rPr>
                    <w:t>）</w:t>
                  </w:r>
                </w:p>
              </w:tc>
              <w:tc>
                <w:tcPr>
                  <w:tcW w:w="312"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污染物产生速率</w:t>
                  </w:r>
                  <w:r>
                    <w:rPr>
                      <w:rFonts w:hint="eastAsia" w:ascii="Calibri" w:hAnsi="Calibri"/>
                      <w:color w:val="auto"/>
                      <w:sz w:val="21"/>
                      <w:szCs w:val="21"/>
                      <w:lang w:eastAsia="zh-CN"/>
                    </w:rPr>
                    <w:t>（</w:t>
                  </w:r>
                  <w:r>
                    <w:rPr>
                      <w:rFonts w:hint="default" w:ascii="Calibri" w:hAnsi="Calibri"/>
                      <w:color w:val="auto"/>
                      <w:sz w:val="21"/>
                      <w:szCs w:val="21"/>
                    </w:rPr>
                    <w:t>kg/h</w:t>
                  </w:r>
                  <w:r>
                    <w:rPr>
                      <w:rFonts w:hint="eastAsia" w:ascii="Calibri" w:hAnsi="Calibri"/>
                      <w:color w:val="auto"/>
                      <w:sz w:val="21"/>
                      <w:szCs w:val="21"/>
                      <w:lang w:eastAsia="zh-CN"/>
                    </w:rPr>
                    <w:t>）</w:t>
                  </w:r>
                </w:p>
              </w:tc>
              <w:tc>
                <w:tcPr>
                  <w:tcW w:w="468"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污染物产生浓度</w:t>
                  </w:r>
                </w:p>
                <w:p>
                  <w:pPr>
                    <w:pStyle w:val="16"/>
                    <w:ind w:firstLine="0" w:firstLineChars="0"/>
                    <w:jc w:val="center"/>
                    <w:rPr>
                      <w:rFonts w:hint="default" w:ascii="Calibri" w:hAnsi="Calibri"/>
                      <w:color w:val="auto"/>
                      <w:sz w:val="21"/>
                      <w:szCs w:val="21"/>
                    </w:rPr>
                  </w:pPr>
                  <w:r>
                    <w:rPr>
                      <w:rFonts w:hint="default" w:ascii="Calibri" w:hAnsi="Calibri"/>
                      <w:color w:val="auto"/>
                      <w:sz w:val="21"/>
                      <w:szCs w:val="21"/>
                    </w:rPr>
                    <w:t>(mg/m</w:t>
                  </w:r>
                  <w:r>
                    <w:rPr>
                      <w:rFonts w:hint="default" w:ascii="Calibri" w:hAnsi="Calibri"/>
                      <w:color w:val="auto"/>
                      <w:sz w:val="21"/>
                      <w:szCs w:val="21"/>
                      <w:vertAlign w:val="superscript"/>
                    </w:rPr>
                    <w:t>3</w:t>
                  </w:r>
                  <w:r>
                    <w:rPr>
                      <w:rFonts w:hint="default" w:ascii="Calibri" w:hAnsi="Calibri"/>
                      <w:color w:val="auto"/>
                      <w:sz w:val="21"/>
                      <w:szCs w:val="21"/>
                    </w:rPr>
                    <w:t>)</w:t>
                  </w:r>
                </w:p>
              </w:tc>
              <w:tc>
                <w:tcPr>
                  <w:tcW w:w="1147" w:type="pct"/>
                  <w:gridSpan w:val="4"/>
                  <w:noWrap w:val="0"/>
                  <w:vAlign w:val="center"/>
                </w:tcPr>
                <w:p>
                  <w:pPr>
                    <w:jc w:val="center"/>
                    <w:rPr>
                      <w:rFonts w:hint="default" w:ascii="Calibri" w:hAnsi="Calibri"/>
                      <w:color w:val="auto"/>
                      <w:sz w:val="21"/>
                      <w:szCs w:val="21"/>
                    </w:rPr>
                  </w:pPr>
                  <w:r>
                    <w:rPr>
                      <w:rFonts w:hint="default" w:ascii="Calibri" w:hAnsi="Calibri"/>
                      <w:color w:val="auto"/>
                      <w:sz w:val="21"/>
                      <w:szCs w:val="21"/>
                    </w:rPr>
                    <w:t>污染治理设施</w:t>
                  </w:r>
                </w:p>
              </w:tc>
              <w:tc>
                <w:tcPr>
                  <w:tcW w:w="339"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污染物排放量（t/a）</w:t>
                  </w:r>
                </w:p>
              </w:tc>
              <w:tc>
                <w:tcPr>
                  <w:tcW w:w="350"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污染物 排放速率（kg/h</w:t>
                  </w:r>
                  <w:r>
                    <w:rPr>
                      <w:rFonts w:hint="eastAsia" w:ascii="Calibri" w:hAnsi="Calibri"/>
                      <w:color w:val="auto"/>
                      <w:sz w:val="21"/>
                      <w:szCs w:val="21"/>
                      <w:lang w:eastAsia="zh-CN"/>
                    </w:rPr>
                    <w:t>）</w:t>
                  </w:r>
                </w:p>
              </w:tc>
              <w:tc>
                <w:tcPr>
                  <w:tcW w:w="349"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污染物排放浓度</w:t>
                  </w:r>
                </w:p>
                <w:p>
                  <w:pPr>
                    <w:jc w:val="center"/>
                    <w:rPr>
                      <w:rFonts w:hint="default" w:ascii="Calibri" w:hAnsi="Calibri"/>
                      <w:color w:val="auto"/>
                      <w:sz w:val="21"/>
                      <w:szCs w:val="21"/>
                    </w:rPr>
                  </w:pPr>
                  <w:r>
                    <w:rPr>
                      <w:rFonts w:hint="default" w:ascii="Calibri" w:hAnsi="Calibri"/>
                      <w:color w:val="auto"/>
                      <w:sz w:val="21"/>
                      <w:szCs w:val="21"/>
                    </w:rPr>
                    <w:t>(mg/m</w:t>
                  </w:r>
                  <w:r>
                    <w:rPr>
                      <w:rFonts w:hint="default" w:ascii="Calibri" w:hAnsi="Calibri"/>
                      <w:color w:val="auto"/>
                      <w:sz w:val="21"/>
                      <w:szCs w:val="21"/>
                      <w:vertAlign w:val="superscript"/>
                    </w:rPr>
                    <w:t>3</w:t>
                  </w:r>
                  <w:r>
                    <w:rPr>
                      <w:rFonts w:hint="default" w:ascii="Calibri" w:hAnsi="Calibri"/>
                      <w:color w:val="auto"/>
                      <w:sz w:val="21"/>
                      <w:szCs w:val="21"/>
                    </w:rPr>
                    <w:t>)</w:t>
                  </w:r>
                </w:p>
              </w:tc>
              <w:tc>
                <w:tcPr>
                  <w:tcW w:w="482" w:type="pct"/>
                  <w:vMerge w:val="restart"/>
                  <w:noWrap w:val="0"/>
                  <w:vAlign w:val="center"/>
                </w:tcPr>
                <w:p>
                  <w:pPr>
                    <w:jc w:val="center"/>
                    <w:rPr>
                      <w:rFonts w:hint="default" w:ascii="Calibri" w:hAnsi="Calibri"/>
                      <w:color w:val="auto"/>
                      <w:sz w:val="21"/>
                      <w:szCs w:val="21"/>
                    </w:rPr>
                  </w:pPr>
                  <w:r>
                    <w:rPr>
                      <w:rFonts w:hint="default" w:ascii="Calibri" w:hAnsi="Calibri"/>
                      <w:color w:val="auto"/>
                      <w:sz w:val="21"/>
                      <w:szCs w:val="21"/>
                    </w:rPr>
                    <w:t>排放口名称</w:t>
                  </w:r>
                </w:p>
              </w:tc>
              <w:tc>
                <w:tcPr>
                  <w:tcW w:w="246" w:type="pct"/>
                  <w:vMerge w:val="restar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lang w:eastAsia="zh-CN"/>
                    </w:rPr>
                    <w:t>排放口编号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0" w:type="pct"/>
                  <w:vMerge w:val="continue"/>
                  <w:noWrap w:val="0"/>
                  <w:vAlign w:val="center"/>
                </w:tcPr>
                <w:p>
                  <w:pPr>
                    <w:jc w:val="center"/>
                    <w:rPr>
                      <w:rFonts w:hint="default" w:ascii="Calibri" w:hAnsi="Calibri"/>
                      <w:color w:val="auto"/>
                      <w:sz w:val="21"/>
                      <w:szCs w:val="21"/>
                    </w:rPr>
                  </w:pPr>
                </w:p>
              </w:tc>
              <w:tc>
                <w:tcPr>
                  <w:tcW w:w="279" w:type="pct"/>
                  <w:vMerge w:val="continue"/>
                  <w:noWrap w:val="0"/>
                  <w:vAlign w:val="center"/>
                </w:tcPr>
                <w:p>
                  <w:pPr>
                    <w:jc w:val="center"/>
                    <w:rPr>
                      <w:rFonts w:hint="default" w:ascii="Calibri" w:hAnsi="Calibri"/>
                      <w:color w:val="auto"/>
                      <w:sz w:val="21"/>
                      <w:szCs w:val="21"/>
                    </w:rPr>
                  </w:pPr>
                </w:p>
              </w:tc>
              <w:tc>
                <w:tcPr>
                  <w:tcW w:w="313" w:type="pct"/>
                  <w:vMerge w:val="continue"/>
                  <w:noWrap w:val="0"/>
                  <w:vAlign w:val="center"/>
                </w:tcPr>
                <w:p>
                  <w:pPr>
                    <w:jc w:val="center"/>
                    <w:rPr>
                      <w:rFonts w:hint="default" w:ascii="Calibri" w:hAnsi="Calibri"/>
                      <w:color w:val="auto"/>
                      <w:sz w:val="21"/>
                      <w:szCs w:val="21"/>
                    </w:rPr>
                  </w:pPr>
                </w:p>
              </w:tc>
              <w:tc>
                <w:tcPr>
                  <w:tcW w:w="202" w:type="pct"/>
                  <w:vMerge w:val="continue"/>
                  <w:noWrap w:val="0"/>
                  <w:vAlign w:val="center"/>
                </w:tcPr>
                <w:p>
                  <w:pPr>
                    <w:jc w:val="center"/>
                    <w:rPr>
                      <w:rFonts w:hint="default" w:ascii="Calibri" w:hAnsi="Calibri"/>
                      <w:color w:val="auto"/>
                      <w:sz w:val="21"/>
                      <w:szCs w:val="21"/>
                    </w:rPr>
                  </w:pPr>
                </w:p>
              </w:tc>
              <w:tc>
                <w:tcPr>
                  <w:tcW w:w="307" w:type="pct"/>
                  <w:vMerge w:val="continue"/>
                  <w:noWrap w:val="0"/>
                  <w:vAlign w:val="center"/>
                </w:tcPr>
                <w:p>
                  <w:pPr>
                    <w:jc w:val="center"/>
                    <w:rPr>
                      <w:rFonts w:hint="default" w:ascii="Calibri" w:hAnsi="Calibri"/>
                      <w:color w:val="auto"/>
                      <w:sz w:val="21"/>
                      <w:szCs w:val="21"/>
                    </w:rPr>
                  </w:pPr>
                </w:p>
              </w:tc>
              <w:tc>
                <w:tcPr>
                  <w:tcW w:w="312" w:type="pct"/>
                  <w:vMerge w:val="continue"/>
                  <w:noWrap w:val="0"/>
                  <w:vAlign w:val="center"/>
                </w:tcPr>
                <w:p>
                  <w:pPr>
                    <w:pStyle w:val="16"/>
                    <w:ind w:firstLine="0" w:firstLineChars="0"/>
                    <w:jc w:val="center"/>
                    <w:rPr>
                      <w:rFonts w:hint="default" w:ascii="Calibri" w:hAnsi="Calibri"/>
                      <w:color w:val="auto"/>
                      <w:sz w:val="21"/>
                      <w:szCs w:val="21"/>
                    </w:rPr>
                  </w:pPr>
                </w:p>
              </w:tc>
              <w:tc>
                <w:tcPr>
                  <w:tcW w:w="468" w:type="pct"/>
                  <w:vMerge w:val="continue"/>
                  <w:noWrap w:val="0"/>
                  <w:vAlign w:val="center"/>
                </w:tcPr>
                <w:p>
                  <w:pPr>
                    <w:pStyle w:val="16"/>
                    <w:ind w:firstLine="0" w:firstLineChars="0"/>
                    <w:jc w:val="center"/>
                    <w:rPr>
                      <w:rFonts w:hint="default" w:ascii="Calibri" w:hAnsi="Calibri"/>
                      <w:color w:val="auto"/>
                      <w:sz w:val="21"/>
                      <w:szCs w:val="21"/>
                    </w:rPr>
                  </w:pPr>
                </w:p>
              </w:tc>
              <w:tc>
                <w:tcPr>
                  <w:tcW w:w="245"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名称及工艺</w:t>
                  </w:r>
                </w:p>
              </w:tc>
              <w:tc>
                <w:tcPr>
                  <w:tcW w:w="323"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收集效率%</w:t>
                  </w:r>
                </w:p>
              </w:tc>
              <w:tc>
                <w:tcPr>
                  <w:tcW w:w="279"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去除效率%</w:t>
                  </w:r>
                </w:p>
              </w:tc>
              <w:tc>
                <w:tcPr>
                  <w:tcW w:w="299"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是否为可行技术</w:t>
                  </w:r>
                </w:p>
              </w:tc>
              <w:tc>
                <w:tcPr>
                  <w:tcW w:w="339" w:type="pct"/>
                  <w:vMerge w:val="continue"/>
                  <w:noWrap w:val="0"/>
                  <w:vAlign w:val="center"/>
                </w:tcPr>
                <w:p>
                  <w:pPr>
                    <w:jc w:val="center"/>
                    <w:rPr>
                      <w:rFonts w:hint="default" w:ascii="Calibri" w:hAnsi="Calibri"/>
                      <w:color w:val="auto"/>
                      <w:sz w:val="21"/>
                      <w:szCs w:val="21"/>
                    </w:rPr>
                  </w:pPr>
                </w:p>
              </w:tc>
              <w:tc>
                <w:tcPr>
                  <w:tcW w:w="350" w:type="pct"/>
                  <w:vMerge w:val="continue"/>
                  <w:noWrap w:val="0"/>
                  <w:vAlign w:val="center"/>
                </w:tcPr>
                <w:p>
                  <w:pPr>
                    <w:jc w:val="center"/>
                    <w:rPr>
                      <w:rFonts w:hint="default" w:ascii="Calibri" w:hAnsi="Calibri"/>
                      <w:color w:val="auto"/>
                      <w:sz w:val="21"/>
                      <w:szCs w:val="21"/>
                    </w:rPr>
                  </w:pPr>
                </w:p>
              </w:tc>
              <w:tc>
                <w:tcPr>
                  <w:tcW w:w="349" w:type="pct"/>
                  <w:vMerge w:val="continue"/>
                  <w:noWrap w:val="0"/>
                  <w:vAlign w:val="center"/>
                </w:tcPr>
                <w:p>
                  <w:pPr>
                    <w:jc w:val="center"/>
                    <w:rPr>
                      <w:rFonts w:hint="default" w:ascii="Calibri" w:hAnsi="Calibri"/>
                      <w:color w:val="auto"/>
                      <w:sz w:val="21"/>
                      <w:szCs w:val="21"/>
                    </w:rPr>
                  </w:pPr>
                </w:p>
              </w:tc>
              <w:tc>
                <w:tcPr>
                  <w:tcW w:w="482" w:type="pct"/>
                  <w:vMerge w:val="continue"/>
                  <w:noWrap w:val="0"/>
                  <w:vAlign w:val="center"/>
                </w:tcPr>
                <w:p>
                  <w:pPr>
                    <w:jc w:val="center"/>
                    <w:rPr>
                      <w:rFonts w:hint="default" w:ascii="Calibri" w:hAnsi="Calibri"/>
                      <w:color w:val="auto"/>
                      <w:sz w:val="21"/>
                      <w:szCs w:val="21"/>
                    </w:rPr>
                  </w:pPr>
                </w:p>
              </w:tc>
              <w:tc>
                <w:tcPr>
                  <w:tcW w:w="246" w:type="pct"/>
                  <w:vMerge w:val="continue"/>
                  <w:noWrap w:val="0"/>
                  <w:vAlign w:val="center"/>
                </w:tcPr>
                <w:p>
                  <w:pPr>
                    <w:jc w:val="center"/>
                    <w:rPr>
                      <w:rFonts w:hint="default" w:ascii="Calibri" w:hAnsi="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200"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1</w:t>
                  </w:r>
                </w:p>
              </w:tc>
              <w:tc>
                <w:tcPr>
                  <w:tcW w:w="279" w:type="pct"/>
                  <w:noWrap w:val="0"/>
                  <w:vAlign w:val="center"/>
                </w:tcPr>
                <w:p>
                  <w:pPr>
                    <w:jc w:val="center"/>
                    <w:rPr>
                      <w:rFonts w:hint="default" w:ascii="Calibri" w:hAnsi="Calibri"/>
                      <w:color w:val="auto"/>
                      <w:sz w:val="21"/>
                      <w:szCs w:val="21"/>
                    </w:rPr>
                  </w:pPr>
                  <w:r>
                    <w:rPr>
                      <w:rFonts w:hint="default" w:ascii="Calibri" w:hAnsi="Calibri"/>
                      <w:bCs/>
                      <w:color w:val="auto"/>
                      <w:sz w:val="21"/>
                      <w:szCs w:val="21"/>
                    </w:rPr>
                    <w:t>砂石料</w:t>
                  </w:r>
                  <w:r>
                    <w:rPr>
                      <w:rFonts w:hint="default" w:ascii="Calibri" w:hAnsi="Calibri"/>
                      <w:bCs/>
                      <w:color w:val="auto"/>
                      <w:sz w:val="21"/>
                      <w:szCs w:val="21"/>
                      <w:lang w:eastAsia="zh-CN"/>
                    </w:rPr>
                    <w:t>堆存</w:t>
                  </w:r>
                </w:p>
              </w:tc>
              <w:tc>
                <w:tcPr>
                  <w:tcW w:w="313"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颗粒物</w:t>
                  </w:r>
                </w:p>
              </w:tc>
              <w:tc>
                <w:tcPr>
                  <w:tcW w:w="202"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无组织</w:t>
                  </w:r>
                </w:p>
              </w:tc>
              <w:tc>
                <w:tcPr>
                  <w:tcW w:w="307"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31.72</w:t>
                  </w:r>
                </w:p>
              </w:tc>
              <w:tc>
                <w:tcPr>
                  <w:tcW w:w="312"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4.895</w:t>
                  </w:r>
                </w:p>
              </w:tc>
              <w:tc>
                <w:tcPr>
                  <w:tcW w:w="468"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w:t>
                  </w:r>
                </w:p>
              </w:tc>
              <w:tc>
                <w:tcPr>
                  <w:tcW w:w="245" w:type="pc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rPr>
                    <w:t>封闭式</w:t>
                  </w:r>
                  <w:r>
                    <w:rPr>
                      <w:rFonts w:hint="default" w:ascii="Calibri" w:hAnsi="Calibri"/>
                      <w:color w:val="auto"/>
                      <w:sz w:val="21"/>
                      <w:szCs w:val="21"/>
                      <w:lang w:eastAsia="zh-CN"/>
                    </w:rPr>
                    <w:t>堆场</w:t>
                  </w:r>
                  <w:r>
                    <w:rPr>
                      <w:rFonts w:hint="default" w:ascii="Calibri" w:hAnsi="Calibri"/>
                      <w:color w:val="auto"/>
                      <w:sz w:val="21"/>
                      <w:szCs w:val="21"/>
                    </w:rPr>
                    <w:t>及</w:t>
                  </w:r>
                  <w:r>
                    <w:rPr>
                      <w:rFonts w:hint="default" w:ascii="Calibri" w:hAnsi="Calibri"/>
                      <w:color w:val="auto"/>
                      <w:sz w:val="21"/>
                      <w:szCs w:val="21"/>
                      <w:lang w:eastAsia="zh-CN"/>
                    </w:rPr>
                    <w:t>喷淋</w:t>
                  </w:r>
                </w:p>
              </w:tc>
              <w:tc>
                <w:tcPr>
                  <w:tcW w:w="323"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w:t>
                  </w:r>
                </w:p>
              </w:tc>
              <w:tc>
                <w:tcPr>
                  <w:tcW w:w="279"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99+74</w:t>
                  </w:r>
                </w:p>
              </w:tc>
              <w:tc>
                <w:tcPr>
                  <w:tcW w:w="299"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是</w:t>
                  </w:r>
                </w:p>
              </w:tc>
              <w:tc>
                <w:tcPr>
                  <w:tcW w:w="339"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0.082</w:t>
                  </w:r>
                </w:p>
              </w:tc>
              <w:tc>
                <w:tcPr>
                  <w:tcW w:w="350"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0.013</w:t>
                  </w:r>
                </w:p>
              </w:tc>
              <w:tc>
                <w:tcPr>
                  <w:tcW w:w="349"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w:t>
                  </w:r>
                </w:p>
              </w:tc>
              <w:tc>
                <w:tcPr>
                  <w:tcW w:w="482" w:type="pc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lang w:val="en-US" w:eastAsia="zh-CN"/>
                    </w:rPr>
                    <w:t>/</w:t>
                  </w:r>
                </w:p>
              </w:tc>
              <w:tc>
                <w:tcPr>
                  <w:tcW w:w="246" w:type="pct"/>
                  <w:noWrap w:val="0"/>
                  <w:vAlign w:val="center"/>
                </w:tcPr>
                <w:p>
                  <w:pPr>
                    <w:jc w:val="center"/>
                    <w:rPr>
                      <w:rFonts w:hint="default" w:ascii="Calibri" w:hAnsi="Calibri"/>
                      <w:color w:val="auto"/>
                      <w:sz w:val="21"/>
                      <w:szCs w:val="21"/>
                      <w:lang w:val="en-US" w:eastAsia="zh-CN"/>
                    </w:rPr>
                  </w:pPr>
                  <w:r>
                    <w:rPr>
                      <w:rFonts w:hint="default" w:ascii="Calibri" w:hAnsi="Calibri"/>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4" w:hRule="atLeast"/>
              </w:trPr>
              <w:tc>
                <w:tcPr>
                  <w:tcW w:w="200"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2</w:t>
                  </w:r>
                </w:p>
              </w:tc>
              <w:tc>
                <w:tcPr>
                  <w:tcW w:w="279"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bCs/>
                      <w:color w:val="auto"/>
                      <w:sz w:val="21"/>
                      <w:szCs w:val="21"/>
                      <w:lang w:eastAsia="zh-CN"/>
                    </w:rPr>
                    <w:t>砂石料上料</w:t>
                  </w:r>
                  <w:r>
                    <w:rPr>
                      <w:rFonts w:hint="default" w:ascii="Calibri" w:hAnsi="Calibri"/>
                      <w:bCs/>
                      <w:color w:val="auto"/>
                      <w:sz w:val="21"/>
                      <w:szCs w:val="21"/>
                      <w:lang w:val="en-US" w:eastAsia="zh-CN"/>
                    </w:rPr>
                    <w:t>及输送</w:t>
                  </w:r>
                </w:p>
              </w:tc>
              <w:tc>
                <w:tcPr>
                  <w:tcW w:w="313" w:type="pc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lang w:eastAsia="zh-CN"/>
                    </w:rPr>
                    <w:t>颗粒物</w:t>
                  </w:r>
                </w:p>
              </w:tc>
              <w:tc>
                <w:tcPr>
                  <w:tcW w:w="202" w:type="pc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lang w:eastAsia="zh-CN"/>
                    </w:rPr>
                    <w:t>无组织</w:t>
                  </w:r>
                </w:p>
              </w:tc>
              <w:tc>
                <w:tcPr>
                  <w:tcW w:w="307" w:type="pct"/>
                  <w:noWrap w:val="0"/>
                  <w:vAlign w:val="center"/>
                </w:tcPr>
                <w:p>
                  <w:pPr>
                    <w:jc w:val="center"/>
                    <w:rPr>
                      <w:rFonts w:hint="default" w:ascii="Calibri" w:hAnsi="Calibri" w:eastAsia="宋体"/>
                      <w:color w:val="auto"/>
                      <w:sz w:val="21"/>
                      <w:szCs w:val="21"/>
                      <w:lang w:val="en-US" w:eastAsia="zh-CN"/>
                    </w:rPr>
                  </w:pPr>
                  <w:r>
                    <w:rPr>
                      <w:rFonts w:hint="default" w:ascii="Calibri" w:hAnsi="Calibri" w:eastAsia="宋体"/>
                      <w:color w:val="auto"/>
                      <w:sz w:val="21"/>
                      <w:szCs w:val="21"/>
                      <w:lang w:val="en-US" w:eastAsia="zh-CN"/>
                    </w:rPr>
                    <w:t>0.145</w:t>
                  </w:r>
                </w:p>
              </w:tc>
              <w:tc>
                <w:tcPr>
                  <w:tcW w:w="312" w:type="pct"/>
                  <w:noWrap w:val="0"/>
                  <w:vAlign w:val="center"/>
                </w:tcPr>
                <w:p>
                  <w:pPr>
                    <w:jc w:val="center"/>
                    <w:rPr>
                      <w:rFonts w:hint="default" w:ascii="Calibri" w:hAnsi="Calibri" w:eastAsia="宋体"/>
                      <w:color w:val="auto"/>
                      <w:sz w:val="21"/>
                      <w:szCs w:val="21"/>
                      <w:lang w:val="en-US" w:eastAsia="zh-CN"/>
                    </w:rPr>
                  </w:pPr>
                  <w:r>
                    <w:rPr>
                      <w:rFonts w:hint="default" w:ascii="Calibri" w:hAnsi="Calibri" w:eastAsia="宋体"/>
                      <w:color w:val="auto"/>
                      <w:sz w:val="21"/>
                      <w:szCs w:val="21"/>
                      <w:lang w:val="en-US" w:eastAsia="zh-CN"/>
                    </w:rPr>
                    <w:t>0.067</w:t>
                  </w:r>
                </w:p>
              </w:tc>
              <w:tc>
                <w:tcPr>
                  <w:tcW w:w="468"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w:t>
                  </w:r>
                </w:p>
              </w:tc>
              <w:tc>
                <w:tcPr>
                  <w:tcW w:w="245" w:type="pc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lang w:eastAsia="zh-CN"/>
                    </w:rPr>
                    <w:t>半封闭料仓及</w:t>
                  </w:r>
                  <w:r>
                    <w:rPr>
                      <w:rFonts w:hint="default" w:ascii="Calibri" w:hAnsi="Calibri"/>
                      <w:color w:val="auto"/>
                      <w:sz w:val="21"/>
                      <w:szCs w:val="21"/>
                      <w:lang w:val="en-US" w:eastAsia="zh-CN"/>
                    </w:rPr>
                    <w:t>洒水</w:t>
                  </w:r>
                </w:p>
              </w:tc>
              <w:tc>
                <w:tcPr>
                  <w:tcW w:w="323"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w:t>
                  </w:r>
                </w:p>
              </w:tc>
              <w:tc>
                <w:tcPr>
                  <w:tcW w:w="279"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60+74</w:t>
                  </w:r>
                </w:p>
              </w:tc>
              <w:tc>
                <w:tcPr>
                  <w:tcW w:w="299" w:type="pc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lang w:eastAsia="zh-CN"/>
                    </w:rPr>
                    <w:t>是</w:t>
                  </w:r>
                </w:p>
              </w:tc>
              <w:tc>
                <w:tcPr>
                  <w:tcW w:w="339"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0.015</w:t>
                  </w:r>
                </w:p>
              </w:tc>
              <w:tc>
                <w:tcPr>
                  <w:tcW w:w="350"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0.007</w:t>
                  </w:r>
                </w:p>
              </w:tc>
              <w:tc>
                <w:tcPr>
                  <w:tcW w:w="349"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w:t>
                  </w:r>
                </w:p>
              </w:tc>
              <w:tc>
                <w:tcPr>
                  <w:tcW w:w="482" w:type="pct"/>
                  <w:noWrap w:val="0"/>
                  <w:vAlign w:val="center"/>
                </w:tcPr>
                <w:p>
                  <w:pPr>
                    <w:jc w:val="center"/>
                    <w:rPr>
                      <w:rFonts w:hint="default" w:ascii="Calibri" w:hAnsi="Calibri"/>
                      <w:color w:val="auto"/>
                      <w:sz w:val="21"/>
                      <w:szCs w:val="21"/>
                      <w:lang w:val="en-US" w:eastAsia="zh-CN"/>
                    </w:rPr>
                  </w:pPr>
                  <w:r>
                    <w:rPr>
                      <w:rFonts w:hint="default" w:ascii="Calibri" w:hAnsi="Calibri"/>
                      <w:color w:val="auto"/>
                      <w:sz w:val="21"/>
                      <w:szCs w:val="21"/>
                      <w:lang w:val="en-US" w:eastAsia="zh-CN"/>
                    </w:rPr>
                    <w:t>/</w:t>
                  </w:r>
                </w:p>
              </w:tc>
              <w:tc>
                <w:tcPr>
                  <w:tcW w:w="246" w:type="pct"/>
                  <w:noWrap w:val="0"/>
                  <w:vAlign w:val="center"/>
                </w:tcPr>
                <w:p>
                  <w:pPr>
                    <w:jc w:val="center"/>
                    <w:rPr>
                      <w:rFonts w:hint="default" w:ascii="Calibri" w:hAnsi="Calibri"/>
                      <w:color w:val="auto"/>
                      <w:sz w:val="21"/>
                      <w:szCs w:val="21"/>
                      <w:lang w:val="en-US" w:eastAsia="zh-CN"/>
                    </w:rPr>
                  </w:pPr>
                  <w:r>
                    <w:rPr>
                      <w:rFonts w:hint="default" w:ascii="Calibri" w:hAnsi="Calibri"/>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0" w:hRule="atLeast"/>
              </w:trPr>
              <w:tc>
                <w:tcPr>
                  <w:tcW w:w="200" w:type="pct"/>
                  <w:noWrap w:val="0"/>
                  <w:vAlign w:val="center"/>
                </w:tcPr>
                <w:p>
                  <w:pPr>
                    <w:jc w:val="center"/>
                    <w:rPr>
                      <w:rFonts w:hint="default" w:ascii="Calibri" w:hAnsi="Calibri" w:eastAsia="宋体"/>
                      <w:color w:val="auto"/>
                      <w:sz w:val="21"/>
                      <w:szCs w:val="21"/>
                      <w:lang w:eastAsia="zh-CN"/>
                    </w:rPr>
                  </w:pPr>
                  <w:r>
                    <w:rPr>
                      <w:rFonts w:hint="default" w:ascii="Calibri" w:hAnsi="Calibri"/>
                      <w:color w:val="auto"/>
                      <w:sz w:val="21"/>
                      <w:szCs w:val="21"/>
                      <w:lang w:val="en-US" w:eastAsia="zh-CN"/>
                    </w:rPr>
                    <w:t>3</w:t>
                  </w:r>
                </w:p>
              </w:tc>
              <w:tc>
                <w:tcPr>
                  <w:tcW w:w="279" w:type="pct"/>
                  <w:noWrap w:val="0"/>
                  <w:vAlign w:val="center"/>
                </w:tcPr>
                <w:p>
                  <w:pPr>
                    <w:jc w:val="center"/>
                    <w:rPr>
                      <w:rFonts w:hint="default" w:ascii="Calibri" w:hAnsi="Calibri"/>
                      <w:bCs/>
                      <w:color w:val="auto"/>
                      <w:sz w:val="21"/>
                      <w:szCs w:val="21"/>
                    </w:rPr>
                  </w:pPr>
                  <w:r>
                    <w:rPr>
                      <w:rFonts w:hint="default" w:ascii="Calibri" w:hAnsi="Calibri"/>
                      <w:bCs/>
                      <w:color w:val="auto"/>
                      <w:sz w:val="21"/>
                      <w:szCs w:val="21"/>
                    </w:rPr>
                    <w:t>搅拌</w:t>
                  </w:r>
                </w:p>
              </w:tc>
              <w:tc>
                <w:tcPr>
                  <w:tcW w:w="313"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颗粒物</w:t>
                  </w:r>
                </w:p>
              </w:tc>
              <w:tc>
                <w:tcPr>
                  <w:tcW w:w="202" w:type="pct"/>
                  <w:noWrap w:val="0"/>
                  <w:vAlign w:val="center"/>
                </w:tcPr>
                <w:p>
                  <w:pPr>
                    <w:jc w:val="center"/>
                    <w:rPr>
                      <w:rFonts w:hint="default" w:ascii="Calibri" w:hAnsi="Calibri"/>
                      <w:color w:val="auto"/>
                      <w:sz w:val="21"/>
                      <w:szCs w:val="21"/>
                    </w:rPr>
                  </w:pPr>
                  <w:r>
                    <w:rPr>
                      <w:rFonts w:hint="default" w:ascii="Calibri" w:hAnsi="Calibri"/>
                      <w:color w:val="auto"/>
                      <w:sz w:val="21"/>
                      <w:szCs w:val="21"/>
                      <w:lang w:val="en-US" w:eastAsia="zh-CN"/>
                    </w:rPr>
                    <w:t>无</w:t>
                  </w:r>
                  <w:r>
                    <w:rPr>
                      <w:rFonts w:hint="default" w:ascii="Calibri" w:hAnsi="Calibri"/>
                      <w:color w:val="auto"/>
                      <w:sz w:val="21"/>
                      <w:szCs w:val="21"/>
                    </w:rPr>
                    <w:t>组织</w:t>
                  </w:r>
                </w:p>
              </w:tc>
              <w:tc>
                <w:tcPr>
                  <w:tcW w:w="307"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eastAsia="宋体"/>
                      <w:bCs/>
                      <w:color w:val="auto"/>
                      <w:sz w:val="21"/>
                      <w:szCs w:val="21"/>
                      <w:lang w:val="en-US" w:eastAsia="zh-CN"/>
                    </w:rPr>
                    <w:t>52.075</w:t>
                  </w:r>
                </w:p>
              </w:tc>
              <w:tc>
                <w:tcPr>
                  <w:tcW w:w="312" w:type="pct"/>
                  <w:noWrap w:val="0"/>
                  <w:vAlign w:val="center"/>
                </w:tcPr>
                <w:p>
                  <w:pPr>
                    <w:jc w:val="center"/>
                    <w:rPr>
                      <w:rFonts w:hint="default" w:ascii="Calibri" w:hAnsi="Calibri" w:eastAsia="宋体"/>
                      <w:color w:val="auto"/>
                      <w:sz w:val="21"/>
                      <w:szCs w:val="21"/>
                      <w:lang w:val="en-US" w:eastAsia="zh-CN"/>
                    </w:rPr>
                  </w:pPr>
                  <w:r>
                    <w:rPr>
                      <w:rFonts w:hint="default" w:ascii="Calibri" w:hAnsi="Calibri" w:eastAsia="宋体"/>
                      <w:color w:val="auto"/>
                      <w:sz w:val="21"/>
                      <w:szCs w:val="21"/>
                      <w:lang w:val="en-US" w:eastAsia="zh-CN"/>
                    </w:rPr>
                    <w:t>24.109</w:t>
                  </w:r>
                </w:p>
              </w:tc>
              <w:tc>
                <w:tcPr>
                  <w:tcW w:w="468"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eastAsia="宋体"/>
                      <w:bCs/>
                      <w:color w:val="auto"/>
                      <w:sz w:val="21"/>
                      <w:szCs w:val="21"/>
                      <w:lang w:val="en-US" w:eastAsia="zh-CN"/>
                    </w:rPr>
                    <w:t>/</w:t>
                  </w:r>
                </w:p>
              </w:tc>
              <w:tc>
                <w:tcPr>
                  <w:tcW w:w="245" w:type="pct"/>
                  <w:noWrap w:val="0"/>
                  <w:vAlign w:val="center"/>
                </w:tcPr>
                <w:p>
                  <w:pPr>
                    <w:jc w:val="center"/>
                    <w:rPr>
                      <w:rFonts w:hint="default" w:ascii="Calibri" w:hAnsi="Calibri"/>
                      <w:bCs/>
                      <w:color w:val="auto"/>
                      <w:sz w:val="21"/>
                      <w:szCs w:val="21"/>
                    </w:rPr>
                  </w:pPr>
                  <w:r>
                    <w:rPr>
                      <w:rFonts w:hint="default" w:ascii="Calibri" w:hAnsi="Calibri"/>
                      <w:bCs/>
                      <w:color w:val="auto"/>
                      <w:sz w:val="21"/>
                      <w:szCs w:val="21"/>
                    </w:rPr>
                    <w:t>布袋除尘器</w:t>
                  </w:r>
                </w:p>
              </w:tc>
              <w:tc>
                <w:tcPr>
                  <w:tcW w:w="323" w:type="pct"/>
                  <w:noWrap w:val="0"/>
                  <w:vAlign w:val="center"/>
                </w:tcPr>
                <w:p>
                  <w:pPr>
                    <w:jc w:val="center"/>
                    <w:rPr>
                      <w:rFonts w:hint="default" w:ascii="Calibri" w:hAnsi="Calibri"/>
                      <w:bCs/>
                      <w:color w:val="auto"/>
                      <w:sz w:val="21"/>
                      <w:szCs w:val="21"/>
                    </w:rPr>
                  </w:pPr>
                  <w:r>
                    <w:rPr>
                      <w:rFonts w:hint="default" w:ascii="Calibri" w:hAnsi="Calibri"/>
                      <w:bCs/>
                      <w:color w:val="auto"/>
                      <w:sz w:val="21"/>
                      <w:szCs w:val="21"/>
                    </w:rPr>
                    <w:t>100</w:t>
                  </w:r>
                </w:p>
              </w:tc>
              <w:tc>
                <w:tcPr>
                  <w:tcW w:w="279"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bCs/>
                      <w:color w:val="auto"/>
                      <w:sz w:val="21"/>
                      <w:szCs w:val="21"/>
                    </w:rPr>
                    <w:t>99</w:t>
                  </w:r>
                  <w:r>
                    <w:rPr>
                      <w:rFonts w:hint="default" w:ascii="Calibri" w:hAnsi="Calibri"/>
                      <w:bCs/>
                      <w:color w:val="auto"/>
                      <w:sz w:val="21"/>
                      <w:szCs w:val="21"/>
                      <w:lang w:val="en-US" w:eastAsia="zh-CN"/>
                    </w:rPr>
                    <w:t>.7</w:t>
                  </w:r>
                </w:p>
              </w:tc>
              <w:tc>
                <w:tcPr>
                  <w:tcW w:w="299"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是</w:t>
                  </w:r>
                </w:p>
              </w:tc>
              <w:tc>
                <w:tcPr>
                  <w:tcW w:w="339"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eastAsia="宋体"/>
                      <w:bCs/>
                      <w:color w:val="auto"/>
                      <w:sz w:val="21"/>
                      <w:szCs w:val="21"/>
                      <w:lang w:val="en-US" w:eastAsia="zh-CN"/>
                    </w:rPr>
                    <w:t>0.156</w:t>
                  </w:r>
                </w:p>
              </w:tc>
              <w:tc>
                <w:tcPr>
                  <w:tcW w:w="350" w:type="pct"/>
                  <w:noWrap w:val="0"/>
                  <w:vAlign w:val="center"/>
                </w:tcPr>
                <w:p>
                  <w:pPr>
                    <w:jc w:val="center"/>
                    <w:rPr>
                      <w:rFonts w:hint="default" w:ascii="Calibri" w:hAnsi="Calibri" w:eastAsia="宋体"/>
                      <w:color w:val="auto"/>
                      <w:sz w:val="21"/>
                      <w:szCs w:val="21"/>
                      <w:lang w:val="en-US" w:eastAsia="zh-CN"/>
                    </w:rPr>
                  </w:pPr>
                  <w:r>
                    <w:rPr>
                      <w:rFonts w:hint="default" w:ascii="Calibri" w:hAnsi="Calibri" w:eastAsia="宋体"/>
                      <w:color w:val="auto"/>
                      <w:sz w:val="21"/>
                      <w:szCs w:val="21"/>
                      <w:lang w:val="en-US" w:eastAsia="zh-CN"/>
                    </w:rPr>
                    <w:t>0.072</w:t>
                  </w:r>
                </w:p>
              </w:tc>
              <w:tc>
                <w:tcPr>
                  <w:tcW w:w="349"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eastAsia="宋体"/>
                      <w:bCs/>
                      <w:color w:val="auto"/>
                      <w:sz w:val="21"/>
                      <w:szCs w:val="21"/>
                      <w:lang w:val="en-US" w:eastAsia="zh-CN"/>
                    </w:rPr>
                    <w:t>/</w:t>
                  </w:r>
                </w:p>
              </w:tc>
              <w:tc>
                <w:tcPr>
                  <w:tcW w:w="482"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w:t>
                  </w:r>
                </w:p>
              </w:tc>
              <w:tc>
                <w:tcPr>
                  <w:tcW w:w="246"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eastAsia="宋体"/>
                      <w:bCs/>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6" w:hRule="atLeast"/>
              </w:trPr>
              <w:tc>
                <w:tcPr>
                  <w:tcW w:w="200" w:type="pct"/>
                  <w:noWrap w:val="0"/>
                  <w:vAlign w:val="center"/>
                </w:tcPr>
                <w:p>
                  <w:pPr>
                    <w:jc w:val="center"/>
                    <w:rPr>
                      <w:rFonts w:hint="default" w:ascii="Calibri" w:hAnsi="Calibri" w:eastAsia="宋体"/>
                      <w:color w:val="auto"/>
                      <w:sz w:val="21"/>
                      <w:szCs w:val="21"/>
                      <w:lang w:val="en-US" w:eastAsia="zh-CN"/>
                    </w:rPr>
                  </w:pPr>
                  <w:r>
                    <w:rPr>
                      <w:rFonts w:hint="default" w:ascii="Calibri" w:hAnsi="Calibri" w:eastAsia="宋体"/>
                      <w:color w:val="auto"/>
                      <w:sz w:val="21"/>
                      <w:szCs w:val="21"/>
                      <w:lang w:val="en-US" w:eastAsia="zh-CN"/>
                    </w:rPr>
                    <w:t>4</w:t>
                  </w:r>
                </w:p>
              </w:tc>
              <w:tc>
                <w:tcPr>
                  <w:tcW w:w="279" w:type="pct"/>
                  <w:noWrap w:val="0"/>
                  <w:vAlign w:val="center"/>
                </w:tcPr>
                <w:p>
                  <w:pPr>
                    <w:jc w:val="center"/>
                    <w:rPr>
                      <w:rFonts w:hint="default" w:ascii="Calibri" w:hAnsi="Calibri"/>
                      <w:bCs/>
                      <w:color w:val="auto"/>
                      <w:sz w:val="21"/>
                      <w:szCs w:val="21"/>
                    </w:rPr>
                  </w:pPr>
                  <w:r>
                    <w:rPr>
                      <w:rFonts w:hint="default" w:ascii="Calibri" w:hAnsi="Calibri"/>
                      <w:bCs/>
                      <w:color w:val="auto"/>
                      <w:sz w:val="21"/>
                      <w:szCs w:val="21"/>
                      <w:lang w:eastAsia="zh-CN"/>
                    </w:rPr>
                    <w:t>水泥供应系统</w:t>
                  </w:r>
                </w:p>
              </w:tc>
              <w:tc>
                <w:tcPr>
                  <w:tcW w:w="313"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颗粒物</w:t>
                  </w:r>
                </w:p>
              </w:tc>
              <w:tc>
                <w:tcPr>
                  <w:tcW w:w="202" w:type="pct"/>
                  <w:noWrap w:val="0"/>
                  <w:vAlign w:val="center"/>
                </w:tcPr>
                <w:p>
                  <w:pPr>
                    <w:jc w:val="center"/>
                    <w:rPr>
                      <w:rFonts w:hint="default" w:ascii="Calibri" w:hAnsi="Calibri"/>
                      <w:color w:val="auto"/>
                      <w:sz w:val="21"/>
                      <w:szCs w:val="21"/>
                    </w:rPr>
                  </w:pPr>
                  <w:r>
                    <w:rPr>
                      <w:rFonts w:hint="default" w:ascii="Calibri" w:hAnsi="Calibri"/>
                      <w:color w:val="auto"/>
                      <w:sz w:val="21"/>
                      <w:szCs w:val="21"/>
                      <w:lang w:val="en-US" w:eastAsia="zh-CN"/>
                    </w:rPr>
                    <w:t>无</w:t>
                  </w:r>
                  <w:r>
                    <w:rPr>
                      <w:rFonts w:hint="default" w:ascii="Calibri" w:hAnsi="Calibri"/>
                      <w:color w:val="auto"/>
                      <w:sz w:val="21"/>
                      <w:szCs w:val="21"/>
                    </w:rPr>
                    <w:t>组织</w:t>
                  </w:r>
                </w:p>
              </w:tc>
              <w:tc>
                <w:tcPr>
                  <w:tcW w:w="307"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eastAsia="宋体" w:cs="Times New Roman"/>
                      <w:bCs/>
                      <w:color w:val="auto"/>
                      <w:sz w:val="21"/>
                      <w:szCs w:val="21"/>
                      <w:lang w:val="en-US" w:eastAsia="zh-CN"/>
                    </w:rPr>
                    <w:t>5.507</w:t>
                  </w:r>
                </w:p>
              </w:tc>
              <w:tc>
                <w:tcPr>
                  <w:tcW w:w="312" w:type="pct"/>
                  <w:noWrap w:val="0"/>
                  <w:vAlign w:val="center"/>
                </w:tcPr>
                <w:p>
                  <w:pPr>
                    <w:jc w:val="center"/>
                    <w:rPr>
                      <w:rFonts w:hint="default" w:ascii="Calibri" w:hAnsi="Calibri" w:eastAsia="宋体" w:cs="Times New Roman"/>
                      <w:color w:val="auto"/>
                      <w:sz w:val="21"/>
                      <w:szCs w:val="21"/>
                      <w:lang w:val="en-US" w:eastAsia="zh-CN"/>
                    </w:rPr>
                  </w:pPr>
                  <w:r>
                    <w:rPr>
                      <w:rFonts w:hint="default" w:ascii="Calibri" w:hAnsi="Calibri" w:eastAsia="宋体" w:cs="Times New Roman"/>
                      <w:color w:val="auto"/>
                      <w:sz w:val="21"/>
                      <w:szCs w:val="21"/>
                      <w:lang w:val="en-US" w:eastAsia="zh-CN"/>
                    </w:rPr>
                    <w:t>2.550</w:t>
                  </w:r>
                </w:p>
              </w:tc>
              <w:tc>
                <w:tcPr>
                  <w:tcW w:w="468"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eastAsia="宋体" w:cs="Times New Roman"/>
                      <w:bCs/>
                      <w:color w:val="auto"/>
                      <w:sz w:val="21"/>
                      <w:szCs w:val="21"/>
                      <w:lang w:val="en-US" w:eastAsia="zh-CN"/>
                    </w:rPr>
                    <w:t>/</w:t>
                  </w:r>
                </w:p>
              </w:tc>
              <w:tc>
                <w:tcPr>
                  <w:tcW w:w="245" w:type="pct"/>
                  <w:noWrap w:val="0"/>
                  <w:vAlign w:val="center"/>
                </w:tcPr>
                <w:p>
                  <w:pPr>
                    <w:jc w:val="center"/>
                    <w:rPr>
                      <w:rFonts w:hint="default" w:ascii="Calibri" w:hAnsi="Calibri" w:cs="Times New Roman"/>
                      <w:bCs/>
                      <w:color w:val="auto"/>
                      <w:sz w:val="21"/>
                      <w:szCs w:val="21"/>
                    </w:rPr>
                  </w:pPr>
                  <w:r>
                    <w:rPr>
                      <w:rFonts w:hint="default" w:ascii="Calibri" w:hAnsi="Calibri" w:cs="Times New Roman"/>
                      <w:bCs/>
                      <w:color w:val="auto"/>
                      <w:sz w:val="21"/>
                      <w:szCs w:val="21"/>
                      <w:lang w:eastAsia="zh-CN"/>
                    </w:rPr>
                    <w:t>仓顶除尘器</w:t>
                  </w:r>
                </w:p>
              </w:tc>
              <w:tc>
                <w:tcPr>
                  <w:tcW w:w="323" w:type="pct"/>
                  <w:noWrap w:val="0"/>
                  <w:vAlign w:val="center"/>
                </w:tcPr>
                <w:p>
                  <w:pPr>
                    <w:jc w:val="center"/>
                    <w:rPr>
                      <w:rFonts w:hint="default" w:ascii="Calibri" w:hAnsi="Calibri" w:cs="Times New Roman"/>
                      <w:bCs/>
                      <w:color w:val="auto"/>
                      <w:sz w:val="21"/>
                      <w:szCs w:val="21"/>
                    </w:rPr>
                  </w:pPr>
                  <w:r>
                    <w:rPr>
                      <w:rFonts w:hint="default" w:ascii="Calibri" w:hAnsi="Calibri" w:cs="Times New Roman"/>
                      <w:bCs/>
                      <w:color w:val="auto"/>
                      <w:sz w:val="21"/>
                      <w:szCs w:val="21"/>
                    </w:rPr>
                    <w:t>100</w:t>
                  </w:r>
                </w:p>
              </w:tc>
              <w:tc>
                <w:tcPr>
                  <w:tcW w:w="279" w:type="pct"/>
                  <w:noWrap w:val="0"/>
                  <w:vAlign w:val="center"/>
                </w:tcPr>
                <w:p>
                  <w:pPr>
                    <w:jc w:val="center"/>
                    <w:rPr>
                      <w:rFonts w:hint="default" w:ascii="Calibri" w:hAnsi="Calibri" w:cs="Times New Roman"/>
                      <w:bCs/>
                      <w:color w:val="auto"/>
                      <w:sz w:val="21"/>
                      <w:szCs w:val="21"/>
                      <w:lang w:val="en-US"/>
                    </w:rPr>
                  </w:pPr>
                  <w:r>
                    <w:rPr>
                      <w:rFonts w:hint="default" w:ascii="Calibri" w:hAnsi="Calibri" w:cs="Times New Roman"/>
                      <w:bCs/>
                      <w:color w:val="auto"/>
                      <w:sz w:val="21"/>
                      <w:szCs w:val="21"/>
                    </w:rPr>
                    <w:t>99</w:t>
                  </w:r>
                  <w:r>
                    <w:rPr>
                      <w:rFonts w:hint="eastAsia"/>
                      <w:lang w:val="en-US" w:eastAsia="zh-CN"/>
                    </w:rPr>
                    <w:t>.7</w:t>
                  </w:r>
                </w:p>
              </w:tc>
              <w:tc>
                <w:tcPr>
                  <w:tcW w:w="299" w:type="pct"/>
                  <w:noWrap w:val="0"/>
                  <w:vAlign w:val="center"/>
                </w:tcPr>
                <w:p>
                  <w:pPr>
                    <w:jc w:val="center"/>
                    <w:rPr>
                      <w:rFonts w:hint="default" w:ascii="Calibri" w:hAnsi="Calibri" w:cs="Times New Roman"/>
                      <w:color w:val="auto"/>
                      <w:sz w:val="21"/>
                      <w:szCs w:val="21"/>
                    </w:rPr>
                  </w:pPr>
                  <w:r>
                    <w:rPr>
                      <w:rFonts w:hint="default" w:ascii="Calibri" w:hAnsi="Calibri" w:cs="Times New Roman"/>
                      <w:color w:val="auto"/>
                      <w:sz w:val="21"/>
                      <w:szCs w:val="21"/>
                    </w:rPr>
                    <w:t>是</w:t>
                  </w:r>
                </w:p>
              </w:tc>
              <w:tc>
                <w:tcPr>
                  <w:tcW w:w="339"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eastAsia="宋体" w:cs="Times New Roman"/>
                      <w:bCs/>
                      <w:color w:val="auto"/>
                      <w:sz w:val="21"/>
                      <w:szCs w:val="21"/>
                      <w:lang w:val="en-US" w:eastAsia="zh-CN"/>
                    </w:rPr>
                    <w:t>0.017</w:t>
                  </w:r>
                </w:p>
              </w:tc>
              <w:tc>
                <w:tcPr>
                  <w:tcW w:w="350" w:type="pct"/>
                  <w:noWrap w:val="0"/>
                  <w:vAlign w:val="center"/>
                </w:tcPr>
                <w:p>
                  <w:pPr>
                    <w:jc w:val="center"/>
                    <w:rPr>
                      <w:rFonts w:hint="default" w:ascii="Calibri" w:hAnsi="Calibri" w:eastAsia="宋体" w:cs="Times New Roman"/>
                      <w:color w:val="auto"/>
                      <w:sz w:val="21"/>
                      <w:szCs w:val="21"/>
                      <w:lang w:val="en-US" w:eastAsia="zh-CN"/>
                    </w:rPr>
                  </w:pPr>
                  <w:r>
                    <w:rPr>
                      <w:rFonts w:hint="default" w:ascii="Calibri" w:hAnsi="Calibri" w:eastAsia="宋体" w:cs="Times New Roman"/>
                      <w:color w:val="auto"/>
                      <w:sz w:val="21"/>
                      <w:szCs w:val="21"/>
                      <w:lang w:val="en-US" w:eastAsia="zh-CN"/>
                    </w:rPr>
                    <w:t>0.008</w:t>
                  </w:r>
                </w:p>
              </w:tc>
              <w:tc>
                <w:tcPr>
                  <w:tcW w:w="349"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eastAsia="宋体" w:cs="Times New Roman"/>
                      <w:bCs/>
                      <w:color w:val="auto"/>
                      <w:sz w:val="21"/>
                      <w:szCs w:val="21"/>
                      <w:lang w:val="en-US" w:eastAsia="zh-CN"/>
                    </w:rPr>
                    <w:t>/</w:t>
                  </w:r>
                </w:p>
              </w:tc>
              <w:tc>
                <w:tcPr>
                  <w:tcW w:w="482"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w:t>
                  </w:r>
                </w:p>
              </w:tc>
              <w:tc>
                <w:tcPr>
                  <w:tcW w:w="246" w:type="pct"/>
                  <w:noWrap w:val="0"/>
                  <w:vAlign w:val="center"/>
                </w:tcPr>
                <w:p>
                  <w:pPr>
                    <w:jc w:val="center"/>
                    <w:rPr>
                      <w:rFonts w:hint="default" w:ascii="Calibri" w:hAnsi="Calibri"/>
                      <w:color w:val="auto"/>
                      <w:sz w:val="21"/>
                      <w:szCs w:val="21"/>
                      <w:lang w:val="en-US" w:eastAsia="zh-CN"/>
                    </w:rPr>
                  </w:pPr>
                  <w:r>
                    <w:rPr>
                      <w:rFonts w:hint="default" w:ascii="Calibri" w:hAnsi="Calibri"/>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8" w:hRule="atLeast"/>
              </w:trPr>
              <w:tc>
                <w:tcPr>
                  <w:tcW w:w="200"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bCs/>
                      <w:color w:val="auto"/>
                      <w:sz w:val="21"/>
                      <w:szCs w:val="21"/>
                      <w:lang w:val="en-US" w:eastAsia="zh-CN"/>
                    </w:rPr>
                    <w:t>5</w:t>
                  </w:r>
                </w:p>
              </w:tc>
              <w:tc>
                <w:tcPr>
                  <w:tcW w:w="279" w:type="pct"/>
                  <w:noWrap w:val="0"/>
                  <w:vAlign w:val="center"/>
                </w:tcPr>
                <w:p>
                  <w:pPr>
                    <w:jc w:val="center"/>
                    <w:rPr>
                      <w:rFonts w:hint="default" w:ascii="Calibri" w:hAnsi="Calibri"/>
                      <w:bCs/>
                      <w:color w:val="auto"/>
                      <w:sz w:val="21"/>
                      <w:szCs w:val="21"/>
                      <w:lang w:eastAsia="zh-CN"/>
                    </w:rPr>
                  </w:pPr>
                  <w:r>
                    <w:rPr>
                      <w:rFonts w:hint="default" w:ascii="Calibri" w:hAnsi="Calibri"/>
                      <w:bCs/>
                      <w:color w:val="auto"/>
                      <w:sz w:val="21"/>
                      <w:szCs w:val="21"/>
                      <w:lang w:val="en-US" w:eastAsia="zh-CN"/>
                    </w:rPr>
                    <w:t>矿粉</w:t>
                  </w:r>
                  <w:r>
                    <w:rPr>
                      <w:rFonts w:hint="default" w:ascii="Calibri" w:hAnsi="Calibri"/>
                      <w:bCs/>
                      <w:color w:val="auto"/>
                      <w:sz w:val="21"/>
                      <w:szCs w:val="21"/>
                      <w:lang w:eastAsia="zh-CN"/>
                    </w:rPr>
                    <w:t>供应系统</w:t>
                  </w:r>
                </w:p>
              </w:tc>
              <w:tc>
                <w:tcPr>
                  <w:tcW w:w="313" w:type="pct"/>
                  <w:noWrap w:val="0"/>
                  <w:vAlign w:val="center"/>
                </w:tcPr>
                <w:p>
                  <w:pPr>
                    <w:jc w:val="center"/>
                    <w:rPr>
                      <w:rFonts w:hint="default" w:ascii="Calibri" w:hAnsi="Calibri"/>
                      <w:bCs/>
                      <w:color w:val="auto"/>
                      <w:sz w:val="21"/>
                      <w:szCs w:val="21"/>
                      <w:lang w:eastAsia="zh-CN"/>
                    </w:rPr>
                  </w:pPr>
                  <w:r>
                    <w:rPr>
                      <w:rFonts w:hint="default" w:ascii="Calibri" w:hAnsi="Calibri"/>
                      <w:bCs/>
                      <w:color w:val="auto"/>
                      <w:sz w:val="21"/>
                      <w:szCs w:val="21"/>
                      <w:lang w:eastAsia="zh-CN"/>
                    </w:rPr>
                    <w:t>颗粒物</w:t>
                  </w:r>
                </w:p>
              </w:tc>
              <w:tc>
                <w:tcPr>
                  <w:tcW w:w="202" w:type="pct"/>
                  <w:noWrap w:val="0"/>
                  <w:vAlign w:val="center"/>
                </w:tcPr>
                <w:p>
                  <w:pPr>
                    <w:jc w:val="center"/>
                    <w:rPr>
                      <w:rFonts w:hint="default" w:ascii="Calibri" w:hAnsi="Calibri" w:eastAsia="宋体"/>
                      <w:bCs/>
                      <w:color w:val="auto"/>
                      <w:sz w:val="21"/>
                      <w:szCs w:val="21"/>
                      <w:lang w:eastAsia="zh-CN"/>
                    </w:rPr>
                  </w:pPr>
                  <w:r>
                    <w:rPr>
                      <w:rFonts w:hint="default" w:ascii="Calibri" w:hAnsi="Calibri"/>
                      <w:color w:val="auto"/>
                      <w:sz w:val="21"/>
                      <w:szCs w:val="21"/>
                      <w:lang w:val="en-US" w:eastAsia="zh-CN"/>
                    </w:rPr>
                    <w:t>无</w:t>
                  </w:r>
                  <w:r>
                    <w:rPr>
                      <w:rFonts w:hint="default" w:ascii="Calibri" w:hAnsi="Calibri"/>
                      <w:bCs/>
                      <w:color w:val="auto"/>
                      <w:sz w:val="21"/>
                      <w:szCs w:val="21"/>
                      <w:lang w:eastAsia="zh-CN"/>
                    </w:rPr>
                    <w:t>组织</w:t>
                  </w:r>
                </w:p>
              </w:tc>
              <w:tc>
                <w:tcPr>
                  <w:tcW w:w="307"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cs="Times New Roman"/>
                      <w:bCs/>
                      <w:color w:val="auto"/>
                      <w:sz w:val="21"/>
                      <w:szCs w:val="21"/>
                      <w:lang w:val="en-US" w:eastAsia="zh-CN"/>
                    </w:rPr>
                    <w:t>5.303</w:t>
                  </w:r>
                </w:p>
              </w:tc>
              <w:tc>
                <w:tcPr>
                  <w:tcW w:w="312"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eastAsia="宋体" w:cs="Times New Roman"/>
                      <w:bCs/>
                      <w:color w:val="auto"/>
                      <w:sz w:val="21"/>
                      <w:szCs w:val="21"/>
                      <w:lang w:val="en-US" w:eastAsia="zh-CN"/>
                    </w:rPr>
                    <w:t>2.455</w:t>
                  </w:r>
                </w:p>
              </w:tc>
              <w:tc>
                <w:tcPr>
                  <w:tcW w:w="468"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cs="Times New Roman"/>
                      <w:bCs/>
                      <w:color w:val="auto"/>
                      <w:sz w:val="21"/>
                      <w:szCs w:val="21"/>
                      <w:lang w:val="en-US" w:eastAsia="zh-CN"/>
                    </w:rPr>
                    <w:t>35</w:t>
                  </w:r>
                </w:p>
              </w:tc>
              <w:tc>
                <w:tcPr>
                  <w:tcW w:w="245" w:type="pct"/>
                  <w:noWrap w:val="0"/>
                  <w:vAlign w:val="center"/>
                </w:tcPr>
                <w:p>
                  <w:pPr>
                    <w:jc w:val="center"/>
                    <w:rPr>
                      <w:rFonts w:hint="default" w:ascii="Calibri" w:hAnsi="Calibri" w:cs="Times New Roman"/>
                      <w:bCs/>
                      <w:color w:val="auto"/>
                      <w:sz w:val="21"/>
                      <w:szCs w:val="21"/>
                      <w:lang w:eastAsia="zh-CN"/>
                    </w:rPr>
                  </w:pPr>
                  <w:r>
                    <w:rPr>
                      <w:rFonts w:hint="default" w:ascii="Calibri" w:hAnsi="Calibri" w:cs="Times New Roman"/>
                      <w:bCs/>
                      <w:color w:val="auto"/>
                      <w:sz w:val="21"/>
                      <w:szCs w:val="21"/>
                      <w:lang w:eastAsia="zh-CN"/>
                    </w:rPr>
                    <w:t>仓顶除尘器</w:t>
                  </w:r>
                </w:p>
              </w:tc>
              <w:tc>
                <w:tcPr>
                  <w:tcW w:w="323"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cs="Times New Roman"/>
                      <w:bCs/>
                      <w:color w:val="auto"/>
                      <w:sz w:val="21"/>
                      <w:szCs w:val="21"/>
                      <w:lang w:val="en-US" w:eastAsia="zh-CN"/>
                    </w:rPr>
                    <w:t>100</w:t>
                  </w:r>
                </w:p>
              </w:tc>
              <w:tc>
                <w:tcPr>
                  <w:tcW w:w="279"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cs="Times New Roman"/>
                      <w:bCs/>
                      <w:color w:val="auto"/>
                      <w:sz w:val="21"/>
                      <w:szCs w:val="21"/>
                      <w:lang w:val="en-US" w:eastAsia="zh-CN"/>
                    </w:rPr>
                    <w:t>99</w:t>
                  </w:r>
                  <w:r>
                    <w:rPr>
                      <w:rFonts w:hint="eastAsia" w:ascii="Calibri" w:hAnsi="Calibri" w:cs="Times New Roman"/>
                      <w:bCs/>
                      <w:color w:val="auto"/>
                      <w:sz w:val="21"/>
                      <w:szCs w:val="21"/>
                      <w:lang w:val="en-US" w:eastAsia="zh-CN"/>
                    </w:rPr>
                    <w:t>.7</w:t>
                  </w:r>
                </w:p>
              </w:tc>
              <w:tc>
                <w:tcPr>
                  <w:tcW w:w="299" w:type="pct"/>
                  <w:noWrap w:val="0"/>
                  <w:vAlign w:val="center"/>
                </w:tcPr>
                <w:p>
                  <w:pPr>
                    <w:jc w:val="center"/>
                    <w:rPr>
                      <w:rFonts w:hint="default" w:ascii="Calibri" w:hAnsi="Calibri" w:eastAsia="宋体" w:cs="Times New Roman"/>
                      <w:color w:val="auto"/>
                      <w:sz w:val="21"/>
                      <w:szCs w:val="21"/>
                      <w:lang w:eastAsia="zh-CN"/>
                    </w:rPr>
                  </w:pPr>
                  <w:r>
                    <w:rPr>
                      <w:rFonts w:hint="default" w:ascii="Calibri" w:hAnsi="Calibri" w:cs="Times New Roman"/>
                      <w:color w:val="auto"/>
                      <w:sz w:val="21"/>
                      <w:szCs w:val="21"/>
                      <w:lang w:eastAsia="zh-CN"/>
                    </w:rPr>
                    <w:t>是</w:t>
                  </w:r>
                </w:p>
              </w:tc>
              <w:tc>
                <w:tcPr>
                  <w:tcW w:w="339"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cs="Times New Roman"/>
                      <w:bCs/>
                      <w:color w:val="auto"/>
                      <w:sz w:val="21"/>
                      <w:szCs w:val="21"/>
                      <w:lang w:val="en-US" w:eastAsia="zh-CN"/>
                    </w:rPr>
                    <w:t>0.016</w:t>
                  </w:r>
                </w:p>
              </w:tc>
              <w:tc>
                <w:tcPr>
                  <w:tcW w:w="350"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cs="Times New Roman"/>
                      <w:bCs/>
                      <w:color w:val="auto"/>
                      <w:sz w:val="21"/>
                      <w:szCs w:val="21"/>
                      <w:lang w:val="en-US" w:eastAsia="zh-CN"/>
                    </w:rPr>
                    <w:t>0.007</w:t>
                  </w:r>
                </w:p>
              </w:tc>
              <w:tc>
                <w:tcPr>
                  <w:tcW w:w="349" w:type="pct"/>
                  <w:noWrap w:val="0"/>
                  <w:vAlign w:val="center"/>
                </w:tcPr>
                <w:p>
                  <w:pPr>
                    <w:jc w:val="center"/>
                    <w:rPr>
                      <w:rFonts w:hint="default" w:ascii="Calibri" w:hAnsi="Calibri" w:eastAsia="宋体" w:cs="Times New Roman"/>
                      <w:bCs/>
                      <w:color w:val="auto"/>
                      <w:sz w:val="21"/>
                      <w:szCs w:val="21"/>
                      <w:lang w:val="en-US" w:eastAsia="zh-CN"/>
                    </w:rPr>
                  </w:pPr>
                  <w:r>
                    <w:rPr>
                      <w:rFonts w:hint="default" w:ascii="Calibri" w:hAnsi="Calibri" w:eastAsia="宋体" w:cs="Times New Roman"/>
                      <w:bCs/>
                      <w:color w:val="auto"/>
                      <w:sz w:val="21"/>
                      <w:szCs w:val="21"/>
                      <w:lang w:val="en-US" w:eastAsia="zh-CN"/>
                    </w:rPr>
                    <w:t>/</w:t>
                  </w:r>
                </w:p>
              </w:tc>
              <w:tc>
                <w:tcPr>
                  <w:tcW w:w="482" w:type="pct"/>
                  <w:noWrap w:val="0"/>
                  <w:vAlign w:val="center"/>
                </w:tcPr>
                <w:p>
                  <w:pPr>
                    <w:jc w:val="center"/>
                    <w:rPr>
                      <w:rFonts w:hint="default" w:ascii="Calibri" w:hAnsi="Calibri"/>
                      <w:color w:val="auto"/>
                      <w:sz w:val="21"/>
                      <w:szCs w:val="21"/>
                      <w:lang w:eastAsia="zh-CN"/>
                    </w:rPr>
                  </w:pPr>
                  <w:r>
                    <w:rPr>
                      <w:rFonts w:hint="default" w:ascii="Calibri" w:hAnsi="Calibri" w:eastAsia="宋体" w:cs="Times New Roman"/>
                      <w:bCs/>
                      <w:color w:val="auto"/>
                      <w:sz w:val="21"/>
                      <w:szCs w:val="21"/>
                      <w:lang w:val="en-US" w:eastAsia="zh-CN"/>
                    </w:rPr>
                    <w:t>/</w:t>
                  </w:r>
                </w:p>
              </w:tc>
              <w:tc>
                <w:tcPr>
                  <w:tcW w:w="246" w:type="pct"/>
                  <w:noWrap w:val="0"/>
                  <w:vAlign w:val="center"/>
                </w:tcPr>
                <w:p>
                  <w:pPr>
                    <w:jc w:val="center"/>
                    <w:rPr>
                      <w:rFonts w:hint="default" w:ascii="Calibri" w:hAnsi="Calibri"/>
                      <w:bCs/>
                      <w:color w:val="auto"/>
                      <w:sz w:val="21"/>
                      <w:szCs w:val="21"/>
                      <w:lang w:val="en-US" w:eastAsia="zh-CN"/>
                    </w:rPr>
                  </w:pPr>
                  <w:r>
                    <w:rPr>
                      <w:rFonts w:hint="default" w:ascii="Calibri" w:hAnsi="Calibri" w:eastAsia="宋体" w:cs="Times New Roman"/>
                      <w:bCs/>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4" w:hRule="atLeast"/>
              </w:trPr>
              <w:tc>
                <w:tcPr>
                  <w:tcW w:w="200" w:type="pct"/>
                  <w:noWrap w:val="0"/>
                  <w:vAlign w:val="center"/>
                </w:tcPr>
                <w:p>
                  <w:pPr>
                    <w:jc w:val="center"/>
                    <w:rPr>
                      <w:rFonts w:hint="default" w:ascii="Calibri" w:hAnsi="Calibri" w:eastAsia="宋体"/>
                      <w:color w:val="auto"/>
                      <w:sz w:val="21"/>
                      <w:szCs w:val="21"/>
                      <w:lang w:val="en-US" w:eastAsia="zh-CN"/>
                    </w:rPr>
                  </w:pPr>
                  <w:r>
                    <w:rPr>
                      <w:rFonts w:hint="default" w:ascii="Calibri" w:hAnsi="Calibri"/>
                      <w:color w:val="auto"/>
                      <w:sz w:val="21"/>
                      <w:szCs w:val="21"/>
                      <w:lang w:val="en-US" w:eastAsia="zh-CN"/>
                    </w:rPr>
                    <w:t>6</w:t>
                  </w:r>
                </w:p>
              </w:tc>
              <w:tc>
                <w:tcPr>
                  <w:tcW w:w="279" w:type="pct"/>
                  <w:noWrap w:val="0"/>
                  <w:vAlign w:val="center"/>
                </w:tcPr>
                <w:p>
                  <w:pPr>
                    <w:jc w:val="center"/>
                    <w:rPr>
                      <w:rFonts w:hint="default" w:ascii="Calibri" w:hAnsi="Calibri"/>
                      <w:bCs/>
                      <w:color w:val="auto"/>
                      <w:sz w:val="21"/>
                      <w:szCs w:val="21"/>
                    </w:rPr>
                  </w:pPr>
                  <w:r>
                    <w:rPr>
                      <w:rFonts w:hint="default" w:ascii="Calibri" w:hAnsi="Calibri"/>
                      <w:bCs/>
                      <w:color w:val="auto"/>
                      <w:sz w:val="21"/>
                      <w:szCs w:val="21"/>
                      <w:lang w:eastAsia="zh-CN"/>
                    </w:rPr>
                    <w:t>粉煤灰供应系统</w:t>
                  </w:r>
                </w:p>
              </w:tc>
              <w:tc>
                <w:tcPr>
                  <w:tcW w:w="313" w:type="pct"/>
                  <w:noWrap w:val="0"/>
                  <w:vAlign w:val="center"/>
                </w:tcPr>
                <w:p>
                  <w:pPr>
                    <w:jc w:val="center"/>
                    <w:rPr>
                      <w:rFonts w:hint="default" w:ascii="Calibri" w:hAnsi="Calibri"/>
                      <w:color w:val="auto"/>
                      <w:sz w:val="21"/>
                      <w:szCs w:val="21"/>
                    </w:rPr>
                  </w:pPr>
                  <w:r>
                    <w:rPr>
                      <w:rFonts w:hint="default" w:ascii="Calibri" w:hAnsi="Calibri"/>
                      <w:color w:val="auto"/>
                      <w:sz w:val="21"/>
                      <w:szCs w:val="21"/>
                    </w:rPr>
                    <w:t>颗粒物</w:t>
                  </w:r>
                </w:p>
              </w:tc>
              <w:tc>
                <w:tcPr>
                  <w:tcW w:w="202" w:type="pct"/>
                  <w:noWrap w:val="0"/>
                  <w:vAlign w:val="center"/>
                </w:tcPr>
                <w:p>
                  <w:pPr>
                    <w:jc w:val="center"/>
                    <w:rPr>
                      <w:rFonts w:hint="default" w:ascii="Calibri" w:hAnsi="Calibri"/>
                      <w:color w:val="auto"/>
                      <w:sz w:val="21"/>
                      <w:szCs w:val="21"/>
                    </w:rPr>
                  </w:pPr>
                  <w:r>
                    <w:rPr>
                      <w:rFonts w:hint="default" w:ascii="Calibri" w:hAnsi="Calibri"/>
                      <w:color w:val="auto"/>
                      <w:sz w:val="21"/>
                      <w:szCs w:val="21"/>
                      <w:lang w:val="en-US" w:eastAsia="zh-CN"/>
                    </w:rPr>
                    <w:t>无</w:t>
                  </w:r>
                  <w:r>
                    <w:rPr>
                      <w:rFonts w:hint="default" w:ascii="Calibri" w:hAnsi="Calibri"/>
                      <w:color w:val="auto"/>
                      <w:sz w:val="21"/>
                      <w:szCs w:val="21"/>
                    </w:rPr>
                    <w:t>组织</w:t>
                  </w:r>
                </w:p>
              </w:tc>
              <w:tc>
                <w:tcPr>
                  <w:tcW w:w="307"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bCs/>
                      <w:color w:val="auto"/>
                      <w:sz w:val="21"/>
                      <w:szCs w:val="21"/>
                      <w:lang w:val="en-US" w:eastAsia="zh-CN"/>
                    </w:rPr>
                    <w:t>4.389</w:t>
                  </w:r>
                </w:p>
              </w:tc>
              <w:tc>
                <w:tcPr>
                  <w:tcW w:w="312" w:type="pct"/>
                  <w:noWrap w:val="0"/>
                  <w:vAlign w:val="center"/>
                </w:tcPr>
                <w:p>
                  <w:pPr>
                    <w:jc w:val="center"/>
                    <w:rPr>
                      <w:rFonts w:hint="default" w:ascii="Calibri" w:hAnsi="Calibri" w:eastAsia="宋体"/>
                      <w:color w:val="auto"/>
                      <w:sz w:val="21"/>
                      <w:szCs w:val="21"/>
                      <w:lang w:val="en-US" w:eastAsia="zh-CN"/>
                    </w:rPr>
                  </w:pPr>
                  <w:r>
                    <w:rPr>
                      <w:rFonts w:hint="default" w:ascii="Calibri" w:hAnsi="Calibri" w:eastAsia="宋体"/>
                      <w:color w:val="auto"/>
                      <w:sz w:val="21"/>
                      <w:szCs w:val="21"/>
                      <w:lang w:val="en-US" w:eastAsia="zh-CN"/>
                    </w:rPr>
                    <w:t>2.032</w:t>
                  </w:r>
                </w:p>
              </w:tc>
              <w:tc>
                <w:tcPr>
                  <w:tcW w:w="468" w:type="pct"/>
                  <w:noWrap w:val="0"/>
                  <w:vAlign w:val="center"/>
                </w:tcPr>
                <w:p>
                  <w:pPr>
                    <w:jc w:val="center"/>
                    <w:rPr>
                      <w:rFonts w:hint="default" w:ascii="Calibri" w:hAnsi="Calibri" w:eastAsia="宋体"/>
                      <w:bCs/>
                      <w:color w:val="auto"/>
                      <w:sz w:val="21"/>
                      <w:szCs w:val="21"/>
                      <w:lang w:eastAsia="zh-CN"/>
                    </w:rPr>
                  </w:pPr>
                  <w:r>
                    <w:rPr>
                      <w:rFonts w:hint="default" w:ascii="Calibri" w:hAnsi="Calibri" w:eastAsia="宋体" w:cs="Times New Roman"/>
                      <w:bCs/>
                      <w:color w:val="auto"/>
                      <w:sz w:val="21"/>
                      <w:szCs w:val="21"/>
                      <w:lang w:val="en-US" w:eastAsia="zh-CN"/>
                    </w:rPr>
                    <w:t>/</w:t>
                  </w:r>
                </w:p>
              </w:tc>
              <w:tc>
                <w:tcPr>
                  <w:tcW w:w="245" w:type="pct"/>
                  <w:noWrap w:val="0"/>
                  <w:vAlign w:val="center"/>
                </w:tcPr>
                <w:p>
                  <w:pPr>
                    <w:jc w:val="center"/>
                    <w:rPr>
                      <w:rFonts w:hint="default" w:ascii="Calibri" w:hAnsi="Calibri"/>
                      <w:bCs/>
                      <w:color w:val="auto"/>
                      <w:sz w:val="21"/>
                      <w:szCs w:val="21"/>
                    </w:rPr>
                  </w:pPr>
                  <w:r>
                    <w:rPr>
                      <w:rFonts w:hint="default" w:ascii="Calibri" w:hAnsi="Calibri" w:cs="Times New Roman"/>
                      <w:bCs/>
                      <w:color w:val="auto"/>
                      <w:sz w:val="21"/>
                      <w:szCs w:val="21"/>
                      <w:lang w:eastAsia="zh-CN"/>
                    </w:rPr>
                    <w:t>仓顶除尘器</w:t>
                  </w:r>
                </w:p>
              </w:tc>
              <w:tc>
                <w:tcPr>
                  <w:tcW w:w="323" w:type="pct"/>
                  <w:noWrap w:val="0"/>
                  <w:vAlign w:val="center"/>
                </w:tcPr>
                <w:p>
                  <w:pPr>
                    <w:jc w:val="center"/>
                    <w:rPr>
                      <w:rFonts w:hint="default" w:ascii="Calibri" w:hAnsi="Calibri"/>
                      <w:bCs/>
                      <w:color w:val="auto"/>
                      <w:sz w:val="21"/>
                      <w:szCs w:val="21"/>
                    </w:rPr>
                  </w:pPr>
                  <w:r>
                    <w:rPr>
                      <w:rFonts w:hint="default" w:ascii="Calibri" w:hAnsi="Calibri" w:cs="Times New Roman"/>
                      <w:bCs/>
                      <w:color w:val="auto"/>
                      <w:sz w:val="21"/>
                      <w:szCs w:val="21"/>
                    </w:rPr>
                    <w:t>100</w:t>
                  </w:r>
                </w:p>
              </w:tc>
              <w:tc>
                <w:tcPr>
                  <w:tcW w:w="279" w:type="pct"/>
                  <w:noWrap w:val="0"/>
                  <w:vAlign w:val="center"/>
                </w:tcPr>
                <w:p>
                  <w:pPr>
                    <w:jc w:val="center"/>
                    <w:rPr>
                      <w:rFonts w:hint="default" w:ascii="Calibri" w:hAnsi="Calibri"/>
                      <w:bCs/>
                      <w:color w:val="auto"/>
                      <w:sz w:val="21"/>
                      <w:szCs w:val="21"/>
                      <w:lang w:val="en-US"/>
                    </w:rPr>
                  </w:pPr>
                  <w:r>
                    <w:rPr>
                      <w:rFonts w:hint="default" w:ascii="Calibri" w:hAnsi="Calibri" w:cs="Times New Roman"/>
                      <w:bCs/>
                      <w:color w:val="auto"/>
                      <w:sz w:val="21"/>
                      <w:szCs w:val="21"/>
                    </w:rPr>
                    <w:t>99</w:t>
                  </w:r>
                  <w:r>
                    <w:rPr>
                      <w:rFonts w:hint="eastAsia" w:ascii="Calibri" w:hAnsi="Calibri" w:cs="Times New Roman"/>
                      <w:bCs/>
                      <w:color w:val="auto"/>
                      <w:sz w:val="21"/>
                      <w:szCs w:val="21"/>
                      <w:lang w:val="en-US" w:eastAsia="zh-CN"/>
                    </w:rPr>
                    <w:t>.7</w:t>
                  </w:r>
                </w:p>
              </w:tc>
              <w:tc>
                <w:tcPr>
                  <w:tcW w:w="299" w:type="pct"/>
                  <w:noWrap w:val="0"/>
                  <w:vAlign w:val="center"/>
                </w:tcPr>
                <w:p>
                  <w:pPr>
                    <w:jc w:val="center"/>
                    <w:rPr>
                      <w:rFonts w:hint="default" w:ascii="Calibri" w:hAnsi="Calibri"/>
                      <w:color w:val="auto"/>
                      <w:sz w:val="21"/>
                      <w:szCs w:val="21"/>
                    </w:rPr>
                  </w:pPr>
                  <w:r>
                    <w:rPr>
                      <w:rFonts w:hint="default" w:ascii="Calibri" w:hAnsi="Calibri" w:cs="Times New Roman"/>
                      <w:color w:val="auto"/>
                      <w:sz w:val="21"/>
                      <w:szCs w:val="21"/>
                    </w:rPr>
                    <w:t>是</w:t>
                  </w:r>
                </w:p>
              </w:tc>
              <w:tc>
                <w:tcPr>
                  <w:tcW w:w="339"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bCs/>
                      <w:color w:val="auto"/>
                      <w:sz w:val="21"/>
                      <w:szCs w:val="21"/>
                      <w:lang w:val="en-US" w:eastAsia="zh-CN"/>
                    </w:rPr>
                    <w:t>0.013</w:t>
                  </w:r>
                </w:p>
              </w:tc>
              <w:tc>
                <w:tcPr>
                  <w:tcW w:w="350" w:type="pct"/>
                  <w:noWrap w:val="0"/>
                  <w:vAlign w:val="center"/>
                </w:tcPr>
                <w:p>
                  <w:pPr>
                    <w:jc w:val="center"/>
                    <w:rPr>
                      <w:rFonts w:hint="default" w:ascii="Calibri" w:hAnsi="Calibri" w:eastAsia="宋体"/>
                      <w:color w:val="auto"/>
                      <w:sz w:val="21"/>
                      <w:szCs w:val="21"/>
                      <w:lang w:val="en-US" w:eastAsia="zh-CN"/>
                    </w:rPr>
                  </w:pPr>
                  <w:r>
                    <w:rPr>
                      <w:rFonts w:hint="default" w:ascii="Calibri" w:hAnsi="Calibri" w:eastAsia="宋体"/>
                      <w:color w:val="auto"/>
                      <w:sz w:val="21"/>
                      <w:szCs w:val="21"/>
                      <w:lang w:val="en-US" w:eastAsia="zh-CN"/>
                    </w:rPr>
                    <w:t>0.006</w:t>
                  </w:r>
                </w:p>
              </w:tc>
              <w:tc>
                <w:tcPr>
                  <w:tcW w:w="349" w:type="pct"/>
                  <w:noWrap w:val="0"/>
                  <w:vAlign w:val="center"/>
                </w:tcPr>
                <w:p>
                  <w:pPr>
                    <w:jc w:val="center"/>
                    <w:rPr>
                      <w:rFonts w:hint="default" w:ascii="Calibri" w:hAnsi="Calibri" w:eastAsia="宋体"/>
                      <w:bCs/>
                      <w:color w:val="auto"/>
                      <w:sz w:val="21"/>
                      <w:szCs w:val="21"/>
                      <w:lang w:val="en-US" w:eastAsia="zh-CN"/>
                    </w:rPr>
                  </w:pPr>
                  <w:r>
                    <w:rPr>
                      <w:rFonts w:hint="default" w:ascii="Calibri" w:hAnsi="Calibri" w:eastAsia="宋体"/>
                      <w:bCs/>
                      <w:color w:val="auto"/>
                      <w:sz w:val="21"/>
                      <w:szCs w:val="21"/>
                      <w:lang w:val="en-US" w:eastAsia="zh-CN"/>
                    </w:rPr>
                    <w:t>/</w:t>
                  </w:r>
                </w:p>
              </w:tc>
              <w:tc>
                <w:tcPr>
                  <w:tcW w:w="482" w:type="pct"/>
                  <w:noWrap w:val="0"/>
                  <w:vAlign w:val="center"/>
                </w:tcPr>
                <w:p>
                  <w:pPr>
                    <w:jc w:val="center"/>
                    <w:rPr>
                      <w:rFonts w:hint="default" w:ascii="Calibri" w:hAnsi="Calibri"/>
                      <w:color w:val="auto"/>
                      <w:sz w:val="21"/>
                      <w:szCs w:val="21"/>
                    </w:rPr>
                  </w:pPr>
                  <w:r>
                    <w:rPr>
                      <w:rFonts w:hint="default" w:ascii="Calibri" w:hAnsi="Calibri"/>
                      <w:color w:val="auto"/>
                      <w:sz w:val="21"/>
                      <w:szCs w:val="21"/>
                      <w:lang w:val="en-US" w:eastAsia="zh-CN"/>
                    </w:rPr>
                    <w:t>/</w:t>
                  </w:r>
                </w:p>
              </w:tc>
              <w:tc>
                <w:tcPr>
                  <w:tcW w:w="246" w:type="pct"/>
                  <w:noWrap w:val="0"/>
                  <w:vAlign w:val="center"/>
                </w:tcPr>
                <w:p>
                  <w:pPr>
                    <w:jc w:val="center"/>
                    <w:rPr>
                      <w:rFonts w:hint="default" w:ascii="Calibri" w:hAnsi="Calibri"/>
                      <w:color w:val="auto"/>
                      <w:sz w:val="21"/>
                      <w:szCs w:val="21"/>
                      <w:lang w:val="en-US"/>
                    </w:rPr>
                  </w:pPr>
                  <w:r>
                    <w:rPr>
                      <w:rFonts w:hint="default" w:ascii="Calibri" w:hAnsi="Calibri"/>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4" w:hRule="atLeast"/>
              </w:trPr>
              <w:tc>
                <w:tcPr>
                  <w:tcW w:w="200"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5</w:t>
                  </w:r>
                </w:p>
              </w:tc>
              <w:tc>
                <w:tcPr>
                  <w:tcW w:w="279" w:type="pct"/>
                  <w:noWrap w:val="0"/>
                  <w:vAlign w:val="center"/>
                </w:tcPr>
                <w:p>
                  <w:pPr>
                    <w:jc w:val="center"/>
                    <w:rPr>
                      <w:rFonts w:hint="default" w:ascii="Calibri" w:hAnsi="Calibri"/>
                      <w:bCs/>
                      <w:color w:val="auto"/>
                      <w:sz w:val="21"/>
                      <w:szCs w:val="21"/>
                      <w:lang w:val="en-US" w:eastAsia="zh-CN"/>
                    </w:rPr>
                  </w:pPr>
                  <w:r>
                    <w:rPr>
                      <w:rFonts w:hint="eastAsia" w:ascii="Calibri" w:hAnsi="Calibri"/>
                      <w:bCs/>
                      <w:color w:val="auto"/>
                      <w:sz w:val="21"/>
                      <w:szCs w:val="21"/>
                      <w:lang w:val="en-US" w:eastAsia="zh-CN"/>
                    </w:rPr>
                    <w:t>车辆运输扬尘</w:t>
                  </w:r>
                </w:p>
              </w:tc>
              <w:tc>
                <w:tcPr>
                  <w:tcW w:w="313" w:type="pct"/>
                  <w:noWrap w:val="0"/>
                  <w:vAlign w:val="center"/>
                </w:tcPr>
                <w:p>
                  <w:pPr>
                    <w:jc w:val="center"/>
                    <w:rPr>
                      <w:rFonts w:hint="eastAsia" w:ascii="Calibri" w:hAnsi="Calibri" w:eastAsia="宋体"/>
                      <w:color w:val="auto"/>
                      <w:sz w:val="21"/>
                      <w:szCs w:val="21"/>
                      <w:lang w:val="en-US" w:eastAsia="zh-CN"/>
                    </w:rPr>
                  </w:pPr>
                  <w:r>
                    <w:rPr>
                      <w:rFonts w:hint="eastAsia" w:ascii="Calibri" w:hAnsi="Calibri"/>
                      <w:color w:val="auto"/>
                      <w:sz w:val="21"/>
                      <w:szCs w:val="21"/>
                      <w:lang w:val="en-US" w:eastAsia="zh-CN"/>
                    </w:rPr>
                    <w:t>颗粒物</w:t>
                  </w:r>
                </w:p>
              </w:tc>
              <w:tc>
                <w:tcPr>
                  <w:tcW w:w="202"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无组织</w:t>
                  </w:r>
                </w:p>
              </w:tc>
              <w:tc>
                <w:tcPr>
                  <w:tcW w:w="307" w:type="pct"/>
                  <w:noWrap w:val="0"/>
                  <w:vAlign w:val="center"/>
                </w:tcPr>
                <w:p>
                  <w:pPr>
                    <w:jc w:val="center"/>
                    <w:rPr>
                      <w:rFonts w:hint="default" w:ascii="Calibri" w:hAnsi="Calibri"/>
                      <w:bCs/>
                      <w:color w:val="auto"/>
                      <w:sz w:val="21"/>
                      <w:szCs w:val="21"/>
                      <w:lang w:val="en-US" w:eastAsia="zh-CN"/>
                    </w:rPr>
                  </w:pPr>
                  <w:r>
                    <w:rPr>
                      <w:rFonts w:hint="eastAsia" w:ascii="Calibri" w:hAnsi="Calibri"/>
                      <w:bCs/>
                      <w:color w:val="auto"/>
                      <w:sz w:val="21"/>
                      <w:szCs w:val="21"/>
                      <w:lang w:val="en-US" w:eastAsia="zh-CN"/>
                    </w:rPr>
                    <w:t>0.726</w:t>
                  </w:r>
                </w:p>
              </w:tc>
              <w:tc>
                <w:tcPr>
                  <w:tcW w:w="312" w:type="pct"/>
                  <w:noWrap w:val="0"/>
                  <w:vAlign w:val="center"/>
                </w:tcPr>
                <w:p>
                  <w:pPr>
                    <w:jc w:val="center"/>
                    <w:rPr>
                      <w:rFonts w:hint="default" w:ascii="Calibri" w:hAnsi="Calibri" w:eastAsia="宋体"/>
                      <w:color w:val="auto"/>
                      <w:sz w:val="21"/>
                      <w:szCs w:val="21"/>
                      <w:lang w:val="en-US" w:eastAsia="zh-CN"/>
                    </w:rPr>
                  </w:pPr>
                  <w:r>
                    <w:rPr>
                      <w:rFonts w:hint="eastAsia" w:ascii="Calibri" w:hAnsi="Calibri" w:eastAsia="宋体"/>
                      <w:color w:val="auto"/>
                      <w:sz w:val="21"/>
                      <w:szCs w:val="21"/>
                      <w:lang w:val="en-US" w:eastAsia="zh-CN"/>
                    </w:rPr>
                    <w:t>0.336</w:t>
                  </w:r>
                </w:p>
              </w:tc>
              <w:tc>
                <w:tcPr>
                  <w:tcW w:w="468" w:type="pct"/>
                  <w:noWrap w:val="0"/>
                  <w:vAlign w:val="center"/>
                </w:tcPr>
                <w:p>
                  <w:pPr>
                    <w:jc w:val="center"/>
                    <w:rPr>
                      <w:rFonts w:hint="default" w:ascii="Calibri" w:hAnsi="Calibri" w:eastAsia="宋体" w:cs="Times New Roman"/>
                      <w:bCs/>
                      <w:color w:val="auto"/>
                      <w:sz w:val="21"/>
                      <w:szCs w:val="21"/>
                      <w:lang w:val="en-US" w:eastAsia="zh-CN"/>
                    </w:rPr>
                  </w:pPr>
                  <w:r>
                    <w:rPr>
                      <w:rFonts w:hint="eastAsia" w:ascii="Calibri" w:hAnsi="Calibri" w:eastAsia="宋体" w:cs="Times New Roman"/>
                      <w:bCs/>
                      <w:color w:val="auto"/>
                      <w:sz w:val="21"/>
                      <w:szCs w:val="21"/>
                      <w:lang w:val="en-US" w:eastAsia="zh-CN"/>
                    </w:rPr>
                    <w:t>/</w:t>
                  </w:r>
                </w:p>
              </w:tc>
              <w:tc>
                <w:tcPr>
                  <w:tcW w:w="245" w:type="pct"/>
                  <w:noWrap w:val="0"/>
                  <w:vAlign w:val="center"/>
                </w:tcPr>
                <w:p>
                  <w:pPr>
                    <w:spacing w:line="240" w:lineRule="auto"/>
                    <w:jc w:val="center"/>
                    <w:rPr>
                      <w:rFonts w:hint="default" w:ascii="Calibri" w:hAnsi="Calibri" w:cs="Times New Roman"/>
                      <w:bCs/>
                      <w:color w:val="auto"/>
                      <w:sz w:val="21"/>
                      <w:szCs w:val="21"/>
                      <w:lang w:eastAsia="zh-CN"/>
                    </w:rPr>
                  </w:pPr>
                  <w:r>
                    <w:rPr>
                      <w:rFonts w:hint="default" w:ascii="Times New Roman" w:hAnsi="Times New Roman" w:cs="Times New Roman"/>
                      <w:color w:val="auto"/>
                      <w:sz w:val="21"/>
                      <w:szCs w:val="21"/>
                      <w:highlight w:val="none"/>
                    </w:rPr>
                    <w:t>洒水抑尘</w:t>
                  </w:r>
                </w:p>
              </w:tc>
              <w:tc>
                <w:tcPr>
                  <w:tcW w:w="323" w:type="pct"/>
                  <w:noWrap w:val="0"/>
                  <w:vAlign w:val="center"/>
                </w:tcPr>
                <w:p>
                  <w:pPr>
                    <w:spacing w:line="240" w:lineRule="auto"/>
                    <w:jc w:val="center"/>
                    <w:rPr>
                      <w:rFonts w:hint="default" w:ascii="Calibri" w:hAnsi="Calibri" w:cs="Times New Roman"/>
                      <w:bCs/>
                      <w:color w:val="auto"/>
                      <w:sz w:val="21"/>
                      <w:szCs w:val="21"/>
                    </w:rPr>
                  </w:pPr>
                  <w:r>
                    <w:rPr>
                      <w:rFonts w:hint="default" w:ascii="Times New Roman" w:hAnsi="Times New Roman" w:cs="Times New Roman"/>
                      <w:bCs/>
                      <w:color w:val="auto"/>
                      <w:sz w:val="21"/>
                      <w:szCs w:val="21"/>
                      <w:highlight w:val="none"/>
                    </w:rPr>
                    <w:t>是</w:t>
                  </w:r>
                </w:p>
              </w:tc>
              <w:tc>
                <w:tcPr>
                  <w:tcW w:w="279" w:type="pct"/>
                  <w:noWrap w:val="0"/>
                  <w:vAlign w:val="center"/>
                </w:tcPr>
                <w:p>
                  <w:pPr>
                    <w:spacing w:line="240" w:lineRule="auto"/>
                    <w:jc w:val="center"/>
                    <w:rPr>
                      <w:rFonts w:hint="default" w:ascii="Calibri" w:hAnsi="Calibri" w:cs="Times New Roman"/>
                      <w:bCs/>
                      <w:color w:val="auto"/>
                      <w:sz w:val="21"/>
                      <w:szCs w:val="21"/>
                    </w:rPr>
                  </w:pPr>
                  <w:r>
                    <w:rPr>
                      <w:rFonts w:hint="default" w:ascii="Times New Roman" w:hAnsi="Times New Roman" w:cs="Times New Roman"/>
                      <w:bCs/>
                      <w:color w:val="auto"/>
                      <w:sz w:val="21"/>
                      <w:szCs w:val="21"/>
                      <w:highlight w:val="none"/>
                    </w:rPr>
                    <w:t>/</w:t>
                  </w:r>
                </w:p>
              </w:tc>
              <w:tc>
                <w:tcPr>
                  <w:tcW w:w="299" w:type="pct"/>
                  <w:noWrap w:val="0"/>
                  <w:vAlign w:val="center"/>
                </w:tcPr>
                <w:p>
                  <w:pPr>
                    <w:spacing w:line="240" w:lineRule="auto"/>
                    <w:jc w:val="center"/>
                    <w:rPr>
                      <w:rFonts w:hint="default" w:ascii="Calibri" w:hAnsi="Calibri" w:cs="Times New Roman"/>
                      <w:color w:val="auto"/>
                      <w:sz w:val="21"/>
                      <w:szCs w:val="21"/>
                    </w:rPr>
                  </w:pPr>
                  <w:r>
                    <w:rPr>
                      <w:rFonts w:hint="eastAsia" w:cs="Times New Roman"/>
                      <w:bCs/>
                      <w:color w:val="auto"/>
                      <w:sz w:val="21"/>
                      <w:szCs w:val="21"/>
                      <w:highlight w:val="none"/>
                      <w:lang w:val="en-US" w:eastAsia="zh-CN"/>
                    </w:rPr>
                    <w:t>74</w:t>
                  </w:r>
                </w:p>
              </w:tc>
              <w:tc>
                <w:tcPr>
                  <w:tcW w:w="339" w:type="pct"/>
                  <w:noWrap w:val="0"/>
                  <w:vAlign w:val="center"/>
                </w:tcPr>
                <w:p>
                  <w:pPr>
                    <w:jc w:val="center"/>
                    <w:rPr>
                      <w:rFonts w:hint="default" w:ascii="Calibri" w:hAnsi="Calibri"/>
                      <w:bCs/>
                      <w:color w:val="auto"/>
                      <w:sz w:val="21"/>
                      <w:szCs w:val="21"/>
                      <w:lang w:val="en-US" w:eastAsia="zh-CN"/>
                    </w:rPr>
                  </w:pPr>
                  <w:r>
                    <w:rPr>
                      <w:rFonts w:hint="eastAsia" w:ascii="Calibri" w:hAnsi="Calibri"/>
                      <w:bCs/>
                      <w:color w:val="auto"/>
                      <w:sz w:val="21"/>
                      <w:szCs w:val="21"/>
                      <w:lang w:val="en-US" w:eastAsia="zh-CN"/>
                    </w:rPr>
                    <w:t>0.197</w:t>
                  </w:r>
                </w:p>
              </w:tc>
              <w:tc>
                <w:tcPr>
                  <w:tcW w:w="350" w:type="pct"/>
                  <w:noWrap w:val="0"/>
                  <w:vAlign w:val="center"/>
                </w:tcPr>
                <w:p>
                  <w:pPr>
                    <w:jc w:val="center"/>
                    <w:rPr>
                      <w:rFonts w:hint="default" w:ascii="Calibri" w:hAnsi="Calibri" w:eastAsia="宋体"/>
                      <w:color w:val="auto"/>
                      <w:sz w:val="21"/>
                      <w:szCs w:val="21"/>
                      <w:lang w:val="en-US" w:eastAsia="zh-CN"/>
                    </w:rPr>
                  </w:pPr>
                  <w:r>
                    <w:rPr>
                      <w:rFonts w:hint="eastAsia" w:ascii="Calibri" w:hAnsi="Calibri" w:eastAsia="宋体"/>
                      <w:color w:val="auto"/>
                      <w:sz w:val="21"/>
                      <w:szCs w:val="21"/>
                      <w:lang w:val="en-US" w:eastAsia="zh-CN"/>
                    </w:rPr>
                    <w:t>0.091</w:t>
                  </w:r>
                </w:p>
              </w:tc>
              <w:tc>
                <w:tcPr>
                  <w:tcW w:w="349" w:type="pct"/>
                  <w:noWrap w:val="0"/>
                  <w:vAlign w:val="center"/>
                </w:tcPr>
                <w:p>
                  <w:pPr>
                    <w:jc w:val="center"/>
                    <w:rPr>
                      <w:rFonts w:hint="default" w:ascii="Calibri" w:hAnsi="Calibri" w:eastAsia="宋体"/>
                      <w:bCs/>
                      <w:color w:val="auto"/>
                      <w:sz w:val="21"/>
                      <w:szCs w:val="21"/>
                      <w:lang w:val="en-US" w:eastAsia="zh-CN"/>
                    </w:rPr>
                  </w:pPr>
                  <w:r>
                    <w:rPr>
                      <w:rFonts w:hint="eastAsia" w:ascii="Calibri" w:hAnsi="Calibri" w:eastAsia="宋体"/>
                      <w:bCs/>
                      <w:color w:val="auto"/>
                      <w:sz w:val="21"/>
                      <w:szCs w:val="21"/>
                      <w:lang w:val="en-US" w:eastAsia="zh-CN"/>
                    </w:rPr>
                    <w:t>/</w:t>
                  </w:r>
                </w:p>
              </w:tc>
              <w:tc>
                <w:tcPr>
                  <w:tcW w:w="482"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w:t>
                  </w:r>
                </w:p>
              </w:tc>
              <w:tc>
                <w:tcPr>
                  <w:tcW w:w="246"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4" w:hRule="atLeast"/>
              </w:trPr>
              <w:tc>
                <w:tcPr>
                  <w:tcW w:w="200"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6</w:t>
                  </w:r>
                </w:p>
              </w:tc>
              <w:tc>
                <w:tcPr>
                  <w:tcW w:w="279" w:type="pct"/>
                  <w:noWrap w:val="0"/>
                  <w:vAlign w:val="center"/>
                </w:tcPr>
                <w:p>
                  <w:pPr>
                    <w:jc w:val="center"/>
                    <w:rPr>
                      <w:rFonts w:hint="default" w:ascii="Calibri" w:hAnsi="Calibri"/>
                      <w:bCs/>
                      <w:color w:val="auto"/>
                      <w:sz w:val="21"/>
                      <w:szCs w:val="21"/>
                      <w:lang w:val="en-US" w:eastAsia="zh-CN"/>
                    </w:rPr>
                  </w:pPr>
                  <w:r>
                    <w:rPr>
                      <w:rFonts w:hint="eastAsia" w:ascii="Calibri" w:hAnsi="Calibri"/>
                      <w:bCs/>
                      <w:color w:val="auto"/>
                      <w:sz w:val="21"/>
                      <w:szCs w:val="21"/>
                      <w:lang w:val="en-US" w:eastAsia="zh-CN"/>
                    </w:rPr>
                    <w:t>食堂油烟</w:t>
                  </w:r>
                </w:p>
              </w:tc>
              <w:tc>
                <w:tcPr>
                  <w:tcW w:w="313"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油烟</w:t>
                  </w:r>
                </w:p>
              </w:tc>
              <w:tc>
                <w:tcPr>
                  <w:tcW w:w="202"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无组织</w:t>
                  </w:r>
                </w:p>
              </w:tc>
              <w:tc>
                <w:tcPr>
                  <w:tcW w:w="307" w:type="pct"/>
                  <w:noWrap w:val="0"/>
                  <w:vAlign w:val="center"/>
                </w:tcPr>
                <w:p>
                  <w:pPr>
                    <w:jc w:val="center"/>
                    <w:rPr>
                      <w:rFonts w:hint="default" w:ascii="Calibri" w:hAnsi="Calibri"/>
                      <w:bCs/>
                      <w:color w:val="auto"/>
                      <w:sz w:val="21"/>
                      <w:szCs w:val="21"/>
                      <w:lang w:val="en-US" w:eastAsia="zh-CN"/>
                    </w:rPr>
                  </w:pPr>
                  <w:r>
                    <w:rPr>
                      <w:rFonts w:hint="eastAsia" w:ascii="Calibri" w:hAnsi="Calibri"/>
                      <w:bCs/>
                      <w:color w:val="auto"/>
                      <w:sz w:val="21"/>
                      <w:szCs w:val="21"/>
                      <w:lang w:val="en-US" w:eastAsia="zh-CN"/>
                    </w:rPr>
                    <w:t>3.78kg/a</w:t>
                  </w:r>
                </w:p>
              </w:tc>
              <w:tc>
                <w:tcPr>
                  <w:tcW w:w="312" w:type="pct"/>
                  <w:noWrap w:val="0"/>
                  <w:vAlign w:val="center"/>
                </w:tcPr>
                <w:p>
                  <w:pPr>
                    <w:jc w:val="center"/>
                    <w:rPr>
                      <w:rFonts w:hint="default" w:ascii="Calibri" w:hAnsi="Calibri" w:eastAsia="宋体"/>
                      <w:color w:val="auto"/>
                      <w:sz w:val="21"/>
                      <w:szCs w:val="21"/>
                      <w:lang w:val="en-US" w:eastAsia="zh-CN"/>
                    </w:rPr>
                  </w:pPr>
                  <w:r>
                    <w:rPr>
                      <w:rFonts w:hint="eastAsia" w:ascii="Calibri" w:hAnsi="Calibri" w:eastAsia="宋体"/>
                      <w:color w:val="auto"/>
                      <w:sz w:val="21"/>
                      <w:szCs w:val="21"/>
                      <w:lang w:val="en-US" w:eastAsia="zh-CN"/>
                    </w:rPr>
                    <w:t>0.004</w:t>
                  </w:r>
                </w:p>
              </w:tc>
              <w:tc>
                <w:tcPr>
                  <w:tcW w:w="468" w:type="pct"/>
                  <w:noWrap w:val="0"/>
                  <w:vAlign w:val="center"/>
                </w:tcPr>
                <w:p>
                  <w:pPr>
                    <w:jc w:val="center"/>
                    <w:rPr>
                      <w:rFonts w:hint="default" w:ascii="Calibri" w:hAnsi="Calibri" w:eastAsia="宋体" w:cs="Times New Roman"/>
                      <w:bCs/>
                      <w:color w:val="auto"/>
                      <w:sz w:val="21"/>
                      <w:szCs w:val="21"/>
                      <w:lang w:val="en-US" w:eastAsia="zh-CN"/>
                    </w:rPr>
                  </w:pPr>
                  <w:r>
                    <w:rPr>
                      <w:rFonts w:hint="eastAsia" w:ascii="Calibri" w:hAnsi="Calibri" w:eastAsia="宋体" w:cs="Times New Roman"/>
                      <w:bCs/>
                      <w:color w:val="auto"/>
                      <w:sz w:val="21"/>
                      <w:szCs w:val="21"/>
                      <w:lang w:val="en-US" w:eastAsia="zh-CN"/>
                    </w:rPr>
                    <w:t>2.33</w:t>
                  </w:r>
                </w:p>
              </w:tc>
              <w:tc>
                <w:tcPr>
                  <w:tcW w:w="245" w:type="pct"/>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油烟净化装置</w:t>
                  </w:r>
                </w:p>
              </w:tc>
              <w:tc>
                <w:tcPr>
                  <w:tcW w:w="323" w:type="pct"/>
                  <w:noWrap w:val="0"/>
                  <w:vAlign w:val="center"/>
                </w:tcPr>
                <w:p>
                  <w:pPr>
                    <w:spacing w:line="240" w:lineRule="auto"/>
                    <w:jc w:val="center"/>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是</w:t>
                  </w:r>
                </w:p>
              </w:tc>
              <w:tc>
                <w:tcPr>
                  <w:tcW w:w="279" w:type="pct"/>
                  <w:noWrap w:val="0"/>
                  <w:vAlign w:val="center"/>
                </w:tcPr>
                <w:p>
                  <w:pPr>
                    <w:spacing w:line="240" w:lineRule="auto"/>
                    <w:jc w:val="center"/>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w:t>
                  </w:r>
                </w:p>
              </w:tc>
              <w:tc>
                <w:tcPr>
                  <w:tcW w:w="299" w:type="pct"/>
                  <w:noWrap w:val="0"/>
                  <w:vAlign w:val="center"/>
                </w:tcPr>
                <w:p>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60</w:t>
                  </w:r>
                </w:p>
              </w:tc>
              <w:tc>
                <w:tcPr>
                  <w:tcW w:w="339" w:type="pct"/>
                  <w:noWrap w:val="0"/>
                  <w:vAlign w:val="center"/>
                </w:tcPr>
                <w:p>
                  <w:pPr>
                    <w:jc w:val="center"/>
                    <w:rPr>
                      <w:rFonts w:hint="default" w:ascii="Calibri" w:hAnsi="Calibri"/>
                      <w:bCs/>
                      <w:color w:val="auto"/>
                      <w:sz w:val="21"/>
                      <w:szCs w:val="21"/>
                      <w:lang w:val="en-US" w:eastAsia="zh-CN"/>
                    </w:rPr>
                  </w:pPr>
                  <w:r>
                    <w:rPr>
                      <w:rFonts w:hint="eastAsia" w:ascii="Calibri" w:hAnsi="Calibri"/>
                      <w:bCs/>
                      <w:color w:val="auto"/>
                      <w:sz w:val="21"/>
                      <w:szCs w:val="21"/>
                      <w:lang w:val="en-US" w:eastAsia="zh-CN"/>
                    </w:rPr>
                    <w:t>1.512kg/a</w:t>
                  </w:r>
                </w:p>
              </w:tc>
              <w:tc>
                <w:tcPr>
                  <w:tcW w:w="350" w:type="pct"/>
                  <w:noWrap w:val="0"/>
                  <w:vAlign w:val="center"/>
                </w:tcPr>
                <w:p>
                  <w:pPr>
                    <w:jc w:val="center"/>
                    <w:rPr>
                      <w:rFonts w:hint="default" w:ascii="Calibri" w:hAnsi="Calibri" w:eastAsia="宋体"/>
                      <w:color w:val="auto"/>
                      <w:sz w:val="21"/>
                      <w:szCs w:val="21"/>
                      <w:lang w:val="en-US" w:eastAsia="zh-CN"/>
                    </w:rPr>
                  </w:pPr>
                  <w:r>
                    <w:rPr>
                      <w:rFonts w:hint="eastAsia" w:ascii="Calibri" w:hAnsi="Calibri" w:eastAsia="宋体"/>
                      <w:color w:val="auto"/>
                      <w:sz w:val="21"/>
                      <w:szCs w:val="21"/>
                      <w:lang w:val="en-US" w:eastAsia="zh-CN"/>
                    </w:rPr>
                    <w:t>0.001</w:t>
                  </w:r>
                </w:p>
              </w:tc>
              <w:tc>
                <w:tcPr>
                  <w:tcW w:w="349" w:type="pct"/>
                  <w:noWrap w:val="0"/>
                  <w:vAlign w:val="center"/>
                </w:tcPr>
                <w:p>
                  <w:pPr>
                    <w:jc w:val="center"/>
                    <w:rPr>
                      <w:rFonts w:hint="default" w:ascii="Calibri" w:hAnsi="Calibri" w:eastAsia="宋体"/>
                      <w:bCs/>
                      <w:color w:val="auto"/>
                      <w:sz w:val="21"/>
                      <w:szCs w:val="21"/>
                      <w:lang w:val="en-US" w:eastAsia="zh-CN"/>
                    </w:rPr>
                  </w:pPr>
                  <w:r>
                    <w:rPr>
                      <w:rFonts w:hint="eastAsia" w:ascii="Calibri" w:hAnsi="Calibri" w:eastAsia="宋体"/>
                      <w:bCs/>
                      <w:color w:val="auto"/>
                      <w:sz w:val="21"/>
                      <w:szCs w:val="21"/>
                      <w:lang w:val="en-US" w:eastAsia="zh-CN"/>
                    </w:rPr>
                    <w:t>0.933</w:t>
                  </w:r>
                </w:p>
              </w:tc>
              <w:tc>
                <w:tcPr>
                  <w:tcW w:w="482"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w:t>
                  </w:r>
                </w:p>
              </w:tc>
              <w:tc>
                <w:tcPr>
                  <w:tcW w:w="246" w:type="pct"/>
                  <w:noWrap w:val="0"/>
                  <w:vAlign w:val="center"/>
                </w:tcPr>
                <w:p>
                  <w:pPr>
                    <w:jc w:val="center"/>
                    <w:rPr>
                      <w:rFonts w:hint="default" w:ascii="Calibri" w:hAnsi="Calibri"/>
                      <w:color w:val="auto"/>
                      <w:sz w:val="21"/>
                      <w:szCs w:val="21"/>
                      <w:lang w:val="en-US" w:eastAsia="zh-CN"/>
                    </w:rPr>
                  </w:pPr>
                  <w:r>
                    <w:rPr>
                      <w:rFonts w:hint="eastAsia" w:ascii="Calibri" w:hAnsi="Calibri"/>
                      <w:color w:val="auto"/>
                      <w:sz w:val="21"/>
                      <w:szCs w:val="21"/>
                      <w:lang w:val="en-US" w:eastAsia="zh-CN"/>
                    </w:rPr>
                    <w:t>/</w:t>
                  </w:r>
                </w:p>
              </w:tc>
            </w:tr>
          </w:tbl>
          <w:p>
            <w:pPr>
              <w:keepNext w:val="0"/>
              <w:keepLines w:val="0"/>
              <w:pageBreakBefore w:val="0"/>
              <w:kinsoku/>
              <w:wordWrap/>
              <w:overflowPunct/>
              <w:topLinePunct w:val="0"/>
              <w:autoSpaceDE/>
              <w:autoSpaceDN/>
              <w:bidi w:val="0"/>
              <w:spacing w:line="520" w:lineRule="exact"/>
              <w:ind w:firstLine="482" w:firstLineChars="200"/>
              <w:textAlignment w:val="auto"/>
              <w:rPr>
                <w:rFonts w:hint="eastAsia"/>
                <w:b/>
                <w:bCs/>
                <w:sz w:val="24"/>
              </w:rPr>
            </w:pPr>
            <w:r>
              <w:rPr>
                <w:rFonts w:hint="eastAsia" w:ascii="宋体" w:hAnsi="宋体" w:cs="宋体"/>
                <w:b/>
                <w:bCs/>
                <w:sz w:val="24"/>
                <w:lang w:val="en-US" w:eastAsia="zh-CN"/>
              </w:rPr>
              <w:t>4.</w:t>
            </w:r>
            <w:r>
              <w:rPr>
                <w:rFonts w:hint="eastAsia" w:ascii="宋体" w:hAnsi="宋体" w:cs="宋体"/>
                <w:b/>
                <w:bCs/>
                <w:sz w:val="24"/>
              </w:rPr>
              <w:t>废气污染防治措施可行性分析</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rFonts w:hint="eastAsia" w:ascii="宋体" w:hAnsi="宋体" w:eastAsia="宋体" w:cs="宋体"/>
                <w:b w:val="0"/>
                <w:sz w:val="24"/>
                <w:lang w:eastAsia="zh-CN"/>
              </w:rPr>
            </w:pPr>
            <w:r>
              <w:rPr>
                <w:rFonts w:hint="eastAsia" w:ascii="宋体" w:hAnsi="宋体" w:cs="宋体"/>
                <w:b w:val="0"/>
                <w:sz w:val="24"/>
              </w:rPr>
              <w:t>本项目使用的废气处理设施为布袋除尘器。参考《排放源统计调查产排污核算方法和系数手册》</w:t>
            </w:r>
            <w:r>
              <w:rPr>
                <w:rFonts w:hint="default" w:ascii="Times New Roman" w:hAnsi="Times New Roman" w:cs="Times New Roman"/>
                <w:b w:val="0"/>
                <w:color w:val="000000"/>
                <w:sz w:val="24"/>
                <w:lang w:val="en-US" w:eastAsia="zh-CN"/>
              </w:rPr>
              <w:t>3021</w:t>
            </w:r>
            <w:r>
              <w:rPr>
                <w:rFonts w:hint="default" w:ascii="Times New Roman" w:hAnsi="Times New Roman" w:cs="Times New Roman"/>
                <w:b w:val="0"/>
                <w:color w:val="000000"/>
                <w:sz w:val="24"/>
                <w:lang w:eastAsia="zh-CN"/>
              </w:rPr>
              <w:t>水泥制品制造行业系数表</w:t>
            </w:r>
            <w:r>
              <w:rPr>
                <w:rFonts w:hint="eastAsia" w:ascii="Times New Roman" w:hAnsi="Times New Roman" w:cs="Times New Roman"/>
                <w:b w:val="0"/>
                <w:color w:val="000000"/>
                <w:sz w:val="24"/>
                <w:lang w:eastAsia="zh-CN"/>
              </w:rPr>
              <w:t>，</w:t>
            </w:r>
            <w:r>
              <w:rPr>
                <w:rFonts w:hint="eastAsia" w:ascii="宋体" w:hAnsi="宋体" w:cs="宋体"/>
                <w:b w:val="0"/>
                <w:sz w:val="24"/>
              </w:rPr>
              <w:t>布袋除尘器对颗粒物的除尘效率可达到99.7%。项目运营期产生的废气经布袋除尘器处理后可达标排放，且满足相应规范要求，故本项目选用的废气处理措施基本可行</w:t>
            </w:r>
            <w:r>
              <w:rPr>
                <w:rFonts w:hint="eastAsia" w:ascii="宋体" w:hAnsi="宋体" w:cs="宋体"/>
                <w:b w:val="0"/>
                <w:sz w:val="24"/>
                <w:lang w:eastAsia="zh-CN"/>
              </w:rPr>
              <w:t>。</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rFonts w:hint="eastAsia" w:ascii="宋体" w:hAnsi="宋体" w:cs="宋体"/>
                <w:b w:val="0"/>
                <w:sz w:val="24"/>
              </w:rPr>
            </w:pPr>
            <w:r>
              <w:rPr>
                <w:rFonts w:hint="eastAsia" w:ascii="宋体" w:hAnsi="宋体" w:cs="宋体"/>
                <w:b w:val="0"/>
                <w:sz w:val="24"/>
              </w:rPr>
              <w:t>（1）原料堆存</w:t>
            </w:r>
            <w:r>
              <w:rPr>
                <w:rFonts w:hint="eastAsia" w:ascii="宋体" w:hAnsi="宋体" w:cs="宋体"/>
                <w:b w:val="0"/>
                <w:sz w:val="24"/>
                <w:lang w:eastAsia="zh-CN"/>
              </w:rPr>
              <w:t>、</w:t>
            </w:r>
            <w:r>
              <w:rPr>
                <w:rFonts w:hint="eastAsia" w:ascii="宋体" w:hAnsi="宋体" w:cs="宋体"/>
                <w:b w:val="0"/>
                <w:sz w:val="24"/>
                <w:lang w:val="en-US" w:eastAsia="zh-CN"/>
              </w:rPr>
              <w:t>上料输送粉尘及运输车辆扬尘</w:t>
            </w:r>
            <w:r>
              <w:rPr>
                <w:rFonts w:hint="eastAsia" w:ascii="宋体" w:hAnsi="宋体" w:cs="宋体"/>
                <w:b w:val="0"/>
                <w:sz w:val="24"/>
              </w:rPr>
              <w:t>可行性分析</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b w:val="0"/>
                <w:bCs/>
                <w:color w:val="000000"/>
                <w:sz w:val="24"/>
              </w:rPr>
            </w:pPr>
            <w:r>
              <w:rPr>
                <w:rFonts w:hint="eastAsia" w:ascii="宋体" w:hAnsi="宋体" w:cs="宋体"/>
                <w:b w:val="0"/>
                <w:sz w:val="24"/>
                <w:lang w:eastAsia="zh-CN"/>
              </w:rPr>
              <w:t>根据</w:t>
            </w:r>
            <w:r>
              <w:rPr>
                <w:rFonts w:hint="eastAsia" w:ascii="宋体" w:hAnsi="宋体" w:cs="宋体"/>
                <w:b w:val="0"/>
                <w:sz w:val="24"/>
              </w:rPr>
              <w:t>《工业料堆场扬尘整治规范》（DB65/T4061-2017）</w:t>
            </w:r>
            <w:r>
              <w:rPr>
                <w:rFonts w:hint="eastAsia" w:ascii="宋体" w:hAnsi="宋体" w:cs="宋体"/>
                <w:b w:val="0"/>
                <w:sz w:val="24"/>
                <w:lang w:eastAsia="zh-CN"/>
              </w:rPr>
              <w:t>中表</w:t>
            </w:r>
            <w:r>
              <w:rPr>
                <w:rFonts w:hint="eastAsia" w:ascii="宋体" w:hAnsi="宋体" w:cs="宋体"/>
                <w:b w:val="0"/>
                <w:sz w:val="24"/>
                <w:lang w:val="en-US" w:eastAsia="zh-CN"/>
              </w:rPr>
              <w:t>1 工业料场类型划分</w:t>
            </w:r>
            <w:r>
              <w:rPr>
                <w:rFonts w:hint="eastAsia" w:ascii="宋体" w:hAnsi="宋体" w:cs="宋体"/>
                <w:b w:val="0"/>
                <w:sz w:val="24"/>
                <w:lang w:eastAsia="zh-CN"/>
              </w:rPr>
              <w:t>，本项目原料堆仓属于Ⅱ、Ⅲ类型，</w:t>
            </w:r>
            <w:r>
              <w:rPr>
                <w:b w:val="0"/>
                <w:bCs/>
                <w:color w:val="000000"/>
                <w:sz w:val="24"/>
              </w:rPr>
              <w:t>砂石料堆放在封闭式堆场内</w:t>
            </w:r>
            <w:r>
              <w:rPr>
                <w:rFonts w:hint="eastAsia"/>
                <w:b w:val="0"/>
                <w:bCs/>
                <w:color w:val="000000"/>
                <w:sz w:val="24"/>
                <w:lang w:eastAsia="zh-CN"/>
              </w:rPr>
              <w:t>并</w:t>
            </w:r>
            <w:r>
              <w:rPr>
                <w:b w:val="0"/>
                <w:bCs/>
                <w:color w:val="000000"/>
                <w:sz w:val="24"/>
              </w:rPr>
              <w:t>配合洒水降尘</w:t>
            </w:r>
            <w:r>
              <w:rPr>
                <w:rFonts w:hint="eastAsia"/>
                <w:b w:val="0"/>
                <w:bCs/>
                <w:color w:val="000000"/>
                <w:sz w:val="24"/>
                <w:lang w:eastAsia="zh-CN"/>
              </w:rPr>
              <w:t>，符合</w:t>
            </w:r>
            <w:r>
              <w:rPr>
                <w:rFonts w:hint="eastAsia" w:ascii="宋体" w:hAnsi="宋体" w:cs="宋体"/>
                <w:b w:val="0"/>
                <w:sz w:val="24"/>
                <w:lang w:eastAsia="zh-CN"/>
              </w:rPr>
              <w:t>Ⅱ、Ⅲ类型</w:t>
            </w:r>
            <w:r>
              <w:rPr>
                <w:rFonts w:hint="eastAsia"/>
                <w:b w:val="0"/>
                <w:bCs/>
                <w:color w:val="000000"/>
                <w:sz w:val="24"/>
                <w:lang w:eastAsia="zh-CN"/>
              </w:rPr>
              <w:t>工业料堆场扬尘防治方案，因此本项目原料储存要求可行。</w:t>
            </w:r>
            <w:r>
              <w:rPr>
                <w:b w:val="0"/>
                <w:bCs/>
                <w:color w:val="000000"/>
                <w:sz w:val="24"/>
              </w:rPr>
              <w:t>本项目砂石料堆放在封闭式堆场内，且采购的砂石料均为出售厂家水洗、筛分干净的原料，夹杂的尘粒很少，颗粒较大，不易起尘，再配合洒水降尘，</w:t>
            </w:r>
            <w:r>
              <w:rPr>
                <w:rFonts w:hint="eastAsia"/>
                <w:b w:val="0"/>
                <w:bCs/>
                <w:color w:val="000000"/>
                <w:sz w:val="24"/>
              </w:rPr>
              <w:t>能有效减小堆存扬尘的污染</w:t>
            </w:r>
            <w:r>
              <w:rPr>
                <w:b w:val="0"/>
                <w:bCs/>
                <w:color w:val="000000"/>
                <w:sz w:val="24"/>
              </w:rPr>
              <w:t>。</w:t>
            </w:r>
            <w:r>
              <w:rPr>
                <w:rFonts w:hint="eastAsia"/>
                <w:b w:val="0"/>
                <w:bCs/>
                <w:color w:val="000000"/>
                <w:sz w:val="24"/>
                <w:lang w:eastAsia="zh-CN"/>
              </w:rPr>
              <w:t>原料堆仓</w:t>
            </w:r>
            <w:r>
              <w:rPr>
                <w:rFonts w:hint="eastAsia"/>
                <w:b w:val="0"/>
                <w:bCs/>
                <w:color w:val="000000"/>
                <w:sz w:val="24"/>
              </w:rPr>
              <w:t>在采取上述措施后，能实现厂界无组织颗粒物达标排放，措施可行。</w:t>
            </w:r>
          </w:p>
          <w:p>
            <w:pPr>
              <w:pStyle w:val="48"/>
              <w:keepNext w:val="0"/>
              <w:keepLines w:val="0"/>
              <w:pageBreakBefore w:val="0"/>
              <w:tabs>
                <w:tab w:val="left" w:pos="2850"/>
                <w:tab w:val="left" w:pos="3918"/>
              </w:tabs>
              <w:kinsoku/>
              <w:wordWrap/>
              <w:overflowPunct/>
              <w:topLinePunct w:val="0"/>
              <w:autoSpaceDE/>
              <w:autoSpaceDN/>
              <w:bidi w:val="0"/>
              <w:spacing w:before="0" w:beforeLines="0" w:line="520" w:lineRule="exact"/>
              <w:ind w:firstLine="480" w:firstLineChars="200"/>
              <w:textAlignment w:val="auto"/>
              <w:outlineLvl w:val="9"/>
              <w:rPr>
                <w:b w:val="0"/>
                <w:bCs/>
                <w:sz w:val="24"/>
              </w:rPr>
            </w:pPr>
            <w:r>
              <w:rPr>
                <w:b w:val="0"/>
                <w:bCs/>
                <w:sz w:val="24"/>
              </w:rPr>
              <w:t>本项目砂石料上料过程中通过采取</w:t>
            </w:r>
            <w:r>
              <w:rPr>
                <w:rFonts w:hint="eastAsia"/>
                <w:b w:val="0"/>
                <w:bCs/>
                <w:sz w:val="24"/>
                <w:lang w:eastAsia="zh-CN"/>
              </w:rPr>
              <w:t>洒水</w:t>
            </w:r>
            <w:r>
              <w:rPr>
                <w:rFonts w:hint="eastAsia"/>
                <w:b w:val="0"/>
                <w:bCs/>
                <w:sz w:val="24"/>
              </w:rPr>
              <w:t>措施</w:t>
            </w:r>
            <w:r>
              <w:rPr>
                <w:rFonts w:hint="eastAsia"/>
                <w:b w:val="0"/>
                <w:bCs/>
                <w:sz w:val="24"/>
                <w:lang w:eastAsia="zh-CN"/>
              </w:rPr>
              <w:t>以及</w:t>
            </w:r>
            <w:r>
              <w:rPr>
                <w:b w:val="0"/>
                <w:bCs/>
                <w:sz w:val="24"/>
              </w:rPr>
              <w:t>设置</w:t>
            </w:r>
            <w:r>
              <w:rPr>
                <w:rFonts w:hint="eastAsia"/>
                <w:b w:val="0"/>
                <w:bCs/>
                <w:sz w:val="24"/>
                <w:lang w:val="en-US" w:eastAsia="zh-CN"/>
              </w:rPr>
              <w:t>半</w:t>
            </w:r>
            <w:r>
              <w:rPr>
                <w:rFonts w:hint="eastAsia"/>
                <w:b w:val="0"/>
                <w:bCs/>
                <w:sz w:val="24"/>
                <w:lang w:eastAsia="zh-CN"/>
              </w:rPr>
              <w:t>封闭式料仓</w:t>
            </w:r>
            <w:r>
              <w:rPr>
                <w:b w:val="0"/>
                <w:bCs/>
                <w:sz w:val="24"/>
              </w:rPr>
              <w:t>，</w:t>
            </w:r>
            <w:r>
              <w:rPr>
                <w:rFonts w:hint="eastAsia"/>
                <w:b w:val="0"/>
                <w:bCs/>
                <w:sz w:val="24"/>
              </w:rPr>
              <w:t>再加强</w:t>
            </w:r>
            <w:r>
              <w:rPr>
                <w:rFonts w:hint="eastAsia"/>
                <w:b w:val="0"/>
                <w:bCs/>
                <w:sz w:val="24"/>
                <w:lang w:eastAsia="zh-CN"/>
              </w:rPr>
              <w:t>装载机</w:t>
            </w:r>
            <w:r>
              <w:rPr>
                <w:rFonts w:hint="eastAsia"/>
                <w:b w:val="0"/>
                <w:bCs/>
                <w:sz w:val="24"/>
              </w:rPr>
              <w:t>管理，能有效减少上料粉尘的污染，上料工序在采取上述措施后，能实现厂界无组织颗粒物达标排放，措施可行</w:t>
            </w:r>
            <w:r>
              <w:rPr>
                <w:b w:val="0"/>
                <w:bCs/>
                <w:sz w:val="24"/>
              </w:rPr>
              <w:t>。</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eastAsia="宋体"/>
                <w:sz w:val="24"/>
                <w:lang w:eastAsia="zh-CN"/>
              </w:rPr>
            </w:pPr>
            <w:r>
              <w:rPr>
                <w:rFonts w:hint="eastAsia"/>
                <w:sz w:val="24"/>
              </w:rPr>
              <w:t>项目原料的运入与产品的运输全部为汽车运输，本项目各物料在运输过程中会产生道路扬尘</w:t>
            </w:r>
            <w:r>
              <w:rPr>
                <w:rFonts w:hint="eastAsia"/>
                <w:sz w:val="24"/>
                <w:lang w:eastAsia="zh-CN"/>
              </w:rPr>
              <w:t>。建设单位采取对厂区道路路面及生产作业区、物料堆场的地面硬化处理并日常清扫、厂区内进行洒水增湿等，同时为进出厂区车辆进行及时清洗减少厂区运输扬尘的产生。</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sz w:val="24"/>
              </w:rPr>
            </w:pPr>
            <w:r>
              <w:rPr>
                <w:rFonts w:hint="eastAsia"/>
                <w:sz w:val="24"/>
              </w:rPr>
              <w:t>（2）搅拌粉尘</w:t>
            </w:r>
            <w:r>
              <w:rPr>
                <w:rFonts w:hint="eastAsia"/>
                <w:sz w:val="24"/>
                <w:lang w:eastAsia="zh-CN"/>
              </w:rPr>
              <w:t>措施</w:t>
            </w:r>
            <w:r>
              <w:rPr>
                <w:rFonts w:hint="eastAsia" w:ascii="宋体" w:hAnsi="宋体" w:cs="宋体"/>
                <w:sz w:val="24"/>
              </w:rPr>
              <w:t>可行性分析</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rFonts w:hint="eastAsia" w:eastAsia="宋体"/>
                <w:sz w:val="24"/>
                <w:lang w:eastAsia="zh-CN"/>
              </w:rPr>
            </w:pPr>
            <w:r>
              <w:rPr>
                <w:sz w:val="24"/>
              </w:rPr>
              <w:t>本项目</w:t>
            </w:r>
            <w:r>
              <w:rPr>
                <w:rFonts w:hint="eastAsia"/>
                <w:sz w:val="24"/>
                <w:lang w:eastAsia="zh-CN"/>
              </w:rPr>
              <w:t>拌合站为封闭式结构</w:t>
            </w:r>
            <w:r>
              <w:rPr>
                <w:sz w:val="24"/>
              </w:rPr>
              <w:t>，在密闭的拌缸进行搅拌</w:t>
            </w:r>
            <w:r>
              <w:rPr>
                <w:rFonts w:hint="eastAsia"/>
                <w:sz w:val="24"/>
                <w:lang w:eastAsia="zh-CN"/>
              </w:rPr>
              <w:t>，</w:t>
            </w:r>
            <w:r>
              <w:rPr>
                <w:sz w:val="24"/>
              </w:rPr>
              <w:t>搅拌工序上对给砂石料粉尘均进行收集，经集气管道</w:t>
            </w:r>
            <w:r>
              <w:rPr>
                <w:rFonts w:hint="eastAsia"/>
                <w:sz w:val="24"/>
              </w:rPr>
              <w:t>，</w:t>
            </w:r>
            <w:r>
              <w:rPr>
                <w:sz w:val="24"/>
              </w:rPr>
              <w:t>粉尘全部进入布袋除尘器处理后</w:t>
            </w:r>
            <w:r>
              <w:rPr>
                <w:rFonts w:hint="eastAsia"/>
                <w:sz w:val="24"/>
                <w:lang w:val="en-US" w:eastAsia="zh-CN"/>
              </w:rPr>
              <w:t>无组织排放，</w:t>
            </w:r>
            <w:r>
              <w:rPr>
                <w:rFonts w:hint="eastAsia"/>
                <w:sz w:val="24"/>
              </w:rPr>
              <w:t>因此输送搅拌粉尘治理措施可行</w:t>
            </w:r>
            <w:r>
              <w:rPr>
                <w:rFonts w:hint="eastAsia"/>
                <w:sz w:val="24"/>
                <w:lang w:eastAsia="zh-CN"/>
              </w:rPr>
              <w:t>。</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w:t>
            </w:r>
            <w:r>
              <w:rPr>
                <w:rFonts w:hint="eastAsia" w:ascii="宋体" w:hAnsi="宋体" w:cs="宋体"/>
                <w:sz w:val="24"/>
              </w:rPr>
              <w:t>水泥、</w:t>
            </w:r>
            <w:r>
              <w:rPr>
                <w:rFonts w:hint="eastAsia" w:ascii="宋体" w:hAnsi="宋体" w:cs="宋体"/>
                <w:sz w:val="24"/>
                <w:lang w:val="en-US" w:eastAsia="zh-CN"/>
              </w:rPr>
              <w:t>矿粉、</w:t>
            </w:r>
            <w:r>
              <w:rPr>
                <w:rFonts w:hint="eastAsia" w:ascii="宋体" w:hAnsi="宋体" w:cs="宋体"/>
                <w:sz w:val="24"/>
              </w:rPr>
              <w:t>粉煤灰筒仓粉尘</w:t>
            </w:r>
            <w:r>
              <w:rPr>
                <w:rFonts w:hint="eastAsia" w:ascii="宋体" w:hAnsi="宋体" w:cs="宋体"/>
                <w:sz w:val="24"/>
                <w:lang w:eastAsia="zh-CN"/>
              </w:rPr>
              <w:t>措施可行性</w:t>
            </w:r>
          </w:p>
          <w:p>
            <w:pPr>
              <w:keepNext w:val="0"/>
              <w:keepLines w:val="0"/>
              <w:pageBreakBefore w:val="0"/>
              <w:tabs>
                <w:tab w:val="left" w:pos="2850"/>
              </w:tabs>
              <w:kinsoku/>
              <w:wordWrap/>
              <w:overflowPunct/>
              <w:topLinePunct w:val="0"/>
              <w:autoSpaceDE/>
              <w:autoSpaceDN/>
              <w:bidi w:val="0"/>
              <w:spacing w:line="520" w:lineRule="exact"/>
              <w:ind w:firstLine="480" w:firstLineChars="200"/>
              <w:textAlignment w:val="auto"/>
              <w:outlineLvl w:val="0"/>
              <w:rPr>
                <w:rFonts w:hint="eastAsia" w:ascii="宋体" w:hAnsi="宋体" w:cs="宋体"/>
                <w:sz w:val="24"/>
              </w:rPr>
            </w:pPr>
            <w:r>
              <w:rPr>
                <w:rFonts w:hint="eastAsia" w:ascii="宋体" w:hAnsi="宋体" w:cs="宋体"/>
                <w:sz w:val="24"/>
              </w:rPr>
              <w:t>水泥、粉煤灰筒仓采用密闭形式，</w:t>
            </w:r>
            <w:r>
              <w:rPr>
                <w:rFonts w:hint="eastAsia" w:ascii="宋体" w:hAnsi="宋体" w:cs="宋体"/>
                <w:sz w:val="24"/>
                <w:lang w:eastAsia="zh-CN"/>
              </w:rPr>
              <w:t>仓顶除尘器</w:t>
            </w:r>
            <w:r>
              <w:rPr>
                <w:rFonts w:hint="eastAsia" w:ascii="宋体" w:hAnsi="宋体" w:cs="宋体"/>
                <w:sz w:val="24"/>
              </w:rPr>
              <w:t>紧密安装在筒仓仓顶，含尘废气全部经过</w:t>
            </w:r>
            <w:r>
              <w:rPr>
                <w:rFonts w:hint="eastAsia" w:ascii="宋体" w:hAnsi="宋体" w:cs="宋体"/>
                <w:sz w:val="24"/>
                <w:lang w:eastAsia="zh-CN"/>
              </w:rPr>
              <w:t>仓顶除尘器</w:t>
            </w:r>
            <w:r>
              <w:rPr>
                <w:rFonts w:hint="eastAsia" w:ascii="宋体" w:hAnsi="宋体" w:cs="宋体"/>
                <w:sz w:val="24"/>
              </w:rPr>
              <w:t>处理后通过筒仓仓顶排出</w:t>
            </w:r>
            <w:r>
              <w:rPr>
                <w:rFonts w:hint="eastAsia" w:ascii="宋体" w:hAnsi="宋体" w:cs="宋体"/>
                <w:sz w:val="24"/>
                <w:lang w:eastAsia="zh-CN"/>
              </w:rPr>
              <w:t>，</w:t>
            </w:r>
            <w:r>
              <w:rPr>
                <w:rFonts w:hint="eastAsia"/>
                <w:sz w:val="24"/>
              </w:rPr>
              <w:t>处理措施参考《排污许可证申请与核发技术规范 石墨及其他非金属矿物制品制造》</w:t>
            </w:r>
            <w:r>
              <w:rPr>
                <w:sz w:val="24"/>
              </w:rPr>
              <w:t>（</w:t>
            </w:r>
            <w:r>
              <w:rPr>
                <w:rFonts w:hint="eastAsia"/>
                <w:sz w:val="24"/>
              </w:rPr>
              <w:t>HJ1119</w:t>
            </w:r>
            <w:r>
              <w:rPr>
                <w:sz w:val="24"/>
              </w:rPr>
              <w:t>-20</w:t>
            </w:r>
            <w:r>
              <w:rPr>
                <w:rFonts w:hint="eastAsia"/>
                <w:sz w:val="24"/>
              </w:rPr>
              <w:t>20</w:t>
            </w:r>
            <w:r>
              <w:rPr>
                <w:sz w:val="24"/>
              </w:rPr>
              <w:t>）</w:t>
            </w:r>
            <w:r>
              <w:rPr>
                <w:rFonts w:hint="eastAsia"/>
                <w:sz w:val="24"/>
              </w:rPr>
              <w:t xml:space="preserve">中表 A.5 </w:t>
            </w:r>
            <w:r>
              <w:rPr>
                <w:rFonts w:hint="eastAsia"/>
                <w:sz w:val="24"/>
                <w:lang w:eastAsia="zh-CN"/>
              </w:rPr>
              <w:t>混合料</w:t>
            </w:r>
            <w:r>
              <w:rPr>
                <w:rFonts w:hint="eastAsia"/>
                <w:sz w:val="24"/>
              </w:rPr>
              <w:t>生产排污单位废气污染防治可行技术参考表的可行技术，因此</w:t>
            </w:r>
            <w:r>
              <w:rPr>
                <w:rFonts w:hint="eastAsia" w:ascii="宋体" w:hAnsi="宋体" w:cs="宋体"/>
                <w:sz w:val="24"/>
              </w:rPr>
              <w:t>水泥、</w:t>
            </w:r>
            <w:r>
              <w:rPr>
                <w:rFonts w:hint="eastAsia" w:ascii="宋体" w:hAnsi="宋体" w:cs="宋体"/>
                <w:sz w:val="24"/>
                <w:lang w:val="en-US" w:eastAsia="zh-CN"/>
              </w:rPr>
              <w:t>矿粉、</w:t>
            </w:r>
            <w:r>
              <w:rPr>
                <w:rFonts w:hint="eastAsia" w:ascii="宋体" w:hAnsi="宋体" w:cs="宋体"/>
                <w:sz w:val="24"/>
              </w:rPr>
              <w:t>粉煤灰筒仓粉尘</w:t>
            </w:r>
            <w:r>
              <w:rPr>
                <w:rFonts w:hint="eastAsia"/>
                <w:sz w:val="24"/>
              </w:rPr>
              <w:t>治理措施可行</w:t>
            </w:r>
            <w:r>
              <w:rPr>
                <w:sz w:val="24"/>
              </w:rPr>
              <w:t>。</w:t>
            </w:r>
          </w:p>
          <w:p>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）油烟废气可行性分析</w:t>
            </w:r>
          </w:p>
          <w:p>
            <w:pPr>
              <w:keepNext w:val="0"/>
              <w:keepLines w:val="0"/>
              <w:pageBreakBefore w:val="0"/>
              <w:kinsoku/>
              <w:wordWrap/>
              <w:overflowPunct/>
              <w:topLinePunct w:val="0"/>
              <w:autoSpaceDE/>
              <w:autoSpaceDN/>
              <w:bidi w:val="0"/>
              <w:spacing w:line="520" w:lineRule="exact"/>
              <w:ind w:firstLine="480" w:firstLineChars="200"/>
              <w:textAlignment w:val="auto"/>
              <w:rPr>
                <w:sz w:val="24"/>
              </w:rPr>
            </w:pPr>
            <w:r>
              <w:rPr>
                <w:sz w:val="24"/>
              </w:rPr>
              <w:t>本项目</w:t>
            </w:r>
            <w:r>
              <w:rPr>
                <w:snapToGrid w:val="0"/>
                <w:sz w:val="24"/>
              </w:rPr>
              <w:t>食堂烹饪油烟为间隙、不定量排放，厨房安装</w:t>
            </w:r>
            <w:r>
              <w:rPr>
                <w:sz w:val="24"/>
              </w:rPr>
              <w:t>净化效率在60%以上的油烟净化装置</w:t>
            </w:r>
            <w:r>
              <w:rPr>
                <w:snapToGrid w:val="0"/>
                <w:sz w:val="24"/>
              </w:rPr>
              <w:t>对油烟进行处理，油烟经处理后，排放浓度可降至</w:t>
            </w:r>
            <w:r>
              <w:rPr>
                <w:rFonts w:hint="eastAsia"/>
                <w:snapToGrid w:val="0"/>
                <w:sz w:val="24"/>
                <w:lang w:val="en-US" w:eastAsia="zh-CN"/>
              </w:rPr>
              <w:t>0.933</w:t>
            </w:r>
            <w:r>
              <w:rPr>
                <w:snapToGrid w:val="0"/>
                <w:sz w:val="24"/>
              </w:rPr>
              <w:t>mg/m</w:t>
            </w:r>
            <w:r>
              <w:rPr>
                <w:snapToGrid w:val="0"/>
                <w:sz w:val="24"/>
                <w:vertAlign w:val="superscript"/>
              </w:rPr>
              <w:t>3</w:t>
            </w:r>
            <w:r>
              <w:rPr>
                <w:snapToGrid w:val="0"/>
                <w:sz w:val="24"/>
              </w:rPr>
              <w:t>，满足《饮食业油烟排放标准》（GB18483-2001）中的相关要求</w:t>
            </w:r>
            <w:r>
              <w:rPr>
                <w:sz w:val="24"/>
              </w:rPr>
              <w:t>。</w:t>
            </w:r>
          </w:p>
          <w:p>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cs="宋体"/>
                <w:sz w:val="24"/>
              </w:rPr>
            </w:pPr>
            <w:r>
              <w:rPr>
                <w:rFonts w:hint="eastAsia" w:ascii="宋体" w:hAnsi="宋体" w:cs="宋体"/>
                <w:bCs/>
                <w:sz w:val="24"/>
              </w:rPr>
              <w:t>在采取上述治理措施后，能实现废气达标排放，措施可行。</w:t>
            </w:r>
          </w:p>
          <w:p>
            <w:pPr>
              <w:keepNext w:val="0"/>
              <w:keepLines w:val="0"/>
              <w:pageBreakBefore w:val="0"/>
              <w:kinsoku/>
              <w:wordWrap/>
              <w:overflowPunct/>
              <w:topLinePunct w:val="0"/>
              <w:autoSpaceDE/>
              <w:autoSpaceDN/>
              <w:bidi w:val="0"/>
              <w:spacing w:line="520" w:lineRule="exact"/>
              <w:ind w:firstLine="482" w:firstLineChars="200"/>
              <w:textAlignment w:val="auto"/>
              <w:rPr>
                <w:rFonts w:hint="eastAsia"/>
                <w:b/>
                <w:bCs/>
                <w:sz w:val="24"/>
              </w:rPr>
            </w:pPr>
            <w:r>
              <w:rPr>
                <w:rFonts w:hint="eastAsia"/>
                <w:b/>
                <w:bCs/>
                <w:sz w:val="24"/>
                <w:lang w:eastAsia="zh-CN"/>
              </w:rPr>
              <w:t>3.</w:t>
            </w:r>
            <w:r>
              <w:rPr>
                <w:rFonts w:hint="eastAsia"/>
                <w:b/>
                <w:bCs/>
                <w:sz w:val="24"/>
              </w:rPr>
              <w:t>监测要求</w:t>
            </w:r>
          </w:p>
          <w:p>
            <w:pPr>
              <w:keepNext w:val="0"/>
              <w:keepLines w:val="0"/>
              <w:pageBreakBefore w:val="0"/>
              <w:kinsoku/>
              <w:wordWrap/>
              <w:overflowPunct/>
              <w:topLinePunct w:val="0"/>
              <w:autoSpaceDE/>
              <w:autoSpaceDN/>
              <w:bidi w:val="0"/>
              <w:adjustRightInd w:val="0"/>
              <w:snapToGrid w:val="0"/>
              <w:spacing w:line="520" w:lineRule="exact"/>
              <w:ind w:firstLine="440" w:firstLineChars="200"/>
              <w:textAlignment w:val="auto"/>
              <w:rPr>
                <w:b/>
                <w:bCs/>
                <w:sz w:val="24"/>
              </w:rPr>
            </w:pPr>
            <w:r>
              <w:rPr>
                <w:bCs/>
                <w:spacing w:val="-10"/>
                <w:sz w:val="24"/>
              </w:rPr>
              <w:t>根据《排污单位自行监测技术指南 总则》（HJ819-2017）以及</w:t>
            </w:r>
            <w:r>
              <w:rPr>
                <w:sz w:val="24"/>
              </w:rPr>
              <w:t>《排污许可证申请与核发技术规范 石墨及其他非金属矿物制品制造》（HJ1119-2020）</w:t>
            </w:r>
            <w:r>
              <w:rPr>
                <w:rFonts w:hint="eastAsia"/>
                <w:bCs/>
                <w:spacing w:val="-10"/>
                <w:sz w:val="24"/>
              </w:rPr>
              <w:t>的要求，</w:t>
            </w:r>
            <w:r>
              <w:rPr>
                <w:bCs/>
                <w:spacing w:val="-10"/>
                <w:sz w:val="24"/>
              </w:rPr>
              <w:t>本项目大气监测计划</w:t>
            </w:r>
            <w:r>
              <w:rPr>
                <w:rFonts w:hint="eastAsia"/>
                <w:bCs/>
                <w:spacing w:val="-10"/>
                <w:sz w:val="24"/>
                <w:lang w:eastAsia="zh-CN"/>
              </w:rPr>
              <w:t>见表</w:t>
            </w:r>
            <w:r>
              <w:rPr>
                <w:rFonts w:hint="eastAsia"/>
                <w:bCs/>
                <w:spacing w:val="-10"/>
                <w:sz w:val="24"/>
                <w:lang w:val="en-US" w:eastAsia="zh-CN"/>
              </w:rPr>
              <w:t>4-4</w:t>
            </w:r>
            <w:r>
              <w:rPr>
                <w:bCs/>
                <w:spacing w:val="-10"/>
                <w:sz w:val="24"/>
              </w:rPr>
              <w:t>：</w:t>
            </w:r>
          </w:p>
          <w:p>
            <w:pPr>
              <w:keepNext w:val="0"/>
              <w:keepLines w:val="0"/>
              <w:pageBreakBefore w:val="0"/>
              <w:kinsoku/>
              <w:wordWrap/>
              <w:overflowPunct/>
              <w:topLinePunct w:val="0"/>
              <w:autoSpaceDE/>
              <w:autoSpaceDN/>
              <w:bidi w:val="0"/>
              <w:spacing w:line="520" w:lineRule="exact"/>
              <w:jc w:val="center"/>
              <w:textAlignment w:val="auto"/>
              <w:rPr>
                <w:b/>
                <w:bCs/>
                <w:sz w:val="24"/>
              </w:rPr>
            </w:pPr>
            <w:r>
              <w:rPr>
                <w:b/>
                <w:bCs/>
                <w:sz w:val="24"/>
              </w:rPr>
              <w:t>表</w:t>
            </w:r>
            <w:r>
              <w:rPr>
                <w:rFonts w:hint="eastAsia"/>
                <w:b/>
                <w:bCs/>
                <w:sz w:val="24"/>
                <w:lang w:val="en-US" w:eastAsia="zh-CN"/>
              </w:rPr>
              <w:t xml:space="preserve">4-4   </w:t>
            </w:r>
            <w:r>
              <w:rPr>
                <w:b/>
                <w:bCs/>
                <w:sz w:val="24"/>
              </w:rPr>
              <w:t xml:space="preserve"> </w:t>
            </w:r>
            <w:r>
              <w:rPr>
                <w:rFonts w:hint="eastAsia"/>
                <w:b/>
                <w:bCs/>
                <w:sz w:val="24"/>
              </w:rPr>
              <w:t>废气</w:t>
            </w:r>
            <w:r>
              <w:rPr>
                <w:b/>
                <w:bCs/>
                <w:sz w:val="24"/>
              </w:rPr>
              <w:t>环境监测计划</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1531"/>
              <w:gridCol w:w="1409"/>
              <w:gridCol w:w="1286"/>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1" w:type="pct"/>
                  <w:noWrap w:val="0"/>
                  <w:vAlign w:val="center"/>
                </w:tcPr>
                <w:p>
                  <w:pPr>
                    <w:jc w:val="center"/>
                    <w:rPr>
                      <w:szCs w:val="21"/>
                    </w:rPr>
                  </w:pPr>
                  <w:r>
                    <w:rPr>
                      <w:rFonts w:hint="eastAsia"/>
                      <w:szCs w:val="21"/>
                    </w:rPr>
                    <w:t>类型</w:t>
                  </w:r>
                </w:p>
              </w:tc>
              <w:tc>
                <w:tcPr>
                  <w:tcW w:w="923" w:type="pct"/>
                  <w:noWrap w:val="0"/>
                  <w:vAlign w:val="center"/>
                </w:tcPr>
                <w:p>
                  <w:pPr>
                    <w:jc w:val="center"/>
                    <w:rPr>
                      <w:szCs w:val="21"/>
                    </w:rPr>
                  </w:pPr>
                  <w:r>
                    <w:rPr>
                      <w:rFonts w:hint="eastAsia"/>
                      <w:szCs w:val="21"/>
                    </w:rPr>
                    <w:t>监测</w:t>
                  </w:r>
                  <w:r>
                    <w:rPr>
                      <w:szCs w:val="21"/>
                    </w:rPr>
                    <w:t>位置</w:t>
                  </w:r>
                </w:p>
              </w:tc>
              <w:tc>
                <w:tcPr>
                  <w:tcW w:w="849" w:type="pct"/>
                  <w:noWrap w:val="0"/>
                  <w:vAlign w:val="center"/>
                </w:tcPr>
                <w:p>
                  <w:pPr>
                    <w:jc w:val="center"/>
                    <w:rPr>
                      <w:szCs w:val="21"/>
                    </w:rPr>
                  </w:pPr>
                  <w:r>
                    <w:rPr>
                      <w:szCs w:val="21"/>
                    </w:rPr>
                    <w:t>监测项目</w:t>
                  </w:r>
                </w:p>
              </w:tc>
              <w:tc>
                <w:tcPr>
                  <w:tcW w:w="775" w:type="pct"/>
                  <w:noWrap w:val="0"/>
                  <w:vAlign w:val="center"/>
                </w:tcPr>
                <w:p>
                  <w:pPr>
                    <w:jc w:val="center"/>
                    <w:rPr>
                      <w:rFonts w:hint="eastAsia" w:eastAsia="宋体"/>
                      <w:szCs w:val="21"/>
                      <w:lang w:eastAsia="zh-CN"/>
                    </w:rPr>
                  </w:pPr>
                  <w:r>
                    <w:rPr>
                      <w:szCs w:val="21"/>
                    </w:rPr>
                    <w:t>监测频次</w:t>
                  </w:r>
                  <w:r>
                    <w:rPr>
                      <w:rFonts w:hint="eastAsia"/>
                      <w:szCs w:val="21"/>
                      <w:lang w:eastAsia="zh-CN"/>
                    </w:rPr>
                    <w:t>及监测记录</w:t>
                  </w:r>
                </w:p>
              </w:tc>
              <w:tc>
                <w:tcPr>
                  <w:tcW w:w="1531" w:type="pct"/>
                  <w:noWrap w:val="0"/>
                  <w:vAlign w:val="center"/>
                </w:tcPr>
                <w:p>
                  <w:pPr>
                    <w:jc w:val="center"/>
                    <w:rPr>
                      <w:szCs w:val="21"/>
                    </w:rPr>
                  </w:pPr>
                  <w:r>
                    <w:rPr>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1" w:type="pct"/>
                  <w:noWrap w:val="0"/>
                  <w:vAlign w:val="center"/>
                </w:tcPr>
                <w:p>
                  <w:pPr>
                    <w:jc w:val="center"/>
                    <w:rPr>
                      <w:szCs w:val="21"/>
                    </w:rPr>
                  </w:pPr>
                  <w:r>
                    <w:rPr>
                      <w:szCs w:val="21"/>
                    </w:rPr>
                    <w:t>无组织废气</w:t>
                  </w:r>
                </w:p>
              </w:tc>
              <w:tc>
                <w:tcPr>
                  <w:tcW w:w="923" w:type="pct"/>
                  <w:noWrap w:val="0"/>
                  <w:vAlign w:val="center"/>
                </w:tcPr>
                <w:p>
                  <w:pPr>
                    <w:jc w:val="center"/>
                    <w:rPr>
                      <w:rFonts w:hint="default" w:eastAsia="宋体"/>
                      <w:szCs w:val="21"/>
                      <w:lang w:val="en-US" w:eastAsia="zh-CN"/>
                    </w:rPr>
                  </w:pPr>
                  <w:r>
                    <w:rPr>
                      <w:szCs w:val="21"/>
                    </w:rPr>
                    <w:t>厂界</w:t>
                  </w:r>
                  <w:r>
                    <w:rPr>
                      <w:rFonts w:hint="eastAsia"/>
                      <w:szCs w:val="21"/>
                      <w:lang w:eastAsia="zh-CN"/>
                    </w:rPr>
                    <w:t>外上风向</w:t>
                  </w:r>
                  <w:r>
                    <w:rPr>
                      <w:rFonts w:hint="eastAsia"/>
                      <w:szCs w:val="21"/>
                      <w:lang w:val="en-US" w:eastAsia="zh-CN"/>
                    </w:rPr>
                    <w:t>1个监控点，下风向3个监测点</w:t>
                  </w:r>
                </w:p>
              </w:tc>
              <w:tc>
                <w:tcPr>
                  <w:tcW w:w="849" w:type="pct"/>
                  <w:noWrap w:val="0"/>
                  <w:vAlign w:val="center"/>
                </w:tcPr>
                <w:p>
                  <w:pPr>
                    <w:jc w:val="center"/>
                    <w:rPr>
                      <w:szCs w:val="21"/>
                    </w:rPr>
                  </w:pPr>
                  <w:r>
                    <w:rPr>
                      <w:szCs w:val="21"/>
                    </w:rPr>
                    <w:t>颗粒物</w:t>
                  </w:r>
                </w:p>
              </w:tc>
              <w:tc>
                <w:tcPr>
                  <w:tcW w:w="775" w:type="pct"/>
                  <w:noWrap w:val="0"/>
                  <w:vAlign w:val="center"/>
                </w:tcPr>
                <w:p>
                  <w:pPr>
                    <w:jc w:val="center"/>
                    <w:rPr>
                      <w:rFonts w:hint="eastAsia" w:eastAsia="宋体"/>
                      <w:szCs w:val="21"/>
                      <w:lang w:eastAsia="zh-CN"/>
                    </w:rPr>
                  </w:pPr>
                  <w:r>
                    <w:rPr>
                      <w:szCs w:val="21"/>
                    </w:rPr>
                    <w:t>1次/年</w:t>
                  </w:r>
                  <w:r>
                    <w:rPr>
                      <w:rFonts w:hint="eastAsia"/>
                      <w:szCs w:val="21"/>
                      <w:lang w:eastAsia="zh-CN"/>
                    </w:rPr>
                    <w:t>，监测时，记录离厂界距离、风向、风速、天气情况</w:t>
                  </w:r>
                </w:p>
              </w:tc>
              <w:tc>
                <w:tcPr>
                  <w:tcW w:w="1531" w:type="pct"/>
                  <w:noWrap w:val="0"/>
                  <w:vAlign w:val="center"/>
                </w:tcPr>
                <w:p>
                  <w:pPr>
                    <w:jc w:val="center"/>
                    <w:rPr>
                      <w:szCs w:val="21"/>
                    </w:rPr>
                  </w:pPr>
                  <w:r>
                    <w:rPr>
                      <w:rFonts w:hint="eastAsia"/>
                      <w:szCs w:val="21"/>
                    </w:rPr>
                    <w:t>《水泥工业大气污染物排放标准》（GB4915-2013）中表3大气污染物无组织排放限值</w:t>
                  </w:r>
                </w:p>
              </w:tc>
            </w:tr>
          </w:tbl>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hAnsi="宋体" w:cs="宋体"/>
                <w:b/>
                <w:sz w:val="24"/>
              </w:rPr>
            </w:pPr>
            <w:r>
              <w:rPr>
                <w:rFonts w:hint="eastAsia" w:ascii="宋体" w:hAnsi="宋体" w:cs="宋体"/>
                <w:b/>
                <w:sz w:val="24"/>
              </w:rPr>
              <w:t>（二）运营期水环境影响和保护措施</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宋体" w:hAnsi="宋体" w:cs="宋体"/>
                <w:b/>
                <w:bCs/>
                <w:sz w:val="24"/>
              </w:rPr>
            </w:pPr>
            <w:r>
              <w:rPr>
                <w:rFonts w:hint="eastAsia" w:ascii="宋体" w:hAnsi="宋体" w:cs="宋体"/>
                <w:b/>
                <w:bCs/>
                <w:sz w:val="24"/>
                <w:lang w:eastAsia="zh-CN"/>
              </w:rPr>
              <w:t>1.</w:t>
            </w:r>
            <w:r>
              <w:rPr>
                <w:rFonts w:hint="eastAsia" w:ascii="宋体" w:hAnsi="宋体" w:cs="宋体"/>
                <w:b/>
                <w:bCs/>
                <w:sz w:val="24"/>
              </w:rPr>
              <w:t>废水污染工序及源强分析</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kern w:val="0"/>
                <w:sz w:val="24"/>
              </w:rPr>
              <w:t>本项目</w:t>
            </w:r>
            <w:r>
              <w:rPr>
                <w:sz w:val="24"/>
              </w:rPr>
              <w:t>产生的废水主要是</w:t>
            </w:r>
            <w:r>
              <w:rPr>
                <w:rFonts w:hint="eastAsia"/>
                <w:bCs/>
                <w:sz w:val="24"/>
              </w:rPr>
              <w:t>设备</w:t>
            </w:r>
            <w:r>
              <w:rPr>
                <w:rFonts w:hint="eastAsia"/>
                <w:bCs/>
                <w:sz w:val="24"/>
                <w:lang w:eastAsia="zh-CN"/>
              </w:rPr>
              <w:t>、</w:t>
            </w:r>
            <w:r>
              <w:rPr>
                <w:rFonts w:hint="eastAsia"/>
                <w:bCs/>
                <w:sz w:val="24"/>
              </w:rPr>
              <w:t>车辆冲洗废水、</w:t>
            </w:r>
            <w:r>
              <w:rPr>
                <w:rFonts w:hint="eastAsia"/>
                <w:bCs/>
                <w:sz w:val="24"/>
                <w:lang w:eastAsia="zh-CN"/>
              </w:rPr>
              <w:t>检验</w:t>
            </w:r>
            <w:r>
              <w:rPr>
                <w:rFonts w:hint="eastAsia"/>
                <w:bCs/>
                <w:sz w:val="24"/>
                <w:lang w:val="en-US" w:eastAsia="zh-CN"/>
              </w:rPr>
              <w:t>清洗</w:t>
            </w:r>
            <w:r>
              <w:rPr>
                <w:rFonts w:hint="eastAsia"/>
                <w:bCs/>
                <w:sz w:val="24"/>
              </w:rPr>
              <w:t>废水以及</w:t>
            </w:r>
            <w:r>
              <w:rPr>
                <w:sz w:val="24"/>
              </w:rPr>
              <w:t>职工</w:t>
            </w:r>
            <w:r>
              <w:rPr>
                <w:sz w:val="24"/>
                <w:lang w:val="en-GB"/>
              </w:rPr>
              <w:t>生活污水</w:t>
            </w:r>
            <w:r>
              <w:rPr>
                <w:rFonts w:hint="eastAsia"/>
                <w:bCs/>
                <w:sz w:val="24"/>
              </w:rPr>
              <w:t>。</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bCs/>
                <w:sz w:val="24"/>
              </w:rPr>
            </w:pPr>
            <w:r>
              <w:rPr>
                <w:rFonts w:hint="default" w:ascii="Times New Roman" w:hAnsi="Times New Roman" w:cs="Times New Roman"/>
                <w:bCs/>
                <w:sz w:val="24"/>
              </w:rPr>
              <w:t>生产废水：</w:t>
            </w:r>
            <w:r>
              <w:rPr>
                <w:sz w:val="24"/>
              </w:rPr>
              <w:t>根据建设单位经验资料提供，设备</w:t>
            </w:r>
            <w:r>
              <w:rPr>
                <w:rFonts w:hint="eastAsia"/>
                <w:sz w:val="24"/>
                <w:lang w:eastAsia="zh-CN"/>
              </w:rPr>
              <w:t>、</w:t>
            </w:r>
            <w:r>
              <w:rPr>
                <w:sz w:val="24"/>
              </w:rPr>
              <w:t>车辆冲洗用水</w:t>
            </w:r>
            <w:r>
              <w:rPr>
                <w:rFonts w:hint="eastAsia"/>
                <w:color w:val="auto"/>
                <w:sz w:val="24"/>
                <w:lang w:val="en-US" w:eastAsia="zh-CN"/>
              </w:rPr>
              <w:t>960</w:t>
            </w:r>
            <w:r>
              <w:rPr>
                <w:rFonts w:hint="eastAsia"/>
                <w:color w:val="auto"/>
                <w:sz w:val="24"/>
              </w:rPr>
              <w:t>m</w:t>
            </w:r>
            <w:r>
              <w:rPr>
                <w:rFonts w:hint="eastAsia"/>
                <w:color w:val="auto"/>
                <w:sz w:val="24"/>
                <w:vertAlign w:val="superscript"/>
              </w:rPr>
              <w:t>3</w:t>
            </w:r>
            <w:r>
              <w:rPr>
                <w:rFonts w:hint="eastAsia"/>
                <w:color w:val="auto"/>
                <w:sz w:val="24"/>
              </w:rPr>
              <w:t>/a</w:t>
            </w:r>
            <w:r>
              <w:rPr>
                <w:rFonts w:hint="eastAsia"/>
                <w:sz w:val="24"/>
                <w:lang w:eastAsia="zh-CN"/>
              </w:rPr>
              <w:t>（仅对车辆外部及轮胎冲洗）</w:t>
            </w:r>
            <w:r>
              <w:rPr>
                <w:rFonts w:hint="eastAsia"/>
                <w:sz w:val="24"/>
              </w:rPr>
              <w:t>；</w:t>
            </w:r>
            <w:r>
              <w:rPr>
                <w:rFonts w:hint="eastAsia" w:ascii="宋体" w:hAnsi="宋体" w:cs="宋体"/>
                <w:kern w:val="0"/>
                <w:sz w:val="24"/>
              </w:rPr>
              <w:t>检验室对</w:t>
            </w:r>
            <w:r>
              <w:rPr>
                <w:rFonts w:hint="eastAsia" w:ascii="宋体" w:hAnsi="宋体" w:cs="宋体"/>
                <w:kern w:val="0"/>
                <w:sz w:val="24"/>
                <w:lang w:eastAsia="zh-CN"/>
              </w:rPr>
              <w:t>原辅料</w:t>
            </w:r>
            <w:r>
              <w:rPr>
                <w:rFonts w:hint="eastAsia" w:ascii="宋体" w:hAnsi="宋体" w:cs="宋体"/>
                <w:kern w:val="0"/>
                <w:sz w:val="24"/>
              </w:rPr>
              <w:t>及产品进行质量检测，主要包括原料细度</w:t>
            </w:r>
            <w:r>
              <w:rPr>
                <w:rFonts w:hint="eastAsia" w:ascii="宋体" w:hAnsi="宋体" w:cs="宋体"/>
                <w:kern w:val="0"/>
                <w:sz w:val="24"/>
                <w:lang w:eastAsia="zh-CN"/>
              </w:rPr>
              <w:t>，产品的</w:t>
            </w:r>
            <w:r>
              <w:rPr>
                <w:rFonts w:hint="eastAsia" w:ascii="宋体" w:hAnsi="宋体" w:cs="宋体"/>
                <w:kern w:val="0"/>
                <w:sz w:val="24"/>
              </w:rPr>
              <w:t>坍落度、扩展度、抗水渗透性能等，通过检验仪器</w:t>
            </w:r>
            <w:r>
              <w:rPr>
                <w:rFonts w:hint="eastAsia" w:ascii="宋体" w:hAnsi="宋体" w:cs="宋体"/>
                <w:kern w:val="0"/>
                <w:sz w:val="24"/>
                <w:lang w:eastAsia="zh-CN"/>
              </w:rPr>
              <w:t>设施</w:t>
            </w:r>
            <w:r>
              <w:rPr>
                <w:rFonts w:hint="eastAsia" w:ascii="宋体" w:hAnsi="宋体" w:cs="宋体"/>
                <w:kern w:val="0"/>
                <w:sz w:val="24"/>
              </w:rPr>
              <w:t>进行试验，全为物理检验不需要添加化学试剂</w:t>
            </w:r>
            <w:r>
              <w:rPr>
                <w:rFonts w:hint="eastAsia"/>
                <w:sz w:val="24"/>
              </w:rPr>
              <w:t>，</w:t>
            </w:r>
            <w:r>
              <w:rPr>
                <w:rFonts w:hint="eastAsia"/>
                <w:sz w:val="24"/>
                <w:lang w:eastAsia="zh-CN"/>
              </w:rPr>
              <w:t>检测完成后需要对仪器进行清洗，</w:t>
            </w:r>
            <w:r>
              <w:rPr>
                <w:rFonts w:hint="eastAsia"/>
                <w:sz w:val="24"/>
              </w:rPr>
              <w:t>检验室</w:t>
            </w:r>
            <w:r>
              <w:rPr>
                <w:rFonts w:hint="eastAsia"/>
                <w:sz w:val="24"/>
                <w:lang w:eastAsia="zh-CN"/>
              </w:rPr>
              <w:t>清洗</w:t>
            </w:r>
            <w:r>
              <w:rPr>
                <w:rFonts w:hint="eastAsia"/>
                <w:sz w:val="24"/>
              </w:rPr>
              <w:t>用水量</w:t>
            </w:r>
            <w:r>
              <w:rPr>
                <w:sz w:val="24"/>
              </w:rPr>
              <w:t>约为</w:t>
            </w:r>
            <w:r>
              <w:rPr>
                <w:rFonts w:hint="eastAsia"/>
                <w:sz w:val="24"/>
                <w:lang w:val="en-US" w:eastAsia="zh-CN"/>
              </w:rPr>
              <w:t>1</w:t>
            </w:r>
            <w:r>
              <w:rPr>
                <w:sz w:val="24"/>
              </w:rPr>
              <w:t>m</w:t>
            </w:r>
            <w:r>
              <w:rPr>
                <w:sz w:val="24"/>
                <w:vertAlign w:val="superscript"/>
              </w:rPr>
              <w:t>3</w:t>
            </w:r>
            <w:r>
              <w:rPr>
                <w:sz w:val="24"/>
              </w:rPr>
              <w:t>/d</w:t>
            </w:r>
            <w:r>
              <w:rPr>
                <w:rFonts w:hint="eastAsia"/>
                <w:sz w:val="24"/>
                <w:lang w:eastAsia="zh-CN"/>
              </w:rPr>
              <w:t>（</w:t>
            </w:r>
            <w:r>
              <w:rPr>
                <w:rFonts w:hint="eastAsia"/>
                <w:sz w:val="24"/>
                <w:lang w:val="en-US" w:eastAsia="zh-CN"/>
              </w:rPr>
              <w:t>270m</w:t>
            </w:r>
            <w:r>
              <w:rPr>
                <w:rFonts w:hint="eastAsia"/>
                <w:sz w:val="24"/>
                <w:vertAlign w:val="superscript"/>
                <w:lang w:val="en-US" w:eastAsia="zh-CN"/>
              </w:rPr>
              <w:t>3</w:t>
            </w:r>
            <w:r>
              <w:rPr>
                <w:rFonts w:hint="eastAsia"/>
                <w:sz w:val="24"/>
                <w:lang w:val="en-US" w:eastAsia="zh-CN"/>
              </w:rPr>
              <w:t>/a</w:t>
            </w:r>
            <w:r>
              <w:rPr>
                <w:rFonts w:hint="eastAsia"/>
                <w:sz w:val="24"/>
                <w:lang w:eastAsia="zh-CN"/>
              </w:rPr>
              <w:t>）</w:t>
            </w:r>
            <w:r>
              <w:rPr>
                <w:sz w:val="24"/>
              </w:rPr>
              <w:t>。</w:t>
            </w:r>
            <w:r>
              <w:rPr>
                <w:rFonts w:hint="eastAsia"/>
                <w:color w:val="auto"/>
                <w:sz w:val="24"/>
              </w:rPr>
              <w:t>排水系数按0.8计</w:t>
            </w:r>
            <w:r>
              <w:rPr>
                <w:rFonts w:hint="eastAsia"/>
                <w:bCs/>
                <w:sz w:val="24"/>
              </w:rPr>
              <w:t>，则</w:t>
            </w:r>
            <w:r>
              <w:rPr>
                <w:rFonts w:hint="eastAsia"/>
                <w:bCs/>
                <w:sz w:val="24"/>
                <w:lang w:val="en-US" w:eastAsia="zh-CN"/>
              </w:rPr>
              <w:t>设备、</w:t>
            </w:r>
            <w:r>
              <w:rPr>
                <w:rFonts w:hint="eastAsia"/>
                <w:bCs/>
                <w:sz w:val="24"/>
              </w:rPr>
              <w:t>车辆冲洗废水为</w:t>
            </w:r>
            <w:r>
              <w:rPr>
                <w:rFonts w:hint="eastAsia"/>
                <w:bCs/>
                <w:sz w:val="24"/>
                <w:lang w:val="en-US" w:eastAsia="zh-CN"/>
              </w:rPr>
              <w:t>1080</w:t>
            </w:r>
            <w:r>
              <w:rPr>
                <w:rFonts w:hint="eastAsia"/>
                <w:bCs/>
                <w:sz w:val="24"/>
              </w:rPr>
              <w:t>m</w:t>
            </w:r>
            <w:r>
              <w:rPr>
                <w:rFonts w:hint="eastAsia"/>
                <w:bCs/>
                <w:sz w:val="24"/>
                <w:vertAlign w:val="superscript"/>
              </w:rPr>
              <w:t>3</w:t>
            </w:r>
            <w:r>
              <w:rPr>
                <w:rFonts w:hint="eastAsia"/>
                <w:bCs/>
                <w:sz w:val="24"/>
              </w:rPr>
              <w:t>/a，检验清洗废水为</w:t>
            </w:r>
            <w:r>
              <w:rPr>
                <w:rFonts w:hint="eastAsia"/>
                <w:bCs/>
                <w:sz w:val="24"/>
                <w:lang w:val="en-US" w:eastAsia="zh-CN"/>
              </w:rPr>
              <w:t>216</w:t>
            </w:r>
            <w:r>
              <w:rPr>
                <w:rFonts w:hint="eastAsia"/>
                <w:bCs/>
                <w:sz w:val="24"/>
              </w:rPr>
              <w:t>m</w:t>
            </w:r>
            <w:r>
              <w:rPr>
                <w:rFonts w:hint="eastAsia"/>
                <w:bCs/>
                <w:sz w:val="24"/>
                <w:vertAlign w:val="superscript"/>
              </w:rPr>
              <w:t>3</w:t>
            </w:r>
            <w:r>
              <w:rPr>
                <w:rFonts w:hint="eastAsia"/>
                <w:bCs/>
                <w:sz w:val="24"/>
              </w:rPr>
              <w:t>/a，</w:t>
            </w:r>
            <w:r>
              <w:rPr>
                <w:rFonts w:hint="eastAsia"/>
                <w:sz w:val="24"/>
                <w:lang w:eastAsia="zh-CN"/>
              </w:rPr>
              <w:t>本项目</w:t>
            </w:r>
            <w:r>
              <w:rPr>
                <w:rFonts w:hint="eastAsia"/>
                <w:sz w:val="24"/>
                <w:lang w:val="en-US" w:eastAsia="zh-CN"/>
              </w:rPr>
              <w:t>设备、</w:t>
            </w:r>
            <w:r>
              <w:rPr>
                <w:rFonts w:hint="eastAsia"/>
                <w:sz w:val="24"/>
                <w:lang w:eastAsia="zh-CN"/>
              </w:rPr>
              <w:t>车辆冲洗废水和检验</w:t>
            </w:r>
            <w:r>
              <w:rPr>
                <w:rFonts w:hint="eastAsia"/>
                <w:sz w:val="24"/>
                <w:lang w:val="en-US" w:eastAsia="zh-CN"/>
              </w:rPr>
              <w:t>清洗</w:t>
            </w:r>
            <w:r>
              <w:rPr>
                <w:rFonts w:hint="eastAsia"/>
                <w:sz w:val="24"/>
                <w:lang w:eastAsia="zh-CN"/>
              </w:rPr>
              <w:t>废水水质较为简单，主要污染物为</w:t>
            </w:r>
            <w:r>
              <w:rPr>
                <w:rFonts w:hint="eastAsia"/>
                <w:sz w:val="24"/>
                <w:lang w:val="en-US" w:eastAsia="zh-CN"/>
              </w:rPr>
              <w:t>SS，不含有石油类及一类污染物，</w:t>
            </w:r>
            <w:r>
              <w:rPr>
                <w:rFonts w:hint="eastAsia"/>
                <w:bCs/>
                <w:sz w:val="24"/>
              </w:rPr>
              <w:t>经</w:t>
            </w:r>
            <w:r>
              <w:rPr>
                <w:rFonts w:hint="eastAsia"/>
                <w:bCs/>
                <w:sz w:val="24"/>
                <w:lang w:eastAsia="zh-CN"/>
              </w:rPr>
              <w:t>三</w:t>
            </w:r>
            <w:r>
              <w:rPr>
                <w:rFonts w:hint="eastAsia"/>
                <w:bCs/>
                <w:sz w:val="24"/>
              </w:rPr>
              <w:t>级沉淀池（</w:t>
            </w:r>
            <w:r>
              <w:rPr>
                <w:rFonts w:hint="eastAsia"/>
                <w:bCs/>
                <w:sz w:val="24"/>
                <w:lang w:val="en-US" w:eastAsia="zh-CN"/>
              </w:rPr>
              <w:t>3</w:t>
            </w:r>
            <w:r>
              <w:rPr>
                <w:rFonts w:hint="eastAsia"/>
                <w:bCs/>
                <w:sz w:val="24"/>
              </w:rPr>
              <w:t>×</w:t>
            </w:r>
            <w:r>
              <w:rPr>
                <w:rFonts w:hint="eastAsia"/>
                <w:bCs/>
                <w:sz w:val="24"/>
                <w:lang w:val="en-US" w:eastAsia="zh-CN"/>
              </w:rPr>
              <w:t>1</w:t>
            </w:r>
            <w:r>
              <w:rPr>
                <w:rFonts w:hint="eastAsia"/>
                <w:bCs/>
                <w:sz w:val="24"/>
              </w:rPr>
              <w:t>0m</w:t>
            </w:r>
            <w:r>
              <w:rPr>
                <w:rFonts w:hint="eastAsia"/>
                <w:bCs/>
                <w:sz w:val="24"/>
                <w:vertAlign w:val="superscript"/>
              </w:rPr>
              <w:t>3</w:t>
            </w:r>
            <w:r>
              <w:rPr>
                <w:rFonts w:hint="eastAsia"/>
                <w:bCs/>
                <w:sz w:val="24"/>
              </w:rPr>
              <w:t>）沉淀后</w:t>
            </w:r>
            <w:r>
              <w:rPr>
                <w:rFonts w:hint="eastAsia"/>
                <w:bCs/>
                <w:sz w:val="24"/>
                <w:lang w:val="en-US" w:eastAsia="zh-CN"/>
              </w:rPr>
              <w:t>循环使用</w:t>
            </w:r>
            <w:r>
              <w:rPr>
                <w:rFonts w:hint="eastAsia"/>
                <w:bCs/>
                <w:sz w:val="24"/>
              </w:rPr>
              <w:t>，不外排；拌合生产用水</w:t>
            </w:r>
            <w:r>
              <w:rPr>
                <w:rFonts w:hint="eastAsia" w:ascii="宋体" w:hAnsi="宋体" w:cs="宋体"/>
                <w:sz w:val="24"/>
              </w:rPr>
              <w:t>全部进入产品，</w:t>
            </w:r>
            <w:r>
              <w:rPr>
                <w:rFonts w:hint="eastAsia"/>
                <w:bCs/>
                <w:sz w:val="24"/>
              </w:rPr>
              <w:t>随着产品一起带出，不产生废水；抑尘用水全部蒸发消耗。</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color w:val="000000"/>
                <w:sz w:val="24"/>
              </w:rPr>
            </w:pPr>
            <w:r>
              <w:rPr>
                <w:color w:val="000000"/>
                <w:sz w:val="24"/>
              </w:rPr>
              <w:t>本项目劳动定员</w:t>
            </w:r>
            <w:r>
              <w:rPr>
                <w:rFonts w:hint="eastAsia"/>
                <w:color w:val="000000"/>
                <w:sz w:val="24"/>
                <w:lang w:val="en-US" w:eastAsia="zh-CN"/>
              </w:rPr>
              <w:t>12</w:t>
            </w:r>
            <w:r>
              <w:rPr>
                <w:color w:val="000000"/>
                <w:sz w:val="24"/>
              </w:rPr>
              <w:t>人，</w:t>
            </w:r>
            <w:r>
              <w:rPr>
                <w:sz w:val="24"/>
              </w:rPr>
              <w:t>用水量按100L/人·日计</w:t>
            </w:r>
            <w:r>
              <w:rPr>
                <w:color w:val="000000"/>
                <w:sz w:val="24"/>
              </w:rPr>
              <w:t>，</w:t>
            </w:r>
            <w:r>
              <w:rPr>
                <w:rFonts w:hint="eastAsia"/>
                <w:color w:val="auto"/>
                <w:sz w:val="24"/>
              </w:rPr>
              <w:t>则生活用水量为</w:t>
            </w:r>
            <w:r>
              <w:rPr>
                <w:rFonts w:hint="eastAsia"/>
                <w:color w:val="auto"/>
                <w:sz w:val="24"/>
                <w:lang w:val="en-US" w:eastAsia="zh-CN"/>
              </w:rPr>
              <w:t>1.2</w:t>
            </w:r>
            <w:r>
              <w:rPr>
                <w:rFonts w:hint="eastAsia"/>
                <w:color w:val="auto"/>
                <w:sz w:val="24"/>
              </w:rPr>
              <w:t>m</w:t>
            </w:r>
            <w:r>
              <w:rPr>
                <w:rFonts w:hint="eastAsia"/>
                <w:color w:val="auto"/>
                <w:sz w:val="24"/>
                <w:vertAlign w:val="superscript"/>
              </w:rPr>
              <w:t>3</w:t>
            </w:r>
            <w:r>
              <w:rPr>
                <w:rFonts w:hint="eastAsia"/>
                <w:color w:val="auto"/>
                <w:sz w:val="24"/>
              </w:rPr>
              <w:t>/d（</w:t>
            </w:r>
            <w:r>
              <w:rPr>
                <w:rFonts w:hint="eastAsia"/>
                <w:color w:val="auto"/>
                <w:sz w:val="24"/>
                <w:lang w:val="en-US" w:eastAsia="zh-CN"/>
              </w:rPr>
              <w:t>324</w:t>
            </w:r>
            <w:r>
              <w:rPr>
                <w:rFonts w:hint="eastAsia"/>
                <w:color w:val="auto"/>
                <w:sz w:val="24"/>
              </w:rPr>
              <w:t>m</w:t>
            </w:r>
            <w:r>
              <w:rPr>
                <w:rFonts w:hint="eastAsia"/>
                <w:color w:val="auto"/>
                <w:sz w:val="24"/>
                <w:vertAlign w:val="superscript"/>
              </w:rPr>
              <w:t>3</w:t>
            </w:r>
            <w:r>
              <w:rPr>
                <w:rFonts w:hint="eastAsia"/>
                <w:color w:val="auto"/>
                <w:sz w:val="24"/>
              </w:rPr>
              <w:t>/a）。排水系数按0.8计，则生活污水排放量约为</w:t>
            </w:r>
            <w:r>
              <w:rPr>
                <w:rFonts w:hint="eastAsia"/>
                <w:color w:val="auto"/>
                <w:sz w:val="24"/>
                <w:lang w:val="en-US" w:eastAsia="zh-CN"/>
              </w:rPr>
              <w:t>0.96</w:t>
            </w:r>
            <w:r>
              <w:rPr>
                <w:rFonts w:hint="eastAsia"/>
                <w:color w:val="auto"/>
                <w:sz w:val="24"/>
              </w:rPr>
              <w:t>m</w:t>
            </w:r>
            <w:r>
              <w:rPr>
                <w:rFonts w:hint="eastAsia"/>
                <w:color w:val="auto"/>
                <w:sz w:val="24"/>
                <w:vertAlign w:val="superscript"/>
              </w:rPr>
              <w:t>3</w:t>
            </w:r>
            <w:r>
              <w:rPr>
                <w:rFonts w:hint="eastAsia"/>
                <w:color w:val="auto"/>
                <w:sz w:val="24"/>
              </w:rPr>
              <w:t>/d（</w:t>
            </w:r>
            <w:r>
              <w:rPr>
                <w:rFonts w:hint="eastAsia"/>
                <w:color w:val="auto"/>
                <w:sz w:val="24"/>
                <w:lang w:val="en-US" w:eastAsia="zh-CN"/>
              </w:rPr>
              <w:t>259.2</w:t>
            </w:r>
            <w:r>
              <w:rPr>
                <w:rFonts w:hint="eastAsia"/>
                <w:color w:val="auto"/>
                <w:sz w:val="24"/>
              </w:rPr>
              <w:t>m</w:t>
            </w:r>
            <w:r>
              <w:rPr>
                <w:rFonts w:hint="eastAsia"/>
                <w:color w:val="auto"/>
                <w:sz w:val="24"/>
                <w:vertAlign w:val="superscript"/>
              </w:rPr>
              <w:t>3</w:t>
            </w:r>
            <w:r>
              <w:rPr>
                <w:rFonts w:hint="eastAsia"/>
                <w:color w:val="auto"/>
                <w:sz w:val="24"/>
              </w:rPr>
              <w:t>/a）</w:t>
            </w:r>
            <w:r>
              <w:rPr>
                <w:color w:val="000000"/>
                <w:sz w:val="24"/>
              </w:rPr>
              <w:t>，生活污水浓度参照《建筑中水设计标准》（GB50336-2018）中生活污水中各污染物产生浓度，生活污水污染物浓度CODcr350mg/L，BOD5250mg/L，SS200mg/L，氨氮30mg/L。</w:t>
            </w:r>
            <w:r>
              <w:rPr>
                <w:sz w:val="24"/>
              </w:rPr>
              <w:t>废水收集到化粪池处理后</w:t>
            </w:r>
            <w:r>
              <w:rPr>
                <w:rFonts w:hint="eastAsia"/>
                <w:sz w:val="24"/>
                <w:lang w:val="en-US" w:eastAsia="zh-CN"/>
              </w:rPr>
              <w:t>排入市政污水管网，最终进入轮台县污水处理厂处理</w:t>
            </w:r>
            <w:r>
              <w:rPr>
                <w:sz w:val="24"/>
              </w:rPr>
              <w:t>。</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本项目生活废水中主要污染物的产生及排放情况见</w:t>
            </w:r>
            <w:r>
              <w:rPr>
                <w:rFonts w:hint="eastAsia" w:ascii="宋体" w:hAnsi="宋体" w:cs="宋体"/>
                <w:color w:val="000000"/>
                <w:sz w:val="24"/>
                <w:lang w:eastAsia="zh-CN"/>
              </w:rPr>
              <w:t>表</w:t>
            </w:r>
            <w:r>
              <w:rPr>
                <w:rFonts w:hint="eastAsia" w:ascii="宋体" w:hAnsi="宋体" w:cs="宋体"/>
                <w:color w:val="000000"/>
                <w:sz w:val="24"/>
                <w:lang w:val="en-US" w:eastAsia="zh-CN"/>
              </w:rPr>
              <w:t>4-5</w:t>
            </w:r>
            <w:r>
              <w:rPr>
                <w:rFonts w:hint="eastAsia" w:ascii="宋体" w:hAnsi="宋体" w:cs="宋体"/>
                <w:color w:val="000000"/>
                <w:sz w:val="24"/>
              </w:rPr>
              <w:t>。</w:t>
            </w:r>
          </w:p>
          <w:p>
            <w:pPr>
              <w:keepNext w:val="0"/>
              <w:keepLines w:val="0"/>
              <w:pageBreakBefore w:val="0"/>
              <w:widowControl/>
              <w:kinsoku/>
              <w:wordWrap/>
              <w:overflowPunct/>
              <w:topLinePunct w:val="0"/>
              <w:autoSpaceDE/>
              <w:autoSpaceDN/>
              <w:bidi w:val="0"/>
              <w:adjustRightInd/>
              <w:snapToGrid/>
              <w:spacing w:line="520" w:lineRule="exact"/>
              <w:ind w:firstLine="198"/>
              <w:jc w:val="center"/>
              <w:textAlignment w:val="auto"/>
              <w:rPr>
                <w:rFonts w:hint="eastAsia" w:ascii="宋体" w:hAnsi="宋体" w:cs="宋体"/>
                <w:b/>
                <w:bCs/>
                <w:color w:val="000000"/>
                <w:kern w:val="0"/>
                <w:sz w:val="24"/>
              </w:rPr>
            </w:pPr>
            <w:bookmarkStart w:id="22" w:name="OLE_LINK7"/>
            <w:r>
              <w:rPr>
                <w:rFonts w:hint="eastAsia" w:ascii="宋体" w:hAnsi="宋体" w:cs="宋体"/>
                <w:b/>
                <w:bCs/>
                <w:color w:val="000000"/>
                <w:kern w:val="0"/>
                <w:sz w:val="24"/>
              </w:rPr>
              <w:t>表</w:t>
            </w:r>
            <w:r>
              <w:rPr>
                <w:rFonts w:hint="eastAsia" w:ascii="宋体" w:hAnsi="宋体" w:cs="宋体"/>
                <w:b/>
                <w:bCs/>
                <w:color w:val="000000"/>
                <w:kern w:val="0"/>
                <w:sz w:val="24"/>
                <w:lang w:val="en-US" w:eastAsia="zh-CN"/>
              </w:rPr>
              <w:t>4-5</w:t>
            </w:r>
            <w:r>
              <w:rPr>
                <w:rFonts w:hint="eastAsia" w:ascii="宋体" w:hAnsi="宋体" w:cs="宋体"/>
                <w:b/>
                <w:bCs/>
                <w:color w:val="000000"/>
                <w:kern w:val="0"/>
                <w:sz w:val="24"/>
              </w:rPr>
              <w:t xml:space="preserve">   项目生活废水产生和排放情况一览表</w:t>
            </w:r>
            <w:bookmarkEnd w:id="22"/>
          </w:p>
          <w:tbl>
            <w:tblPr>
              <w:tblStyle w:val="21"/>
              <w:tblW w:w="4989" w:type="pct"/>
              <w:tblInd w:w="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9"/>
              <w:gridCol w:w="467"/>
              <w:gridCol w:w="942"/>
              <w:gridCol w:w="843"/>
              <w:gridCol w:w="1273"/>
              <w:gridCol w:w="791"/>
              <w:gridCol w:w="467"/>
              <w:gridCol w:w="1164"/>
              <w:gridCol w:w="823"/>
              <w:gridCol w:w="76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03" w:hRule="atLeast"/>
              </w:trPr>
              <w:tc>
                <w:tcPr>
                  <w:tcW w:w="447" w:type="pct"/>
                  <w:vMerge w:val="restart"/>
                  <w:noWrap w:val="0"/>
                  <w:vAlign w:val="center"/>
                </w:tcPr>
                <w:p>
                  <w:pPr>
                    <w:jc w:val="center"/>
                    <w:rPr>
                      <w:szCs w:val="21"/>
                    </w:rPr>
                  </w:pPr>
                  <w:r>
                    <w:rPr>
                      <w:szCs w:val="21"/>
                    </w:rPr>
                    <w:t>污染物</w:t>
                  </w:r>
                </w:p>
              </w:tc>
              <w:tc>
                <w:tcPr>
                  <w:tcW w:w="1360" w:type="pct"/>
                  <w:gridSpan w:val="3"/>
                  <w:noWrap w:val="0"/>
                  <w:vAlign w:val="center"/>
                </w:tcPr>
                <w:p>
                  <w:pPr>
                    <w:jc w:val="center"/>
                    <w:rPr>
                      <w:rFonts w:hint="eastAsia"/>
                      <w:szCs w:val="21"/>
                    </w:rPr>
                  </w:pPr>
                  <w:r>
                    <w:rPr>
                      <w:rFonts w:hint="eastAsia"/>
                      <w:szCs w:val="21"/>
                    </w:rPr>
                    <w:t>污染物</w:t>
                  </w:r>
                  <w:r>
                    <w:rPr>
                      <w:szCs w:val="21"/>
                    </w:rPr>
                    <w:t>产生情况</w:t>
                  </w:r>
                </w:p>
              </w:tc>
              <w:tc>
                <w:tcPr>
                  <w:tcW w:w="1247" w:type="pct"/>
                  <w:gridSpan w:val="2"/>
                  <w:noWrap w:val="0"/>
                  <w:vAlign w:val="center"/>
                </w:tcPr>
                <w:p>
                  <w:pPr>
                    <w:widowControl/>
                    <w:jc w:val="center"/>
                    <w:textAlignment w:val="center"/>
                    <w:rPr>
                      <w:rFonts w:hint="eastAsia"/>
                      <w:szCs w:val="21"/>
                    </w:rPr>
                  </w:pPr>
                  <w:r>
                    <w:rPr>
                      <w:color w:val="000000"/>
                      <w:kern w:val="0"/>
                      <w:szCs w:val="21"/>
                    </w:rPr>
                    <w:t>治理措施</w:t>
                  </w:r>
                </w:p>
              </w:tc>
              <w:tc>
                <w:tcPr>
                  <w:tcW w:w="1482" w:type="pct"/>
                  <w:gridSpan w:val="3"/>
                  <w:noWrap w:val="0"/>
                  <w:vAlign w:val="center"/>
                </w:tcPr>
                <w:p>
                  <w:pPr>
                    <w:jc w:val="center"/>
                    <w:rPr>
                      <w:szCs w:val="21"/>
                    </w:rPr>
                  </w:pPr>
                  <w:r>
                    <w:rPr>
                      <w:rFonts w:hint="eastAsia"/>
                      <w:szCs w:val="21"/>
                    </w:rPr>
                    <w:t>污染物</w:t>
                  </w:r>
                  <w:r>
                    <w:rPr>
                      <w:szCs w:val="21"/>
                    </w:rPr>
                    <w:t>排放情况</w:t>
                  </w:r>
                </w:p>
              </w:tc>
              <w:tc>
                <w:tcPr>
                  <w:tcW w:w="462" w:type="pct"/>
                  <w:vMerge w:val="restart"/>
                  <w:noWrap w:val="0"/>
                  <w:vAlign w:val="center"/>
                </w:tcPr>
                <w:p>
                  <w:pPr>
                    <w:jc w:val="center"/>
                    <w:rPr>
                      <w:szCs w:val="21"/>
                    </w:rPr>
                  </w:pPr>
                  <w:r>
                    <w:rPr>
                      <w:szCs w:val="21"/>
                    </w:rPr>
                    <w:t>排放标准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4" w:hRule="atLeast"/>
              </w:trPr>
              <w:tc>
                <w:tcPr>
                  <w:tcW w:w="447" w:type="pct"/>
                  <w:vMerge w:val="continue"/>
                  <w:noWrap w:val="0"/>
                  <w:vAlign w:val="center"/>
                </w:tcPr>
                <w:p>
                  <w:pPr>
                    <w:jc w:val="center"/>
                    <w:rPr>
                      <w:szCs w:val="21"/>
                    </w:rPr>
                  </w:pPr>
                </w:p>
              </w:tc>
              <w:tc>
                <w:tcPr>
                  <w:tcW w:w="282" w:type="pct"/>
                  <w:vMerge w:val="restart"/>
                  <w:noWrap w:val="0"/>
                  <w:vAlign w:val="center"/>
                </w:tcPr>
                <w:p>
                  <w:pPr>
                    <w:jc w:val="center"/>
                    <w:rPr>
                      <w:szCs w:val="21"/>
                    </w:rPr>
                  </w:pPr>
                  <w:r>
                    <w:rPr>
                      <w:color w:val="000000"/>
                      <w:kern w:val="0"/>
                      <w:szCs w:val="21"/>
                    </w:rPr>
                    <w:t>核算方法</w:t>
                  </w:r>
                </w:p>
              </w:tc>
              <w:tc>
                <w:tcPr>
                  <w:tcW w:w="569" w:type="pct"/>
                  <w:noWrap w:val="0"/>
                  <w:vAlign w:val="center"/>
                </w:tcPr>
                <w:p>
                  <w:pPr>
                    <w:jc w:val="center"/>
                    <w:rPr>
                      <w:szCs w:val="21"/>
                    </w:rPr>
                  </w:pPr>
                  <w:r>
                    <w:rPr>
                      <w:rFonts w:hint="eastAsia"/>
                      <w:szCs w:val="21"/>
                    </w:rPr>
                    <w:t>产生</w:t>
                  </w:r>
                  <w:r>
                    <w:rPr>
                      <w:szCs w:val="21"/>
                    </w:rPr>
                    <w:t>浓度</w:t>
                  </w:r>
                  <w:r>
                    <w:rPr>
                      <w:rFonts w:hint="eastAsia"/>
                      <w:szCs w:val="21"/>
                    </w:rPr>
                    <w:t>mg/L</w:t>
                  </w:r>
                </w:p>
              </w:tc>
              <w:tc>
                <w:tcPr>
                  <w:tcW w:w="508" w:type="pct"/>
                  <w:noWrap w:val="0"/>
                  <w:vAlign w:val="center"/>
                </w:tcPr>
                <w:p>
                  <w:pPr>
                    <w:jc w:val="center"/>
                    <w:rPr>
                      <w:szCs w:val="21"/>
                    </w:rPr>
                  </w:pPr>
                  <w:r>
                    <w:rPr>
                      <w:rFonts w:hint="eastAsia"/>
                      <w:color w:val="000000"/>
                      <w:kern w:val="0"/>
                      <w:szCs w:val="21"/>
                    </w:rPr>
                    <w:t>产生量t/a</w:t>
                  </w:r>
                </w:p>
              </w:tc>
              <w:tc>
                <w:tcPr>
                  <w:tcW w:w="769" w:type="pct"/>
                  <w:vMerge w:val="restart"/>
                  <w:noWrap w:val="0"/>
                  <w:vAlign w:val="center"/>
                </w:tcPr>
                <w:p>
                  <w:pPr>
                    <w:widowControl/>
                    <w:jc w:val="center"/>
                    <w:textAlignment w:val="center"/>
                    <w:rPr>
                      <w:szCs w:val="21"/>
                    </w:rPr>
                  </w:pPr>
                  <w:r>
                    <w:rPr>
                      <w:color w:val="000000"/>
                      <w:kern w:val="0"/>
                      <w:szCs w:val="21"/>
                    </w:rPr>
                    <w:t>工艺</w:t>
                  </w:r>
                </w:p>
              </w:tc>
              <w:tc>
                <w:tcPr>
                  <w:tcW w:w="478" w:type="pct"/>
                  <w:noWrap w:val="0"/>
                  <w:vAlign w:val="center"/>
                </w:tcPr>
                <w:p>
                  <w:pPr>
                    <w:widowControl/>
                    <w:jc w:val="center"/>
                    <w:textAlignment w:val="center"/>
                    <w:rPr>
                      <w:szCs w:val="21"/>
                    </w:rPr>
                  </w:pPr>
                  <w:r>
                    <w:rPr>
                      <w:color w:val="000000"/>
                      <w:kern w:val="0"/>
                      <w:szCs w:val="21"/>
                    </w:rPr>
                    <w:t>效率（%）</w:t>
                  </w:r>
                </w:p>
              </w:tc>
              <w:tc>
                <w:tcPr>
                  <w:tcW w:w="282" w:type="pct"/>
                  <w:vMerge w:val="restart"/>
                  <w:noWrap w:val="0"/>
                  <w:vAlign w:val="center"/>
                </w:tcPr>
                <w:p>
                  <w:pPr>
                    <w:jc w:val="center"/>
                    <w:rPr>
                      <w:rFonts w:hint="eastAsia"/>
                      <w:szCs w:val="21"/>
                    </w:rPr>
                  </w:pPr>
                  <w:r>
                    <w:rPr>
                      <w:rFonts w:hint="eastAsia"/>
                      <w:szCs w:val="21"/>
                    </w:rPr>
                    <w:t>核算方法</w:t>
                  </w:r>
                </w:p>
              </w:tc>
              <w:tc>
                <w:tcPr>
                  <w:tcW w:w="703" w:type="pct"/>
                  <w:noWrap w:val="0"/>
                  <w:vAlign w:val="center"/>
                </w:tcPr>
                <w:p>
                  <w:pPr>
                    <w:jc w:val="center"/>
                    <w:rPr>
                      <w:szCs w:val="21"/>
                    </w:rPr>
                  </w:pPr>
                  <w:r>
                    <w:rPr>
                      <w:rFonts w:hint="eastAsia"/>
                      <w:szCs w:val="21"/>
                    </w:rPr>
                    <w:t>排放</w:t>
                  </w:r>
                  <w:r>
                    <w:rPr>
                      <w:szCs w:val="21"/>
                    </w:rPr>
                    <w:t>浓度</w:t>
                  </w:r>
                  <w:r>
                    <w:rPr>
                      <w:rFonts w:hint="eastAsia"/>
                      <w:szCs w:val="21"/>
                    </w:rPr>
                    <w:t>mg/L</w:t>
                  </w:r>
                </w:p>
              </w:tc>
              <w:tc>
                <w:tcPr>
                  <w:tcW w:w="496" w:type="pct"/>
                  <w:noWrap w:val="0"/>
                  <w:vAlign w:val="center"/>
                </w:tcPr>
                <w:p>
                  <w:pPr>
                    <w:jc w:val="center"/>
                    <w:rPr>
                      <w:szCs w:val="21"/>
                    </w:rPr>
                  </w:pPr>
                  <w:r>
                    <w:rPr>
                      <w:rFonts w:hint="eastAsia"/>
                      <w:szCs w:val="21"/>
                    </w:rPr>
                    <w:t>排放量</w:t>
                  </w:r>
                  <w:r>
                    <w:rPr>
                      <w:rFonts w:hint="eastAsia"/>
                      <w:color w:val="000000"/>
                      <w:kern w:val="0"/>
                      <w:szCs w:val="21"/>
                    </w:rPr>
                    <w:t>t/a</w:t>
                  </w:r>
                </w:p>
              </w:tc>
              <w:tc>
                <w:tcPr>
                  <w:tcW w:w="462" w:type="pct"/>
                  <w:vMerge w:val="continue"/>
                  <w:noWrap w:val="0"/>
                  <w:vAlign w:val="center"/>
                </w:tcPr>
                <w:p>
                  <w:pPr>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64" w:hRule="atLeast"/>
              </w:trPr>
              <w:tc>
                <w:tcPr>
                  <w:tcW w:w="447" w:type="pct"/>
                  <w:noWrap w:val="0"/>
                  <w:vAlign w:val="center"/>
                </w:tcPr>
                <w:p>
                  <w:pPr>
                    <w:jc w:val="center"/>
                    <w:rPr>
                      <w:szCs w:val="21"/>
                    </w:rPr>
                  </w:pPr>
                  <w:r>
                    <w:rPr>
                      <w:szCs w:val="21"/>
                    </w:rPr>
                    <w:t>COD</w:t>
                  </w:r>
                </w:p>
              </w:tc>
              <w:tc>
                <w:tcPr>
                  <w:tcW w:w="282" w:type="pct"/>
                  <w:vMerge w:val="restart"/>
                  <w:noWrap w:val="0"/>
                  <w:vAlign w:val="center"/>
                </w:tcPr>
                <w:p>
                  <w:pPr>
                    <w:jc w:val="center"/>
                    <w:rPr>
                      <w:rFonts w:hint="default" w:eastAsia="宋体"/>
                      <w:szCs w:val="21"/>
                      <w:lang w:val="en-US" w:eastAsia="zh-CN"/>
                    </w:rPr>
                  </w:pPr>
                  <w:r>
                    <w:rPr>
                      <w:rFonts w:hint="eastAsia"/>
                      <w:szCs w:val="21"/>
                      <w:lang w:val="en-US" w:eastAsia="zh-CN"/>
                    </w:rPr>
                    <w:t>产污系数法</w:t>
                  </w:r>
                </w:p>
              </w:tc>
              <w:tc>
                <w:tcPr>
                  <w:tcW w:w="569" w:type="pct"/>
                  <w:noWrap w:val="0"/>
                  <w:vAlign w:val="center"/>
                </w:tcPr>
                <w:p>
                  <w:pPr>
                    <w:widowControl/>
                    <w:jc w:val="center"/>
                    <w:textAlignment w:val="center"/>
                    <w:rPr>
                      <w:szCs w:val="21"/>
                    </w:rPr>
                  </w:pPr>
                  <w:r>
                    <w:rPr>
                      <w:rFonts w:hint="eastAsia"/>
                      <w:kern w:val="0"/>
                      <w:szCs w:val="21"/>
                    </w:rPr>
                    <w:t>350</w:t>
                  </w:r>
                </w:p>
              </w:tc>
              <w:tc>
                <w:tcPr>
                  <w:tcW w:w="508" w:type="pct"/>
                  <w:noWrap w:val="0"/>
                  <w:vAlign w:val="center"/>
                </w:tcPr>
                <w:p>
                  <w:pPr>
                    <w:widowControl/>
                    <w:jc w:val="center"/>
                    <w:textAlignment w:val="center"/>
                    <w:rPr>
                      <w:rFonts w:hint="default" w:eastAsia="宋体"/>
                      <w:szCs w:val="21"/>
                      <w:lang w:val="en-US" w:eastAsia="zh-CN"/>
                    </w:rPr>
                  </w:pPr>
                  <w:r>
                    <w:rPr>
                      <w:rFonts w:hint="eastAsia" w:eastAsia="宋体"/>
                      <w:szCs w:val="21"/>
                      <w:lang w:val="en-US" w:eastAsia="zh-CN"/>
                    </w:rPr>
                    <w:t>0.091</w:t>
                  </w:r>
                </w:p>
              </w:tc>
              <w:tc>
                <w:tcPr>
                  <w:tcW w:w="769" w:type="pct"/>
                  <w:vMerge w:val="restart"/>
                  <w:noWrap w:val="0"/>
                  <w:vAlign w:val="center"/>
                </w:tcPr>
                <w:p>
                  <w:pPr>
                    <w:widowControl/>
                    <w:jc w:val="center"/>
                    <w:textAlignment w:val="center"/>
                    <w:rPr>
                      <w:szCs w:val="21"/>
                    </w:rPr>
                  </w:pPr>
                  <w:r>
                    <w:rPr>
                      <w:szCs w:val="21"/>
                    </w:rPr>
                    <w:t>化粪池</w:t>
                  </w:r>
                  <w:r>
                    <w:rPr>
                      <w:rFonts w:hint="eastAsia"/>
                      <w:szCs w:val="21"/>
                    </w:rPr>
                    <w:t>预</w:t>
                  </w:r>
                  <w:r>
                    <w:rPr>
                      <w:szCs w:val="21"/>
                    </w:rPr>
                    <w:t>处理后</w:t>
                  </w:r>
                  <w:r>
                    <w:rPr>
                      <w:rFonts w:hint="eastAsia"/>
                      <w:szCs w:val="21"/>
                    </w:rPr>
                    <w:t>排入市政污水管网</w:t>
                  </w:r>
                </w:p>
              </w:tc>
              <w:tc>
                <w:tcPr>
                  <w:tcW w:w="478" w:type="pct"/>
                  <w:noWrap w:val="0"/>
                  <w:vAlign w:val="center"/>
                </w:tcPr>
                <w:p>
                  <w:pPr>
                    <w:widowControl/>
                    <w:jc w:val="center"/>
                    <w:textAlignment w:val="center"/>
                    <w:rPr>
                      <w:szCs w:val="21"/>
                    </w:rPr>
                  </w:pPr>
                  <w:r>
                    <w:rPr>
                      <w:color w:val="000000"/>
                      <w:szCs w:val="21"/>
                    </w:rPr>
                    <w:t>15</w:t>
                  </w:r>
                </w:p>
              </w:tc>
              <w:tc>
                <w:tcPr>
                  <w:tcW w:w="282" w:type="pct"/>
                  <w:vMerge w:val="restart"/>
                  <w:noWrap w:val="0"/>
                  <w:vAlign w:val="center"/>
                </w:tcPr>
                <w:p>
                  <w:pPr>
                    <w:widowControl/>
                    <w:jc w:val="center"/>
                    <w:textAlignment w:val="center"/>
                    <w:rPr>
                      <w:rFonts w:hint="default" w:eastAsia="宋体"/>
                      <w:szCs w:val="21"/>
                      <w:lang w:val="en-US" w:eastAsia="zh-CN"/>
                    </w:rPr>
                  </w:pPr>
                  <w:r>
                    <w:rPr>
                      <w:rFonts w:hint="eastAsia"/>
                      <w:szCs w:val="21"/>
                      <w:lang w:val="en-US" w:eastAsia="zh-CN"/>
                    </w:rPr>
                    <w:t>物料衡算法</w:t>
                  </w:r>
                </w:p>
              </w:tc>
              <w:tc>
                <w:tcPr>
                  <w:tcW w:w="703" w:type="pct"/>
                  <w:noWrap w:val="0"/>
                  <w:vAlign w:val="center"/>
                </w:tcPr>
                <w:p>
                  <w:pPr>
                    <w:jc w:val="center"/>
                    <w:rPr>
                      <w:szCs w:val="21"/>
                    </w:rPr>
                  </w:pPr>
                  <w:r>
                    <w:rPr>
                      <w:rFonts w:hint="eastAsia"/>
                      <w:szCs w:val="21"/>
                    </w:rPr>
                    <w:t>297.5</w:t>
                  </w:r>
                </w:p>
              </w:tc>
              <w:tc>
                <w:tcPr>
                  <w:tcW w:w="496" w:type="pct"/>
                  <w:noWrap w:val="0"/>
                  <w:vAlign w:val="center"/>
                </w:tcPr>
                <w:p>
                  <w:pPr>
                    <w:jc w:val="center"/>
                    <w:rPr>
                      <w:rFonts w:hint="default" w:eastAsia="宋体"/>
                      <w:szCs w:val="21"/>
                      <w:lang w:val="en-US" w:eastAsia="zh-CN"/>
                    </w:rPr>
                  </w:pPr>
                  <w:r>
                    <w:rPr>
                      <w:rFonts w:hint="eastAsia" w:eastAsia="宋体"/>
                      <w:szCs w:val="21"/>
                      <w:lang w:val="en-US" w:eastAsia="zh-CN"/>
                    </w:rPr>
                    <w:t>0.077</w:t>
                  </w:r>
                </w:p>
              </w:tc>
              <w:tc>
                <w:tcPr>
                  <w:tcW w:w="462" w:type="pct"/>
                  <w:noWrap w:val="0"/>
                  <w:vAlign w:val="center"/>
                </w:tcPr>
                <w:p>
                  <w:pPr>
                    <w:jc w:val="center"/>
                    <w:rPr>
                      <w:szCs w:val="21"/>
                    </w:rPr>
                  </w:pPr>
                  <w:r>
                    <w:rPr>
                      <w:szCs w:val="21"/>
                    </w:rPr>
                    <w:t>500</w:t>
                  </w:r>
                </w:p>
                <w:p>
                  <w:pPr>
                    <w:jc w:val="center"/>
                    <w:rPr>
                      <w:szCs w:val="21"/>
                    </w:rPr>
                  </w:pPr>
                  <w:r>
                    <w:rPr>
                      <w:szCs w:val="21"/>
                    </w:rPr>
                    <w:t>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99" w:hRule="atLeast"/>
              </w:trPr>
              <w:tc>
                <w:tcPr>
                  <w:tcW w:w="447" w:type="pct"/>
                  <w:noWrap w:val="0"/>
                  <w:vAlign w:val="center"/>
                </w:tcPr>
                <w:p>
                  <w:pPr>
                    <w:jc w:val="center"/>
                    <w:rPr>
                      <w:szCs w:val="21"/>
                    </w:rPr>
                  </w:pPr>
                  <w:r>
                    <w:rPr>
                      <w:szCs w:val="21"/>
                    </w:rPr>
                    <w:t>BOD</w:t>
                  </w:r>
                </w:p>
              </w:tc>
              <w:tc>
                <w:tcPr>
                  <w:tcW w:w="282" w:type="pct"/>
                  <w:vMerge w:val="continue"/>
                  <w:noWrap w:val="0"/>
                  <w:vAlign w:val="center"/>
                </w:tcPr>
                <w:p>
                  <w:pPr>
                    <w:jc w:val="center"/>
                    <w:rPr>
                      <w:szCs w:val="21"/>
                    </w:rPr>
                  </w:pPr>
                </w:p>
              </w:tc>
              <w:tc>
                <w:tcPr>
                  <w:tcW w:w="569" w:type="pct"/>
                  <w:noWrap w:val="0"/>
                  <w:vAlign w:val="center"/>
                </w:tcPr>
                <w:p>
                  <w:pPr>
                    <w:widowControl/>
                    <w:jc w:val="center"/>
                    <w:textAlignment w:val="center"/>
                    <w:rPr>
                      <w:bCs/>
                      <w:szCs w:val="21"/>
                    </w:rPr>
                  </w:pPr>
                  <w:r>
                    <w:rPr>
                      <w:szCs w:val="21"/>
                    </w:rPr>
                    <w:t>250</w:t>
                  </w:r>
                </w:p>
              </w:tc>
              <w:tc>
                <w:tcPr>
                  <w:tcW w:w="508" w:type="pct"/>
                  <w:noWrap w:val="0"/>
                  <w:vAlign w:val="center"/>
                </w:tcPr>
                <w:p>
                  <w:pPr>
                    <w:widowControl/>
                    <w:jc w:val="center"/>
                    <w:textAlignment w:val="center"/>
                    <w:rPr>
                      <w:rFonts w:hint="default" w:eastAsia="宋体"/>
                      <w:szCs w:val="21"/>
                      <w:lang w:val="en-US" w:eastAsia="zh-CN"/>
                    </w:rPr>
                  </w:pPr>
                  <w:r>
                    <w:rPr>
                      <w:rFonts w:hint="eastAsia" w:eastAsia="宋体"/>
                      <w:szCs w:val="21"/>
                      <w:lang w:val="en-US" w:eastAsia="zh-CN"/>
                    </w:rPr>
                    <w:t>0.065</w:t>
                  </w:r>
                </w:p>
              </w:tc>
              <w:tc>
                <w:tcPr>
                  <w:tcW w:w="769" w:type="pct"/>
                  <w:vMerge w:val="continue"/>
                  <w:noWrap w:val="0"/>
                  <w:vAlign w:val="center"/>
                </w:tcPr>
                <w:p>
                  <w:pPr>
                    <w:widowControl/>
                    <w:jc w:val="center"/>
                    <w:textAlignment w:val="center"/>
                    <w:rPr>
                      <w:szCs w:val="21"/>
                    </w:rPr>
                  </w:pPr>
                </w:p>
              </w:tc>
              <w:tc>
                <w:tcPr>
                  <w:tcW w:w="478" w:type="pct"/>
                  <w:noWrap w:val="0"/>
                  <w:vAlign w:val="center"/>
                </w:tcPr>
                <w:p>
                  <w:pPr>
                    <w:widowControl/>
                    <w:jc w:val="center"/>
                    <w:textAlignment w:val="center"/>
                    <w:rPr>
                      <w:szCs w:val="21"/>
                    </w:rPr>
                  </w:pPr>
                  <w:r>
                    <w:rPr>
                      <w:color w:val="000000"/>
                      <w:szCs w:val="21"/>
                    </w:rPr>
                    <w:t>9</w:t>
                  </w:r>
                </w:p>
              </w:tc>
              <w:tc>
                <w:tcPr>
                  <w:tcW w:w="282" w:type="pct"/>
                  <w:vMerge w:val="continue"/>
                  <w:noWrap w:val="0"/>
                  <w:vAlign w:val="center"/>
                </w:tcPr>
                <w:p>
                  <w:pPr>
                    <w:widowControl/>
                    <w:jc w:val="center"/>
                    <w:textAlignment w:val="center"/>
                    <w:rPr>
                      <w:szCs w:val="21"/>
                    </w:rPr>
                  </w:pPr>
                </w:p>
              </w:tc>
              <w:tc>
                <w:tcPr>
                  <w:tcW w:w="703" w:type="pct"/>
                  <w:noWrap w:val="0"/>
                  <w:vAlign w:val="center"/>
                </w:tcPr>
                <w:p>
                  <w:pPr>
                    <w:jc w:val="center"/>
                    <w:rPr>
                      <w:szCs w:val="21"/>
                    </w:rPr>
                  </w:pPr>
                  <w:r>
                    <w:rPr>
                      <w:rFonts w:hint="eastAsia"/>
                      <w:szCs w:val="21"/>
                    </w:rPr>
                    <w:t>227.5</w:t>
                  </w:r>
                </w:p>
              </w:tc>
              <w:tc>
                <w:tcPr>
                  <w:tcW w:w="496" w:type="pct"/>
                  <w:noWrap w:val="0"/>
                  <w:vAlign w:val="center"/>
                </w:tcPr>
                <w:p>
                  <w:pPr>
                    <w:jc w:val="center"/>
                    <w:rPr>
                      <w:rFonts w:hint="default" w:eastAsia="宋体"/>
                      <w:szCs w:val="21"/>
                      <w:lang w:val="en-US" w:eastAsia="zh-CN"/>
                    </w:rPr>
                  </w:pPr>
                  <w:r>
                    <w:rPr>
                      <w:rFonts w:hint="eastAsia" w:eastAsia="宋体"/>
                      <w:szCs w:val="21"/>
                      <w:lang w:val="en-US" w:eastAsia="zh-CN"/>
                    </w:rPr>
                    <w:t>0.059</w:t>
                  </w:r>
                </w:p>
              </w:tc>
              <w:tc>
                <w:tcPr>
                  <w:tcW w:w="462" w:type="pct"/>
                  <w:noWrap w:val="0"/>
                  <w:vAlign w:val="center"/>
                </w:tcPr>
                <w:p>
                  <w:pPr>
                    <w:jc w:val="center"/>
                    <w:rPr>
                      <w:szCs w:val="21"/>
                    </w:rPr>
                  </w:pPr>
                  <w:r>
                    <w:rPr>
                      <w:szCs w:val="21"/>
                    </w:rPr>
                    <w:t>300</w:t>
                  </w:r>
                </w:p>
                <w:p>
                  <w:pPr>
                    <w:jc w:val="center"/>
                    <w:rPr>
                      <w:szCs w:val="21"/>
                    </w:rPr>
                  </w:pPr>
                  <w:r>
                    <w:rPr>
                      <w:szCs w:val="21"/>
                    </w:rPr>
                    <w:t>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36" w:hRule="atLeast"/>
              </w:trPr>
              <w:tc>
                <w:tcPr>
                  <w:tcW w:w="447" w:type="pct"/>
                  <w:noWrap w:val="0"/>
                  <w:vAlign w:val="center"/>
                </w:tcPr>
                <w:p>
                  <w:pPr>
                    <w:jc w:val="center"/>
                    <w:rPr>
                      <w:bCs/>
                      <w:szCs w:val="21"/>
                    </w:rPr>
                  </w:pPr>
                  <w:r>
                    <w:rPr>
                      <w:szCs w:val="21"/>
                    </w:rPr>
                    <w:t>SS</w:t>
                  </w:r>
                </w:p>
              </w:tc>
              <w:tc>
                <w:tcPr>
                  <w:tcW w:w="282" w:type="pct"/>
                  <w:vMerge w:val="continue"/>
                  <w:noWrap w:val="0"/>
                  <w:vAlign w:val="center"/>
                </w:tcPr>
                <w:p>
                  <w:pPr>
                    <w:jc w:val="center"/>
                    <w:rPr>
                      <w:szCs w:val="21"/>
                    </w:rPr>
                  </w:pPr>
                </w:p>
              </w:tc>
              <w:tc>
                <w:tcPr>
                  <w:tcW w:w="569" w:type="pct"/>
                  <w:noWrap w:val="0"/>
                  <w:vAlign w:val="center"/>
                </w:tcPr>
                <w:p>
                  <w:pPr>
                    <w:widowControl/>
                    <w:jc w:val="center"/>
                    <w:textAlignment w:val="center"/>
                    <w:rPr>
                      <w:bCs/>
                      <w:szCs w:val="21"/>
                    </w:rPr>
                  </w:pPr>
                  <w:r>
                    <w:rPr>
                      <w:szCs w:val="21"/>
                    </w:rPr>
                    <w:t>200</w:t>
                  </w:r>
                </w:p>
              </w:tc>
              <w:tc>
                <w:tcPr>
                  <w:tcW w:w="508" w:type="pct"/>
                  <w:noWrap w:val="0"/>
                  <w:vAlign w:val="center"/>
                </w:tcPr>
                <w:p>
                  <w:pPr>
                    <w:widowControl/>
                    <w:jc w:val="center"/>
                    <w:textAlignment w:val="center"/>
                    <w:rPr>
                      <w:rFonts w:hint="default" w:eastAsia="宋体"/>
                      <w:szCs w:val="21"/>
                      <w:lang w:val="en-US" w:eastAsia="zh-CN"/>
                    </w:rPr>
                  </w:pPr>
                  <w:r>
                    <w:rPr>
                      <w:rFonts w:hint="eastAsia" w:eastAsia="宋体"/>
                      <w:szCs w:val="21"/>
                      <w:lang w:val="en-US" w:eastAsia="zh-CN"/>
                    </w:rPr>
                    <w:t>0.052</w:t>
                  </w:r>
                </w:p>
              </w:tc>
              <w:tc>
                <w:tcPr>
                  <w:tcW w:w="769" w:type="pct"/>
                  <w:vMerge w:val="continue"/>
                  <w:noWrap w:val="0"/>
                  <w:vAlign w:val="center"/>
                </w:tcPr>
                <w:p>
                  <w:pPr>
                    <w:widowControl/>
                    <w:jc w:val="center"/>
                    <w:textAlignment w:val="center"/>
                    <w:rPr>
                      <w:color w:val="000000"/>
                      <w:szCs w:val="21"/>
                    </w:rPr>
                  </w:pPr>
                </w:p>
              </w:tc>
              <w:tc>
                <w:tcPr>
                  <w:tcW w:w="478" w:type="pct"/>
                  <w:noWrap w:val="0"/>
                  <w:vAlign w:val="center"/>
                </w:tcPr>
                <w:p>
                  <w:pPr>
                    <w:widowControl/>
                    <w:jc w:val="center"/>
                    <w:textAlignment w:val="center"/>
                    <w:rPr>
                      <w:color w:val="000000"/>
                      <w:szCs w:val="21"/>
                    </w:rPr>
                  </w:pPr>
                  <w:r>
                    <w:rPr>
                      <w:color w:val="000000"/>
                      <w:szCs w:val="21"/>
                    </w:rPr>
                    <w:t>30</w:t>
                  </w:r>
                </w:p>
              </w:tc>
              <w:tc>
                <w:tcPr>
                  <w:tcW w:w="282" w:type="pct"/>
                  <w:vMerge w:val="continue"/>
                  <w:noWrap w:val="0"/>
                  <w:vAlign w:val="center"/>
                </w:tcPr>
                <w:p>
                  <w:pPr>
                    <w:widowControl/>
                    <w:jc w:val="center"/>
                    <w:textAlignment w:val="center"/>
                    <w:rPr>
                      <w:color w:val="000000"/>
                      <w:szCs w:val="21"/>
                    </w:rPr>
                  </w:pPr>
                </w:p>
              </w:tc>
              <w:tc>
                <w:tcPr>
                  <w:tcW w:w="703" w:type="pct"/>
                  <w:noWrap w:val="0"/>
                  <w:vAlign w:val="center"/>
                </w:tcPr>
                <w:p>
                  <w:pPr>
                    <w:jc w:val="center"/>
                    <w:rPr>
                      <w:szCs w:val="21"/>
                    </w:rPr>
                  </w:pPr>
                  <w:r>
                    <w:rPr>
                      <w:rFonts w:hint="eastAsia"/>
                      <w:szCs w:val="21"/>
                    </w:rPr>
                    <w:t>140</w:t>
                  </w:r>
                </w:p>
              </w:tc>
              <w:tc>
                <w:tcPr>
                  <w:tcW w:w="496" w:type="pct"/>
                  <w:noWrap w:val="0"/>
                  <w:vAlign w:val="center"/>
                </w:tcPr>
                <w:p>
                  <w:pPr>
                    <w:jc w:val="center"/>
                    <w:rPr>
                      <w:rFonts w:hint="default" w:eastAsia="宋体"/>
                      <w:szCs w:val="21"/>
                      <w:lang w:val="en-US" w:eastAsia="zh-CN"/>
                    </w:rPr>
                  </w:pPr>
                  <w:r>
                    <w:rPr>
                      <w:rFonts w:hint="eastAsia" w:eastAsia="宋体"/>
                      <w:szCs w:val="21"/>
                      <w:lang w:val="en-US" w:eastAsia="zh-CN"/>
                    </w:rPr>
                    <w:t>0.036</w:t>
                  </w:r>
                </w:p>
              </w:tc>
              <w:tc>
                <w:tcPr>
                  <w:tcW w:w="462" w:type="pct"/>
                  <w:noWrap w:val="0"/>
                  <w:vAlign w:val="center"/>
                </w:tcPr>
                <w:p>
                  <w:pPr>
                    <w:jc w:val="center"/>
                    <w:rPr>
                      <w:szCs w:val="21"/>
                    </w:rPr>
                  </w:pPr>
                  <w:r>
                    <w:rPr>
                      <w:szCs w:val="21"/>
                    </w:rPr>
                    <w:t>400</w:t>
                  </w:r>
                </w:p>
                <w:p>
                  <w:pPr>
                    <w:jc w:val="center"/>
                    <w:rPr>
                      <w:szCs w:val="21"/>
                    </w:rPr>
                  </w:pPr>
                  <w:r>
                    <w:rPr>
                      <w:szCs w:val="21"/>
                    </w:rPr>
                    <w:t>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27" w:hRule="atLeast"/>
              </w:trPr>
              <w:tc>
                <w:tcPr>
                  <w:tcW w:w="447" w:type="pct"/>
                  <w:noWrap w:val="0"/>
                  <w:vAlign w:val="center"/>
                </w:tcPr>
                <w:p>
                  <w:pPr>
                    <w:jc w:val="center"/>
                    <w:rPr>
                      <w:bCs/>
                      <w:szCs w:val="21"/>
                    </w:rPr>
                  </w:pPr>
                  <w:r>
                    <w:rPr>
                      <w:szCs w:val="21"/>
                    </w:rPr>
                    <w:t>氨氮</w:t>
                  </w:r>
                </w:p>
              </w:tc>
              <w:tc>
                <w:tcPr>
                  <w:tcW w:w="282" w:type="pct"/>
                  <w:vMerge w:val="continue"/>
                  <w:noWrap w:val="0"/>
                  <w:vAlign w:val="center"/>
                </w:tcPr>
                <w:p>
                  <w:pPr>
                    <w:jc w:val="center"/>
                    <w:rPr>
                      <w:szCs w:val="21"/>
                    </w:rPr>
                  </w:pPr>
                </w:p>
              </w:tc>
              <w:tc>
                <w:tcPr>
                  <w:tcW w:w="569" w:type="pct"/>
                  <w:noWrap w:val="0"/>
                  <w:vAlign w:val="center"/>
                </w:tcPr>
                <w:p>
                  <w:pPr>
                    <w:widowControl/>
                    <w:jc w:val="center"/>
                    <w:textAlignment w:val="center"/>
                    <w:rPr>
                      <w:bCs/>
                      <w:szCs w:val="21"/>
                    </w:rPr>
                  </w:pPr>
                  <w:r>
                    <w:rPr>
                      <w:rFonts w:hint="eastAsia"/>
                      <w:bCs/>
                      <w:szCs w:val="21"/>
                    </w:rPr>
                    <w:t>30</w:t>
                  </w:r>
                </w:p>
              </w:tc>
              <w:tc>
                <w:tcPr>
                  <w:tcW w:w="508" w:type="pct"/>
                  <w:noWrap w:val="0"/>
                  <w:vAlign w:val="center"/>
                </w:tcPr>
                <w:p>
                  <w:pPr>
                    <w:widowControl/>
                    <w:jc w:val="center"/>
                    <w:textAlignment w:val="center"/>
                    <w:rPr>
                      <w:rFonts w:hint="default" w:eastAsia="宋体"/>
                      <w:szCs w:val="21"/>
                      <w:lang w:val="en-US" w:eastAsia="zh-CN"/>
                    </w:rPr>
                  </w:pPr>
                  <w:r>
                    <w:rPr>
                      <w:rFonts w:hint="eastAsia" w:eastAsia="宋体"/>
                      <w:szCs w:val="21"/>
                      <w:lang w:val="en-US" w:eastAsia="zh-CN"/>
                    </w:rPr>
                    <w:t>0.008</w:t>
                  </w:r>
                </w:p>
              </w:tc>
              <w:tc>
                <w:tcPr>
                  <w:tcW w:w="769" w:type="pct"/>
                  <w:vMerge w:val="continue"/>
                  <w:noWrap w:val="0"/>
                  <w:vAlign w:val="center"/>
                </w:tcPr>
                <w:p>
                  <w:pPr>
                    <w:widowControl/>
                    <w:jc w:val="center"/>
                    <w:textAlignment w:val="center"/>
                    <w:rPr>
                      <w:color w:val="000000"/>
                      <w:szCs w:val="21"/>
                    </w:rPr>
                  </w:pPr>
                </w:p>
              </w:tc>
              <w:tc>
                <w:tcPr>
                  <w:tcW w:w="478" w:type="pct"/>
                  <w:noWrap w:val="0"/>
                  <w:vAlign w:val="center"/>
                </w:tcPr>
                <w:p>
                  <w:pPr>
                    <w:widowControl/>
                    <w:jc w:val="center"/>
                    <w:textAlignment w:val="center"/>
                    <w:rPr>
                      <w:color w:val="000000"/>
                      <w:szCs w:val="21"/>
                    </w:rPr>
                  </w:pPr>
                  <w:r>
                    <w:rPr>
                      <w:color w:val="000000"/>
                      <w:szCs w:val="21"/>
                    </w:rPr>
                    <w:t>3</w:t>
                  </w:r>
                </w:p>
              </w:tc>
              <w:tc>
                <w:tcPr>
                  <w:tcW w:w="282" w:type="pct"/>
                  <w:vMerge w:val="continue"/>
                  <w:noWrap w:val="0"/>
                  <w:vAlign w:val="center"/>
                </w:tcPr>
                <w:p>
                  <w:pPr>
                    <w:widowControl/>
                    <w:jc w:val="center"/>
                    <w:textAlignment w:val="center"/>
                    <w:rPr>
                      <w:color w:val="000000"/>
                      <w:szCs w:val="21"/>
                    </w:rPr>
                  </w:pPr>
                </w:p>
              </w:tc>
              <w:tc>
                <w:tcPr>
                  <w:tcW w:w="703" w:type="pct"/>
                  <w:noWrap w:val="0"/>
                  <w:vAlign w:val="center"/>
                </w:tcPr>
                <w:p>
                  <w:pPr>
                    <w:jc w:val="center"/>
                    <w:rPr>
                      <w:szCs w:val="21"/>
                    </w:rPr>
                  </w:pPr>
                  <w:r>
                    <w:rPr>
                      <w:rFonts w:hint="eastAsia"/>
                      <w:szCs w:val="21"/>
                    </w:rPr>
                    <w:t>29.1</w:t>
                  </w:r>
                </w:p>
              </w:tc>
              <w:tc>
                <w:tcPr>
                  <w:tcW w:w="496" w:type="pct"/>
                  <w:noWrap w:val="0"/>
                  <w:vAlign w:val="center"/>
                </w:tcPr>
                <w:p>
                  <w:pPr>
                    <w:jc w:val="center"/>
                    <w:rPr>
                      <w:rFonts w:hint="default" w:eastAsia="宋体"/>
                      <w:szCs w:val="21"/>
                      <w:lang w:val="en-US" w:eastAsia="zh-CN"/>
                    </w:rPr>
                  </w:pPr>
                  <w:r>
                    <w:rPr>
                      <w:rFonts w:hint="eastAsia" w:eastAsia="宋体"/>
                      <w:szCs w:val="21"/>
                      <w:lang w:val="en-US" w:eastAsia="zh-CN"/>
                    </w:rPr>
                    <w:t>0.008</w:t>
                  </w:r>
                </w:p>
              </w:tc>
              <w:tc>
                <w:tcPr>
                  <w:tcW w:w="462" w:type="pct"/>
                  <w:noWrap w:val="0"/>
                  <w:vAlign w:val="center"/>
                </w:tcPr>
                <w:p>
                  <w:pPr>
                    <w:jc w:val="center"/>
                    <w:rPr>
                      <w:szCs w:val="21"/>
                    </w:rPr>
                  </w:pPr>
                  <w:r>
                    <w:rPr>
                      <w:szCs w:val="21"/>
                    </w:rPr>
                    <w:t>/</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宋体" w:hAnsi="宋体" w:cs="宋体"/>
                <w:b/>
                <w:bCs/>
                <w:sz w:val="24"/>
              </w:rPr>
            </w:pPr>
            <w:r>
              <w:rPr>
                <w:rFonts w:hint="eastAsia" w:ascii="宋体" w:hAnsi="宋体" w:cs="宋体"/>
                <w:b/>
                <w:bCs/>
                <w:sz w:val="24"/>
                <w:lang w:eastAsia="zh-CN"/>
              </w:rPr>
              <w:t>2.</w:t>
            </w:r>
            <w:r>
              <w:rPr>
                <w:rFonts w:hint="eastAsia" w:ascii="宋体" w:hAnsi="宋体" w:cs="宋体"/>
                <w:b/>
                <w:bCs/>
                <w:sz w:val="24"/>
              </w:rPr>
              <w:t>废水污染防治措施可行性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Cs/>
                <w:sz w:val="24"/>
              </w:rPr>
            </w:pPr>
            <w:r>
              <w:rPr>
                <w:rFonts w:hint="default" w:ascii="Times New Roman" w:hAnsi="Times New Roman" w:cs="Times New Roman"/>
                <w:bCs/>
                <w:sz w:val="24"/>
              </w:rPr>
              <w:t>本项目生产废水主要的污染因子为SS，</w:t>
            </w:r>
            <w:r>
              <w:rPr>
                <w:rFonts w:hint="eastAsia" w:ascii="Times New Roman" w:hAnsi="Times New Roman" w:cs="Times New Roman"/>
                <w:bCs/>
                <w:sz w:val="24"/>
                <w:lang w:eastAsia="zh-CN"/>
              </w:rPr>
              <w:t>不含石油类及</w:t>
            </w:r>
            <w:r>
              <w:rPr>
                <w:rFonts w:hint="eastAsia"/>
                <w:sz w:val="24"/>
                <w:lang w:val="en-US" w:eastAsia="zh-CN"/>
              </w:rPr>
              <w:t>一类污染物，</w:t>
            </w:r>
            <w:r>
              <w:rPr>
                <w:rFonts w:hint="default" w:ascii="Times New Roman" w:hAnsi="Times New Roman" w:cs="Times New Roman"/>
                <w:bCs/>
                <w:sz w:val="24"/>
              </w:rPr>
              <w:t>悬浮物可经过三级沉淀池工艺得到有效去除</w:t>
            </w:r>
            <w:r>
              <w:rPr>
                <w:rFonts w:hint="eastAsia" w:ascii="Times New Roman" w:hAnsi="Times New Roman" w:cs="Times New Roman"/>
                <w:bCs/>
                <w:sz w:val="24"/>
                <w:lang w:eastAsia="zh-CN"/>
              </w:rPr>
              <w:t>，清洗废水经沉淀池沉淀后循环使用。本项目车辆清洗用水、设备清洗用水、</w:t>
            </w:r>
            <w:r>
              <w:rPr>
                <w:rFonts w:hint="eastAsia" w:ascii="Times New Roman" w:hAnsi="Times New Roman" w:cs="Times New Roman"/>
                <w:bCs/>
                <w:sz w:val="24"/>
                <w:lang w:val="en-US" w:eastAsia="zh-CN"/>
              </w:rPr>
              <w:t>检验清洗用水</w:t>
            </w:r>
            <w:r>
              <w:rPr>
                <w:rFonts w:hint="eastAsia" w:ascii="Times New Roman" w:hAnsi="Times New Roman" w:cs="Times New Roman"/>
                <w:bCs/>
                <w:sz w:val="24"/>
                <w:lang w:eastAsia="zh-CN"/>
              </w:rPr>
              <w:t>对水质要求不高，分析可知项目生产废水经沉淀池处理后循环使用可行</w:t>
            </w:r>
            <w:r>
              <w:rPr>
                <w:rFonts w:hint="default" w:ascii="Times New Roman" w:hAnsi="Times New Roman" w:cs="Times New Roman"/>
                <w:bCs/>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Cs/>
                <w:sz w:val="24"/>
              </w:rPr>
            </w:pPr>
            <w:r>
              <w:rPr>
                <w:rFonts w:hint="default" w:ascii="Times New Roman" w:hAnsi="Times New Roman" w:cs="Times New Roman"/>
                <w:bCs/>
                <w:sz w:val="24"/>
              </w:rPr>
              <w:t>参照《排污许可证申请与核发技术规范 水泥工业》（HJ847-2017）废水污染治理推荐可行技术清单，本项目废水采用“三级沉淀池”处理后回用于生产工艺用水，属于可行技术。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本项目生活废水主要为职工产生的生活污水，主要污染物CODcr、BOD</w:t>
            </w:r>
            <w:r>
              <w:rPr>
                <w:rFonts w:hint="default" w:ascii="Times New Roman" w:hAnsi="Times New Roman" w:cs="Times New Roman"/>
                <w:sz w:val="24"/>
                <w:vertAlign w:val="subscript"/>
              </w:rPr>
              <w:t>5</w:t>
            </w:r>
            <w:r>
              <w:rPr>
                <w:rFonts w:hint="default" w:ascii="Times New Roman" w:hAnsi="Times New Roman" w:cs="Times New Roman"/>
                <w:sz w:val="24"/>
              </w:rPr>
              <w:t>、SS、氨氮等。</w:t>
            </w:r>
            <w:r>
              <w:rPr>
                <w:rFonts w:hint="eastAsia" w:ascii="Times New Roman" w:hAnsi="Times New Roman" w:cs="Times New Roman"/>
                <w:sz w:val="24"/>
                <w:lang w:eastAsia="zh-CN"/>
              </w:rPr>
              <w:t>生活</w:t>
            </w:r>
            <w:r>
              <w:rPr>
                <w:rFonts w:hint="default" w:ascii="Times New Roman" w:hAnsi="Times New Roman" w:cs="Times New Roman"/>
                <w:sz w:val="24"/>
              </w:rPr>
              <w:t>污水收集到化粪池处理后</w:t>
            </w:r>
            <w:r>
              <w:rPr>
                <w:rFonts w:hint="eastAsia" w:ascii="Times New Roman" w:hAnsi="Times New Roman" w:cs="Times New Roman"/>
                <w:sz w:val="24"/>
                <w:lang w:val="en-US" w:eastAsia="zh-CN"/>
              </w:rPr>
              <w:t>排入市政污水管网</w:t>
            </w:r>
            <w:r>
              <w:rPr>
                <w:rFonts w:hint="default" w:ascii="Times New Roman" w:hAnsi="Times New Roman" w:cs="Times New Roman"/>
                <w:sz w:val="24"/>
              </w:rPr>
              <w:t>。各项污染物排放浓度均可达到《污水综合排放标准》（GB8978-1996）三级标准，可以满足城市污水处理厂纳管条件</w:t>
            </w:r>
            <w:r>
              <w:rPr>
                <w:rStyle w:val="38"/>
                <w:rFonts w:hint="default" w:ascii="Times New Roman" w:hAnsi="Times New Roman" w:cs="Times New Roman"/>
                <w:color w:val="000000"/>
                <w:sz w:val="24"/>
              </w:rPr>
              <w:t>。</w:t>
            </w:r>
            <w:r>
              <w:rPr>
                <w:rFonts w:hint="default" w:ascii="Times New Roman" w:hAnsi="Times New Roman" w:cs="Times New Roman"/>
                <w:sz w:val="24"/>
              </w:rPr>
              <w:t>综上不会对区域水环境产生明显影响。</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依托污水处理可行性分析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b/>
                <w:bCs/>
                <w:sz w:val="24"/>
              </w:rPr>
            </w:pPr>
            <w:r>
              <w:rPr>
                <w:rFonts w:hint="eastAsia"/>
                <w:sz w:val="24"/>
              </w:rPr>
              <w:t>轮台县新城区生活污水处理厂位于轮台县县城东南方向直线距离约11km处</w:t>
            </w:r>
            <w:r>
              <w:rPr>
                <w:sz w:val="24"/>
              </w:rPr>
              <w:t>，地理位置坐标为：</w:t>
            </w:r>
            <w:r>
              <w:rPr>
                <w:rFonts w:hint="eastAsia"/>
                <w:sz w:val="24"/>
              </w:rPr>
              <w:t>东经</w:t>
            </w:r>
            <w:r>
              <w:rPr>
                <w:sz w:val="24"/>
              </w:rPr>
              <w:t>84°22′56.003″</w:t>
            </w:r>
            <w:r>
              <w:rPr>
                <w:rFonts w:hint="eastAsia"/>
                <w:sz w:val="24"/>
              </w:rPr>
              <w:t>，北纬</w:t>
            </w:r>
            <w:r>
              <w:rPr>
                <w:sz w:val="24"/>
              </w:rPr>
              <w:t>41°45′26.449″，</w:t>
            </w:r>
            <w:r>
              <w:rPr>
                <w:rFonts w:hint="eastAsia"/>
                <w:sz w:val="24"/>
              </w:rPr>
              <w:t>处理</w:t>
            </w:r>
            <w:r>
              <w:rPr>
                <w:sz w:val="24"/>
              </w:rPr>
              <w:t>规模</w:t>
            </w:r>
            <w:r>
              <w:rPr>
                <w:rFonts w:hint="eastAsia"/>
                <w:sz w:val="24"/>
              </w:rPr>
              <w:t>3</w:t>
            </w:r>
            <w:r>
              <w:rPr>
                <w:sz w:val="24"/>
              </w:rPr>
              <w:t>万立方米/日</w:t>
            </w:r>
            <w:r>
              <w:rPr>
                <w:rFonts w:hint="eastAsia"/>
                <w:sz w:val="24"/>
                <w:lang w:eastAsia="zh-CN"/>
              </w:rPr>
              <w:t>，</w:t>
            </w:r>
            <w:r>
              <w:rPr>
                <w:rFonts w:hint="eastAsia"/>
                <w:sz w:val="24"/>
                <w:lang w:val="en-US" w:eastAsia="zh-CN"/>
              </w:rPr>
              <w:t>目前剩余处理量为8000m</w:t>
            </w:r>
            <w:r>
              <w:rPr>
                <w:rFonts w:hint="eastAsia"/>
                <w:sz w:val="24"/>
                <w:vertAlign w:val="superscript"/>
                <w:lang w:val="en-US" w:eastAsia="zh-CN"/>
              </w:rPr>
              <w:t>3</w:t>
            </w:r>
            <w:r>
              <w:rPr>
                <w:rFonts w:hint="eastAsia"/>
                <w:sz w:val="24"/>
                <w:lang w:val="en-US" w:eastAsia="zh-CN"/>
              </w:rPr>
              <w:t>/d</w:t>
            </w:r>
            <w:r>
              <w:rPr>
                <w:sz w:val="24"/>
              </w:rPr>
              <w:t>。主要接纳</w:t>
            </w:r>
            <w:r>
              <w:rPr>
                <w:rFonts w:hint="eastAsia"/>
                <w:sz w:val="24"/>
              </w:rPr>
              <w:t>轮台县</w:t>
            </w:r>
            <w:r>
              <w:rPr>
                <w:sz w:val="24"/>
              </w:rPr>
              <w:t>县城</w:t>
            </w:r>
            <w:r>
              <w:rPr>
                <w:rFonts w:hint="eastAsia"/>
                <w:sz w:val="24"/>
              </w:rPr>
              <w:t>及周边乡镇</w:t>
            </w:r>
            <w:r>
              <w:rPr>
                <w:sz w:val="24"/>
              </w:rPr>
              <w:t>生活污水。污水处理厂采用预处理+气浮池+调节池+水解酸化池+A/A/O+MBR膜池+臭氧消毒处理工艺</w:t>
            </w:r>
            <w:r>
              <w:rPr>
                <w:rFonts w:hint="eastAsia"/>
                <w:sz w:val="24"/>
                <w:lang w:eastAsia="zh-CN"/>
              </w:rPr>
              <w:t>，</w:t>
            </w:r>
            <w:r>
              <w:rPr>
                <w:rFonts w:hint="eastAsia"/>
                <w:sz w:val="24"/>
                <w:lang w:val="en-US" w:eastAsia="zh-CN"/>
              </w:rPr>
              <w:t>出水水质执行《城镇污水处理厂污染物排放标准》（GB8918-2022）中表1一级A标准，排放至污水处理厂南侧尾水库用于周边防护林浇灌</w:t>
            </w:r>
            <w:r>
              <w:rPr>
                <w:rFonts w:hint="eastAsia"/>
                <w:sz w:val="24"/>
              </w:rPr>
              <w:t>。目前轮台县新城区生活污水处理厂运行正常，本项目生活污水排放量为</w:t>
            </w:r>
            <w:r>
              <w:rPr>
                <w:rFonts w:hint="eastAsia"/>
                <w:sz w:val="24"/>
                <w:lang w:val="en-US" w:eastAsia="zh-CN"/>
              </w:rPr>
              <w:t>0.96</w:t>
            </w:r>
            <w:r>
              <w:rPr>
                <w:rFonts w:hint="eastAsia"/>
                <w:sz w:val="24"/>
              </w:rPr>
              <w:t>m</w:t>
            </w:r>
            <w:r>
              <w:rPr>
                <w:rFonts w:hint="eastAsia"/>
                <w:sz w:val="24"/>
                <w:vertAlign w:val="superscript"/>
              </w:rPr>
              <w:t>3</w:t>
            </w:r>
            <w:r>
              <w:rPr>
                <w:rFonts w:hint="eastAsia"/>
                <w:sz w:val="24"/>
              </w:rPr>
              <w:t>/d，轮台县新城区生活污水处理厂</w:t>
            </w:r>
            <w:r>
              <w:rPr>
                <w:rFonts w:hint="eastAsia"/>
                <w:sz w:val="24"/>
                <w:lang w:val="en-US" w:eastAsia="zh-CN"/>
              </w:rPr>
              <w:t>可接纳本项目生活污水</w:t>
            </w:r>
            <w:r>
              <w:rPr>
                <w:rFonts w:hint="eastAsia"/>
                <w:sz w:val="24"/>
              </w:rPr>
              <w:t>，因此项目污水的排入不会对轮台县新城区生活污水处理厂造成大的冲击影响，污水去向合理可行</w:t>
            </w:r>
            <w:r>
              <w:rPr>
                <w:color w:val="auto"/>
                <w:sz w:val="24"/>
                <w:highlight w:val="none"/>
              </w:rPr>
              <w:t>。</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hint="eastAsia"/>
                <w:b/>
                <w:bCs/>
                <w:sz w:val="24"/>
              </w:rPr>
            </w:pPr>
            <w:r>
              <w:rPr>
                <w:rFonts w:hint="eastAsia"/>
                <w:b/>
                <w:bCs/>
                <w:sz w:val="24"/>
                <w:lang w:val="en-US" w:eastAsia="zh-CN"/>
              </w:rPr>
              <w:t>4.</w:t>
            </w:r>
            <w:r>
              <w:rPr>
                <w:rFonts w:hint="eastAsia"/>
                <w:b/>
                <w:bCs/>
                <w:sz w:val="24"/>
              </w:rPr>
              <w:t>监测要求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
                <w:sz w:val="24"/>
                <w:lang w:val="en-US" w:eastAsia="zh-CN"/>
              </w:rPr>
            </w:pPr>
            <w:r>
              <w:rPr>
                <w:rFonts w:hint="eastAsia"/>
                <w:sz w:val="24"/>
              </w:rPr>
              <w:t>参照《排污单位自行监测技术指南 总则》（HJ819-2017）的相关要求</w:t>
            </w:r>
            <w:r>
              <w:rPr>
                <w:bCs/>
                <w:spacing w:val="-10"/>
                <w:sz w:val="24"/>
              </w:rPr>
              <w:t>以及</w:t>
            </w:r>
            <w:r>
              <w:rPr>
                <w:sz w:val="24"/>
              </w:rPr>
              <w:t>《排污许可证申请与核发技术规范 石墨及其他非金属矿物制品制造》（HJ1119-2020）</w:t>
            </w:r>
            <w:r>
              <w:rPr>
                <w:rFonts w:hint="eastAsia"/>
                <w:sz w:val="24"/>
              </w:rPr>
              <w:t>，项目</w:t>
            </w:r>
            <w:r>
              <w:rPr>
                <w:rFonts w:hint="eastAsia"/>
                <w:sz w:val="24"/>
                <w:lang w:eastAsia="zh-CN"/>
              </w:rPr>
              <w:t>只有生活污水，经化粪池预处理后</w:t>
            </w:r>
            <w:r>
              <w:rPr>
                <w:rFonts w:hint="eastAsia"/>
                <w:sz w:val="24"/>
                <w:lang w:val="en-US" w:eastAsia="zh-CN"/>
              </w:rPr>
              <w:t>排入市政污水管网</w:t>
            </w:r>
            <w:r>
              <w:rPr>
                <w:rFonts w:hint="eastAsia"/>
                <w:sz w:val="24"/>
                <w:lang w:eastAsia="zh-CN"/>
              </w:rPr>
              <w:t>，属间接排放，</w:t>
            </w:r>
            <w:r>
              <w:rPr>
                <w:rFonts w:hint="eastAsia"/>
                <w:sz w:val="24"/>
                <w:lang w:val="en-US" w:eastAsia="zh-CN"/>
              </w:rPr>
              <w:t>因此，本评价不提出废水跟踪监测要求</w:t>
            </w:r>
            <w:r>
              <w:rPr>
                <w:rFonts w:hint="eastAsia"/>
                <w:sz w:val="24"/>
              </w:rPr>
              <w:t>。</w:t>
            </w:r>
          </w:p>
          <w:p>
            <w:pPr>
              <w:keepNext w:val="0"/>
              <w:keepLines w:val="0"/>
              <w:pageBreakBefore w:val="0"/>
              <w:kinsoku/>
              <w:wordWrap/>
              <w:overflowPunct/>
              <w:topLinePunct w:val="0"/>
              <w:autoSpaceDE/>
              <w:autoSpaceDN/>
              <w:bidi w:val="0"/>
              <w:spacing w:line="520" w:lineRule="exact"/>
              <w:textAlignment w:val="auto"/>
              <w:rPr>
                <w:rFonts w:hint="eastAsia" w:ascii="宋体" w:hAnsi="宋体" w:cs="宋体"/>
                <w:b/>
                <w:sz w:val="24"/>
              </w:rPr>
            </w:pPr>
            <w:r>
              <w:rPr>
                <w:rFonts w:hint="eastAsia" w:ascii="宋体" w:hAnsi="宋体" w:cs="宋体"/>
                <w:b/>
                <w:sz w:val="24"/>
              </w:rPr>
              <w:t>（三）运营期噪声环境影响和保护措施</w:t>
            </w:r>
          </w:p>
          <w:p>
            <w:pPr>
              <w:keepNext w:val="0"/>
              <w:keepLines w:val="0"/>
              <w:pageBreakBefore w:val="0"/>
              <w:widowControl/>
              <w:kinsoku/>
              <w:wordWrap/>
              <w:overflowPunct/>
              <w:topLinePunct w:val="0"/>
              <w:autoSpaceDE/>
              <w:autoSpaceDN/>
              <w:bidi w:val="0"/>
              <w:spacing w:line="520" w:lineRule="exact"/>
              <w:ind w:firstLine="482" w:firstLineChars="200"/>
              <w:jc w:val="left"/>
              <w:textAlignment w:val="auto"/>
              <w:rPr>
                <w:rFonts w:hint="eastAsia"/>
                <w:b/>
                <w:bCs/>
                <w:sz w:val="24"/>
              </w:rPr>
            </w:pPr>
            <w:r>
              <w:rPr>
                <w:rFonts w:hint="eastAsia"/>
                <w:b/>
                <w:bCs/>
                <w:sz w:val="24"/>
              </w:rPr>
              <w:t>3.1污染工序及源强分析</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sz w:val="24"/>
              </w:rPr>
            </w:pPr>
            <w:r>
              <w:rPr>
                <w:rFonts w:hint="eastAsia"/>
                <w:sz w:val="24"/>
                <w:lang w:eastAsia="zh-CN"/>
              </w:rPr>
              <w:t>1.</w:t>
            </w:r>
            <w:r>
              <w:rPr>
                <w:rFonts w:hint="eastAsia"/>
                <w:sz w:val="24"/>
              </w:rPr>
              <w:t>预测模式的确定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sz w:val="24"/>
              </w:rPr>
            </w:pPr>
            <w:r>
              <w:rPr>
                <w:rFonts w:hint="eastAsia"/>
                <w:sz w:val="24"/>
              </w:rPr>
              <w:t>项目环评采用的模型为《环境影响评价技术导则 声环境》（HJ2.4.2021）录B（规范性附录）中“B.1工业噪声预测计算模型”。</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sz w:val="24"/>
              </w:rPr>
            </w:pPr>
            <w:r>
              <w:rPr>
                <w:rFonts w:hint="eastAsia"/>
                <w:sz w:val="24"/>
                <w:lang w:eastAsia="zh-CN"/>
              </w:rPr>
              <w:t>2.</w:t>
            </w:r>
            <w:r>
              <w:rPr>
                <w:rFonts w:hint="eastAsia"/>
                <w:sz w:val="24"/>
              </w:rPr>
              <w:t>噪声源参数的确定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sz w:val="24"/>
              </w:rPr>
            </w:pPr>
            <w:r>
              <w:rPr>
                <w:rFonts w:hint="eastAsia"/>
                <w:sz w:val="24"/>
              </w:rPr>
              <w:t>根据建设单位所提供的参数及类比调查的结果，本项目高噪声设备搅拌机、混凝土罐车、</w:t>
            </w:r>
            <w:r>
              <w:rPr>
                <w:rFonts w:hint="eastAsia"/>
                <w:sz w:val="24"/>
                <w:lang w:val="en-US" w:eastAsia="zh-CN"/>
              </w:rPr>
              <w:t>装载机、泵机</w:t>
            </w:r>
            <w:r>
              <w:rPr>
                <w:rFonts w:hint="eastAsia"/>
                <w:sz w:val="24"/>
              </w:rPr>
              <w:t>、</w:t>
            </w:r>
            <w:r>
              <w:rPr>
                <w:rFonts w:hint="eastAsia"/>
                <w:sz w:val="24"/>
                <w:lang w:val="en-US" w:eastAsia="zh-CN"/>
              </w:rPr>
              <w:t>空压机</w:t>
            </w:r>
            <w:r>
              <w:rPr>
                <w:rFonts w:hint="eastAsia"/>
                <w:sz w:val="24"/>
              </w:rPr>
              <w:t>等机械设备，其噪声值在</w:t>
            </w:r>
            <w:r>
              <w:rPr>
                <w:rFonts w:hint="eastAsia"/>
                <w:sz w:val="24"/>
                <w:lang w:val="en-US" w:eastAsia="zh-CN"/>
              </w:rPr>
              <w:t>80</w:t>
            </w:r>
            <w:r>
              <w:rPr>
                <w:rFonts w:hint="eastAsia"/>
                <w:sz w:val="24"/>
              </w:rPr>
              <w:t>~85dB之间，主要产噪设备参数见下表4-</w:t>
            </w:r>
            <w:r>
              <w:rPr>
                <w:rFonts w:hint="eastAsia"/>
                <w:sz w:val="24"/>
                <w:lang w:val="en-US" w:eastAsia="zh-CN"/>
              </w:rPr>
              <w:t>6</w:t>
            </w:r>
            <w:r>
              <w:rPr>
                <w:rFonts w:hint="eastAsia"/>
                <w:sz w:val="24"/>
              </w:rPr>
              <w:t>。</w:t>
            </w: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hint="eastAsia"/>
                <w:b/>
                <w:bCs/>
                <w:sz w:val="24"/>
              </w:rPr>
            </w:pPr>
            <w:r>
              <w:rPr>
                <w:rFonts w:hint="eastAsia"/>
                <w:b/>
                <w:bCs/>
                <w:sz w:val="24"/>
              </w:rPr>
              <w:t>表</w:t>
            </w:r>
            <w:r>
              <w:rPr>
                <w:rFonts w:hint="eastAsia"/>
                <w:b/>
                <w:bCs/>
                <w:sz w:val="24"/>
                <w:lang w:val="en-US" w:eastAsia="zh-CN"/>
              </w:rPr>
              <w:t xml:space="preserve">4-6 </w:t>
            </w:r>
            <w:r>
              <w:rPr>
                <w:rFonts w:hint="eastAsia"/>
                <w:b/>
                <w:bCs/>
                <w:sz w:val="24"/>
              </w:rPr>
              <w:t xml:space="preserve">  工业企业噪声源强调查清单</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801"/>
              <w:gridCol w:w="722"/>
              <w:gridCol w:w="689"/>
              <w:gridCol w:w="689"/>
              <w:gridCol w:w="694"/>
              <w:gridCol w:w="1297"/>
              <w:gridCol w:w="943"/>
              <w:gridCol w:w="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trPr>
              <w:tc>
                <w:tcPr>
                  <w:tcW w:w="392" w:type="pct"/>
                  <w:vMerge w:val="restart"/>
                  <w:noWrap w:val="0"/>
                  <w:vAlign w:val="center"/>
                </w:tcPr>
                <w:p>
                  <w:pPr>
                    <w:adjustRightInd w:val="0"/>
                    <w:snapToGrid w:val="0"/>
                    <w:jc w:val="center"/>
                    <w:rPr>
                      <w:rFonts w:hint="eastAsia" w:eastAsia="宋体"/>
                      <w:vertAlign w:val="baseline"/>
                      <w:lang w:eastAsia="zh-CN"/>
                    </w:rPr>
                  </w:pPr>
                  <w:bookmarkStart w:id="23" w:name="OLE_LINK67"/>
                  <w:r>
                    <w:rPr>
                      <w:rFonts w:hint="eastAsia"/>
                      <w:vertAlign w:val="baseline"/>
                      <w:lang w:eastAsia="zh-CN"/>
                    </w:rPr>
                    <w:t>序号</w:t>
                  </w:r>
                </w:p>
              </w:tc>
              <w:tc>
                <w:tcPr>
                  <w:tcW w:w="1085" w:type="pct"/>
                  <w:vMerge w:val="restart"/>
                  <w:noWrap w:val="0"/>
                  <w:vAlign w:val="center"/>
                </w:tcPr>
                <w:p>
                  <w:pPr>
                    <w:adjustRightInd w:val="0"/>
                    <w:snapToGrid w:val="0"/>
                    <w:jc w:val="center"/>
                    <w:rPr>
                      <w:rFonts w:hint="eastAsia" w:eastAsia="宋体"/>
                      <w:vertAlign w:val="baseline"/>
                      <w:lang w:eastAsia="zh-CN"/>
                    </w:rPr>
                  </w:pPr>
                  <w:r>
                    <w:rPr>
                      <w:rFonts w:hint="eastAsia"/>
                      <w:vertAlign w:val="baseline"/>
                      <w:lang w:eastAsia="zh-CN"/>
                    </w:rPr>
                    <w:t>生源名称</w:t>
                  </w:r>
                </w:p>
              </w:tc>
              <w:tc>
                <w:tcPr>
                  <w:tcW w:w="435" w:type="pct"/>
                  <w:vMerge w:val="restart"/>
                  <w:noWrap w:val="0"/>
                  <w:vAlign w:val="center"/>
                </w:tcPr>
                <w:p>
                  <w:pPr>
                    <w:adjustRightInd w:val="0"/>
                    <w:snapToGrid w:val="0"/>
                    <w:jc w:val="center"/>
                    <w:rPr>
                      <w:rFonts w:hint="eastAsia" w:eastAsia="宋体"/>
                      <w:vertAlign w:val="baseline"/>
                      <w:lang w:eastAsia="zh-CN"/>
                    </w:rPr>
                  </w:pPr>
                  <w:r>
                    <w:rPr>
                      <w:rFonts w:hint="eastAsia"/>
                      <w:vertAlign w:val="baseline"/>
                      <w:lang w:eastAsia="zh-CN"/>
                    </w:rPr>
                    <w:t>型号</w:t>
                  </w:r>
                </w:p>
              </w:tc>
              <w:tc>
                <w:tcPr>
                  <w:tcW w:w="1248" w:type="pct"/>
                  <w:gridSpan w:val="3"/>
                  <w:noWrap w:val="0"/>
                  <w:vAlign w:val="center"/>
                </w:tcPr>
                <w:p>
                  <w:pPr>
                    <w:adjustRightInd w:val="0"/>
                    <w:snapToGrid w:val="0"/>
                    <w:jc w:val="center"/>
                    <w:rPr>
                      <w:rFonts w:hint="eastAsia"/>
                      <w:vertAlign w:val="baseline"/>
                      <w:lang w:eastAsia="zh-CN"/>
                    </w:rPr>
                  </w:pPr>
                  <w:r>
                    <w:rPr>
                      <w:rFonts w:hint="eastAsia"/>
                      <w:vertAlign w:val="baseline"/>
                      <w:lang w:eastAsia="zh-CN"/>
                    </w:rPr>
                    <w:t>空间相对位置</w:t>
                  </w:r>
                  <w:r>
                    <w:rPr>
                      <w:rFonts w:hint="eastAsia"/>
                      <w:vertAlign w:val="baseline"/>
                      <w:lang w:val="en-US" w:eastAsia="zh-CN"/>
                    </w:rPr>
                    <w:t>/m</w:t>
                  </w:r>
                </w:p>
              </w:tc>
              <w:tc>
                <w:tcPr>
                  <w:tcW w:w="781" w:type="pct"/>
                  <w:vMerge w:val="restart"/>
                  <w:noWrap w:val="0"/>
                  <w:vAlign w:val="center"/>
                </w:tcPr>
                <w:p>
                  <w:pPr>
                    <w:adjustRightInd w:val="0"/>
                    <w:snapToGrid w:val="0"/>
                    <w:jc w:val="center"/>
                    <w:rPr>
                      <w:rFonts w:hint="eastAsia" w:eastAsia="宋体"/>
                      <w:vertAlign w:val="baseline"/>
                      <w:lang w:eastAsia="zh-CN"/>
                    </w:rPr>
                  </w:pPr>
                  <w:r>
                    <w:rPr>
                      <w:rFonts w:hint="eastAsia"/>
                      <w:vertAlign w:val="baseline"/>
                      <w:lang w:val="en-US" w:eastAsia="zh-CN"/>
                    </w:rPr>
                    <w:t>声</w:t>
                  </w:r>
                  <w:r>
                    <w:rPr>
                      <w:rFonts w:hint="eastAsia"/>
                      <w:vertAlign w:val="baseline"/>
                      <w:lang w:eastAsia="zh-CN"/>
                    </w:rPr>
                    <w:t>源源强（</w:t>
                  </w:r>
                  <w:r>
                    <w:rPr>
                      <w:rFonts w:hint="eastAsia"/>
                      <w:vertAlign w:val="baseline"/>
                      <w:lang w:val="en-US" w:eastAsia="zh-CN"/>
                    </w:rPr>
                    <w:t>声功率级dB（A</w:t>
                  </w:r>
                  <w:r>
                    <w:rPr>
                      <w:rFonts w:hint="eastAsia"/>
                      <w:vertAlign w:val="baseline"/>
                      <w:lang w:eastAsia="zh-CN"/>
                    </w:rPr>
                    <w:t>）</w:t>
                  </w:r>
                </w:p>
              </w:tc>
              <w:tc>
                <w:tcPr>
                  <w:tcW w:w="568" w:type="pct"/>
                  <w:vMerge w:val="restart"/>
                  <w:noWrap w:val="0"/>
                  <w:vAlign w:val="center"/>
                </w:tcPr>
                <w:p>
                  <w:pPr>
                    <w:adjustRightInd w:val="0"/>
                    <w:snapToGrid w:val="0"/>
                    <w:jc w:val="center"/>
                    <w:rPr>
                      <w:rFonts w:hint="eastAsia" w:eastAsia="宋体"/>
                      <w:vertAlign w:val="baseline"/>
                      <w:lang w:eastAsia="zh-CN"/>
                    </w:rPr>
                  </w:pPr>
                  <w:r>
                    <w:rPr>
                      <w:rFonts w:hint="eastAsia"/>
                      <w:vertAlign w:val="baseline"/>
                      <w:lang w:eastAsia="zh-CN"/>
                    </w:rPr>
                    <w:t>声源控制措施</w:t>
                  </w:r>
                </w:p>
              </w:tc>
              <w:tc>
                <w:tcPr>
                  <w:tcW w:w="487" w:type="pct"/>
                  <w:vMerge w:val="restart"/>
                  <w:noWrap w:val="0"/>
                  <w:vAlign w:val="center"/>
                </w:tcPr>
                <w:p>
                  <w:pPr>
                    <w:adjustRightInd w:val="0"/>
                    <w:snapToGrid w:val="0"/>
                    <w:jc w:val="center"/>
                    <w:rPr>
                      <w:rFonts w:hint="eastAsia" w:eastAsia="宋体"/>
                      <w:vertAlign w:val="baseline"/>
                      <w:lang w:eastAsia="zh-CN"/>
                    </w:rPr>
                  </w:pPr>
                  <w:r>
                    <w:rPr>
                      <w:rFonts w:hint="eastAsia"/>
                      <w:vertAlign w:val="baseline"/>
                      <w:lang w:eastAsia="zh-CN"/>
                    </w:rPr>
                    <w:t>运行时段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92" w:type="pct"/>
                  <w:vMerge w:val="continue"/>
                  <w:noWrap w:val="0"/>
                  <w:vAlign w:val="center"/>
                </w:tcPr>
                <w:p>
                  <w:pPr>
                    <w:adjustRightInd w:val="0"/>
                    <w:snapToGrid w:val="0"/>
                    <w:jc w:val="center"/>
                  </w:pPr>
                </w:p>
              </w:tc>
              <w:tc>
                <w:tcPr>
                  <w:tcW w:w="1085" w:type="pct"/>
                  <w:vMerge w:val="continue"/>
                  <w:noWrap w:val="0"/>
                  <w:vAlign w:val="center"/>
                </w:tcPr>
                <w:p>
                  <w:pPr>
                    <w:adjustRightInd w:val="0"/>
                    <w:snapToGrid w:val="0"/>
                    <w:jc w:val="center"/>
                  </w:pPr>
                </w:p>
              </w:tc>
              <w:tc>
                <w:tcPr>
                  <w:tcW w:w="435" w:type="pct"/>
                  <w:vMerge w:val="continue"/>
                  <w:noWrap w:val="0"/>
                  <w:vAlign w:val="center"/>
                </w:tcPr>
                <w:p>
                  <w:pPr>
                    <w:adjustRightInd w:val="0"/>
                    <w:snapToGrid w:val="0"/>
                    <w:jc w:val="center"/>
                  </w:pPr>
                </w:p>
              </w:tc>
              <w:tc>
                <w:tcPr>
                  <w:tcW w:w="415" w:type="pct"/>
                  <w:noWrap w:val="0"/>
                  <w:vAlign w:val="center"/>
                </w:tcPr>
                <w:p>
                  <w:pPr>
                    <w:adjustRightInd w:val="0"/>
                    <w:snapToGrid w:val="0"/>
                    <w:jc w:val="center"/>
                    <w:rPr>
                      <w:rFonts w:hint="default"/>
                      <w:vertAlign w:val="baseline"/>
                      <w:lang w:val="en-US" w:eastAsia="zh-CN"/>
                    </w:rPr>
                  </w:pPr>
                  <w:r>
                    <w:rPr>
                      <w:rFonts w:hint="eastAsia"/>
                      <w:vertAlign w:val="baseline"/>
                      <w:lang w:val="en-US" w:eastAsia="zh-CN"/>
                    </w:rPr>
                    <w:t>X</w:t>
                  </w:r>
                </w:p>
              </w:tc>
              <w:tc>
                <w:tcPr>
                  <w:tcW w:w="415" w:type="pct"/>
                  <w:noWrap w:val="0"/>
                  <w:vAlign w:val="center"/>
                </w:tcPr>
                <w:p>
                  <w:pPr>
                    <w:adjustRightInd w:val="0"/>
                    <w:snapToGrid w:val="0"/>
                    <w:jc w:val="center"/>
                    <w:rPr>
                      <w:rFonts w:hint="default"/>
                      <w:vertAlign w:val="baseline"/>
                      <w:lang w:val="en-US" w:eastAsia="zh-CN"/>
                    </w:rPr>
                  </w:pPr>
                  <w:r>
                    <w:rPr>
                      <w:rFonts w:hint="eastAsia"/>
                      <w:vertAlign w:val="baseline"/>
                      <w:lang w:val="en-US" w:eastAsia="zh-CN"/>
                    </w:rPr>
                    <w:t>Y</w:t>
                  </w:r>
                </w:p>
              </w:tc>
              <w:tc>
                <w:tcPr>
                  <w:tcW w:w="417" w:type="pct"/>
                  <w:noWrap w:val="0"/>
                  <w:vAlign w:val="center"/>
                </w:tcPr>
                <w:p>
                  <w:pPr>
                    <w:adjustRightInd w:val="0"/>
                    <w:snapToGrid w:val="0"/>
                    <w:jc w:val="center"/>
                    <w:rPr>
                      <w:rFonts w:hint="default"/>
                      <w:vertAlign w:val="baseline"/>
                      <w:lang w:val="en-US" w:eastAsia="zh-CN"/>
                    </w:rPr>
                  </w:pPr>
                  <w:r>
                    <w:rPr>
                      <w:rFonts w:hint="eastAsia"/>
                      <w:vertAlign w:val="baseline"/>
                      <w:lang w:val="en-US" w:eastAsia="zh-CN"/>
                    </w:rPr>
                    <w:t>Z</w:t>
                  </w:r>
                </w:p>
              </w:tc>
              <w:tc>
                <w:tcPr>
                  <w:tcW w:w="781" w:type="pct"/>
                  <w:vMerge w:val="continue"/>
                  <w:noWrap w:val="0"/>
                  <w:vAlign w:val="center"/>
                </w:tcPr>
                <w:p>
                  <w:pPr>
                    <w:adjustRightInd w:val="0"/>
                    <w:snapToGrid w:val="0"/>
                    <w:jc w:val="center"/>
                    <w:rPr>
                      <w:rFonts w:hint="eastAsia"/>
                      <w:vertAlign w:val="baseline"/>
                      <w:lang w:eastAsia="zh-CN"/>
                    </w:rPr>
                  </w:pPr>
                </w:p>
              </w:tc>
              <w:tc>
                <w:tcPr>
                  <w:tcW w:w="568" w:type="pct"/>
                  <w:vMerge w:val="continue"/>
                  <w:noWrap w:val="0"/>
                  <w:vAlign w:val="center"/>
                </w:tcPr>
                <w:p>
                  <w:pPr>
                    <w:adjustRightInd w:val="0"/>
                    <w:snapToGrid w:val="0"/>
                    <w:jc w:val="center"/>
                    <w:rPr>
                      <w:rFonts w:hint="eastAsia"/>
                      <w:vertAlign w:val="baseline"/>
                      <w:lang w:eastAsia="zh-CN"/>
                    </w:rPr>
                  </w:pPr>
                </w:p>
              </w:tc>
              <w:tc>
                <w:tcPr>
                  <w:tcW w:w="487" w:type="pct"/>
                  <w:vMerge w:val="continue"/>
                  <w:noWrap w:val="0"/>
                  <w:vAlign w:val="center"/>
                </w:tcPr>
                <w:p>
                  <w:pPr>
                    <w:adjustRightInd w:val="0"/>
                    <w:snapToGrid w:val="0"/>
                    <w:jc w:val="cente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 w:type="pct"/>
                  <w:noWrap w:val="0"/>
                  <w:vAlign w:val="center"/>
                </w:tcPr>
                <w:p>
                  <w:pPr>
                    <w:adjustRightInd w:val="0"/>
                    <w:snapToGrid w:val="0"/>
                    <w:jc w:val="center"/>
                    <w:rPr>
                      <w:rFonts w:hint="eastAsia" w:eastAsia="宋体"/>
                      <w:vertAlign w:val="baseline"/>
                      <w:lang w:val="en-US" w:eastAsia="zh-CN"/>
                    </w:rPr>
                  </w:pPr>
                  <w:r>
                    <w:rPr>
                      <w:rFonts w:hint="eastAsia"/>
                      <w:vertAlign w:val="baseline"/>
                      <w:lang w:val="en-US" w:eastAsia="zh-CN"/>
                    </w:rPr>
                    <w:t>1</w:t>
                  </w:r>
                </w:p>
              </w:tc>
              <w:tc>
                <w:tcPr>
                  <w:tcW w:w="1085" w:type="pct"/>
                  <w:noWrap w:val="0"/>
                  <w:vAlign w:val="center"/>
                </w:tcPr>
                <w:p>
                  <w:pPr>
                    <w:jc w:val="center"/>
                    <w:rPr>
                      <w:vertAlign w:val="baseline"/>
                    </w:rPr>
                  </w:pPr>
                  <w:r>
                    <w:rPr>
                      <w:rFonts w:hint="eastAsia"/>
                      <w:szCs w:val="21"/>
                    </w:rPr>
                    <w:t>装载机</w:t>
                  </w:r>
                </w:p>
              </w:tc>
              <w:tc>
                <w:tcPr>
                  <w:tcW w:w="435" w:type="pct"/>
                  <w:noWrap w:val="0"/>
                  <w:vAlign w:val="center"/>
                </w:tcPr>
                <w:p>
                  <w:pPr>
                    <w:adjustRightInd w:val="0"/>
                    <w:snapToGrid w:val="0"/>
                    <w:jc w:val="center"/>
                    <w:rPr>
                      <w:rFonts w:hint="eastAsia" w:eastAsia="宋体"/>
                      <w:vertAlign w:val="baseline"/>
                      <w:lang w:val="en-US" w:eastAsia="zh-CN"/>
                    </w:rPr>
                  </w:pPr>
                  <w:r>
                    <w:rPr>
                      <w:rFonts w:hint="eastAsia"/>
                      <w:vertAlign w:val="baseline"/>
                      <w:lang w:val="en-US" w:eastAsia="zh-CN"/>
                    </w:rPr>
                    <w:t>/</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222.9</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247.8</w:t>
                  </w:r>
                </w:p>
              </w:tc>
              <w:tc>
                <w:tcPr>
                  <w:tcW w:w="417" w:type="pct"/>
                  <w:noWrap w:val="0"/>
                  <w:vAlign w:val="center"/>
                </w:tcPr>
                <w:p>
                  <w:pPr>
                    <w:adjustRightInd w:val="0"/>
                    <w:snapToGrid w:val="0"/>
                    <w:jc w:val="center"/>
                    <w:rPr>
                      <w:rFonts w:hint="default" w:eastAsia="宋体"/>
                      <w:vertAlign w:val="baseline"/>
                      <w:lang w:val="en-US" w:eastAsia="zh-CN"/>
                    </w:rPr>
                  </w:pPr>
                  <w:r>
                    <w:rPr>
                      <w:rFonts w:hint="eastAsia"/>
                      <w:vertAlign w:val="baseline"/>
                      <w:lang w:val="en-US" w:eastAsia="zh-CN"/>
                    </w:rPr>
                    <w:t>1.6</w:t>
                  </w:r>
                </w:p>
              </w:tc>
              <w:tc>
                <w:tcPr>
                  <w:tcW w:w="781" w:type="pct"/>
                  <w:noWrap w:val="0"/>
                  <w:vAlign w:val="center"/>
                </w:tcPr>
                <w:p>
                  <w:pPr>
                    <w:snapToGrid w:val="0"/>
                    <w:jc w:val="center"/>
                    <w:rPr>
                      <w:rFonts w:hint="default" w:eastAsia="宋体"/>
                      <w:vertAlign w:val="baseline"/>
                      <w:lang w:val="en-US" w:eastAsia="zh-CN"/>
                    </w:rPr>
                  </w:pPr>
                  <w:r>
                    <w:rPr>
                      <w:rFonts w:hint="eastAsia"/>
                      <w:szCs w:val="21"/>
                      <w:lang w:val="en-US" w:eastAsia="zh-CN"/>
                    </w:rPr>
                    <w:t>80</w:t>
                  </w:r>
                </w:p>
              </w:tc>
              <w:tc>
                <w:tcPr>
                  <w:tcW w:w="568" w:type="pct"/>
                  <w:vMerge w:val="restart"/>
                  <w:noWrap w:val="0"/>
                  <w:vAlign w:val="center"/>
                </w:tcPr>
                <w:p>
                  <w:pPr>
                    <w:adjustRightInd w:val="0"/>
                    <w:snapToGrid w:val="0"/>
                    <w:jc w:val="center"/>
                    <w:rPr>
                      <w:vertAlign w:val="baseline"/>
                    </w:rPr>
                  </w:pPr>
                  <w:r>
                    <w:rPr>
                      <w:szCs w:val="21"/>
                    </w:rPr>
                    <w:t>减振降噪和距离衰减</w:t>
                  </w:r>
                </w:p>
              </w:tc>
              <w:tc>
                <w:tcPr>
                  <w:tcW w:w="487" w:type="pct"/>
                  <w:vMerge w:val="restart"/>
                  <w:noWrap w:val="0"/>
                  <w:vAlign w:val="center"/>
                </w:tcPr>
                <w:p>
                  <w:pPr>
                    <w:adjustRightInd w:val="0"/>
                    <w:snapToGrid w:val="0"/>
                    <w:jc w:val="center"/>
                    <w:rPr>
                      <w:rFonts w:hint="eastAsia" w:eastAsia="宋体"/>
                      <w:vertAlign w:val="baseline"/>
                      <w:lang w:eastAsia="zh-CN"/>
                    </w:rPr>
                  </w:pPr>
                  <w:r>
                    <w:rPr>
                      <w:rFonts w:hint="eastAsia"/>
                      <w:vertAlign w:val="baseline"/>
                      <w:lang w:eastAsia="zh-CN"/>
                    </w:rPr>
                    <w:t>昼间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 w:type="pct"/>
                  <w:noWrap w:val="0"/>
                  <w:vAlign w:val="center"/>
                </w:tcPr>
                <w:p>
                  <w:pPr>
                    <w:adjustRightInd w:val="0"/>
                    <w:snapToGrid w:val="0"/>
                    <w:jc w:val="center"/>
                    <w:rPr>
                      <w:rFonts w:hint="eastAsia" w:eastAsia="宋体"/>
                      <w:vertAlign w:val="baseline"/>
                      <w:lang w:val="en-US" w:eastAsia="zh-CN"/>
                    </w:rPr>
                  </w:pPr>
                  <w:r>
                    <w:rPr>
                      <w:rFonts w:hint="eastAsia"/>
                      <w:vertAlign w:val="baseline"/>
                      <w:lang w:val="en-US" w:eastAsia="zh-CN"/>
                    </w:rPr>
                    <w:t>2</w:t>
                  </w:r>
                </w:p>
              </w:tc>
              <w:tc>
                <w:tcPr>
                  <w:tcW w:w="1085" w:type="pct"/>
                  <w:noWrap w:val="0"/>
                  <w:vAlign w:val="center"/>
                </w:tcPr>
                <w:p>
                  <w:pPr>
                    <w:jc w:val="center"/>
                    <w:rPr>
                      <w:vertAlign w:val="baseline"/>
                    </w:rPr>
                  </w:pPr>
                  <w:r>
                    <w:rPr>
                      <w:szCs w:val="21"/>
                    </w:rPr>
                    <w:t>搅拌机</w:t>
                  </w:r>
                </w:p>
              </w:tc>
              <w:tc>
                <w:tcPr>
                  <w:tcW w:w="435" w:type="pct"/>
                  <w:noWrap w:val="0"/>
                  <w:vAlign w:val="center"/>
                </w:tcPr>
                <w:p>
                  <w:pPr>
                    <w:adjustRightInd w:val="0"/>
                    <w:snapToGrid w:val="0"/>
                    <w:jc w:val="center"/>
                    <w:rPr>
                      <w:rFonts w:hint="eastAsia" w:eastAsia="宋体"/>
                      <w:vertAlign w:val="baseline"/>
                      <w:lang w:val="en-US" w:eastAsia="zh-CN"/>
                    </w:rPr>
                  </w:pPr>
                  <w:r>
                    <w:rPr>
                      <w:rFonts w:hint="eastAsia"/>
                      <w:vertAlign w:val="baseline"/>
                      <w:lang w:val="en-US" w:eastAsia="zh-CN"/>
                    </w:rPr>
                    <w:t>/</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152.4</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161.5</w:t>
                  </w:r>
                </w:p>
              </w:tc>
              <w:tc>
                <w:tcPr>
                  <w:tcW w:w="417" w:type="pct"/>
                  <w:noWrap w:val="0"/>
                  <w:vAlign w:val="center"/>
                </w:tcPr>
                <w:p>
                  <w:pPr>
                    <w:adjustRightInd w:val="0"/>
                    <w:snapToGrid w:val="0"/>
                    <w:jc w:val="center"/>
                    <w:rPr>
                      <w:rFonts w:hint="default" w:eastAsia="宋体"/>
                      <w:vertAlign w:val="baseline"/>
                      <w:lang w:val="en-US" w:eastAsia="zh-CN"/>
                    </w:rPr>
                  </w:pPr>
                  <w:r>
                    <w:rPr>
                      <w:rFonts w:hint="eastAsia"/>
                      <w:vertAlign w:val="baseline"/>
                      <w:lang w:val="en-US" w:eastAsia="zh-CN"/>
                    </w:rPr>
                    <w:t>2.5</w:t>
                  </w:r>
                </w:p>
              </w:tc>
              <w:tc>
                <w:tcPr>
                  <w:tcW w:w="781" w:type="pct"/>
                  <w:noWrap w:val="0"/>
                  <w:vAlign w:val="center"/>
                </w:tcPr>
                <w:p>
                  <w:pPr>
                    <w:snapToGrid w:val="0"/>
                    <w:jc w:val="center"/>
                    <w:rPr>
                      <w:rFonts w:hint="default" w:eastAsia="宋体"/>
                      <w:vertAlign w:val="baseline"/>
                      <w:lang w:val="en-US" w:eastAsia="zh-CN"/>
                    </w:rPr>
                  </w:pPr>
                  <w:r>
                    <w:rPr>
                      <w:rFonts w:hint="eastAsia"/>
                      <w:szCs w:val="21"/>
                      <w:lang w:val="en-US" w:eastAsia="zh-CN"/>
                    </w:rPr>
                    <w:t>85</w:t>
                  </w:r>
                </w:p>
              </w:tc>
              <w:tc>
                <w:tcPr>
                  <w:tcW w:w="568" w:type="pct"/>
                  <w:vMerge w:val="continue"/>
                  <w:noWrap w:val="0"/>
                  <w:vAlign w:val="center"/>
                </w:tcPr>
                <w:p>
                  <w:pPr>
                    <w:adjustRightInd w:val="0"/>
                    <w:snapToGrid w:val="0"/>
                    <w:jc w:val="center"/>
                    <w:rPr>
                      <w:vertAlign w:val="baseline"/>
                    </w:rPr>
                  </w:pPr>
                </w:p>
              </w:tc>
              <w:tc>
                <w:tcPr>
                  <w:tcW w:w="487" w:type="pct"/>
                  <w:vMerge w:val="continue"/>
                  <w:noWrap w:val="0"/>
                  <w:vAlign w:val="center"/>
                </w:tcPr>
                <w:p>
                  <w:pPr>
                    <w:adjustRightInd w:val="0"/>
                    <w:snapToGrid w:val="0"/>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 w:type="pct"/>
                  <w:noWrap w:val="0"/>
                  <w:vAlign w:val="center"/>
                </w:tcPr>
                <w:p>
                  <w:pPr>
                    <w:adjustRightInd w:val="0"/>
                    <w:snapToGrid w:val="0"/>
                    <w:jc w:val="center"/>
                    <w:rPr>
                      <w:rFonts w:hint="default"/>
                      <w:vertAlign w:val="baseline"/>
                      <w:lang w:val="en-US" w:eastAsia="zh-CN"/>
                    </w:rPr>
                  </w:pPr>
                  <w:r>
                    <w:rPr>
                      <w:rFonts w:hint="eastAsia"/>
                      <w:vertAlign w:val="baseline"/>
                      <w:lang w:val="en-US" w:eastAsia="zh-CN"/>
                    </w:rPr>
                    <w:t>3</w:t>
                  </w:r>
                </w:p>
              </w:tc>
              <w:tc>
                <w:tcPr>
                  <w:tcW w:w="1085" w:type="pct"/>
                  <w:noWrap w:val="0"/>
                  <w:vAlign w:val="center"/>
                </w:tcPr>
                <w:p>
                  <w:pPr>
                    <w:jc w:val="center"/>
                    <w:rPr>
                      <w:vertAlign w:val="baseline"/>
                    </w:rPr>
                  </w:pPr>
                  <w:r>
                    <w:rPr>
                      <w:szCs w:val="21"/>
                    </w:rPr>
                    <w:t>空压机、风机等</w:t>
                  </w:r>
                </w:p>
              </w:tc>
              <w:tc>
                <w:tcPr>
                  <w:tcW w:w="435" w:type="pct"/>
                  <w:noWrap w:val="0"/>
                  <w:vAlign w:val="center"/>
                </w:tcPr>
                <w:p>
                  <w:pPr>
                    <w:adjustRightInd w:val="0"/>
                    <w:snapToGrid w:val="0"/>
                    <w:jc w:val="center"/>
                    <w:rPr>
                      <w:rFonts w:hint="eastAsia" w:eastAsia="宋体"/>
                      <w:vertAlign w:val="baseline"/>
                      <w:lang w:val="en-US" w:eastAsia="zh-CN"/>
                    </w:rPr>
                  </w:pPr>
                  <w:r>
                    <w:rPr>
                      <w:rFonts w:hint="eastAsia"/>
                      <w:vertAlign w:val="baseline"/>
                      <w:lang w:val="en-US" w:eastAsia="zh-CN"/>
                    </w:rPr>
                    <w:t>/</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140.9</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152.3</w:t>
                  </w:r>
                </w:p>
              </w:tc>
              <w:tc>
                <w:tcPr>
                  <w:tcW w:w="417" w:type="pct"/>
                  <w:noWrap w:val="0"/>
                  <w:vAlign w:val="center"/>
                </w:tcPr>
                <w:p>
                  <w:pPr>
                    <w:adjustRightInd w:val="0"/>
                    <w:snapToGrid w:val="0"/>
                    <w:jc w:val="center"/>
                    <w:rPr>
                      <w:rFonts w:hint="default" w:eastAsia="宋体"/>
                      <w:vertAlign w:val="baseline"/>
                      <w:lang w:val="en-US" w:eastAsia="zh-CN"/>
                    </w:rPr>
                  </w:pPr>
                  <w:r>
                    <w:rPr>
                      <w:rFonts w:hint="eastAsia"/>
                      <w:vertAlign w:val="baseline"/>
                      <w:lang w:val="en-US" w:eastAsia="zh-CN"/>
                    </w:rPr>
                    <w:t>1.8</w:t>
                  </w:r>
                </w:p>
              </w:tc>
              <w:tc>
                <w:tcPr>
                  <w:tcW w:w="781" w:type="pct"/>
                  <w:noWrap w:val="0"/>
                  <w:vAlign w:val="center"/>
                </w:tcPr>
                <w:p>
                  <w:pPr>
                    <w:snapToGrid w:val="0"/>
                    <w:jc w:val="center"/>
                    <w:rPr>
                      <w:rFonts w:hint="default" w:eastAsia="宋体"/>
                      <w:vertAlign w:val="baseline"/>
                      <w:lang w:val="en-US" w:eastAsia="zh-CN"/>
                    </w:rPr>
                  </w:pPr>
                  <w:r>
                    <w:rPr>
                      <w:rFonts w:hint="eastAsia"/>
                      <w:szCs w:val="21"/>
                      <w:lang w:val="en-US" w:eastAsia="zh-CN"/>
                    </w:rPr>
                    <w:t>80</w:t>
                  </w:r>
                </w:p>
              </w:tc>
              <w:tc>
                <w:tcPr>
                  <w:tcW w:w="568" w:type="pct"/>
                  <w:vMerge w:val="continue"/>
                  <w:noWrap w:val="0"/>
                  <w:vAlign w:val="center"/>
                </w:tcPr>
                <w:p>
                  <w:pPr>
                    <w:adjustRightInd w:val="0"/>
                    <w:snapToGrid w:val="0"/>
                    <w:jc w:val="center"/>
                    <w:rPr>
                      <w:vertAlign w:val="baseline"/>
                    </w:rPr>
                  </w:pPr>
                </w:p>
              </w:tc>
              <w:tc>
                <w:tcPr>
                  <w:tcW w:w="487" w:type="pct"/>
                  <w:vMerge w:val="continue"/>
                  <w:noWrap w:val="0"/>
                  <w:vAlign w:val="center"/>
                </w:tcPr>
                <w:p>
                  <w:pPr>
                    <w:adjustRightInd w:val="0"/>
                    <w:snapToGrid w:val="0"/>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 w:type="pct"/>
                  <w:noWrap w:val="0"/>
                  <w:vAlign w:val="center"/>
                </w:tcPr>
                <w:p>
                  <w:pPr>
                    <w:adjustRightInd w:val="0"/>
                    <w:snapToGrid w:val="0"/>
                    <w:jc w:val="center"/>
                    <w:rPr>
                      <w:rFonts w:hint="default"/>
                      <w:vertAlign w:val="baseline"/>
                      <w:lang w:val="en-US" w:eastAsia="zh-CN"/>
                    </w:rPr>
                  </w:pPr>
                  <w:r>
                    <w:rPr>
                      <w:rFonts w:hint="eastAsia"/>
                      <w:vertAlign w:val="baseline"/>
                      <w:lang w:val="en-US" w:eastAsia="zh-CN"/>
                    </w:rPr>
                    <w:t>4</w:t>
                  </w:r>
                </w:p>
              </w:tc>
              <w:tc>
                <w:tcPr>
                  <w:tcW w:w="1085" w:type="pct"/>
                  <w:noWrap w:val="0"/>
                  <w:vAlign w:val="center"/>
                </w:tcPr>
                <w:p>
                  <w:pPr>
                    <w:jc w:val="center"/>
                    <w:rPr>
                      <w:vertAlign w:val="baseline"/>
                    </w:rPr>
                  </w:pPr>
                  <w:r>
                    <w:rPr>
                      <w:szCs w:val="21"/>
                    </w:rPr>
                    <w:t>泵机</w:t>
                  </w:r>
                </w:p>
              </w:tc>
              <w:tc>
                <w:tcPr>
                  <w:tcW w:w="435" w:type="pct"/>
                  <w:noWrap w:val="0"/>
                  <w:vAlign w:val="center"/>
                </w:tcPr>
                <w:p>
                  <w:pPr>
                    <w:adjustRightInd w:val="0"/>
                    <w:snapToGrid w:val="0"/>
                    <w:jc w:val="center"/>
                    <w:rPr>
                      <w:rFonts w:hint="eastAsia" w:eastAsia="宋体"/>
                      <w:vertAlign w:val="baseline"/>
                      <w:lang w:val="en-US" w:eastAsia="zh-CN"/>
                    </w:rPr>
                  </w:pPr>
                  <w:r>
                    <w:rPr>
                      <w:rFonts w:hint="eastAsia"/>
                      <w:vertAlign w:val="baseline"/>
                      <w:lang w:val="en-US" w:eastAsia="zh-CN"/>
                    </w:rPr>
                    <w:t>/</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161.4</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165.2</w:t>
                  </w:r>
                </w:p>
              </w:tc>
              <w:tc>
                <w:tcPr>
                  <w:tcW w:w="417" w:type="pct"/>
                  <w:noWrap w:val="0"/>
                  <w:vAlign w:val="center"/>
                </w:tcPr>
                <w:p>
                  <w:pPr>
                    <w:adjustRightInd w:val="0"/>
                    <w:snapToGrid w:val="0"/>
                    <w:jc w:val="center"/>
                    <w:rPr>
                      <w:rFonts w:hint="default" w:eastAsia="宋体"/>
                      <w:vertAlign w:val="baseline"/>
                      <w:lang w:val="en-US" w:eastAsia="zh-CN"/>
                    </w:rPr>
                  </w:pPr>
                  <w:r>
                    <w:rPr>
                      <w:rFonts w:hint="eastAsia"/>
                      <w:vertAlign w:val="baseline"/>
                      <w:lang w:val="en-US" w:eastAsia="zh-CN"/>
                    </w:rPr>
                    <w:t>0.5</w:t>
                  </w:r>
                </w:p>
              </w:tc>
              <w:tc>
                <w:tcPr>
                  <w:tcW w:w="781" w:type="pct"/>
                  <w:noWrap w:val="0"/>
                  <w:vAlign w:val="center"/>
                </w:tcPr>
                <w:p>
                  <w:pPr>
                    <w:snapToGrid w:val="0"/>
                    <w:jc w:val="center"/>
                    <w:rPr>
                      <w:rFonts w:hint="default" w:eastAsia="宋体"/>
                      <w:vertAlign w:val="baseline"/>
                      <w:lang w:val="en-US" w:eastAsia="zh-CN"/>
                    </w:rPr>
                  </w:pPr>
                  <w:r>
                    <w:rPr>
                      <w:rFonts w:hint="eastAsia"/>
                      <w:szCs w:val="21"/>
                      <w:lang w:val="en-US" w:eastAsia="zh-CN"/>
                    </w:rPr>
                    <w:t>85</w:t>
                  </w:r>
                </w:p>
              </w:tc>
              <w:tc>
                <w:tcPr>
                  <w:tcW w:w="568" w:type="pct"/>
                  <w:vMerge w:val="continue"/>
                  <w:noWrap w:val="0"/>
                  <w:vAlign w:val="center"/>
                </w:tcPr>
                <w:p>
                  <w:pPr>
                    <w:adjustRightInd w:val="0"/>
                    <w:snapToGrid w:val="0"/>
                    <w:jc w:val="center"/>
                    <w:rPr>
                      <w:vertAlign w:val="baseline"/>
                    </w:rPr>
                  </w:pPr>
                </w:p>
              </w:tc>
              <w:tc>
                <w:tcPr>
                  <w:tcW w:w="487" w:type="pct"/>
                  <w:vMerge w:val="continue"/>
                  <w:noWrap w:val="0"/>
                  <w:vAlign w:val="center"/>
                </w:tcPr>
                <w:p>
                  <w:pPr>
                    <w:adjustRightInd w:val="0"/>
                    <w:snapToGrid w:val="0"/>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 w:type="pct"/>
                  <w:noWrap w:val="0"/>
                  <w:vAlign w:val="center"/>
                </w:tcPr>
                <w:p>
                  <w:pPr>
                    <w:adjustRightInd w:val="0"/>
                    <w:snapToGrid w:val="0"/>
                    <w:jc w:val="center"/>
                    <w:rPr>
                      <w:rFonts w:hint="default"/>
                      <w:vertAlign w:val="baseline"/>
                      <w:lang w:val="en-US" w:eastAsia="zh-CN"/>
                    </w:rPr>
                  </w:pPr>
                  <w:r>
                    <w:rPr>
                      <w:rFonts w:hint="eastAsia"/>
                      <w:vertAlign w:val="baseline"/>
                      <w:lang w:val="en-US" w:eastAsia="zh-CN"/>
                    </w:rPr>
                    <w:t>5</w:t>
                  </w:r>
                </w:p>
              </w:tc>
              <w:tc>
                <w:tcPr>
                  <w:tcW w:w="1085" w:type="pct"/>
                  <w:noWrap w:val="0"/>
                  <w:vAlign w:val="center"/>
                </w:tcPr>
                <w:p>
                  <w:pPr>
                    <w:jc w:val="center"/>
                    <w:rPr>
                      <w:vertAlign w:val="baseline"/>
                    </w:rPr>
                  </w:pPr>
                  <w:r>
                    <w:rPr>
                      <w:rFonts w:hint="eastAsia"/>
                      <w:szCs w:val="21"/>
                      <w:lang w:val="en-US" w:eastAsia="zh-CN"/>
                    </w:rPr>
                    <w:t>混凝土罐车</w:t>
                  </w:r>
                  <w:r>
                    <w:rPr>
                      <w:szCs w:val="21"/>
                    </w:rPr>
                    <w:t>噪声</w:t>
                  </w:r>
                </w:p>
              </w:tc>
              <w:tc>
                <w:tcPr>
                  <w:tcW w:w="435" w:type="pct"/>
                  <w:noWrap w:val="0"/>
                  <w:vAlign w:val="center"/>
                </w:tcPr>
                <w:p>
                  <w:pPr>
                    <w:adjustRightInd w:val="0"/>
                    <w:snapToGrid w:val="0"/>
                    <w:jc w:val="center"/>
                    <w:rPr>
                      <w:rFonts w:hint="eastAsia" w:eastAsia="宋体"/>
                      <w:vertAlign w:val="baseline"/>
                      <w:lang w:val="en-US" w:eastAsia="zh-CN"/>
                    </w:rPr>
                  </w:pPr>
                  <w:r>
                    <w:rPr>
                      <w:rFonts w:hint="eastAsia"/>
                      <w:vertAlign w:val="baseline"/>
                      <w:lang w:val="en-US" w:eastAsia="zh-CN"/>
                    </w:rPr>
                    <w:t>/</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112.3</w:t>
                  </w:r>
                </w:p>
              </w:tc>
              <w:tc>
                <w:tcPr>
                  <w:tcW w:w="415" w:type="pct"/>
                  <w:noWrap w:val="0"/>
                  <w:vAlign w:val="center"/>
                </w:tcPr>
                <w:p>
                  <w:pPr>
                    <w:adjustRightInd w:val="0"/>
                    <w:snapToGrid w:val="0"/>
                    <w:jc w:val="center"/>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203.4</w:t>
                  </w:r>
                </w:p>
              </w:tc>
              <w:tc>
                <w:tcPr>
                  <w:tcW w:w="417" w:type="pct"/>
                  <w:noWrap w:val="0"/>
                  <w:vAlign w:val="center"/>
                </w:tcPr>
                <w:p>
                  <w:pPr>
                    <w:adjustRightInd w:val="0"/>
                    <w:snapToGrid w:val="0"/>
                    <w:jc w:val="center"/>
                    <w:rPr>
                      <w:rFonts w:hint="default" w:eastAsia="宋体"/>
                      <w:vertAlign w:val="baseline"/>
                      <w:lang w:val="en-US" w:eastAsia="zh-CN"/>
                    </w:rPr>
                  </w:pPr>
                  <w:r>
                    <w:rPr>
                      <w:rFonts w:hint="eastAsia"/>
                      <w:vertAlign w:val="baseline"/>
                      <w:lang w:val="en-US" w:eastAsia="zh-CN"/>
                    </w:rPr>
                    <w:t>1.5</w:t>
                  </w:r>
                </w:p>
              </w:tc>
              <w:tc>
                <w:tcPr>
                  <w:tcW w:w="781" w:type="pct"/>
                  <w:noWrap w:val="0"/>
                  <w:vAlign w:val="center"/>
                </w:tcPr>
                <w:p>
                  <w:pPr>
                    <w:snapToGrid w:val="0"/>
                    <w:jc w:val="center"/>
                    <w:rPr>
                      <w:rFonts w:hint="default" w:eastAsia="宋体"/>
                      <w:vertAlign w:val="baseline"/>
                      <w:lang w:val="en-US" w:eastAsia="zh-CN"/>
                    </w:rPr>
                  </w:pPr>
                  <w:r>
                    <w:rPr>
                      <w:rFonts w:hint="eastAsia"/>
                      <w:szCs w:val="21"/>
                      <w:lang w:val="en-US" w:eastAsia="zh-CN"/>
                    </w:rPr>
                    <w:t>80</w:t>
                  </w:r>
                </w:p>
              </w:tc>
              <w:tc>
                <w:tcPr>
                  <w:tcW w:w="568" w:type="pct"/>
                  <w:vMerge w:val="continue"/>
                  <w:noWrap w:val="0"/>
                  <w:vAlign w:val="center"/>
                </w:tcPr>
                <w:p>
                  <w:pPr>
                    <w:adjustRightInd w:val="0"/>
                    <w:snapToGrid w:val="0"/>
                    <w:jc w:val="center"/>
                    <w:rPr>
                      <w:vertAlign w:val="baseline"/>
                    </w:rPr>
                  </w:pPr>
                </w:p>
              </w:tc>
              <w:tc>
                <w:tcPr>
                  <w:tcW w:w="487" w:type="pct"/>
                  <w:vMerge w:val="continue"/>
                  <w:noWrap w:val="0"/>
                  <w:vAlign w:val="center"/>
                </w:tcPr>
                <w:p>
                  <w:pPr>
                    <w:adjustRightInd w:val="0"/>
                    <w:snapToGrid w:val="0"/>
                    <w:jc w:val="center"/>
                    <w:rPr>
                      <w:vertAlign w:val="baseline"/>
                    </w:rPr>
                  </w:pPr>
                </w:p>
              </w:tc>
            </w:tr>
          </w:tbl>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b/>
                <w:bCs/>
                <w:sz w:val="21"/>
                <w:szCs w:val="21"/>
              </w:rPr>
            </w:pPr>
            <w:r>
              <w:rPr>
                <w:rFonts w:hint="default" w:ascii="Times New Roman" w:hAnsi="Times New Roman" w:eastAsia="宋体" w:cs="Times New Roman"/>
                <w:b w:val="0"/>
                <w:bCs/>
                <w:sz w:val="21"/>
                <w:szCs w:val="21"/>
                <w:lang w:val="en-US" w:eastAsia="zh-CN"/>
              </w:rPr>
              <w:t>表中坐标以厂界中心（84.3068503</w:t>
            </w:r>
            <w:r>
              <w:rPr>
                <w:rFonts w:hint="eastAsia" w:ascii="Times New Roman" w:hAnsi="Times New Roman" w:eastAsia="宋体" w:cs="Times New Roman"/>
                <w:b w:val="0"/>
                <w:bCs/>
                <w:sz w:val="21"/>
                <w:szCs w:val="21"/>
                <w:lang w:val="en-US" w:eastAsia="zh-CN"/>
              </w:rPr>
              <w:t>，</w:t>
            </w:r>
            <w:r>
              <w:rPr>
                <w:rFonts w:hint="default" w:ascii="Times New Roman" w:hAnsi="Times New Roman" w:eastAsia="宋体" w:cs="Times New Roman"/>
                <w:b w:val="0"/>
                <w:bCs/>
                <w:sz w:val="21"/>
                <w:szCs w:val="21"/>
                <w:lang w:val="en-US" w:eastAsia="zh-CN"/>
              </w:rPr>
              <w:t>41.8108217）为坐标原点，正东向为X轴正方向，正北向为Y轴正方向</w:t>
            </w:r>
            <w:r>
              <w:rPr>
                <w:rFonts w:hint="eastAsia" w:ascii="Times New Roman" w:hAnsi="Times New Roman" w:eastAsia="宋体" w:cs="Times New Roman"/>
                <w:b w:val="0"/>
                <w:bCs/>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rPr>
                <w:rFonts w:hint="eastAsia" w:ascii="宋体" w:hAnsi="宋体" w:cs="宋体"/>
                <w:sz w:val="24"/>
              </w:rPr>
            </w:pPr>
            <w:r>
              <w:rPr>
                <w:rFonts w:hint="eastAsia" w:ascii="宋体" w:hAnsi="宋体" w:cs="宋体"/>
                <w:sz w:val="24"/>
              </w:rPr>
              <w:t>（3）预测结果</w:t>
            </w:r>
          </w:p>
          <w:p>
            <w:pPr>
              <w:pStyle w:val="49"/>
              <w:keepNext w:val="0"/>
              <w:keepLines w:val="0"/>
              <w:pageBreakBefore w:val="0"/>
              <w:widowControl w:val="0"/>
              <w:kinsoku/>
              <w:wordWrap/>
              <w:overflowPunct/>
              <w:topLinePunct w:val="0"/>
              <w:autoSpaceDE/>
              <w:autoSpaceDN/>
              <w:bidi w:val="0"/>
              <w:snapToGrid w:val="0"/>
              <w:spacing w:line="520" w:lineRule="exact"/>
              <w:ind w:firstLine="480" w:firstLineChars="200"/>
              <w:rPr>
                <w:rFonts w:hint="eastAsia" w:ascii="宋体" w:hAnsi="宋体" w:cs="宋体"/>
                <w:kern w:val="2"/>
              </w:rPr>
            </w:pPr>
            <w:r>
              <w:rPr>
                <w:rFonts w:hint="eastAsia" w:ascii="宋体" w:hAnsi="宋体" w:cs="宋体"/>
                <w:kern w:val="2"/>
              </w:rPr>
              <w:t>根据预测模式计算出各噪声源传播至厂界的总声压级，结果见表</w:t>
            </w:r>
            <w:r>
              <w:rPr>
                <w:rFonts w:hint="eastAsia" w:ascii="宋体" w:hAnsi="宋体" w:cs="宋体"/>
                <w:kern w:val="2"/>
                <w:lang w:val="en-US" w:eastAsia="zh-CN"/>
              </w:rPr>
              <w:t>4-7。</w:t>
            </w:r>
          </w:p>
          <w:p>
            <w:pPr>
              <w:keepNext w:val="0"/>
              <w:keepLines w:val="0"/>
              <w:pageBreakBefore w:val="0"/>
              <w:widowControl w:val="0"/>
              <w:kinsoku/>
              <w:wordWrap/>
              <w:overflowPunct/>
              <w:topLinePunct w:val="0"/>
              <w:autoSpaceDE/>
              <w:autoSpaceDN/>
              <w:bidi w:val="0"/>
              <w:snapToGrid w:val="0"/>
              <w:spacing w:line="520" w:lineRule="exact"/>
              <w:jc w:val="center"/>
              <w:rPr>
                <w:rFonts w:hint="eastAsia" w:ascii="宋体" w:hAnsi="宋体" w:cs="宋体"/>
                <w:b/>
                <w:sz w:val="24"/>
              </w:rPr>
            </w:pPr>
            <w:r>
              <w:rPr>
                <w:rFonts w:hint="eastAsia" w:ascii="宋体" w:hAnsi="宋体" w:cs="宋体"/>
                <w:b/>
                <w:sz w:val="24"/>
              </w:rPr>
              <w:t>表</w:t>
            </w:r>
            <w:r>
              <w:rPr>
                <w:rFonts w:hint="eastAsia" w:ascii="宋体" w:hAnsi="宋体" w:cs="宋体"/>
                <w:b/>
                <w:sz w:val="24"/>
                <w:lang w:val="en-US" w:eastAsia="zh-CN"/>
              </w:rPr>
              <w:t>4-7</w:t>
            </w:r>
            <w:r>
              <w:rPr>
                <w:rFonts w:hint="eastAsia" w:ascii="宋体" w:hAnsi="宋体" w:cs="宋体"/>
                <w:b/>
                <w:sz w:val="24"/>
              </w:rPr>
              <w:t xml:space="preserve">   厂界噪声预测结果与达标分析表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780"/>
              <w:gridCol w:w="780"/>
              <w:gridCol w:w="783"/>
              <w:gridCol w:w="966"/>
              <w:gridCol w:w="1378"/>
              <w:gridCol w:w="1379"/>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exact"/>
                <w:jc w:val="center"/>
              </w:trPr>
              <w:tc>
                <w:tcPr>
                  <w:tcW w:w="645" w:type="pct"/>
                  <w:vMerge w:val="restart"/>
                  <w:noWrap w:val="0"/>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预测方位</w:t>
                  </w:r>
                </w:p>
              </w:tc>
              <w:tc>
                <w:tcPr>
                  <w:tcW w:w="1412" w:type="pct"/>
                  <w:gridSpan w:val="3"/>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b/>
                      <w:bCs/>
                      <w:szCs w:val="21"/>
                      <w:lang w:val="en-US" w:eastAsia="zh-CN"/>
                    </w:rPr>
                    <w:t>最大值点</w:t>
                  </w:r>
                  <w:r>
                    <w:rPr>
                      <w:rFonts w:ascii="Times New Roman" w:hAnsi="Times New Roman" w:eastAsia="宋体" w:cs="Times New Roman"/>
                      <w:b/>
                      <w:bCs/>
                      <w:szCs w:val="21"/>
                    </w:rPr>
                    <w:t>空间相对位置/m</w:t>
                  </w:r>
                </w:p>
              </w:tc>
              <w:tc>
                <w:tcPr>
                  <w:tcW w:w="582" w:type="pct"/>
                  <w:vMerge w:val="restart"/>
                  <w:noWrap w:val="0"/>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时段</w:t>
                  </w:r>
                </w:p>
              </w:tc>
              <w:tc>
                <w:tcPr>
                  <w:tcW w:w="830" w:type="pct"/>
                  <w:vMerge w:val="restart"/>
                  <w:noWrap w:val="0"/>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贡献值</w:t>
                  </w:r>
                  <w:r>
                    <w:rPr>
                      <w:rFonts w:ascii="Times New Roman" w:hAnsi="Times New Roman" w:eastAsia="宋体" w:cs="Times New Roman"/>
                      <w:b/>
                      <w:bCs/>
                      <w:szCs w:val="21"/>
                    </w:rPr>
                    <w:t>（dB(A</w:t>
                  </w:r>
                  <w:r>
                    <w:rPr>
                      <w:rFonts w:hint="eastAsia" w:ascii="Times New Roman" w:hAnsi="Times New Roman" w:eastAsia="宋体" w:cs="Times New Roman"/>
                      <w:b/>
                      <w:bCs/>
                      <w:szCs w:val="21"/>
                      <w:lang w:eastAsia="zh-CN"/>
                    </w:rPr>
                    <w:t>）</w:t>
                  </w:r>
                  <w:r>
                    <w:rPr>
                      <w:rFonts w:ascii="Times New Roman" w:hAnsi="Times New Roman" w:eastAsia="宋体" w:cs="Times New Roman"/>
                      <w:b/>
                      <w:bCs/>
                      <w:szCs w:val="21"/>
                    </w:rPr>
                    <w:t>）</w:t>
                  </w:r>
                </w:p>
              </w:tc>
              <w:tc>
                <w:tcPr>
                  <w:tcW w:w="831" w:type="pct"/>
                  <w:vMerge w:val="restart"/>
                  <w:noWrap w:val="0"/>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标准限值（dB(A</w:t>
                  </w:r>
                  <w:r>
                    <w:rPr>
                      <w:rFonts w:hint="eastAsia" w:ascii="Times New Roman" w:hAnsi="Times New Roman" w:eastAsia="宋体" w:cs="Times New Roman"/>
                      <w:b/>
                      <w:bCs/>
                      <w:szCs w:val="21"/>
                      <w:lang w:eastAsia="zh-CN"/>
                    </w:rPr>
                    <w:t>）</w:t>
                  </w:r>
                  <w:r>
                    <w:rPr>
                      <w:rFonts w:ascii="Times New Roman" w:hAnsi="Times New Roman" w:eastAsia="宋体" w:cs="Times New Roman"/>
                      <w:b/>
                      <w:bCs/>
                      <w:szCs w:val="21"/>
                    </w:rPr>
                    <w:t>）</w:t>
                  </w:r>
                </w:p>
              </w:tc>
              <w:tc>
                <w:tcPr>
                  <w:tcW w:w="696" w:type="pct"/>
                  <w:vMerge w:val="restart"/>
                  <w:noWrap w:val="0"/>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5" w:type="pct"/>
                  <w:vMerge w:val="continue"/>
                  <w:noWrap w:val="0"/>
                  <w:vAlign w:val="center"/>
                </w:tcPr>
                <w:p>
                  <w:pPr>
                    <w:jc w:val="center"/>
                    <w:rPr>
                      <w:rFonts w:ascii="Times New Roman" w:hAnsi="Times New Roman" w:eastAsia="宋体" w:cs="Times New Roman"/>
                      <w:szCs w:val="21"/>
                    </w:rPr>
                  </w:pPr>
                </w:p>
              </w:tc>
              <w:tc>
                <w:tcPr>
                  <w:tcW w:w="470"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X</w:t>
                  </w:r>
                </w:p>
              </w:tc>
              <w:tc>
                <w:tcPr>
                  <w:tcW w:w="470"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Y</w:t>
                  </w:r>
                </w:p>
              </w:tc>
              <w:tc>
                <w:tcPr>
                  <w:tcW w:w="472"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Z</w:t>
                  </w:r>
                </w:p>
              </w:tc>
              <w:tc>
                <w:tcPr>
                  <w:tcW w:w="582" w:type="pct"/>
                  <w:vMerge w:val="continue"/>
                  <w:noWrap w:val="0"/>
                  <w:vAlign w:val="center"/>
                </w:tcPr>
                <w:p>
                  <w:pPr>
                    <w:jc w:val="center"/>
                    <w:rPr>
                      <w:rFonts w:ascii="Times New Roman" w:hAnsi="Times New Roman" w:eastAsia="宋体" w:cs="Times New Roman"/>
                      <w:szCs w:val="21"/>
                    </w:rPr>
                  </w:pPr>
                </w:p>
              </w:tc>
              <w:tc>
                <w:tcPr>
                  <w:tcW w:w="830" w:type="pct"/>
                  <w:vMerge w:val="continue"/>
                  <w:noWrap w:val="0"/>
                  <w:vAlign w:val="center"/>
                </w:tcPr>
                <w:p>
                  <w:pPr>
                    <w:jc w:val="center"/>
                    <w:rPr>
                      <w:rFonts w:ascii="Times New Roman" w:hAnsi="Times New Roman" w:eastAsia="宋体" w:cs="Times New Roman"/>
                      <w:szCs w:val="21"/>
                    </w:rPr>
                  </w:pPr>
                </w:p>
              </w:tc>
              <w:tc>
                <w:tcPr>
                  <w:tcW w:w="831" w:type="pct"/>
                  <w:vMerge w:val="continue"/>
                  <w:noWrap w:val="0"/>
                  <w:vAlign w:val="center"/>
                </w:tcPr>
                <w:p>
                  <w:pPr>
                    <w:jc w:val="center"/>
                    <w:rPr>
                      <w:rFonts w:ascii="Times New Roman" w:hAnsi="Times New Roman" w:eastAsia="宋体" w:cs="Times New Roman"/>
                      <w:szCs w:val="21"/>
                    </w:rPr>
                  </w:pPr>
                </w:p>
              </w:tc>
              <w:tc>
                <w:tcPr>
                  <w:tcW w:w="696" w:type="pct"/>
                  <w:vMerge w:val="continue"/>
                  <w:noWrap w:val="0"/>
                  <w:vAlign w:val="center"/>
                </w:tcPr>
                <w:p>
                  <w:pPr>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exact"/>
                <w:jc w:val="center"/>
              </w:trPr>
              <w:tc>
                <w:tcPr>
                  <w:tcW w:w="645"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东侧</w:t>
                  </w:r>
                </w:p>
              </w:tc>
              <w:tc>
                <w:tcPr>
                  <w:tcW w:w="47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266.9</w:t>
                  </w:r>
                </w:p>
              </w:tc>
              <w:tc>
                <w:tcPr>
                  <w:tcW w:w="47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247.6</w:t>
                  </w:r>
                </w:p>
              </w:tc>
              <w:tc>
                <w:tcPr>
                  <w:tcW w:w="472"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1.2</w:t>
                  </w:r>
                </w:p>
              </w:tc>
              <w:tc>
                <w:tcPr>
                  <w:tcW w:w="582"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83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48.6</w:t>
                  </w:r>
                </w:p>
              </w:tc>
              <w:tc>
                <w:tcPr>
                  <w:tcW w:w="831"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60</w:t>
                  </w:r>
                </w:p>
              </w:tc>
              <w:tc>
                <w:tcPr>
                  <w:tcW w:w="696"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exact"/>
                <w:jc w:val="center"/>
              </w:trPr>
              <w:tc>
                <w:tcPr>
                  <w:tcW w:w="645"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南侧</w:t>
                  </w:r>
                </w:p>
              </w:tc>
              <w:tc>
                <w:tcPr>
                  <w:tcW w:w="801" w:type="dxa"/>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164.9</w:t>
                  </w:r>
                </w:p>
              </w:tc>
              <w:tc>
                <w:tcPr>
                  <w:tcW w:w="801" w:type="dxa"/>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95.2</w:t>
                  </w:r>
                </w:p>
              </w:tc>
              <w:tc>
                <w:tcPr>
                  <w:tcW w:w="472"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1.2</w:t>
                  </w:r>
                </w:p>
              </w:tc>
              <w:tc>
                <w:tcPr>
                  <w:tcW w:w="582"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830" w:type="pct"/>
                  <w:noWrap w:val="0"/>
                  <w:vAlign w:val="center"/>
                </w:tcPr>
                <w:p>
                  <w:pPr>
                    <w:jc w:val="center"/>
                    <w:rPr>
                      <w:rFonts w:hint="default" w:ascii="Times New Roman" w:hAnsi="Times New Roman" w:eastAsia="宋体" w:cs="Times New Roman"/>
                      <w:szCs w:val="21"/>
                      <w:lang w:val="en-US" w:eastAsia="zh-CN"/>
                    </w:rPr>
                  </w:pPr>
                  <w:r>
                    <w:rPr>
                      <w:rFonts w:hint="eastAsia"/>
                      <w:szCs w:val="21"/>
                      <w:lang w:val="en-US" w:eastAsia="zh-CN"/>
                    </w:rPr>
                    <w:t>49.3</w:t>
                  </w:r>
                </w:p>
              </w:tc>
              <w:tc>
                <w:tcPr>
                  <w:tcW w:w="831" w:type="pct"/>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60</w:t>
                  </w:r>
                </w:p>
              </w:tc>
              <w:tc>
                <w:tcPr>
                  <w:tcW w:w="696"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exact"/>
                <w:jc w:val="center"/>
              </w:trPr>
              <w:tc>
                <w:tcPr>
                  <w:tcW w:w="645"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西侧</w:t>
                  </w:r>
                </w:p>
              </w:tc>
              <w:tc>
                <w:tcPr>
                  <w:tcW w:w="47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-47.2</w:t>
                  </w:r>
                </w:p>
              </w:tc>
              <w:tc>
                <w:tcPr>
                  <w:tcW w:w="47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73.7</w:t>
                  </w:r>
                </w:p>
              </w:tc>
              <w:tc>
                <w:tcPr>
                  <w:tcW w:w="472"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1.2</w:t>
                  </w:r>
                </w:p>
              </w:tc>
              <w:tc>
                <w:tcPr>
                  <w:tcW w:w="582"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83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48.1</w:t>
                  </w:r>
                </w:p>
              </w:tc>
              <w:tc>
                <w:tcPr>
                  <w:tcW w:w="831" w:type="pct"/>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60</w:t>
                  </w:r>
                </w:p>
              </w:tc>
              <w:tc>
                <w:tcPr>
                  <w:tcW w:w="696"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exact"/>
                <w:jc w:val="center"/>
              </w:trPr>
              <w:tc>
                <w:tcPr>
                  <w:tcW w:w="645"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北侧</w:t>
                  </w:r>
                </w:p>
              </w:tc>
              <w:tc>
                <w:tcPr>
                  <w:tcW w:w="47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115.9</w:t>
                  </w:r>
                </w:p>
              </w:tc>
              <w:tc>
                <w:tcPr>
                  <w:tcW w:w="47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235.4</w:t>
                  </w:r>
                </w:p>
              </w:tc>
              <w:tc>
                <w:tcPr>
                  <w:tcW w:w="472"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1.2</w:t>
                  </w:r>
                </w:p>
              </w:tc>
              <w:tc>
                <w:tcPr>
                  <w:tcW w:w="582"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昼间</w:t>
                  </w:r>
                </w:p>
              </w:tc>
              <w:tc>
                <w:tcPr>
                  <w:tcW w:w="830" w:type="pc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49.6</w:t>
                  </w:r>
                </w:p>
              </w:tc>
              <w:tc>
                <w:tcPr>
                  <w:tcW w:w="831" w:type="pct"/>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60</w:t>
                  </w:r>
                </w:p>
              </w:tc>
              <w:tc>
                <w:tcPr>
                  <w:tcW w:w="696" w:type="pct"/>
                  <w:noWrap w:val="0"/>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达标</w:t>
                  </w:r>
                </w:p>
              </w:tc>
            </w:tr>
          </w:tbl>
          <w:p>
            <w:pPr>
              <w:keepNext w:val="0"/>
              <w:keepLines w:val="0"/>
              <w:pageBreakBefore w:val="0"/>
              <w:widowControl w:val="0"/>
              <w:kinsoku/>
              <w:wordWrap/>
              <w:overflowPunct/>
              <w:topLinePunct w:val="0"/>
              <w:autoSpaceDE/>
              <w:autoSpaceDN/>
              <w:bidi w:val="0"/>
              <w:adjustRightInd w:val="0"/>
              <w:snapToGrid w:val="0"/>
              <w:spacing w:before="157" w:beforeLines="50"/>
              <w:ind w:firstLine="420" w:firstLineChars="200"/>
              <w:textAlignment w:val="auto"/>
              <w:rPr>
                <w:rFonts w:hint="default" w:ascii="Calibri" w:hAnsi="Calibri" w:eastAsia="宋体" w:cs="宋体"/>
                <w:szCs w:val="21"/>
                <w:lang w:val="en-US" w:eastAsia="zh-CN"/>
              </w:rPr>
            </w:pPr>
            <w:r>
              <w:rPr>
                <w:rFonts w:hint="default" w:ascii="Calibri" w:hAnsi="Calibri" w:eastAsia="宋体" w:cs="宋体"/>
                <w:szCs w:val="21"/>
              </w:rPr>
              <w:t>表中坐标以厂界中心（84.3068503，41.8108217）为坐标原点，正东向为X轴正方向，正北向为Y轴正方向。</w:t>
            </w:r>
            <w:r>
              <w:rPr>
                <w:rFonts w:hint="eastAsia" w:ascii="Calibri" w:hAnsi="Calibri" w:eastAsia="宋体" w:cs="宋体"/>
                <w:szCs w:val="21"/>
                <w:lang w:val="en-US" w:eastAsia="zh-CN"/>
              </w:rPr>
              <w:t>夜间不生产。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kern w:val="0"/>
                <w:sz w:val="24"/>
              </w:rPr>
            </w:pPr>
            <w:r>
              <w:rPr>
                <w:rFonts w:hint="eastAsia"/>
                <w:kern w:val="0"/>
                <w:sz w:val="24"/>
              </w:rPr>
              <w:t>由上表可知，正常工况下，项目厂界噪声满足《工业企业厂界环境噪声排放标准》（GB12348—2008）</w:t>
            </w:r>
            <w:r>
              <w:rPr>
                <w:rFonts w:hint="eastAsia"/>
                <w:kern w:val="0"/>
                <w:sz w:val="24"/>
                <w:lang w:val="en-US" w:eastAsia="zh-CN"/>
              </w:rPr>
              <w:t>2</w:t>
            </w:r>
            <w:r>
              <w:rPr>
                <w:rFonts w:hint="eastAsia"/>
                <w:kern w:val="0"/>
                <w:sz w:val="24"/>
              </w:rPr>
              <w:t>类标准</w:t>
            </w:r>
            <w:r>
              <w:rPr>
                <w:kern w:val="0"/>
                <w:sz w:val="24"/>
              </w:rPr>
              <w:t>。</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为了进一步减少本项目噪声对周围声环境的影响，本项目拟采取下述噪声防治措施：</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fldChar w:fldCharType="begin"/>
            </w:r>
            <w:r>
              <w:rPr>
                <w:rFonts w:hint="eastAsia" w:ascii="Times New Roman" w:hAnsi="Times New Roman" w:eastAsia="宋体" w:cs="Times New Roman"/>
                <w:sz w:val="24"/>
              </w:rPr>
              <w:instrText xml:space="preserve"> = 1 \* GB3 \* MERGEFORMAT </w:instrText>
            </w:r>
            <w:r>
              <w:rPr>
                <w:rFonts w:hint="eastAsia" w:ascii="Times New Roman" w:hAnsi="Times New Roman" w:eastAsia="宋体" w:cs="Times New Roman"/>
                <w:sz w:val="24"/>
              </w:rPr>
              <w:fldChar w:fldCharType="separate"/>
            </w:r>
            <w:r>
              <w:rPr>
                <w:rFonts w:hint="eastAsia" w:ascii="Times New Roman" w:hAnsi="Times New Roman" w:eastAsia="宋体" w:cs="Times New Roman"/>
                <w:sz w:val="24"/>
              </w:rPr>
              <w:t>①</w:t>
            </w:r>
            <w:r>
              <w:rPr>
                <w:rFonts w:hint="eastAsia" w:ascii="Times New Roman" w:hAnsi="Times New Roman" w:eastAsia="宋体" w:cs="Times New Roman"/>
                <w:sz w:val="24"/>
              </w:rPr>
              <w:fldChar w:fldCharType="end"/>
            </w:r>
            <w:r>
              <w:rPr>
                <w:rFonts w:hint="eastAsia" w:ascii="Times New Roman" w:hAnsi="Times New Roman" w:eastAsia="宋体" w:cs="Times New Roman"/>
                <w:sz w:val="24"/>
              </w:rPr>
              <w:t>选用技术先进、低噪声机械设备；合理布局，使高噪声设备尽量远离厂界；</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b/>
                <w:bCs/>
                <w:sz w:val="24"/>
              </w:rPr>
            </w:pPr>
            <w:r>
              <w:rPr>
                <w:kern w:val="24"/>
                <w:sz w:val="24"/>
              </w:rPr>
              <w:t>②在设备运行时，加强设备的维修与日常保养，使之正常运转，特别是对高噪声设备</w:t>
            </w:r>
            <w:r>
              <w:rPr>
                <w:rFonts w:hint="eastAsia"/>
                <w:kern w:val="24"/>
                <w:sz w:val="24"/>
                <w:lang w:eastAsia="zh-CN"/>
              </w:rPr>
              <w:t>需</w:t>
            </w:r>
            <w:r>
              <w:rPr>
                <w:kern w:val="24"/>
                <w:sz w:val="24"/>
              </w:rPr>
              <w:t>经常定期</w:t>
            </w:r>
            <w:r>
              <w:rPr>
                <w:rFonts w:hint="eastAsia"/>
                <w:kern w:val="24"/>
                <w:sz w:val="24"/>
                <w:lang w:eastAsia="zh-CN"/>
              </w:rPr>
              <w:t>地</w:t>
            </w:r>
            <w:r>
              <w:rPr>
                <w:kern w:val="24"/>
                <w:sz w:val="24"/>
              </w:rPr>
              <w:t>进行检修</w:t>
            </w:r>
            <w:r>
              <w:rPr>
                <w:rFonts w:hint="eastAsia"/>
                <w:kern w:val="24"/>
                <w:sz w:val="24"/>
                <w:lang w:eastAsia="zh-CN"/>
              </w:rPr>
              <w:t>。</w:t>
            </w:r>
          </w:p>
          <w:bookmarkEnd w:id="23"/>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hint="eastAsia"/>
                <w:b/>
                <w:bCs/>
                <w:sz w:val="24"/>
              </w:rPr>
            </w:pPr>
            <w:r>
              <w:rPr>
                <w:rFonts w:hint="eastAsia"/>
                <w:b/>
                <w:bCs/>
                <w:sz w:val="24"/>
                <w:lang w:eastAsia="zh-CN"/>
              </w:rPr>
              <w:t>3.</w:t>
            </w:r>
            <w:r>
              <w:rPr>
                <w:rFonts w:hint="eastAsia"/>
                <w:b/>
                <w:bCs/>
                <w:sz w:val="24"/>
              </w:rPr>
              <w:t>监测要求</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sz w:val="24"/>
              </w:rPr>
            </w:pPr>
            <w:r>
              <w:rPr>
                <w:rFonts w:hint="eastAsia"/>
                <w:sz w:val="24"/>
              </w:rPr>
              <w:t>参照《排污单位自行监测技术指南 总则》（HJ819-2017）</w:t>
            </w:r>
            <w:r>
              <w:rPr>
                <w:bCs/>
                <w:spacing w:val="-10"/>
                <w:sz w:val="24"/>
              </w:rPr>
              <w:t>以及</w:t>
            </w:r>
            <w:r>
              <w:rPr>
                <w:sz w:val="24"/>
              </w:rPr>
              <w:t>《排污许可证申请与核发技术规范 石墨及其他非金属矿物制品制造》（HJ1119-2020）</w:t>
            </w:r>
            <w:r>
              <w:rPr>
                <w:rFonts w:hint="eastAsia"/>
                <w:sz w:val="24"/>
              </w:rPr>
              <w:t>的相关要求，本项目噪声监测计划见</w:t>
            </w:r>
            <w:r>
              <w:rPr>
                <w:rFonts w:hint="eastAsia"/>
                <w:sz w:val="24"/>
                <w:lang w:eastAsia="zh-CN"/>
              </w:rPr>
              <w:t>表</w:t>
            </w:r>
            <w:r>
              <w:rPr>
                <w:rFonts w:hint="eastAsia"/>
                <w:sz w:val="24"/>
                <w:lang w:val="en-US" w:eastAsia="zh-CN"/>
              </w:rPr>
              <w:t>4-8</w:t>
            </w:r>
            <w:r>
              <w:rPr>
                <w:rFonts w:hint="eastAsia"/>
                <w:sz w:val="24"/>
              </w:rPr>
              <w:t>。</w:t>
            </w:r>
          </w:p>
          <w:p>
            <w:pPr>
              <w:keepNext w:val="0"/>
              <w:keepLines w:val="0"/>
              <w:pageBreakBefore w:val="0"/>
              <w:widowControl w:val="0"/>
              <w:kinsoku/>
              <w:wordWrap/>
              <w:overflowPunct/>
              <w:topLinePunct w:val="0"/>
              <w:autoSpaceDE/>
              <w:autoSpaceDN/>
              <w:bidi w:val="0"/>
              <w:spacing w:line="520" w:lineRule="exact"/>
              <w:jc w:val="center"/>
              <w:textAlignment w:val="auto"/>
              <w:rPr>
                <w:b/>
                <w:bCs/>
                <w:sz w:val="24"/>
              </w:rPr>
            </w:pPr>
            <w:r>
              <w:rPr>
                <w:b/>
                <w:bCs/>
                <w:sz w:val="24"/>
              </w:rPr>
              <w:t>表</w:t>
            </w:r>
            <w:r>
              <w:rPr>
                <w:rFonts w:hint="eastAsia"/>
                <w:b/>
                <w:bCs/>
                <w:sz w:val="24"/>
                <w:lang w:val="en-US" w:eastAsia="zh-CN"/>
              </w:rPr>
              <w:t xml:space="preserve">4-8 </w:t>
            </w:r>
            <w:r>
              <w:rPr>
                <w:rFonts w:hint="eastAsia"/>
                <w:b/>
                <w:bCs/>
                <w:sz w:val="24"/>
              </w:rPr>
              <w:t xml:space="preserve"> </w:t>
            </w:r>
            <w:r>
              <w:rPr>
                <w:b/>
                <w:bCs/>
                <w:sz w:val="24"/>
              </w:rPr>
              <w:t xml:space="preserve"> </w:t>
            </w:r>
            <w:r>
              <w:rPr>
                <w:rFonts w:hint="eastAsia"/>
                <w:b/>
                <w:bCs/>
                <w:sz w:val="24"/>
              </w:rPr>
              <w:t>噪声</w:t>
            </w:r>
            <w:r>
              <w:rPr>
                <w:b/>
                <w:bCs/>
                <w:sz w:val="24"/>
              </w:rPr>
              <w:t>环境监测计划</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6"/>
              <w:gridCol w:w="1878"/>
              <w:gridCol w:w="1427"/>
              <w:gridCol w:w="3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1" w:type="pct"/>
                  <w:noWrap w:val="0"/>
                  <w:vAlign w:val="center"/>
                </w:tcPr>
                <w:p>
                  <w:pPr>
                    <w:jc w:val="center"/>
                    <w:rPr>
                      <w:szCs w:val="21"/>
                    </w:rPr>
                  </w:pPr>
                  <w:r>
                    <w:rPr>
                      <w:rFonts w:hint="eastAsia"/>
                      <w:szCs w:val="21"/>
                    </w:rPr>
                    <w:t>监测点位</w:t>
                  </w:r>
                </w:p>
              </w:tc>
              <w:tc>
                <w:tcPr>
                  <w:tcW w:w="1132" w:type="pct"/>
                  <w:noWrap w:val="0"/>
                  <w:vAlign w:val="center"/>
                </w:tcPr>
                <w:p>
                  <w:pPr>
                    <w:jc w:val="center"/>
                    <w:rPr>
                      <w:szCs w:val="21"/>
                    </w:rPr>
                  </w:pPr>
                  <w:r>
                    <w:rPr>
                      <w:rFonts w:hint="eastAsia"/>
                      <w:szCs w:val="21"/>
                    </w:rPr>
                    <w:t>监测项目</w:t>
                  </w:r>
                </w:p>
              </w:tc>
              <w:tc>
                <w:tcPr>
                  <w:tcW w:w="860" w:type="pct"/>
                  <w:noWrap w:val="0"/>
                  <w:vAlign w:val="center"/>
                </w:tcPr>
                <w:p>
                  <w:pPr>
                    <w:jc w:val="center"/>
                    <w:rPr>
                      <w:szCs w:val="21"/>
                    </w:rPr>
                  </w:pPr>
                  <w:r>
                    <w:rPr>
                      <w:szCs w:val="21"/>
                    </w:rPr>
                    <w:t>监测频次</w:t>
                  </w:r>
                </w:p>
              </w:tc>
              <w:tc>
                <w:tcPr>
                  <w:tcW w:w="1876" w:type="pct"/>
                  <w:noWrap w:val="0"/>
                  <w:vAlign w:val="center"/>
                </w:tcPr>
                <w:p>
                  <w:pPr>
                    <w:jc w:val="center"/>
                    <w:rPr>
                      <w:szCs w:val="21"/>
                    </w:rPr>
                  </w:pPr>
                  <w:r>
                    <w:rPr>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1" w:type="pct"/>
                  <w:noWrap w:val="0"/>
                  <w:vAlign w:val="center"/>
                </w:tcPr>
                <w:p>
                  <w:pPr>
                    <w:jc w:val="center"/>
                    <w:rPr>
                      <w:szCs w:val="21"/>
                    </w:rPr>
                  </w:pPr>
                  <w:r>
                    <w:rPr>
                      <w:rFonts w:hint="eastAsia"/>
                      <w:szCs w:val="21"/>
                    </w:rPr>
                    <w:t>厂界外1米</w:t>
                  </w:r>
                </w:p>
              </w:tc>
              <w:tc>
                <w:tcPr>
                  <w:tcW w:w="1132" w:type="pct"/>
                  <w:noWrap w:val="0"/>
                  <w:vAlign w:val="center"/>
                </w:tcPr>
                <w:p>
                  <w:pPr>
                    <w:jc w:val="center"/>
                    <w:rPr>
                      <w:szCs w:val="21"/>
                    </w:rPr>
                  </w:pPr>
                  <w:r>
                    <w:rPr>
                      <w:rFonts w:hint="eastAsia"/>
                      <w:szCs w:val="21"/>
                    </w:rPr>
                    <w:t>连续等效A声级</w:t>
                  </w:r>
                </w:p>
              </w:tc>
              <w:tc>
                <w:tcPr>
                  <w:tcW w:w="860" w:type="pct"/>
                  <w:noWrap w:val="0"/>
                  <w:vAlign w:val="center"/>
                </w:tcPr>
                <w:p>
                  <w:pPr>
                    <w:jc w:val="center"/>
                    <w:rPr>
                      <w:szCs w:val="21"/>
                    </w:rPr>
                  </w:pPr>
                  <w:r>
                    <w:rPr>
                      <w:szCs w:val="21"/>
                    </w:rPr>
                    <w:t>1次/</w:t>
                  </w:r>
                  <w:r>
                    <w:rPr>
                      <w:rFonts w:hint="eastAsia"/>
                      <w:szCs w:val="21"/>
                    </w:rPr>
                    <w:t>季度</w:t>
                  </w:r>
                </w:p>
              </w:tc>
              <w:tc>
                <w:tcPr>
                  <w:tcW w:w="1876" w:type="pct"/>
                  <w:noWrap w:val="0"/>
                  <w:vAlign w:val="center"/>
                </w:tcPr>
                <w:p>
                  <w:pPr>
                    <w:jc w:val="center"/>
                    <w:rPr>
                      <w:szCs w:val="21"/>
                    </w:rPr>
                  </w:pPr>
                  <w:r>
                    <w:rPr>
                      <w:kern w:val="0"/>
                      <w:szCs w:val="21"/>
                    </w:rPr>
                    <w:t>《工业企业厂界环境噪声排放标准》（GB12348-2008）中</w:t>
                  </w:r>
                  <w:r>
                    <w:rPr>
                      <w:rFonts w:hint="eastAsia"/>
                      <w:kern w:val="0"/>
                      <w:szCs w:val="21"/>
                      <w:lang w:val="en-US" w:eastAsia="zh-CN"/>
                    </w:rPr>
                    <w:t>2</w:t>
                  </w:r>
                  <w:r>
                    <w:rPr>
                      <w:kern w:val="0"/>
                      <w:szCs w:val="21"/>
                    </w:rPr>
                    <w:t>类标准</w:t>
                  </w:r>
                </w:p>
              </w:tc>
            </w:tr>
          </w:tbl>
          <w:p>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hAnsi="宋体" w:cs="宋体"/>
                <w:b/>
                <w:sz w:val="24"/>
              </w:rPr>
            </w:pPr>
            <w:r>
              <w:rPr>
                <w:rFonts w:hint="eastAsia" w:ascii="宋体" w:hAnsi="宋体" w:cs="宋体"/>
                <w:b/>
                <w:sz w:val="24"/>
              </w:rPr>
              <w:t>（四）运营期固体废物环境影响和保护措施</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eastAsia"/>
                <w:b/>
                <w:bCs/>
                <w:sz w:val="24"/>
              </w:rPr>
            </w:pPr>
            <w:r>
              <w:rPr>
                <w:rFonts w:hint="eastAsia"/>
                <w:b/>
                <w:bCs/>
                <w:sz w:val="24"/>
                <w:lang w:eastAsia="zh-CN"/>
              </w:rPr>
              <w:t>1.</w:t>
            </w:r>
            <w:r>
              <w:rPr>
                <w:rFonts w:hint="eastAsia"/>
                <w:b/>
                <w:bCs/>
                <w:sz w:val="24"/>
              </w:rPr>
              <w:t>固体废物产生情况和处置情况</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sz w:val="24"/>
              </w:rPr>
            </w:pPr>
            <w:r>
              <w:rPr>
                <w:sz w:val="24"/>
              </w:rPr>
              <w:t>本项目固体废弃物主要来源有除尘系统收集的粉尘、</w:t>
            </w:r>
            <w:r>
              <w:rPr>
                <w:rFonts w:hint="eastAsia"/>
                <w:sz w:val="24"/>
              </w:rPr>
              <w:t>设备生产维护产生的废机油、</w:t>
            </w:r>
            <w:r>
              <w:rPr>
                <w:rFonts w:hint="eastAsia"/>
                <w:sz w:val="24"/>
                <w:lang w:eastAsia="zh-CN"/>
              </w:rPr>
              <w:t>检验</w:t>
            </w:r>
            <w:r>
              <w:rPr>
                <w:sz w:val="24"/>
              </w:rPr>
              <w:t>废混凝土</w:t>
            </w:r>
            <w:r>
              <w:rPr>
                <w:rFonts w:hint="eastAsia"/>
                <w:sz w:val="24"/>
              </w:rPr>
              <w:t>以及</w:t>
            </w:r>
            <w:r>
              <w:rPr>
                <w:sz w:val="24"/>
              </w:rPr>
              <w:t>员工生活垃圾。</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sz w:val="24"/>
              </w:rPr>
            </w:pPr>
            <w:r>
              <w:rPr>
                <w:sz w:val="24"/>
              </w:rPr>
              <w:t>（1）除尘系统收集粉尘</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sz w:val="24"/>
              </w:rPr>
            </w:pPr>
            <w:r>
              <w:rPr>
                <w:sz w:val="24"/>
              </w:rPr>
              <w:t>根</w:t>
            </w:r>
            <w:r>
              <w:rPr>
                <w:color w:val="000000"/>
                <w:sz w:val="24"/>
              </w:rPr>
              <w:t>据前文分析及计算</w:t>
            </w:r>
            <w:r>
              <w:rPr>
                <w:sz w:val="24"/>
              </w:rPr>
              <w:t>，本项目经布袋除尘器收集的粉尘约为</w:t>
            </w:r>
            <w:r>
              <w:rPr>
                <w:rFonts w:hint="eastAsia"/>
                <w:sz w:val="24"/>
                <w:lang w:val="en-US" w:eastAsia="zh-CN"/>
              </w:rPr>
              <w:t>67.072</w:t>
            </w:r>
            <w:r>
              <w:rPr>
                <w:sz w:val="24"/>
              </w:rPr>
              <w:t>t/a。粉尘未被列入《国家危险废物名录》且不具有危险特性的工业固体废物，故判断为一般工业固体废物。</w:t>
            </w:r>
            <w:r>
              <w:rPr>
                <w:rFonts w:hint="eastAsia"/>
                <w:sz w:val="24"/>
                <w:lang w:eastAsia="zh-CN"/>
              </w:rPr>
              <w:t>全部</w:t>
            </w:r>
            <w:r>
              <w:rPr>
                <w:sz w:val="24"/>
              </w:rPr>
              <w:t>作为原料用于生产，不在厂内储存。</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sz w:val="24"/>
              </w:rPr>
            </w:pPr>
            <w:r>
              <w:rPr>
                <w:rFonts w:hint="eastAsia"/>
                <w:sz w:val="24"/>
              </w:rPr>
              <w:t>（2）项目生产设备需要日常维护，根据企业提供资料，</w:t>
            </w:r>
            <w:r>
              <w:rPr>
                <w:rFonts w:hint="eastAsia"/>
                <w:sz w:val="24"/>
                <w:lang w:val="en-US" w:eastAsia="zh-CN"/>
              </w:rPr>
              <w:t>废润滑油</w:t>
            </w:r>
            <w:r>
              <w:rPr>
                <w:rFonts w:hint="eastAsia"/>
                <w:sz w:val="24"/>
              </w:rPr>
              <w:t>产生量约为</w:t>
            </w:r>
            <w:r>
              <w:rPr>
                <w:rFonts w:hint="eastAsia"/>
                <w:sz w:val="24"/>
                <w:lang w:val="en-US" w:eastAsia="zh-CN"/>
              </w:rPr>
              <w:t>0.5</w:t>
            </w:r>
            <w:r>
              <w:rPr>
                <w:rFonts w:hint="eastAsia"/>
                <w:sz w:val="24"/>
              </w:rPr>
              <w:t>t/a</w:t>
            </w:r>
            <w:r>
              <w:rPr>
                <w:rFonts w:hint="eastAsia"/>
                <w:sz w:val="24"/>
                <w:lang w:eastAsia="zh-CN"/>
              </w:rPr>
              <w:t>，</w:t>
            </w:r>
            <w:r>
              <w:rPr>
                <w:rFonts w:hint="eastAsia"/>
                <w:sz w:val="24"/>
                <w:lang w:val="en-US" w:eastAsia="zh-CN"/>
              </w:rPr>
              <w:t>废润滑油桶0.04t/a，废含油抹布、含油手套0.01t/a。</w:t>
            </w:r>
            <w:r>
              <w:rPr>
                <w:rFonts w:hint="eastAsia"/>
                <w:sz w:val="24"/>
              </w:rPr>
              <w:t>暂存于</w:t>
            </w:r>
            <w:r>
              <w:rPr>
                <w:rFonts w:hint="eastAsia"/>
                <w:sz w:val="24"/>
                <w:lang w:eastAsia="zh-CN"/>
              </w:rPr>
              <w:t>危险废物贮存库</w:t>
            </w:r>
            <w:r>
              <w:rPr>
                <w:rFonts w:hint="eastAsia"/>
                <w:sz w:val="24"/>
              </w:rPr>
              <w:t>，由有资质单位回收处置。</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eastAsia="宋体"/>
                <w:sz w:val="24"/>
                <w:lang w:eastAsia="zh-CN"/>
              </w:rPr>
            </w:pPr>
            <w:r>
              <w:rPr>
                <w:rFonts w:hint="eastAsia"/>
                <w:sz w:val="24"/>
                <w:lang w:eastAsia="zh-CN"/>
              </w:rPr>
              <w:t>（</w:t>
            </w:r>
            <w:r>
              <w:rPr>
                <w:rFonts w:hint="eastAsia"/>
                <w:sz w:val="24"/>
                <w:lang w:val="en-US" w:eastAsia="zh-CN"/>
              </w:rPr>
              <w:t>3</w:t>
            </w:r>
            <w:r>
              <w:rPr>
                <w:rFonts w:hint="eastAsia"/>
                <w:sz w:val="24"/>
                <w:lang w:eastAsia="zh-CN"/>
              </w:rPr>
              <w:t>）沉淀池沉渣</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eastAsia="宋体"/>
                <w:sz w:val="24"/>
                <w:lang w:eastAsia="zh-CN"/>
              </w:rPr>
            </w:pPr>
            <w:r>
              <w:rPr>
                <w:rFonts w:hint="eastAsia"/>
                <w:sz w:val="24"/>
              </w:rPr>
              <w:t>项目冲洗后废水经三级沉淀池沉淀处理澄清，沉淀池运行过程中会产生沉淀池沉渣，产生量约为</w:t>
            </w:r>
            <w:r>
              <w:rPr>
                <w:rFonts w:hint="eastAsia"/>
                <w:sz w:val="24"/>
                <w:lang w:val="en-US" w:eastAsia="zh-CN"/>
              </w:rPr>
              <w:t>5</w:t>
            </w:r>
            <w:r>
              <w:rPr>
                <w:rFonts w:hint="eastAsia"/>
                <w:sz w:val="24"/>
              </w:rPr>
              <w:t>t/a。沉淀池沉渣主要成分是含有</w:t>
            </w:r>
            <w:r>
              <w:rPr>
                <w:rFonts w:hint="eastAsia"/>
                <w:sz w:val="24"/>
                <w:lang w:eastAsia="zh-CN"/>
              </w:rPr>
              <w:t>砂子</w:t>
            </w:r>
            <w:r>
              <w:rPr>
                <w:rFonts w:hint="eastAsia"/>
                <w:sz w:val="24"/>
              </w:rPr>
              <w:t>的泥土，</w:t>
            </w:r>
            <w:r>
              <w:rPr>
                <w:rFonts w:hint="eastAsia"/>
                <w:sz w:val="24"/>
                <w:lang w:eastAsia="zh-CN"/>
              </w:rPr>
              <w:t>收集后回用于生产。</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sz w:val="24"/>
              </w:rPr>
            </w:pPr>
            <w:r>
              <w:rPr>
                <w:sz w:val="24"/>
              </w:rPr>
              <w:t>（</w:t>
            </w:r>
            <w:r>
              <w:rPr>
                <w:rFonts w:hint="eastAsia"/>
                <w:sz w:val="24"/>
                <w:lang w:val="en-US" w:eastAsia="zh-CN"/>
              </w:rPr>
              <w:t>4</w:t>
            </w:r>
            <w:r>
              <w:rPr>
                <w:sz w:val="24"/>
              </w:rPr>
              <w:t>）</w:t>
            </w:r>
            <w:r>
              <w:rPr>
                <w:rFonts w:hint="eastAsia"/>
                <w:sz w:val="24"/>
                <w:lang w:eastAsia="zh-CN"/>
              </w:rPr>
              <w:t>检验</w:t>
            </w:r>
            <w:r>
              <w:rPr>
                <w:sz w:val="24"/>
              </w:rPr>
              <w:t>废混凝土</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sz w:val="24"/>
              </w:rPr>
            </w:pPr>
            <w:r>
              <w:rPr>
                <w:sz w:val="24"/>
              </w:rPr>
              <w:t>生产运营期，每批混凝土订单均需测试其性能是否满足订单规格要求，故质检过程中抽取的少量混凝土测试后废弃，形成一般固废。试验混凝土产生量较少，根据建设单位经验资料提供，废混凝土的产生量约</w:t>
            </w:r>
            <w:r>
              <w:rPr>
                <w:rFonts w:hint="eastAsia"/>
                <w:sz w:val="24"/>
                <w:lang w:val="en-US" w:eastAsia="zh-CN"/>
              </w:rPr>
              <w:t>0.5</w:t>
            </w:r>
            <w:r>
              <w:rPr>
                <w:sz w:val="24"/>
              </w:rPr>
              <w:t>t/a，废混凝土</w:t>
            </w:r>
            <w:r>
              <w:rPr>
                <w:rFonts w:hint="eastAsia"/>
                <w:sz w:val="24"/>
              </w:rPr>
              <w:t>收集到</w:t>
            </w:r>
            <w:r>
              <w:rPr>
                <w:rFonts w:hint="eastAsia"/>
                <w:sz w:val="24"/>
                <w:lang w:val="en-US" w:eastAsia="zh-CN"/>
              </w:rPr>
              <w:t>一般固体废物贮存库</w:t>
            </w:r>
            <w:r>
              <w:rPr>
                <w:rFonts w:hint="eastAsia"/>
                <w:sz w:val="24"/>
                <w:lang w:eastAsia="zh-CN"/>
              </w:rPr>
              <w:t>暂存</w:t>
            </w:r>
            <w:r>
              <w:rPr>
                <w:rFonts w:hint="eastAsia"/>
                <w:sz w:val="24"/>
              </w:rPr>
              <w:t>，</w:t>
            </w:r>
            <w:r>
              <w:rPr>
                <w:rFonts w:hint="eastAsia"/>
                <w:sz w:val="24"/>
                <w:lang w:eastAsia="zh-CN"/>
              </w:rPr>
              <w:t>废混凝土由砂石料和水组成，不含有重金属，用于</w:t>
            </w:r>
            <w:r>
              <w:rPr>
                <w:rFonts w:hint="eastAsia"/>
                <w:sz w:val="24"/>
                <w:lang w:val="en-US" w:eastAsia="zh-CN"/>
              </w:rPr>
              <w:t>施工单位</w:t>
            </w:r>
            <w:r>
              <w:rPr>
                <w:rFonts w:hint="eastAsia"/>
                <w:sz w:val="24"/>
                <w:lang w:eastAsia="zh-CN"/>
              </w:rPr>
              <w:t>施工现场便道铺垫</w:t>
            </w:r>
            <w:r>
              <w:rPr>
                <w:sz w:val="24"/>
              </w:rPr>
              <w:t>。</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lang w:eastAsia="zh-CN"/>
              </w:rPr>
              <w:t>）废旧滤袋：布袋除尘器需要定期更换滤袋，产生量约为</w:t>
            </w:r>
            <w:r>
              <w:rPr>
                <w:rFonts w:hint="eastAsia" w:ascii="Times New Roman" w:hAnsi="Times New Roman" w:eastAsia="宋体" w:cs="Times New Roman"/>
                <w:sz w:val="24"/>
                <w:lang w:val="en-US" w:eastAsia="zh-CN"/>
              </w:rPr>
              <w:t>0.1t/2a，</w:t>
            </w:r>
            <w:r>
              <w:rPr>
                <w:rFonts w:hint="eastAsia" w:ascii="Times New Roman" w:hAnsi="Times New Roman" w:eastAsia="宋体" w:cs="Times New Roman"/>
                <w:sz w:val="24"/>
                <w:lang w:eastAsia="zh-CN"/>
              </w:rPr>
              <w:t>一般为1—3年左右更换一次，本环评计</w:t>
            </w:r>
            <w:r>
              <w:rPr>
                <w:rFonts w:hint="eastAsia" w:ascii="Times New Roman" w:hAnsi="Times New Roman" w:eastAsia="宋体" w:cs="Times New Roman"/>
                <w:sz w:val="24"/>
                <w:lang w:val="en-US" w:eastAsia="zh-CN"/>
              </w:rPr>
              <w:t>2年一次，</w:t>
            </w:r>
            <w:r>
              <w:rPr>
                <w:rFonts w:hint="eastAsia" w:ascii="Times New Roman" w:hAnsi="Times New Roman" w:eastAsia="宋体" w:cs="Times New Roman"/>
                <w:sz w:val="24"/>
                <w:lang w:eastAsia="zh-CN"/>
              </w:rPr>
              <w:t>交由厂家回收处置。</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6</w:t>
            </w:r>
            <w:r>
              <w:rPr>
                <w:rFonts w:hint="eastAsia" w:ascii="Times New Roman" w:hAnsi="Times New Roman" w:eastAsia="宋体" w:cs="Times New Roman"/>
                <w:sz w:val="24"/>
                <w:lang w:eastAsia="zh-CN"/>
              </w:rPr>
              <w:t>）生活垃圾：本项目共有职工</w:t>
            </w:r>
            <w:r>
              <w:rPr>
                <w:rFonts w:hint="eastAsia" w:ascii="Times New Roman" w:hAnsi="Times New Roman" w:eastAsia="宋体" w:cs="Times New Roman"/>
                <w:sz w:val="24"/>
                <w:lang w:val="en-US" w:eastAsia="zh-CN"/>
              </w:rPr>
              <w:t>12</w:t>
            </w:r>
            <w:r>
              <w:rPr>
                <w:rFonts w:hint="eastAsia" w:ascii="Times New Roman" w:hAnsi="Times New Roman" w:eastAsia="宋体" w:cs="Times New Roman"/>
                <w:sz w:val="24"/>
                <w:lang w:eastAsia="zh-CN"/>
              </w:rPr>
              <w:t>人，年工作日</w:t>
            </w:r>
            <w:r>
              <w:rPr>
                <w:rFonts w:hint="eastAsia" w:ascii="Times New Roman" w:hAnsi="Times New Roman" w:eastAsia="宋体" w:cs="Times New Roman"/>
                <w:sz w:val="24"/>
                <w:lang w:val="en-US" w:eastAsia="zh-CN"/>
              </w:rPr>
              <w:t>270</w:t>
            </w:r>
            <w:r>
              <w:rPr>
                <w:rFonts w:hint="eastAsia" w:ascii="Times New Roman" w:hAnsi="Times New Roman" w:eastAsia="宋体" w:cs="Times New Roman"/>
                <w:sz w:val="24"/>
                <w:lang w:eastAsia="zh-CN"/>
              </w:rPr>
              <w:t>天，生活垃圾按0.5kg/（人·d）计，则本项目生活垃圾产生量约为</w:t>
            </w:r>
            <w:r>
              <w:rPr>
                <w:rFonts w:hint="eastAsia" w:ascii="Times New Roman" w:hAnsi="Times New Roman" w:eastAsia="宋体" w:cs="Times New Roman"/>
                <w:sz w:val="24"/>
                <w:lang w:val="en-US" w:eastAsia="zh-CN"/>
              </w:rPr>
              <w:t>1.62</w:t>
            </w:r>
            <w:r>
              <w:rPr>
                <w:rFonts w:hint="eastAsia" w:ascii="Times New Roman" w:hAnsi="Times New Roman" w:eastAsia="宋体" w:cs="Times New Roman"/>
                <w:sz w:val="24"/>
                <w:lang w:eastAsia="zh-CN"/>
              </w:rPr>
              <w:t>t/a，集中收集后，由环卫部门统一清运。项目固废产生明细见表</w:t>
            </w:r>
            <w:r>
              <w:rPr>
                <w:rFonts w:hint="eastAsia" w:ascii="Times New Roman" w:hAnsi="Times New Roman" w:eastAsia="宋体" w:cs="Times New Roman"/>
                <w:sz w:val="24"/>
                <w:lang w:val="en-US" w:eastAsia="zh-CN"/>
              </w:rPr>
              <w:t>4-9</w:t>
            </w:r>
            <w:r>
              <w:rPr>
                <w:rFonts w:hint="eastAsia" w:ascii="Times New Roman" w:hAnsi="Times New Roman" w:eastAsia="宋体" w:cs="Times New Roman"/>
                <w:sz w:val="24"/>
                <w:lang w:eastAsia="zh-CN"/>
              </w:rPr>
              <w:t>。</w:t>
            </w:r>
          </w:p>
          <w:p>
            <w:pPr>
              <w:pStyle w:val="6"/>
              <w:keepNext w:val="0"/>
              <w:keepLines w:val="0"/>
              <w:pageBreakBefore w:val="0"/>
              <w:kinsoku/>
              <w:wordWrap/>
              <w:overflowPunct/>
              <w:topLinePunct w:val="0"/>
              <w:autoSpaceDE/>
              <w:autoSpaceDN/>
              <w:bidi w:val="0"/>
              <w:adjustRightInd/>
              <w:snapToGrid/>
              <w:spacing w:line="520" w:lineRule="exact"/>
              <w:ind w:firstLine="477" w:firstLineChars="190"/>
              <w:contextualSpacing/>
              <w:jc w:val="center"/>
              <w:textAlignment w:val="auto"/>
              <w:rPr>
                <w:rStyle w:val="44"/>
                <w:rFonts w:hint="eastAsia"/>
                <w:szCs w:val="21"/>
              </w:rPr>
            </w:pPr>
            <w:r>
              <w:rPr>
                <w:rStyle w:val="44"/>
                <w:rFonts w:eastAsia="宋体"/>
                <w:sz w:val="24"/>
                <w:szCs w:val="24"/>
              </w:rPr>
              <w:t>表</w:t>
            </w:r>
            <w:r>
              <w:rPr>
                <w:rStyle w:val="44"/>
                <w:rFonts w:hint="eastAsia" w:eastAsia="宋体"/>
                <w:sz w:val="24"/>
                <w:szCs w:val="24"/>
                <w:lang w:val="en-US" w:eastAsia="zh-CN"/>
              </w:rPr>
              <w:t xml:space="preserve">4-9 </w:t>
            </w:r>
            <w:r>
              <w:rPr>
                <w:rStyle w:val="44"/>
                <w:rFonts w:eastAsia="宋体"/>
                <w:sz w:val="24"/>
                <w:szCs w:val="24"/>
              </w:rPr>
              <w:t xml:space="preserve">  项目</w:t>
            </w:r>
            <w:r>
              <w:rPr>
                <w:rStyle w:val="44"/>
                <w:rFonts w:hint="eastAsia" w:eastAsia="宋体"/>
                <w:sz w:val="24"/>
                <w:szCs w:val="24"/>
              </w:rPr>
              <w:t>固体废物产生情况</w:t>
            </w:r>
            <w:r>
              <w:rPr>
                <w:rStyle w:val="44"/>
                <w:rFonts w:eastAsia="宋体"/>
                <w:sz w:val="24"/>
                <w:szCs w:val="24"/>
              </w:rPr>
              <w:t>明细</w:t>
            </w:r>
          </w:p>
          <w:tbl>
            <w:tblPr>
              <w:tblStyle w:val="21"/>
              <w:tblW w:w="486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56"/>
              <w:gridCol w:w="1258"/>
              <w:gridCol w:w="1006"/>
              <w:gridCol w:w="1164"/>
              <w:gridCol w:w="1141"/>
              <w:gridCol w:w="1444"/>
              <w:gridCol w:w="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3" w:type="pct"/>
                <w:trHeight w:val="340" w:hRule="atLeast"/>
                <w:jc w:val="center"/>
              </w:trPr>
              <w:tc>
                <w:tcPr>
                  <w:tcW w:w="1273" w:type="pct"/>
                  <w:noWrap w:val="0"/>
                  <w:vAlign w:val="center"/>
                </w:tcPr>
                <w:p>
                  <w:pPr>
                    <w:jc w:val="center"/>
                    <w:rPr>
                      <w:color w:val="000000"/>
                      <w:szCs w:val="21"/>
                    </w:rPr>
                  </w:pPr>
                  <w:r>
                    <w:rPr>
                      <w:color w:val="000000"/>
                      <w:szCs w:val="21"/>
                    </w:rPr>
                    <w:t>类型</w:t>
                  </w:r>
                </w:p>
              </w:tc>
              <w:tc>
                <w:tcPr>
                  <w:tcW w:w="778" w:type="pct"/>
                  <w:noWrap w:val="0"/>
                  <w:vAlign w:val="center"/>
                </w:tcPr>
                <w:p>
                  <w:pPr>
                    <w:jc w:val="center"/>
                    <w:rPr>
                      <w:rFonts w:hint="eastAsia"/>
                      <w:color w:val="000000"/>
                      <w:szCs w:val="21"/>
                    </w:rPr>
                  </w:pPr>
                  <w:r>
                    <w:rPr>
                      <w:rFonts w:hint="eastAsia"/>
                      <w:color w:val="000000"/>
                      <w:szCs w:val="21"/>
                    </w:rPr>
                    <w:t>固废类别</w:t>
                  </w:r>
                </w:p>
              </w:tc>
              <w:tc>
                <w:tcPr>
                  <w:tcW w:w="622" w:type="pct"/>
                  <w:noWrap w:val="0"/>
                  <w:vAlign w:val="center"/>
                </w:tcPr>
                <w:p>
                  <w:pPr>
                    <w:jc w:val="center"/>
                    <w:rPr>
                      <w:rFonts w:hint="eastAsia"/>
                      <w:color w:val="000000"/>
                      <w:szCs w:val="21"/>
                    </w:rPr>
                  </w:pPr>
                  <w:r>
                    <w:rPr>
                      <w:rFonts w:hint="eastAsia"/>
                      <w:color w:val="000000"/>
                      <w:szCs w:val="21"/>
                    </w:rPr>
                    <w:t>废物类别</w:t>
                  </w:r>
                </w:p>
              </w:tc>
              <w:tc>
                <w:tcPr>
                  <w:tcW w:w="720" w:type="pct"/>
                  <w:noWrap w:val="0"/>
                  <w:vAlign w:val="center"/>
                </w:tcPr>
                <w:p>
                  <w:pPr>
                    <w:jc w:val="center"/>
                    <w:rPr>
                      <w:color w:val="000000"/>
                      <w:szCs w:val="21"/>
                    </w:rPr>
                  </w:pPr>
                  <w:r>
                    <w:rPr>
                      <w:rFonts w:hint="eastAsia"/>
                      <w:color w:val="000000"/>
                      <w:szCs w:val="21"/>
                    </w:rPr>
                    <w:t>废物代码</w:t>
                  </w:r>
                </w:p>
              </w:tc>
              <w:tc>
                <w:tcPr>
                  <w:tcW w:w="706" w:type="pct"/>
                  <w:noWrap w:val="0"/>
                  <w:vAlign w:val="center"/>
                </w:tcPr>
                <w:p>
                  <w:pPr>
                    <w:jc w:val="center"/>
                    <w:rPr>
                      <w:color w:val="000000"/>
                      <w:szCs w:val="21"/>
                    </w:rPr>
                  </w:pPr>
                  <w:r>
                    <w:rPr>
                      <w:color w:val="000000"/>
                      <w:szCs w:val="21"/>
                    </w:rPr>
                    <w:t>产生量（</w:t>
                  </w:r>
                  <w:r>
                    <w:rPr>
                      <w:rFonts w:hint="eastAsia"/>
                      <w:color w:val="000000"/>
                      <w:szCs w:val="21"/>
                    </w:rPr>
                    <w:t>t</w:t>
                  </w:r>
                  <w:r>
                    <w:rPr>
                      <w:color w:val="000000"/>
                      <w:szCs w:val="21"/>
                    </w:rPr>
                    <w:t>/a）</w:t>
                  </w:r>
                </w:p>
              </w:tc>
              <w:tc>
                <w:tcPr>
                  <w:tcW w:w="894" w:type="pct"/>
                  <w:noWrap w:val="0"/>
                  <w:vAlign w:val="center"/>
                </w:tcPr>
                <w:p>
                  <w:pPr>
                    <w:jc w:val="center"/>
                    <w:rPr>
                      <w:rFonts w:hint="eastAsia"/>
                      <w:color w:val="000000"/>
                      <w:szCs w:val="21"/>
                    </w:rPr>
                  </w:pPr>
                  <w:r>
                    <w:rPr>
                      <w:rFonts w:hint="eastAsia"/>
                      <w:color w:val="000000"/>
                      <w:szCs w:val="21"/>
                    </w:rPr>
                    <w:t>去向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 w:type="pct"/>
                <w:trHeight w:val="90" w:hRule="atLeast"/>
                <w:jc w:val="center"/>
              </w:trPr>
              <w:tc>
                <w:tcPr>
                  <w:tcW w:w="1273" w:type="pct"/>
                  <w:noWrap w:val="0"/>
                  <w:vAlign w:val="center"/>
                </w:tcPr>
                <w:p>
                  <w:pPr>
                    <w:jc w:val="center"/>
                    <w:rPr>
                      <w:rFonts w:hint="eastAsia"/>
                      <w:color w:val="000000"/>
                      <w:szCs w:val="21"/>
                    </w:rPr>
                  </w:pPr>
                  <w:r>
                    <w:rPr>
                      <w:rFonts w:hint="eastAsia"/>
                      <w:szCs w:val="21"/>
                    </w:rPr>
                    <w:t>除尘系统收集粉尘</w:t>
                  </w:r>
                </w:p>
              </w:tc>
              <w:tc>
                <w:tcPr>
                  <w:tcW w:w="778" w:type="pct"/>
                  <w:vMerge w:val="restart"/>
                  <w:noWrap w:val="0"/>
                  <w:vAlign w:val="center"/>
                </w:tcPr>
                <w:p>
                  <w:pPr>
                    <w:jc w:val="center"/>
                    <w:rPr>
                      <w:rFonts w:hint="eastAsia"/>
                      <w:color w:val="000000"/>
                      <w:szCs w:val="21"/>
                    </w:rPr>
                  </w:pPr>
                  <w:r>
                    <w:rPr>
                      <w:rFonts w:hint="eastAsia"/>
                      <w:color w:val="000000"/>
                      <w:szCs w:val="21"/>
                    </w:rPr>
                    <w:t>一般固废</w:t>
                  </w:r>
                </w:p>
              </w:tc>
              <w:tc>
                <w:tcPr>
                  <w:tcW w:w="622" w:type="pct"/>
                  <w:noWrap w:val="0"/>
                  <w:vAlign w:val="center"/>
                </w:tcPr>
                <w:p>
                  <w:pPr>
                    <w:jc w:val="center"/>
                    <w:rPr>
                      <w:color w:val="000000"/>
                      <w:szCs w:val="21"/>
                    </w:rPr>
                  </w:pPr>
                  <w:r>
                    <w:rPr>
                      <w:rFonts w:hint="eastAsia" w:cs="Times New Roman"/>
                      <w:color w:val="000000"/>
                      <w:sz w:val="21"/>
                      <w:szCs w:val="21"/>
                      <w:highlight w:val="none"/>
                      <w:lang w:val="en-US" w:eastAsia="zh-CN"/>
                    </w:rPr>
                    <w:t>工业粉尘66</w:t>
                  </w:r>
                </w:p>
              </w:tc>
              <w:tc>
                <w:tcPr>
                  <w:tcW w:w="720" w:type="pct"/>
                  <w:noWrap w:val="0"/>
                  <w:vAlign w:val="center"/>
                </w:tcPr>
                <w:p>
                  <w:pPr>
                    <w:jc w:val="center"/>
                    <w:rPr>
                      <w:rFonts w:hint="eastAsia"/>
                      <w:color w:val="000000"/>
                      <w:szCs w:val="21"/>
                    </w:rPr>
                  </w:pPr>
                  <w:r>
                    <w:rPr>
                      <w:rFonts w:hint="eastAsia" w:cs="Times New Roman"/>
                      <w:color w:val="000000"/>
                      <w:sz w:val="21"/>
                      <w:szCs w:val="21"/>
                      <w:highlight w:val="none"/>
                      <w:lang w:val="en-US" w:eastAsia="zh-CN"/>
                    </w:rPr>
                    <w:t>900-999-66</w:t>
                  </w:r>
                </w:p>
              </w:tc>
              <w:tc>
                <w:tcPr>
                  <w:tcW w:w="706" w:type="pct"/>
                  <w:noWrap w:val="0"/>
                  <w:vAlign w:val="center"/>
                </w:tcPr>
                <w:p>
                  <w:pPr>
                    <w:jc w:val="center"/>
                    <w:rPr>
                      <w:rFonts w:hint="default" w:eastAsia="宋体"/>
                      <w:color w:val="000000"/>
                      <w:szCs w:val="21"/>
                      <w:lang w:val="en-US" w:eastAsia="zh-CN"/>
                    </w:rPr>
                  </w:pPr>
                  <w:r>
                    <w:rPr>
                      <w:rFonts w:hint="eastAsia" w:eastAsia="宋体"/>
                      <w:color w:val="000000"/>
                      <w:szCs w:val="21"/>
                      <w:lang w:val="en-US" w:eastAsia="zh-CN"/>
                    </w:rPr>
                    <w:t>67.072</w:t>
                  </w:r>
                </w:p>
              </w:tc>
              <w:tc>
                <w:tcPr>
                  <w:tcW w:w="894" w:type="pct"/>
                  <w:noWrap w:val="0"/>
                  <w:vAlign w:val="center"/>
                </w:tcPr>
                <w:p>
                  <w:pPr>
                    <w:jc w:val="center"/>
                    <w:rPr>
                      <w:rFonts w:hint="eastAsia"/>
                      <w:color w:val="000000"/>
                      <w:szCs w:val="21"/>
                    </w:rPr>
                  </w:pPr>
                  <w:r>
                    <w:rPr>
                      <w:rFonts w:hint="eastAsia"/>
                      <w:color w:val="000000"/>
                      <w:szCs w:val="21"/>
                    </w:rPr>
                    <w:t>回作为原料用于生产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3" w:type="pct"/>
                <w:trHeight w:val="340" w:hRule="atLeast"/>
                <w:jc w:val="center"/>
              </w:trPr>
              <w:tc>
                <w:tcPr>
                  <w:tcW w:w="1273" w:type="pct"/>
                  <w:noWrap w:val="0"/>
                  <w:vAlign w:val="center"/>
                </w:tcPr>
                <w:p>
                  <w:pPr>
                    <w:jc w:val="center"/>
                    <w:rPr>
                      <w:rFonts w:hint="eastAsia" w:eastAsia="宋体"/>
                      <w:szCs w:val="21"/>
                      <w:lang w:eastAsia="zh-CN"/>
                    </w:rPr>
                  </w:pPr>
                  <w:r>
                    <w:rPr>
                      <w:rFonts w:hint="eastAsia"/>
                      <w:szCs w:val="21"/>
                      <w:lang w:eastAsia="zh-CN"/>
                    </w:rPr>
                    <w:t>废旧滤袋</w:t>
                  </w:r>
                </w:p>
              </w:tc>
              <w:tc>
                <w:tcPr>
                  <w:tcW w:w="778" w:type="pct"/>
                  <w:vMerge w:val="continue"/>
                  <w:noWrap w:val="0"/>
                  <w:vAlign w:val="center"/>
                </w:tcPr>
                <w:p>
                  <w:pPr>
                    <w:jc w:val="center"/>
                    <w:rPr>
                      <w:rFonts w:hint="eastAsia"/>
                      <w:color w:val="000000"/>
                      <w:szCs w:val="21"/>
                    </w:rPr>
                  </w:pPr>
                </w:p>
              </w:tc>
              <w:tc>
                <w:tcPr>
                  <w:tcW w:w="622" w:type="pct"/>
                  <w:noWrap w:val="0"/>
                  <w:vAlign w:val="center"/>
                </w:tcPr>
                <w:p>
                  <w:pPr>
                    <w:jc w:val="center"/>
                    <w:rPr>
                      <w:rFonts w:hint="eastAsia"/>
                      <w:color w:val="000000"/>
                      <w:szCs w:val="21"/>
                    </w:rPr>
                  </w:pPr>
                  <w:r>
                    <w:rPr>
                      <w:rFonts w:hint="eastAsia" w:cs="Times New Roman"/>
                      <w:color w:val="000000"/>
                      <w:sz w:val="21"/>
                      <w:szCs w:val="21"/>
                      <w:highlight w:val="none"/>
                      <w:lang w:val="en-US" w:eastAsia="zh-CN"/>
                    </w:rPr>
                    <w:t>其他废物99</w:t>
                  </w:r>
                </w:p>
              </w:tc>
              <w:tc>
                <w:tcPr>
                  <w:tcW w:w="720" w:type="pct"/>
                  <w:noWrap w:val="0"/>
                  <w:vAlign w:val="center"/>
                </w:tcPr>
                <w:p>
                  <w:pPr>
                    <w:jc w:val="center"/>
                    <w:rPr>
                      <w:rFonts w:hint="eastAsia"/>
                      <w:color w:val="000000"/>
                      <w:szCs w:val="21"/>
                    </w:rPr>
                  </w:pPr>
                  <w:r>
                    <w:rPr>
                      <w:rFonts w:hint="eastAsia" w:cs="Times New Roman"/>
                      <w:color w:val="000000"/>
                      <w:sz w:val="21"/>
                      <w:szCs w:val="21"/>
                      <w:highlight w:val="none"/>
                      <w:lang w:val="en-US" w:eastAsia="zh-CN"/>
                    </w:rPr>
                    <w:t>900-999-99</w:t>
                  </w:r>
                </w:p>
              </w:tc>
              <w:tc>
                <w:tcPr>
                  <w:tcW w:w="706" w:type="pct"/>
                  <w:noWrap w:val="0"/>
                  <w:vAlign w:val="center"/>
                </w:tcPr>
                <w:p>
                  <w:pPr>
                    <w:jc w:val="center"/>
                    <w:rPr>
                      <w:rFonts w:hint="default" w:eastAsia="宋体"/>
                      <w:color w:val="000000"/>
                      <w:szCs w:val="21"/>
                      <w:lang w:val="en-US" w:eastAsia="zh-CN"/>
                    </w:rPr>
                  </w:pPr>
                  <w:r>
                    <w:rPr>
                      <w:rFonts w:hint="eastAsia" w:eastAsia="宋体"/>
                      <w:color w:val="000000"/>
                      <w:szCs w:val="21"/>
                      <w:lang w:val="en-US" w:eastAsia="zh-CN"/>
                    </w:rPr>
                    <w:t>0.05t/a</w:t>
                  </w:r>
                </w:p>
              </w:tc>
              <w:tc>
                <w:tcPr>
                  <w:tcW w:w="894" w:type="pct"/>
                  <w:noWrap w:val="0"/>
                  <w:vAlign w:val="center"/>
                </w:tcPr>
                <w:p>
                  <w:pPr>
                    <w:jc w:val="center"/>
                    <w:rPr>
                      <w:rFonts w:hint="eastAsia" w:eastAsia="宋体"/>
                      <w:color w:val="000000"/>
                      <w:szCs w:val="21"/>
                      <w:lang w:eastAsia="zh-CN"/>
                    </w:rPr>
                  </w:pPr>
                  <w:r>
                    <w:rPr>
                      <w:rFonts w:hint="eastAsia"/>
                      <w:color w:val="000000"/>
                      <w:szCs w:val="21"/>
                      <w:lang w:eastAsia="zh-CN"/>
                    </w:rPr>
                    <w:t>交由厂家回收处置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3" w:type="pct"/>
                <w:trHeight w:val="340" w:hRule="atLeast"/>
                <w:jc w:val="center"/>
              </w:trPr>
              <w:tc>
                <w:tcPr>
                  <w:tcW w:w="1273" w:type="pct"/>
                  <w:noWrap w:val="0"/>
                  <w:vAlign w:val="center"/>
                </w:tcPr>
                <w:p>
                  <w:pPr>
                    <w:jc w:val="center"/>
                    <w:rPr>
                      <w:rFonts w:hint="eastAsia"/>
                      <w:color w:val="000000"/>
                      <w:szCs w:val="21"/>
                    </w:rPr>
                  </w:pPr>
                  <w:r>
                    <w:rPr>
                      <w:rFonts w:hint="eastAsia"/>
                      <w:color w:val="000000"/>
                      <w:szCs w:val="21"/>
                      <w:lang w:eastAsia="zh-CN"/>
                    </w:rPr>
                    <w:t>检验</w:t>
                  </w:r>
                  <w:r>
                    <w:rPr>
                      <w:rFonts w:hint="eastAsia"/>
                      <w:color w:val="000000"/>
                      <w:szCs w:val="21"/>
                    </w:rPr>
                    <w:t>废混凝土</w:t>
                  </w:r>
                </w:p>
              </w:tc>
              <w:tc>
                <w:tcPr>
                  <w:tcW w:w="778" w:type="pct"/>
                  <w:vMerge w:val="continue"/>
                  <w:noWrap w:val="0"/>
                  <w:vAlign w:val="center"/>
                </w:tcPr>
                <w:p>
                  <w:pPr>
                    <w:jc w:val="center"/>
                    <w:rPr>
                      <w:rFonts w:hint="eastAsia"/>
                      <w:color w:val="000000"/>
                      <w:szCs w:val="21"/>
                    </w:rPr>
                  </w:pPr>
                </w:p>
              </w:tc>
              <w:tc>
                <w:tcPr>
                  <w:tcW w:w="622" w:type="pct"/>
                  <w:noWrap w:val="0"/>
                  <w:vAlign w:val="center"/>
                </w:tcPr>
                <w:p>
                  <w:pPr>
                    <w:jc w:val="center"/>
                    <w:rPr>
                      <w:rFonts w:hint="eastAsia"/>
                      <w:color w:val="000000"/>
                      <w:szCs w:val="21"/>
                    </w:rPr>
                  </w:pPr>
                  <w:r>
                    <w:rPr>
                      <w:rFonts w:hint="eastAsia" w:cs="Times New Roman"/>
                      <w:color w:val="000000"/>
                      <w:sz w:val="21"/>
                      <w:szCs w:val="21"/>
                      <w:highlight w:val="none"/>
                      <w:lang w:val="en-US" w:eastAsia="zh-CN"/>
                    </w:rPr>
                    <w:t>其他废物99</w:t>
                  </w:r>
                </w:p>
              </w:tc>
              <w:tc>
                <w:tcPr>
                  <w:tcW w:w="720" w:type="pct"/>
                  <w:noWrap w:val="0"/>
                  <w:vAlign w:val="center"/>
                </w:tcPr>
                <w:p>
                  <w:pPr>
                    <w:jc w:val="center"/>
                    <w:rPr>
                      <w:rFonts w:hint="eastAsia"/>
                      <w:color w:val="000000"/>
                      <w:szCs w:val="21"/>
                    </w:rPr>
                  </w:pPr>
                  <w:r>
                    <w:rPr>
                      <w:rFonts w:hint="eastAsia" w:cs="Times New Roman"/>
                      <w:color w:val="000000"/>
                      <w:sz w:val="21"/>
                      <w:szCs w:val="21"/>
                      <w:highlight w:val="none"/>
                      <w:lang w:val="en-US" w:eastAsia="zh-CN"/>
                    </w:rPr>
                    <w:t>900-999-99</w:t>
                  </w:r>
                </w:p>
              </w:tc>
              <w:tc>
                <w:tcPr>
                  <w:tcW w:w="706" w:type="pct"/>
                  <w:noWrap w:val="0"/>
                  <w:vAlign w:val="center"/>
                </w:tcPr>
                <w:p>
                  <w:pPr>
                    <w:jc w:val="center"/>
                    <w:rPr>
                      <w:rFonts w:hint="default" w:eastAsia="宋体"/>
                      <w:color w:val="000000"/>
                      <w:szCs w:val="21"/>
                      <w:lang w:val="en-US" w:eastAsia="zh-CN"/>
                    </w:rPr>
                  </w:pPr>
                  <w:r>
                    <w:rPr>
                      <w:rFonts w:hint="eastAsia"/>
                      <w:color w:val="000000"/>
                      <w:szCs w:val="21"/>
                      <w:lang w:val="en-US" w:eastAsia="zh-CN"/>
                    </w:rPr>
                    <w:t>0.5</w:t>
                  </w:r>
                </w:p>
              </w:tc>
              <w:tc>
                <w:tcPr>
                  <w:tcW w:w="894" w:type="pct"/>
                  <w:noWrap w:val="0"/>
                  <w:vAlign w:val="center"/>
                </w:tcPr>
                <w:p>
                  <w:pPr>
                    <w:jc w:val="center"/>
                    <w:rPr>
                      <w:rFonts w:hint="eastAsia" w:eastAsia="宋体"/>
                      <w:color w:val="000000"/>
                      <w:szCs w:val="21"/>
                      <w:lang w:eastAsia="zh-CN"/>
                    </w:rPr>
                  </w:pPr>
                  <w:r>
                    <w:rPr>
                      <w:rFonts w:hint="eastAsia" w:eastAsia="宋体"/>
                      <w:color w:val="000000"/>
                      <w:szCs w:val="21"/>
                      <w:lang w:eastAsia="zh-CN"/>
                    </w:rPr>
                    <w:t>用于</w:t>
                  </w:r>
                  <w:r>
                    <w:rPr>
                      <w:rFonts w:hint="eastAsia" w:eastAsia="宋体"/>
                      <w:color w:val="000000"/>
                      <w:szCs w:val="21"/>
                      <w:lang w:val="en-US" w:eastAsia="zh-CN"/>
                    </w:rPr>
                    <w:t>施工单位</w:t>
                  </w:r>
                  <w:r>
                    <w:rPr>
                      <w:rFonts w:hint="eastAsia" w:eastAsia="宋体"/>
                      <w:color w:val="000000"/>
                      <w:szCs w:val="21"/>
                      <w:lang w:eastAsia="zh-CN"/>
                    </w:rPr>
                    <w:t>施工现场便道铺垫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 w:type="pct"/>
                <w:trHeight w:val="340" w:hRule="atLeast"/>
                <w:jc w:val="center"/>
              </w:trPr>
              <w:tc>
                <w:tcPr>
                  <w:tcW w:w="1273" w:type="pct"/>
                  <w:noWrap w:val="0"/>
                  <w:vAlign w:val="center"/>
                </w:tcPr>
                <w:p>
                  <w:pPr>
                    <w:jc w:val="center"/>
                    <w:rPr>
                      <w:rFonts w:hint="eastAsia"/>
                      <w:color w:val="000000"/>
                      <w:szCs w:val="21"/>
                      <w:lang w:eastAsia="zh-CN"/>
                    </w:rPr>
                  </w:pPr>
                  <w:r>
                    <w:rPr>
                      <w:rFonts w:hint="eastAsia"/>
                      <w:color w:val="000000"/>
                      <w:szCs w:val="21"/>
                      <w:lang w:eastAsia="zh-CN"/>
                    </w:rPr>
                    <w:t>沉淀池沉渣</w:t>
                  </w:r>
                </w:p>
              </w:tc>
              <w:tc>
                <w:tcPr>
                  <w:tcW w:w="778" w:type="pct"/>
                  <w:vMerge w:val="continue"/>
                  <w:noWrap w:val="0"/>
                  <w:vAlign w:val="center"/>
                </w:tcPr>
                <w:p>
                  <w:pPr>
                    <w:jc w:val="center"/>
                    <w:rPr>
                      <w:rFonts w:hint="eastAsia"/>
                      <w:color w:val="000000"/>
                      <w:szCs w:val="21"/>
                    </w:rPr>
                  </w:pPr>
                </w:p>
              </w:tc>
              <w:tc>
                <w:tcPr>
                  <w:tcW w:w="622" w:type="pct"/>
                  <w:noWrap w:val="0"/>
                  <w:vAlign w:val="center"/>
                </w:tcPr>
                <w:p>
                  <w:pPr>
                    <w:jc w:val="center"/>
                    <w:rPr>
                      <w:rFonts w:hint="eastAsia"/>
                      <w:color w:val="000000"/>
                      <w:szCs w:val="21"/>
                    </w:rPr>
                  </w:pPr>
                  <w:r>
                    <w:rPr>
                      <w:rFonts w:hint="eastAsia" w:cs="Times New Roman"/>
                      <w:color w:val="000000"/>
                      <w:sz w:val="21"/>
                      <w:szCs w:val="21"/>
                      <w:highlight w:val="none"/>
                      <w:lang w:val="en-US" w:eastAsia="zh-CN"/>
                    </w:rPr>
                    <w:t>其他废物99</w:t>
                  </w:r>
                </w:p>
              </w:tc>
              <w:tc>
                <w:tcPr>
                  <w:tcW w:w="720" w:type="pct"/>
                  <w:noWrap w:val="0"/>
                  <w:vAlign w:val="center"/>
                </w:tcPr>
                <w:p>
                  <w:pPr>
                    <w:jc w:val="center"/>
                    <w:rPr>
                      <w:rFonts w:hint="eastAsia"/>
                      <w:color w:val="000000"/>
                      <w:szCs w:val="21"/>
                    </w:rPr>
                  </w:pPr>
                  <w:r>
                    <w:rPr>
                      <w:rFonts w:hint="eastAsia" w:cs="Times New Roman"/>
                      <w:color w:val="000000"/>
                      <w:sz w:val="21"/>
                      <w:szCs w:val="21"/>
                      <w:highlight w:val="none"/>
                      <w:lang w:val="en-US" w:eastAsia="zh-CN"/>
                    </w:rPr>
                    <w:t>900-999-99</w:t>
                  </w:r>
                </w:p>
              </w:tc>
              <w:tc>
                <w:tcPr>
                  <w:tcW w:w="706" w:type="pct"/>
                  <w:noWrap w:val="0"/>
                  <w:vAlign w:val="center"/>
                </w:tcPr>
                <w:p>
                  <w:pPr>
                    <w:jc w:val="center"/>
                    <w:rPr>
                      <w:rFonts w:hint="default"/>
                      <w:color w:val="000000"/>
                      <w:szCs w:val="21"/>
                      <w:lang w:val="en-US" w:eastAsia="zh-CN"/>
                    </w:rPr>
                  </w:pPr>
                  <w:r>
                    <w:rPr>
                      <w:rFonts w:hint="eastAsia"/>
                      <w:color w:val="000000"/>
                      <w:szCs w:val="21"/>
                      <w:lang w:val="en-US" w:eastAsia="zh-CN"/>
                    </w:rPr>
                    <w:t>5</w:t>
                  </w:r>
                </w:p>
              </w:tc>
              <w:tc>
                <w:tcPr>
                  <w:tcW w:w="894" w:type="pct"/>
                  <w:noWrap w:val="0"/>
                  <w:vAlign w:val="center"/>
                </w:tcPr>
                <w:p>
                  <w:pPr>
                    <w:jc w:val="center"/>
                    <w:rPr>
                      <w:rFonts w:hint="eastAsia"/>
                      <w:color w:val="000000"/>
                      <w:szCs w:val="21"/>
                    </w:rPr>
                  </w:pPr>
                  <w:r>
                    <w:rPr>
                      <w:rFonts w:hint="eastAsia"/>
                      <w:color w:val="000000"/>
                      <w:szCs w:val="21"/>
                    </w:rPr>
                    <w:t>回用于生产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273" w:type="pct"/>
                  <w:noWrap w:val="0"/>
                  <w:vAlign w:val="center"/>
                </w:tcPr>
                <w:p>
                  <w:pPr>
                    <w:jc w:val="center"/>
                    <w:rPr>
                      <w:rFonts w:hint="eastAsia"/>
                      <w:color w:val="000000"/>
                      <w:szCs w:val="21"/>
                    </w:rPr>
                  </w:pPr>
                  <w:r>
                    <w:rPr>
                      <w:rFonts w:hint="eastAsia"/>
                      <w:color w:val="000000"/>
                      <w:szCs w:val="21"/>
                    </w:rPr>
                    <w:t>生活垃圾</w:t>
                  </w:r>
                </w:p>
              </w:tc>
              <w:tc>
                <w:tcPr>
                  <w:tcW w:w="778" w:type="pct"/>
                  <w:noWrap w:val="0"/>
                  <w:vAlign w:val="center"/>
                </w:tcPr>
                <w:p>
                  <w:pPr>
                    <w:jc w:val="center"/>
                    <w:rPr>
                      <w:rFonts w:hint="eastAsia"/>
                      <w:color w:val="000000"/>
                      <w:szCs w:val="21"/>
                    </w:rPr>
                  </w:pPr>
                  <w:r>
                    <w:rPr>
                      <w:rFonts w:hint="eastAsia"/>
                      <w:color w:val="000000"/>
                      <w:szCs w:val="21"/>
                    </w:rPr>
                    <w:t>生活垃圾</w:t>
                  </w:r>
                </w:p>
              </w:tc>
              <w:tc>
                <w:tcPr>
                  <w:tcW w:w="622" w:type="pct"/>
                  <w:noWrap w:val="0"/>
                  <w:vAlign w:val="center"/>
                </w:tcPr>
                <w:p>
                  <w:pPr>
                    <w:jc w:val="center"/>
                    <w:rPr>
                      <w:rFonts w:hint="eastAsia" w:eastAsia="宋体"/>
                      <w:color w:val="000000"/>
                      <w:szCs w:val="21"/>
                      <w:lang w:val="en-US" w:eastAsia="zh-CN"/>
                    </w:rPr>
                  </w:pPr>
                  <w:r>
                    <w:rPr>
                      <w:rFonts w:hint="eastAsia"/>
                      <w:color w:val="000000"/>
                      <w:szCs w:val="21"/>
                      <w:lang w:val="en-US" w:eastAsia="zh-CN"/>
                    </w:rPr>
                    <w:t>/</w:t>
                  </w:r>
                </w:p>
              </w:tc>
              <w:tc>
                <w:tcPr>
                  <w:tcW w:w="720" w:type="pct"/>
                  <w:noWrap w:val="0"/>
                  <w:vAlign w:val="center"/>
                </w:tcPr>
                <w:p>
                  <w:pPr>
                    <w:jc w:val="center"/>
                    <w:rPr>
                      <w:rFonts w:hint="eastAsia" w:eastAsia="宋体"/>
                      <w:color w:val="000000"/>
                      <w:szCs w:val="21"/>
                      <w:lang w:val="en-US" w:eastAsia="zh-CN"/>
                    </w:rPr>
                  </w:pPr>
                  <w:r>
                    <w:rPr>
                      <w:rFonts w:hint="eastAsia"/>
                      <w:color w:val="000000"/>
                      <w:szCs w:val="21"/>
                      <w:lang w:val="en-US" w:eastAsia="zh-CN"/>
                    </w:rPr>
                    <w:t>/</w:t>
                  </w:r>
                </w:p>
              </w:tc>
              <w:tc>
                <w:tcPr>
                  <w:tcW w:w="706" w:type="pct"/>
                  <w:noWrap w:val="0"/>
                  <w:vAlign w:val="center"/>
                </w:tcPr>
                <w:p>
                  <w:pPr>
                    <w:jc w:val="center"/>
                    <w:rPr>
                      <w:rFonts w:hint="default" w:eastAsia="宋体"/>
                      <w:color w:val="000000"/>
                      <w:szCs w:val="21"/>
                      <w:lang w:val="en-US" w:eastAsia="zh-CN"/>
                    </w:rPr>
                  </w:pPr>
                  <w:r>
                    <w:rPr>
                      <w:rFonts w:hint="eastAsia"/>
                      <w:color w:val="000000"/>
                      <w:szCs w:val="21"/>
                      <w:lang w:val="en-US" w:eastAsia="zh-CN"/>
                    </w:rPr>
                    <w:t>1.62</w:t>
                  </w:r>
                </w:p>
              </w:tc>
              <w:tc>
                <w:tcPr>
                  <w:tcW w:w="897" w:type="pct"/>
                  <w:gridSpan w:val="2"/>
                  <w:noWrap w:val="0"/>
                  <w:vAlign w:val="center"/>
                </w:tcPr>
                <w:p>
                  <w:pPr>
                    <w:jc w:val="center"/>
                    <w:rPr>
                      <w:rFonts w:hint="eastAsia"/>
                      <w:color w:val="000000"/>
                      <w:szCs w:val="21"/>
                    </w:rPr>
                  </w:pPr>
                  <w:r>
                    <w:rPr>
                      <w:rFonts w:hint="eastAsia"/>
                      <w:color w:val="000000"/>
                      <w:szCs w:val="21"/>
                    </w:rPr>
                    <w:t>交环卫部门定时清运处理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9" w:hRule="atLeast"/>
                <w:jc w:val="center"/>
              </w:trPr>
              <w:tc>
                <w:tcPr>
                  <w:tcW w:w="1273" w:type="pct"/>
                  <w:noWrap w:val="0"/>
                  <w:vAlign w:val="center"/>
                </w:tcPr>
                <w:p>
                  <w:pPr>
                    <w:jc w:val="center"/>
                    <w:rPr>
                      <w:rFonts w:hint="default" w:eastAsia="宋体"/>
                      <w:color w:val="000000"/>
                      <w:szCs w:val="21"/>
                      <w:lang w:val="en-US" w:eastAsia="zh-CN"/>
                    </w:rPr>
                  </w:pPr>
                  <w:r>
                    <w:rPr>
                      <w:rFonts w:hint="eastAsia"/>
                      <w:color w:val="000000"/>
                      <w:szCs w:val="21"/>
                    </w:rPr>
                    <w:t>废</w:t>
                  </w:r>
                  <w:r>
                    <w:rPr>
                      <w:rFonts w:hint="eastAsia"/>
                      <w:color w:val="000000"/>
                      <w:szCs w:val="21"/>
                      <w:lang w:val="en-US" w:eastAsia="zh-CN"/>
                    </w:rPr>
                    <w:t>润滑油</w:t>
                  </w:r>
                </w:p>
              </w:tc>
              <w:tc>
                <w:tcPr>
                  <w:tcW w:w="778" w:type="pct"/>
                  <w:vMerge w:val="restart"/>
                  <w:noWrap w:val="0"/>
                  <w:vAlign w:val="center"/>
                </w:tcPr>
                <w:p>
                  <w:pPr>
                    <w:jc w:val="center"/>
                    <w:rPr>
                      <w:color w:val="000000"/>
                      <w:szCs w:val="21"/>
                    </w:rPr>
                  </w:pPr>
                  <w:r>
                    <w:rPr>
                      <w:rFonts w:hint="eastAsia"/>
                      <w:color w:val="000000"/>
                      <w:szCs w:val="21"/>
                    </w:rPr>
                    <w:t>危险废物</w:t>
                  </w:r>
                </w:p>
              </w:tc>
              <w:tc>
                <w:tcPr>
                  <w:tcW w:w="622" w:type="pct"/>
                  <w:noWrap w:val="0"/>
                  <w:vAlign w:val="center"/>
                </w:tcPr>
                <w:p>
                  <w:pPr>
                    <w:jc w:val="center"/>
                    <w:rPr>
                      <w:color w:val="000000"/>
                      <w:szCs w:val="21"/>
                    </w:rPr>
                  </w:pPr>
                  <w:r>
                    <w:rPr>
                      <w:rFonts w:hint="eastAsia"/>
                      <w:color w:val="000000"/>
                      <w:szCs w:val="21"/>
                    </w:rPr>
                    <w:t>HW08</w:t>
                  </w:r>
                </w:p>
              </w:tc>
              <w:tc>
                <w:tcPr>
                  <w:tcW w:w="720" w:type="pct"/>
                  <w:noWrap w:val="0"/>
                  <w:vAlign w:val="center"/>
                </w:tcPr>
                <w:p>
                  <w:pPr>
                    <w:jc w:val="center"/>
                    <w:rPr>
                      <w:rFonts w:hint="eastAsia"/>
                      <w:color w:val="000000"/>
                      <w:szCs w:val="21"/>
                    </w:rPr>
                  </w:pPr>
                  <w:r>
                    <w:rPr>
                      <w:rFonts w:hint="eastAsia"/>
                      <w:color w:val="000000"/>
                      <w:szCs w:val="21"/>
                    </w:rPr>
                    <w:t>900-2</w:t>
                  </w:r>
                  <w:r>
                    <w:rPr>
                      <w:rFonts w:hint="eastAsia"/>
                      <w:color w:val="000000"/>
                      <w:szCs w:val="21"/>
                      <w:lang w:val="en-US" w:eastAsia="zh-CN"/>
                    </w:rPr>
                    <w:t>1</w:t>
                  </w:r>
                  <w:r>
                    <w:rPr>
                      <w:rFonts w:hint="eastAsia"/>
                      <w:lang w:val="en-US" w:eastAsia="zh-CN"/>
                    </w:rPr>
                    <w:t>4</w:t>
                  </w:r>
                  <w:r>
                    <w:rPr>
                      <w:rFonts w:hint="eastAsia"/>
                      <w:color w:val="000000"/>
                      <w:szCs w:val="21"/>
                    </w:rPr>
                    <w:t>-08</w:t>
                  </w:r>
                </w:p>
              </w:tc>
              <w:tc>
                <w:tcPr>
                  <w:tcW w:w="706" w:type="pct"/>
                  <w:noWrap w:val="0"/>
                  <w:vAlign w:val="center"/>
                </w:tcPr>
                <w:p>
                  <w:pPr>
                    <w:jc w:val="center"/>
                    <w:rPr>
                      <w:color w:val="000000"/>
                      <w:szCs w:val="21"/>
                    </w:rPr>
                  </w:pPr>
                  <w:r>
                    <w:rPr>
                      <w:rFonts w:hint="eastAsia"/>
                      <w:color w:val="000000"/>
                      <w:szCs w:val="21"/>
                    </w:rPr>
                    <w:t>0.5</w:t>
                  </w:r>
                </w:p>
              </w:tc>
              <w:tc>
                <w:tcPr>
                  <w:tcW w:w="897" w:type="pct"/>
                  <w:gridSpan w:val="2"/>
                  <w:vMerge w:val="restart"/>
                  <w:noWrap w:val="0"/>
                  <w:vAlign w:val="center"/>
                </w:tcPr>
                <w:p>
                  <w:pPr>
                    <w:jc w:val="center"/>
                    <w:rPr>
                      <w:rFonts w:hint="eastAsia"/>
                      <w:color w:val="000000"/>
                      <w:szCs w:val="21"/>
                    </w:rPr>
                  </w:pPr>
                  <w:r>
                    <w:rPr>
                      <w:rFonts w:hint="eastAsia"/>
                      <w:color w:val="000000"/>
                      <w:szCs w:val="21"/>
                      <w:lang w:val="en-US" w:eastAsia="zh-CN"/>
                    </w:rPr>
                    <w:t>暂存</w:t>
                  </w:r>
                  <w:r>
                    <w:rPr>
                      <w:rFonts w:hint="eastAsia"/>
                      <w:color w:val="000000"/>
                      <w:szCs w:val="21"/>
                    </w:rPr>
                    <w:t>于</w:t>
                  </w:r>
                  <w:r>
                    <w:rPr>
                      <w:rFonts w:hint="eastAsia"/>
                      <w:color w:val="000000"/>
                      <w:szCs w:val="21"/>
                      <w:lang w:eastAsia="zh-CN"/>
                    </w:rPr>
                    <w:t>危险废物贮存库</w:t>
                  </w:r>
                  <w:r>
                    <w:rPr>
                      <w:rFonts w:hint="eastAsia"/>
                      <w:color w:val="000000"/>
                      <w:szCs w:val="21"/>
                    </w:rPr>
                    <w:t>，由有资质单位回收处置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273" w:type="pct"/>
                  <w:noWrap w:val="0"/>
                  <w:vAlign w:val="center"/>
                </w:tcPr>
                <w:p>
                  <w:pPr>
                    <w:jc w:val="center"/>
                    <w:rPr>
                      <w:rFonts w:hint="default" w:eastAsia="宋体"/>
                      <w:color w:val="000000"/>
                      <w:szCs w:val="21"/>
                      <w:lang w:val="en-US" w:eastAsia="zh-CN"/>
                    </w:rPr>
                  </w:pPr>
                  <w:r>
                    <w:rPr>
                      <w:rFonts w:hint="eastAsia"/>
                      <w:color w:val="000000"/>
                      <w:szCs w:val="21"/>
                      <w:lang w:val="en-US" w:eastAsia="zh-CN"/>
                    </w:rPr>
                    <w:t>废润滑油桶</w:t>
                  </w:r>
                </w:p>
              </w:tc>
              <w:tc>
                <w:tcPr>
                  <w:tcW w:w="778" w:type="pct"/>
                  <w:vMerge w:val="continue"/>
                  <w:noWrap w:val="0"/>
                  <w:vAlign w:val="center"/>
                </w:tcPr>
                <w:p>
                  <w:pPr>
                    <w:jc w:val="center"/>
                    <w:rPr>
                      <w:rFonts w:hint="eastAsia"/>
                      <w:color w:val="000000"/>
                      <w:szCs w:val="21"/>
                    </w:rPr>
                  </w:pPr>
                </w:p>
              </w:tc>
              <w:tc>
                <w:tcPr>
                  <w:tcW w:w="622" w:type="pct"/>
                  <w:noWrap w:val="0"/>
                  <w:vAlign w:val="center"/>
                </w:tcPr>
                <w:p>
                  <w:pPr>
                    <w:jc w:val="center"/>
                    <w:rPr>
                      <w:rFonts w:hint="default" w:eastAsia="宋体"/>
                      <w:color w:val="000000"/>
                      <w:szCs w:val="21"/>
                      <w:lang w:val="en-US" w:eastAsia="zh-CN"/>
                    </w:rPr>
                  </w:pPr>
                  <w:r>
                    <w:rPr>
                      <w:rFonts w:hint="eastAsia"/>
                      <w:color w:val="000000"/>
                      <w:szCs w:val="21"/>
                      <w:lang w:val="en-US" w:eastAsia="zh-CN"/>
                    </w:rPr>
                    <w:t>HW49</w:t>
                  </w:r>
                </w:p>
              </w:tc>
              <w:tc>
                <w:tcPr>
                  <w:tcW w:w="720" w:type="pct"/>
                  <w:noWrap w:val="0"/>
                  <w:vAlign w:val="center"/>
                </w:tcPr>
                <w:p>
                  <w:pPr>
                    <w:jc w:val="center"/>
                    <w:rPr>
                      <w:rFonts w:hint="eastAsia"/>
                      <w:color w:val="000000"/>
                      <w:szCs w:val="21"/>
                    </w:rPr>
                  </w:pPr>
                  <w:r>
                    <w:rPr>
                      <w:rFonts w:hint="default" w:ascii="Times New Roman" w:hAnsi="Times New Roman" w:cs="Times New Roman"/>
                      <w:bCs/>
                      <w:color w:val="auto"/>
                      <w:sz w:val="21"/>
                      <w:szCs w:val="21"/>
                      <w:highlight w:val="none"/>
                      <w:lang w:val="en-US" w:eastAsia="zh-CN"/>
                    </w:rPr>
                    <w:t>900-249-08</w:t>
                  </w:r>
                </w:p>
              </w:tc>
              <w:tc>
                <w:tcPr>
                  <w:tcW w:w="706" w:type="pct"/>
                  <w:noWrap w:val="0"/>
                  <w:vAlign w:val="center"/>
                </w:tcPr>
                <w:p>
                  <w:pPr>
                    <w:jc w:val="center"/>
                    <w:rPr>
                      <w:rFonts w:hint="default" w:eastAsia="宋体"/>
                      <w:color w:val="000000"/>
                      <w:szCs w:val="21"/>
                      <w:lang w:val="en-US" w:eastAsia="zh-CN"/>
                    </w:rPr>
                  </w:pPr>
                  <w:r>
                    <w:rPr>
                      <w:rFonts w:hint="eastAsia"/>
                      <w:color w:val="000000"/>
                      <w:szCs w:val="21"/>
                      <w:lang w:val="en-US" w:eastAsia="zh-CN"/>
                    </w:rPr>
                    <w:t>0.04</w:t>
                  </w:r>
                </w:p>
              </w:tc>
              <w:tc>
                <w:tcPr>
                  <w:tcW w:w="897" w:type="pct"/>
                  <w:gridSpan w:val="2"/>
                  <w:vMerge w:val="continue"/>
                  <w:noWrap w:val="0"/>
                  <w:vAlign w:val="center"/>
                </w:tcPr>
                <w:p>
                  <w:pPr>
                    <w:jc w:val="center"/>
                    <w:rPr>
                      <w:rFonts w:hint="eastAsia"/>
                      <w:color w:val="00000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273" w:type="pct"/>
                  <w:noWrap w:val="0"/>
                  <w:vAlign w:val="center"/>
                </w:tcPr>
                <w:p>
                  <w:pPr>
                    <w:jc w:val="center"/>
                    <w:rPr>
                      <w:rFonts w:hint="eastAsia"/>
                      <w:color w:val="000000"/>
                      <w:szCs w:val="21"/>
                      <w:lang w:val="en-US" w:eastAsia="zh-CN"/>
                    </w:rPr>
                  </w:pPr>
                  <w:r>
                    <w:rPr>
                      <w:rFonts w:hint="eastAsia"/>
                      <w:lang w:val="en-US" w:eastAsia="zh-CN"/>
                    </w:rPr>
                    <w:t>废含油抹布、含油手套</w:t>
                  </w:r>
                </w:p>
              </w:tc>
              <w:tc>
                <w:tcPr>
                  <w:tcW w:w="778" w:type="pct"/>
                  <w:vMerge w:val="continue"/>
                  <w:noWrap w:val="0"/>
                  <w:vAlign w:val="center"/>
                </w:tcPr>
                <w:p>
                  <w:pPr>
                    <w:jc w:val="center"/>
                    <w:rPr>
                      <w:rFonts w:hint="eastAsia"/>
                      <w:color w:val="000000"/>
                      <w:szCs w:val="21"/>
                    </w:rPr>
                  </w:pPr>
                </w:p>
              </w:tc>
              <w:tc>
                <w:tcPr>
                  <w:tcW w:w="622" w:type="pct"/>
                  <w:noWrap w:val="0"/>
                  <w:vAlign w:val="center"/>
                </w:tcPr>
                <w:p>
                  <w:pPr>
                    <w:jc w:val="center"/>
                    <w:rPr>
                      <w:rFonts w:hint="eastAsia"/>
                      <w:color w:val="000000"/>
                      <w:szCs w:val="21"/>
                      <w:lang w:val="en-US" w:eastAsia="zh-CN"/>
                    </w:rPr>
                  </w:pPr>
                  <w:r>
                    <w:rPr>
                      <w:rFonts w:hint="eastAsia"/>
                      <w:color w:val="000000"/>
                      <w:szCs w:val="21"/>
                      <w:lang w:val="en-US" w:eastAsia="zh-CN"/>
                    </w:rPr>
                    <w:t>HW49</w:t>
                  </w:r>
                </w:p>
              </w:tc>
              <w:tc>
                <w:tcPr>
                  <w:tcW w:w="720" w:type="pct"/>
                  <w:noWrap w:val="0"/>
                  <w:vAlign w:val="center"/>
                </w:tcPr>
                <w:p>
                  <w:pPr>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900-041-49</w:t>
                  </w:r>
                </w:p>
              </w:tc>
              <w:tc>
                <w:tcPr>
                  <w:tcW w:w="706" w:type="pct"/>
                  <w:noWrap w:val="0"/>
                  <w:vAlign w:val="center"/>
                </w:tcPr>
                <w:p>
                  <w:pPr>
                    <w:jc w:val="center"/>
                    <w:rPr>
                      <w:rFonts w:hint="default"/>
                      <w:color w:val="000000"/>
                      <w:szCs w:val="21"/>
                      <w:lang w:val="en-US" w:eastAsia="zh-CN"/>
                    </w:rPr>
                  </w:pPr>
                  <w:r>
                    <w:rPr>
                      <w:rFonts w:hint="eastAsia"/>
                      <w:color w:val="000000"/>
                      <w:szCs w:val="21"/>
                      <w:lang w:val="en-US" w:eastAsia="zh-CN"/>
                    </w:rPr>
                    <w:t>0.01</w:t>
                  </w:r>
                </w:p>
              </w:tc>
              <w:tc>
                <w:tcPr>
                  <w:tcW w:w="897" w:type="pct"/>
                  <w:gridSpan w:val="2"/>
                  <w:vMerge w:val="continue"/>
                  <w:noWrap w:val="0"/>
                  <w:vAlign w:val="center"/>
                </w:tcPr>
                <w:p>
                  <w:pPr>
                    <w:jc w:val="center"/>
                    <w:rPr>
                      <w:rFonts w:hint="eastAsia"/>
                      <w:color w:val="000000"/>
                      <w:szCs w:val="21"/>
                    </w:rPr>
                  </w:pPr>
                </w:p>
              </w:tc>
            </w:tr>
          </w:tbl>
          <w:p>
            <w:pPr>
              <w:pStyle w:val="12"/>
              <w:keepNext w:val="0"/>
              <w:keepLines w:val="0"/>
              <w:pageBreakBefore w:val="0"/>
              <w:widowControl w:val="0"/>
              <w:kinsoku/>
              <w:wordWrap/>
              <w:overflowPunct/>
              <w:topLinePunct w:val="0"/>
              <w:autoSpaceDE/>
              <w:autoSpaceDN/>
              <w:bidi w:val="0"/>
              <w:adjustRightInd/>
              <w:snapToGrid/>
              <w:spacing w:line="520" w:lineRule="exact"/>
              <w:ind w:firstLine="556"/>
              <w:textAlignment w:val="auto"/>
              <w:rPr>
                <w:rFonts w:hint="eastAsia"/>
                <w:sz w:val="24"/>
              </w:rPr>
            </w:pPr>
            <w:r>
              <w:rPr>
                <w:rFonts w:hint="eastAsia"/>
                <w:sz w:val="24"/>
              </w:rPr>
              <w:t>综上所述，本项目固体废物都得到有效</w:t>
            </w:r>
            <w:r>
              <w:rPr>
                <w:rFonts w:hint="eastAsia"/>
                <w:sz w:val="24"/>
                <w:lang w:eastAsia="zh-CN"/>
              </w:rPr>
              <w:t>地</w:t>
            </w:r>
            <w:r>
              <w:rPr>
                <w:rFonts w:hint="eastAsia"/>
                <w:sz w:val="24"/>
              </w:rPr>
              <w:t>处置，对周围环境影响较小。</w:t>
            </w:r>
          </w:p>
          <w:p>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rPr>
              <w:t>一般工业固废防治措施</w:t>
            </w:r>
          </w:p>
          <w:p>
            <w:pPr>
              <w:keepNext w:val="0"/>
              <w:keepLines w:val="0"/>
              <w:pageBreakBefore w:val="0"/>
              <w:widowControl w:val="0"/>
              <w:shd w:val="clear" w:color="auto" w:fill="auto"/>
              <w:kinsoku/>
              <w:wordWrap/>
              <w:overflowPunct/>
              <w:topLinePunct w:val="0"/>
              <w:autoSpaceDE/>
              <w:autoSpaceDN/>
              <w:bidi w:val="0"/>
              <w:spacing w:line="520" w:lineRule="exact"/>
              <w:ind w:firstLine="480" w:firstLineChars="200"/>
              <w:rPr>
                <w:rFonts w:hint="default" w:ascii="Times New Roman" w:hAnsi="Times New Roman"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本项目</w:t>
            </w:r>
            <w:r>
              <w:rPr>
                <w:rFonts w:hint="eastAsia" w:cs="Times New Roman"/>
                <w:color w:val="auto"/>
                <w:sz w:val="24"/>
                <w:szCs w:val="24"/>
                <w:highlight w:val="none"/>
                <w:lang w:val="en-US" w:eastAsia="zh-CN"/>
              </w:rPr>
              <w:t>收集的</w:t>
            </w:r>
            <w:r>
              <w:rPr>
                <w:rFonts w:hint="default" w:ascii="Times New Roman" w:hAnsi="Times New Roman" w:eastAsia="宋体" w:cs="Times New Roman"/>
                <w:color w:val="auto"/>
                <w:sz w:val="24"/>
                <w:szCs w:val="24"/>
                <w:highlight w:val="none"/>
                <w:lang w:val="en-US" w:eastAsia="zh-CN"/>
              </w:rPr>
              <w:t>粉尘</w:t>
            </w:r>
            <w:r>
              <w:rPr>
                <w:rFonts w:hint="eastAsia" w:cs="Times New Roman"/>
                <w:color w:val="auto"/>
                <w:sz w:val="24"/>
                <w:szCs w:val="24"/>
                <w:highlight w:val="none"/>
                <w:lang w:val="en-US" w:eastAsia="zh-CN"/>
              </w:rPr>
              <w:t>回用于生产；沉淀池沉渣</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回用于生产</w:t>
            </w:r>
            <w:r>
              <w:rPr>
                <w:rFonts w:hint="default" w:ascii="Times New Roman" w:hAnsi="Times New Roman" w:cs="Times New Roman"/>
                <w:color w:val="auto"/>
                <w:sz w:val="24"/>
                <w:szCs w:val="24"/>
                <w:highlight w:val="none"/>
                <w:lang w:eastAsia="zh-CN"/>
              </w:rPr>
              <w:t>；废旧滤袋</w:t>
            </w:r>
            <w:r>
              <w:rPr>
                <w:rFonts w:hint="default" w:ascii="Times New Roman" w:hAnsi="Times New Roman" w:eastAsia="宋体" w:cs="Times New Roman"/>
                <w:color w:val="auto"/>
                <w:sz w:val="24"/>
                <w:szCs w:val="24"/>
                <w:highlight w:val="none"/>
              </w:rPr>
              <w:t>收集后</w:t>
            </w:r>
            <w:r>
              <w:rPr>
                <w:rFonts w:hint="default" w:ascii="Times New Roman" w:hAnsi="Times New Roman" w:eastAsia="宋体" w:cs="Times New Roman"/>
                <w:color w:val="auto"/>
                <w:sz w:val="24"/>
                <w:szCs w:val="24"/>
                <w:highlight w:val="none"/>
                <w:lang w:val="en-US" w:eastAsia="zh-CN"/>
              </w:rPr>
              <w:t>厂家回收</w:t>
            </w:r>
            <w:r>
              <w:rPr>
                <w:rFonts w:hint="default" w:ascii="Times New Roman" w:hAnsi="Times New Roman" w:cs="Times New Roman"/>
                <w:color w:val="auto"/>
                <w:sz w:val="24"/>
                <w:szCs w:val="24"/>
                <w:highlight w:val="none"/>
                <w:lang w:eastAsia="zh-CN"/>
              </w:rPr>
              <w:t>；</w:t>
            </w:r>
            <w:r>
              <w:rPr>
                <w:rFonts w:hint="eastAsia" w:ascii="宋体" w:hAnsi="宋体" w:eastAsia="宋体" w:cs="宋体"/>
                <w:color w:val="000000"/>
                <w:sz w:val="24"/>
                <w:szCs w:val="24"/>
                <w:lang w:eastAsia="zh-CN"/>
              </w:rPr>
              <w:t>检验</w:t>
            </w:r>
            <w:r>
              <w:rPr>
                <w:rFonts w:hint="eastAsia" w:ascii="宋体" w:hAnsi="宋体" w:eastAsia="宋体" w:cs="宋体"/>
                <w:color w:val="000000"/>
                <w:sz w:val="24"/>
                <w:szCs w:val="24"/>
              </w:rPr>
              <w:t>废混凝土</w:t>
            </w:r>
            <w:r>
              <w:rPr>
                <w:rFonts w:hint="eastAsia" w:ascii="宋体" w:hAnsi="宋体" w:eastAsia="宋体" w:cs="宋体"/>
                <w:color w:val="000000"/>
                <w:sz w:val="24"/>
                <w:szCs w:val="24"/>
                <w:lang w:val="en-US" w:eastAsia="zh-CN"/>
              </w:rPr>
              <w:t>一般固废贮存库暂存后</w:t>
            </w:r>
            <w:r>
              <w:rPr>
                <w:rFonts w:hint="eastAsia" w:ascii="宋体" w:hAnsi="宋体" w:eastAsia="宋体" w:cs="宋体"/>
                <w:color w:val="000000"/>
                <w:sz w:val="24"/>
                <w:szCs w:val="24"/>
                <w:lang w:eastAsia="zh-CN"/>
              </w:rPr>
              <w:t>用于施工现场便道铺垫；</w:t>
            </w:r>
            <w:r>
              <w:rPr>
                <w:rFonts w:hint="eastAsia" w:ascii="宋体" w:hAnsi="宋体" w:eastAsia="宋体" w:cs="宋体"/>
                <w:color w:val="auto"/>
                <w:sz w:val="24"/>
                <w:szCs w:val="24"/>
                <w:highlight w:val="none"/>
              </w:rPr>
              <w:t>生</w:t>
            </w:r>
            <w:r>
              <w:rPr>
                <w:rFonts w:hint="default" w:ascii="Times New Roman" w:hAnsi="Times New Roman" w:eastAsia="宋体" w:cs="Times New Roman"/>
                <w:color w:val="auto"/>
                <w:sz w:val="24"/>
                <w:szCs w:val="24"/>
                <w:highlight w:val="none"/>
              </w:rPr>
              <w:t>活垃圾</w:t>
            </w:r>
            <w:r>
              <w:rPr>
                <w:rFonts w:hint="eastAsia" w:cs="Times New Roman"/>
                <w:color w:val="auto"/>
                <w:sz w:val="24"/>
                <w:szCs w:val="24"/>
                <w:highlight w:val="none"/>
                <w:lang w:val="en-US" w:eastAsia="zh-CN"/>
              </w:rPr>
              <w:t>经</w:t>
            </w:r>
            <w:r>
              <w:rPr>
                <w:rFonts w:hint="default" w:ascii="Times New Roman" w:hAnsi="Times New Roman" w:eastAsia="宋体" w:cs="Times New Roman"/>
                <w:color w:val="auto"/>
                <w:sz w:val="24"/>
                <w:szCs w:val="24"/>
                <w:highlight w:val="none"/>
                <w:lang w:val="en-US" w:eastAsia="zh-CN"/>
              </w:rPr>
              <w:t>垃圾桶收集后交由环卫部门处置</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除尘收集系统粉尘全部</w:t>
            </w:r>
            <w:r>
              <w:rPr>
                <w:sz w:val="24"/>
              </w:rPr>
              <w:t>作为原料用于生产，不在厂内储存</w:t>
            </w:r>
            <w:r>
              <w:rPr>
                <w:rFonts w:hint="eastAsia"/>
                <w:sz w:val="24"/>
                <w:lang w:eastAsia="zh-CN"/>
              </w:rPr>
              <w:t>。</w:t>
            </w:r>
            <w:r>
              <w:rPr>
                <w:rFonts w:hint="eastAsia"/>
                <w:sz w:val="24"/>
                <w:lang w:val="en-US" w:eastAsia="zh-CN"/>
              </w:rPr>
              <w:t>一般固体废物</w:t>
            </w:r>
            <w:r>
              <w:rPr>
                <w:rFonts w:hint="default" w:ascii="Times New Roman" w:hAnsi="Times New Roman" w:eastAsia="宋体" w:cs="Times New Roman"/>
                <w:color w:val="auto"/>
                <w:sz w:val="24"/>
                <w:szCs w:val="24"/>
                <w:highlight w:val="none"/>
                <w:lang w:val="en-US" w:eastAsia="zh-CN"/>
              </w:rPr>
              <w:t>贮存场所贮存执行《一般工业固体废物贮存和填埋污染控制标准》（GB18599-2020）防渗等环保要求。</w:t>
            </w:r>
            <w:r>
              <w:rPr>
                <w:rFonts w:hint="default" w:ascii="Times New Roman" w:hAnsi="Times New Roman" w:cs="Times New Roman"/>
                <w:color w:val="auto"/>
                <w:sz w:val="24"/>
                <w:szCs w:val="24"/>
                <w:highlight w:val="none"/>
              </w:rPr>
              <w:t>固废临时贮存场应满足如下要求：</w:t>
            </w:r>
          </w:p>
          <w:p>
            <w:pPr>
              <w:keepNext w:val="0"/>
              <w:keepLines w:val="0"/>
              <w:pageBreakBefore w:val="0"/>
              <w:widowControl w:val="0"/>
              <w:shd w:val="clear" w:color="auto" w:fill="auto"/>
              <w:kinsoku/>
              <w:wordWrap/>
              <w:overflowPunct/>
              <w:topLinePunct w:val="0"/>
              <w:autoSpaceDE/>
              <w:autoSpaceDN/>
              <w:bidi w:val="0"/>
              <w:spacing w:line="52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①地面应采取硬化措施并满足承载力要求，必要时采取相应措施防止地基下沉。</w:t>
            </w:r>
          </w:p>
          <w:p>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②要求设置必要的</w:t>
            </w:r>
            <w:r>
              <w:rPr>
                <w:rFonts w:hint="default" w:ascii="Times New Roman" w:hAnsi="Times New Roman" w:eastAsia="宋体" w:cs="Times New Roman"/>
                <w:snapToGrid w:val="0"/>
                <w:color w:val="auto"/>
                <w:kern w:val="0"/>
                <w:sz w:val="24"/>
                <w:szCs w:val="24"/>
                <w:highlight w:val="none"/>
                <w:lang w:val="en-US" w:eastAsia="zh-CN" w:bidi="ar-SA"/>
              </w:rPr>
              <w:t>防风、防晒、防雨、防漏、防渗、防腐</w:t>
            </w:r>
            <w:r>
              <w:rPr>
                <w:rFonts w:hint="default" w:ascii="Times New Roman" w:hAnsi="Times New Roman" w:cs="Times New Roman"/>
                <w:color w:val="auto"/>
                <w:sz w:val="24"/>
                <w:szCs w:val="24"/>
                <w:highlight w:val="none"/>
              </w:rPr>
              <w:t>措施，堆放场周边应设置导流渠。</w:t>
            </w:r>
          </w:p>
          <w:p>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③按《环境保护图形标识—固体废物贮存（处置）场》（GB15562.2）</w:t>
            </w:r>
            <w:r>
              <w:rPr>
                <w:rFonts w:hint="eastAsia" w:cs="Times New Roman"/>
                <w:color w:val="auto"/>
                <w:sz w:val="24"/>
                <w:szCs w:val="24"/>
                <w:highlight w:val="none"/>
                <w:lang w:val="en-US" w:eastAsia="zh-CN"/>
              </w:rPr>
              <w:t>修改单</w:t>
            </w:r>
            <w:r>
              <w:rPr>
                <w:rFonts w:hint="default" w:ascii="Times New Roman" w:hAnsi="Times New Roman" w:cs="Times New Roman"/>
                <w:color w:val="auto"/>
                <w:sz w:val="24"/>
                <w:szCs w:val="24"/>
                <w:highlight w:val="none"/>
              </w:rPr>
              <w:t>要求设置环境保护图形标志。</w:t>
            </w:r>
          </w:p>
          <w:p>
            <w:pPr>
              <w:keepNext w:val="0"/>
              <w:keepLines w:val="0"/>
              <w:pageBreakBefore w:val="0"/>
              <w:widowControl w:val="0"/>
              <w:shd w:val="clear" w:color="auto" w:fill="auto"/>
              <w:kinsoku/>
              <w:wordWrap/>
              <w:overflowPunct/>
              <w:topLinePunct w:val="0"/>
              <w:autoSpaceDE/>
              <w:autoSpaceDN/>
              <w:bidi w:val="0"/>
              <w:spacing w:line="520" w:lineRule="exact"/>
              <w:ind w:firstLine="480"/>
              <w:textAlignment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④除尘</w:t>
            </w:r>
            <w:r>
              <w:rPr>
                <w:rFonts w:hint="eastAsia" w:ascii="Times New Roman" w:hAnsi="Times New Roman" w:cs="Times New Roman"/>
                <w:color w:val="auto"/>
                <w:sz w:val="24"/>
                <w:szCs w:val="24"/>
                <w:highlight w:val="none"/>
                <w:lang w:val="en-US" w:eastAsia="zh-CN"/>
              </w:rPr>
              <w:t>系统</w:t>
            </w:r>
            <w:r>
              <w:rPr>
                <w:rFonts w:hint="default" w:ascii="Times New Roman" w:hAnsi="Times New Roman" w:cs="Times New Roman"/>
                <w:color w:val="auto"/>
                <w:sz w:val="24"/>
                <w:szCs w:val="24"/>
                <w:highlight w:val="none"/>
              </w:rPr>
              <w:t>收尘灰收集后作为原料用于生产线。</w:t>
            </w:r>
          </w:p>
          <w:p>
            <w:pPr>
              <w:keepNext w:val="0"/>
              <w:keepLines w:val="0"/>
              <w:pageBreakBefore w:val="0"/>
              <w:widowControl w:val="0"/>
              <w:shd w:val="clear" w:color="auto" w:fill="auto"/>
              <w:kinsoku/>
              <w:wordWrap/>
              <w:overflowPunct/>
              <w:topLinePunct w:val="0"/>
              <w:autoSpaceDE/>
              <w:autoSpaceDN/>
              <w:bidi w:val="0"/>
              <w:spacing w:line="520" w:lineRule="exact"/>
              <w:ind w:firstLine="480"/>
              <w:textAlignment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⑤除尘</w:t>
            </w:r>
            <w:r>
              <w:rPr>
                <w:rFonts w:hint="eastAsia" w:ascii="Times New Roman" w:hAnsi="Times New Roman" w:cs="Times New Roman"/>
                <w:color w:val="auto"/>
                <w:sz w:val="24"/>
                <w:szCs w:val="24"/>
                <w:highlight w:val="none"/>
                <w:lang w:val="en-US" w:eastAsia="zh-CN"/>
              </w:rPr>
              <w:t>系统</w:t>
            </w:r>
            <w:r>
              <w:rPr>
                <w:rFonts w:hint="default" w:ascii="Times New Roman" w:hAnsi="Times New Roman" w:cs="Times New Roman"/>
                <w:color w:val="auto"/>
                <w:sz w:val="24"/>
                <w:szCs w:val="24"/>
                <w:highlight w:val="none"/>
                <w:lang w:eastAsia="zh-CN"/>
              </w:rPr>
              <w:t>废旧滤袋</w:t>
            </w:r>
            <w:r>
              <w:rPr>
                <w:rFonts w:hint="default" w:ascii="Times New Roman" w:hAnsi="Times New Roman" w:cs="Times New Roman"/>
                <w:color w:val="auto"/>
                <w:sz w:val="24"/>
                <w:szCs w:val="24"/>
                <w:highlight w:val="none"/>
              </w:rPr>
              <w:t>收集后由厂家回收。</w:t>
            </w:r>
          </w:p>
          <w:p>
            <w:pPr>
              <w:keepNext w:val="0"/>
              <w:keepLines w:val="0"/>
              <w:pageBreakBefore w:val="0"/>
              <w:widowControl w:val="0"/>
              <w:shd w:val="clear" w:color="auto" w:fill="auto"/>
              <w:kinsoku/>
              <w:wordWrap/>
              <w:overflowPunct/>
              <w:topLinePunct w:val="0"/>
              <w:autoSpaceDE/>
              <w:autoSpaceDN/>
              <w:bidi w:val="0"/>
              <w:spacing w:line="520" w:lineRule="exact"/>
              <w:ind w:firstLine="480"/>
              <w:textAlignment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⑥</w:t>
            </w:r>
            <w:r>
              <w:rPr>
                <w:rFonts w:hint="eastAsia" w:cs="Times New Roman"/>
                <w:color w:val="auto"/>
                <w:sz w:val="24"/>
                <w:szCs w:val="24"/>
                <w:highlight w:val="none"/>
                <w:lang w:eastAsia="zh-CN"/>
              </w:rPr>
              <w:t>沉淀池沉渣回用于生产</w:t>
            </w:r>
            <w:r>
              <w:rPr>
                <w:rFonts w:hint="default" w:ascii="Times New Roman" w:hAnsi="Times New Roman" w:cs="Times New Roman"/>
                <w:color w:val="auto"/>
                <w:spacing w:val="-4"/>
                <w:sz w:val="24"/>
                <w:szCs w:val="24"/>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生活垃圾防治措施</w:t>
            </w:r>
          </w:p>
          <w:p>
            <w:pPr>
              <w:keepNext w:val="0"/>
              <w:keepLines w:val="0"/>
              <w:pageBreakBefore w:val="0"/>
              <w:widowControl w:val="0"/>
              <w:kinsoku/>
              <w:wordWrap/>
              <w:overflowPunct/>
              <w:topLinePunct w:val="0"/>
              <w:autoSpaceDE/>
              <w:autoSpaceDN/>
              <w:bidi w:val="0"/>
              <w:spacing w:line="520" w:lineRule="exact"/>
              <w:ind w:firstLine="480" w:firstLineChars="200"/>
              <w:jc w:val="both"/>
              <w:rPr>
                <w:rFonts w:hint="eastAsia" w:cs="Times New Roman"/>
                <w:color w:val="auto"/>
                <w:sz w:val="24"/>
                <w:szCs w:val="24"/>
                <w:highlight w:val="none"/>
                <w:lang w:eastAsia="zh-CN"/>
              </w:rPr>
            </w:pPr>
            <w:r>
              <w:rPr>
                <w:rFonts w:hint="default" w:ascii="Times New Roman" w:hAnsi="Times New Roman" w:cs="Times New Roman"/>
                <w:color w:val="auto"/>
                <w:sz w:val="24"/>
                <w:szCs w:val="24"/>
                <w:highlight w:val="none"/>
              </w:rPr>
              <w:t>项目厂区生活办公楼内设置室内垃圾桶收集生活垃圾，厂区内设置环保垃圾箱对生活垃圾集中分类收集</w:t>
            </w:r>
            <w:r>
              <w:rPr>
                <w:rFonts w:hint="eastAsia" w:ascii="Times New Roman" w:hAnsi="Times New Roman" w:cs="Times New Roman"/>
                <w:color w:val="auto"/>
                <w:sz w:val="24"/>
                <w:szCs w:val="24"/>
                <w:highlight w:val="none"/>
                <w:lang w:val="en-US" w:eastAsia="zh-CN"/>
              </w:rPr>
              <w:t>后</w:t>
            </w:r>
            <w:r>
              <w:rPr>
                <w:rFonts w:hint="default" w:ascii="Times New Roman" w:hAnsi="Times New Roman" w:cs="Times New Roman"/>
                <w:color w:val="auto"/>
                <w:sz w:val="24"/>
                <w:szCs w:val="24"/>
                <w:highlight w:val="none"/>
              </w:rPr>
              <w:t>，交由环卫部门处置</w:t>
            </w:r>
            <w:r>
              <w:rPr>
                <w:rFonts w:hint="eastAsia" w:cs="Times New Roman"/>
                <w:color w:val="auto"/>
                <w:sz w:val="24"/>
                <w:szCs w:val="24"/>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4.危险废物贮存库防渗及管理措施</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sz w:val="24"/>
                <w:szCs w:val="24"/>
                <w:highlight w:val="none"/>
              </w:rPr>
              <w:t>为防止危废暂存过程中对环境产生污染影响，根据《危险废物贮存污染控制标准》</w:t>
            </w:r>
            <w:r>
              <w:rPr>
                <w:rFonts w:hint="eastAsia"/>
                <w:sz w:val="24"/>
                <w:szCs w:val="24"/>
                <w:highlight w:val="none"/>
              </w:rPr>
              <w:t>（</w:t>
            </w:r>
            <w:r>
              <w:rPr>
                <w:sz w:val="24"/>
                <w:szCs w:val="24"/>
                <w:highlight w:val="none"/>
              </w:rPr>
              <w:t>GB18597-20</w:t>
            </w:r>
            <w:r>
              <w:rPr>
                <w:rFonts w:hint="eastAsia"/>
                <w:sz w:val="24"/>
                <w:szCs w:val="24"/>
                <w:highlight w:val="none"/>
              </w:rPr>
              <w:t>23）、</w:t>
            </w:r>
            <w:r>
              <w:rPr>
                <w:sz w:val="24"/>
                <w:szCs w:val="24"/>
                <w:highlight w:val="none"/>
              </w:rPr>
              <w:t>《危险废物收集 贮存运输技术规范》</w:t>
            </w:r>
            <w:r>
              <w:rPr>
                <w:rFonts w:hint="eastAsia"/>
                <w:sz w:val="24"/>
                <w:szCs w:val="24"/>
                <w:highlight w:val="none"/>
              </w:rPr>
              <w:t>（</w:t>
            </w:r>
            <w:r>
              <w:rPr>
                <w:sz w:val="24"/>
                <w:szCs w:val="24"/>
                <w:highlight w:val="none"/>
              </w:rPr>
              <w:t>HJ2025-2012</w:t>
            </w:r>
            <w:r>
              <w:rPr>
                <w:rFonts w:hint="eastAsia"/>
                <w:sz w:val="24"/>
                <w:szCs w:val="24"/>
                <w:highlight w:val="none"/>
              </w:rPr>
              <w:t>）、</w:t>
            </w:r>
            <w:r>
              <w:rPr>
                <w:sz w:val="24"/>
                <w:szCs w:val="24"/>
                <w:highlight w:val="none"/>
              </w:rPr>
              <w:t>《危险废物管理计划和管理台账制定技术导则》</w:t>
            </w:r>
            <w:r>
              <w:rPr>
                <w:rFonts w:hint="eastAsia"/>
                <w:sz w:val="24"/>
                <w:szCs w:val="24"/>
                <w:highlight w:val="none"/>
              </w:rPr>
              <w:t>（</w:t>
            </w:r>
            <w:r>
              <w:rPr>
                <w:sz w:val="24"/>
                <w:szCs w:val="24"/>
                <w:highlight w:val="none"/>
              </w:rPr>
              <w:t>HJ 1259-2022</w:t>
            </w:r>
            <w:r>
              <w:rPr>
                <w:rFonts w:hint="eastAsia"/>
                <w:sz w:val="24"/>
                <w:szCs w:val="24"/>
                <w:highlight w:val="none"/>
              </w:rPr>
              <w:t>）</w:t>
            </w:r>
            <w:r>
              <w:rPr>
                <w:sz w:val="24"/>
                <w:szCs w:val="24"/>
                <w:highlight w:val="none"/>
              </w:rPr>
              <w:t>中的相关要求，</w:t>
            </w:r>
            <w:r>
              <w:rPr>
                <w:rFonts w:hint="eastAsia"/>
                <w:sz w:val="24"/>
                <w:szCs w:val="24"/>
                <w:highlight w:val="none"/>
              </w:rPr>
              <w:t>本项目应</w:t>
            </w:r>
            <w:r>
              <w:rPr>
                <w:sz w:val="24"/>
                <w:szCs w:val="24"/>
                <w:highlight w:val="none"/>
              </w:rPr>
              <w:t>采取下述管理措施：</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sz w:val="24"/>
                <w:szCs w:val="24"/>
                <w:highlight w:val="none"/>
              </w:rPr>
              <w:t>①危险废物</w:t>
            </w:r>
            <w:r>
              <w:rPr>
                <w:rFonts w:hint="eastAsia"/>
                <w:sz w:val="24"/>
                <w:szCs w:val="24"/>
                <w:highlight w:val="none"/>
              </w:rPr>
              <w:t>分类收集，分区存放，</w:t>
            </w:r>
            <w:r>
              <w:rPr>
                <w:sz w:val="24"/>
                <w:szCs w:val="24"/>
                <w:highlight w:val="none"/>
              </w:rPr>
              <w:t>采用密闭容器进行盛装，且盛装容器贴有危险废物标识，贮存间设置危险废物警示标志，由专人进行管理，有完善的危险废物排放量及处置记录。</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sz w:val="24"/>
                <w:szCs w:val="24"/>
                <w:highlight w:val="none"/>
              </w:rPr>
              <w:t>②对密闭容器定期进行检查，泄漏损坏时立即进行处理，并将其装入完好容器内。</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sz w:val="24"/>
                <w:szCs w:val="24"/>
                <w:highlight w:val="none"/>
              </w:rPr>
              <w:t>③危险废物转移遵从《危险废物转移管理办法》</w:t>
            </w:r>
            <w:r>
              <w:rPr>
                <w:rFonts w:hint="eastAsia"/>
                <w:sz w:val="24"/>
                <w:szCs w:val="24"/>
                <w:highlight w:val="none"/>
              </w:rPr>
              <w:t>（部令第23号）</w:t>
            </w:r>
            <w:r>
              <w:rPr>
                <w:sz w:val="24"/>
                <w:szCs w:val="24"/>
                <w:highlight w:val="none"/>
              </w:rPr>
              <w:t>及其他有关规定的要求。</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sz w:val="24"/>
                <w:szCs w:val="24"/>
                <w:highlight w:val="none"/>
              </w:rPr>
              <w:fldChar w:fldCharType="begin"/>
            </w:r>
            <w:r>
              <w:rPr>
                <w:sz w:val="24"/>
                <w:szCs w:val="24"/>
                <w:highlight w:val="none"/>
              </w:rPr>
              <w:instrText xml:space="preserve"> = 4 \* GB3 \* MERGEFORMAT </w:instrText>
            </w:r>
            <w:r>
              <w:rPr>
                <w:sz w:val="24"/>
                <w:szCs w:val="24"/>
                <w:highlight w:val="none"/>
              </w:rPr>
              <w:fldChar w:fldCharType="separate"/>
            </w:r>
            <w:r>
              <w:rPr>
                <w:sz w:val="24"/>
                <w:szCs w:val="24"/>
                <w:highlight w:val="none"/>
              </w:rPr>
              <w:t>④</w:t>
            </w:r>
            <w:r>
              <w:rPr>
                <w:sz w:val="24"/>
                <w:szCs w:val="24"/>
                <w:highlight w:val="none"/>
              </w:rPr>
              <w:fldChar w:fldCharType="end"/>
            </w:r>
            <w:r>
              <w:rPr>
                <w:sz w:val="24"/>
                <w:szCs w:val="24"/>
                <w:highlight w:val="none"/>
              </w:rPr>
              <w:t>产生危险废物的单位应定期通过国家危险废物信息管理系统向所在地生态环境主管部门申报危险废物的种类、产生量、流向、贮存、利用、处置等有关资料。</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sz w:val="24"/>
                <w:szCs w:val="24"/>
                <w:highlight w:val="none"/>
              </w:rPr>
              <w:fldChar w:fldCharType="begin"/>
            </w:r>
            <w:r>
              <w:rPr>
                <w:sz w:val="24"/>
                <w:szCs w:val="24"/>
                <w:highlight w:val="none"/>
              </w:rPr>
              <w:instrText xml:space="preserve"> = 5 \* GB3 \* MERGEFORMAT </w:instrText>
            </w:r>
            <w:r>
              <w:rPr>
                <w:sz w:val="24"/>
                <w:szCs w:val="24"/>
                <w:highlight w:val="none"/>
              </w:rPr>
              <w:fldChar w:fldCharType="separate"/>
            </w:r>
            <w:r>
              <w:rPr>
                <w:sz w:val="24"/>
                <w:szCs w:val="24"/>
                <w:highlight w:val="none"/>
              </w:rPr>
              <w:t>⑤</w:t>
            </w:r>
            <w:r>
              <w:rPr>
                <w:sz w:val="24"/>
                <w:szCs w:val="24"/>
                <w:highlight w:val="none"/>
              </w:rPr>
              <w:fldChar w:fldCharType="end"/>
            </w:r>
            <w:r>
              <w:rPr>
                <w:sz w:val="24"/>
                <w:szCs w:val="24"/>
                <w:highlight w:val="none"/>
              </w:rPr>
              <w:t>加强人员培训，</w:t>
            </w:r>
            <w:r>
              <w:rPr>
                <w:rFonts w:hint="eastAsia"/>
                <w:sz w:val="24"/>
                <w:szCs w:val="24"/>
                <w:highlight w:val="none"/>
                <w:lang w:eastAsia="zh-CN"/>
              </w:rPr>
              <w:t>增强</w:t>
            </w:r>
            <w:r>
              <w:rPr>
                <w:sz w:val="24"/>
                <w:szCs w:val="24"/>
                <w:highlight w:val="none"/>
              </w:rPr>
              <w:t>转运人员风险意识，加强危险废物转运车辆及容器的巡查管理，及时发现泄漏情况并及时处理，定期检查各种危险废物转运专用容器，防止</w:t>
            </w:r>
            <w:r>
              <w:rPr>
                <w:rFonts w:hint="eastAsia"/>
                <w:sz w:val="24"/>
                <w:szCs w:val="24"/>
                <w:highlight w:val="none"/>
                <w:lang w:eastAsia="zh-CN"/>
              </w:rPr>
              <w:t>泄漏</w:t>
            </w:r>
            <w:r>
              <w:rPr>
                <w:sz w:val="24"/>
                <w:szCs w:val="24"/>
                <w:highlight w:val="none"/>
              </w:rPr>
              <w:t>，相关车辆及转运容器每班检查一次，可避免危险废</w:t>
            </w:r>
            <w:r>
              <w:rPr>
                <w:rFonts w:hint="eastAsia"/>
                <w:sz w:val="24"/>
                <w:szCs w:val="24"/>
                <w:highlight w:val="none"/>
                <w:lang w:eastAsia="zh-CN"/>
              </w:rPr>
              <w:t>物在</w:t>
            </w:r>
            <w:r>
              <w:rPr>
                <w:sz w:val="24"/>
                <w:szCs w:val="24"/>
                <w:highlight w:val="none"/>
              </w:rPr>
              <w:t>厂内转运过程中散落、</w:t>
            </w:r>
            <w:r>
              <w:rPr>
                <w:rFonts w:hint="eastAsia"/>
                <w:sz w:val="24"/>
                <w:szCs w:val="24"/>
                <w:highlight w:val="none"/>
                <w:lang w:eastAsia="zh-CN"/>
              </w:rPr>
              <w:t>泄漏</w:t>
            </w:r>
            <w:r>
              <w:rPr>
                <w:sz w:val="24"/>
                <w:szCs w:val="24"/>
                <w:highlight w:val="none"/>
              </w:rPr>
              <w:t>对周边环境造成影响。</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sz w:val="24"/>
                <w:szCs w:val="24"/>
                <w:highlight w:val="none"/>
              </w:rPr>
              <w:fldChar w:fldCharType="begin"/>
            </w:r>
            <w:r>
              <w:rPr>
                <w:sz w:val="24"/>
                <w:szCs w:val="24"/>
                <w:highlight w:val="none"/>
              </w:rPr>
              <w:instrText xml:space="preserve"> = 6 \* GB3 \* MERGEFORMAT </w:instrText>
            </w:r>
            <w:r>
              <w:rPr>
                <w:sz w:val="24"/>
                <w:szCs w:val="24"/>
                <w:highlight w:val="none"/>
              </w:rPr>
              <w:fldChar w:fldCharType="separate"/>
            </w:r>
            <w:r>
              <w:rPr>
                <w:sz w:val="24"/>
                <w:szCs w:val="24"/>
                <w:highlight w:val="none"/>
              </w:rPr>
              <w:t>⑥</w:t>
            </w:r>
            <w:r>
              <w:rPr>
                <w:sz w:val="24"/>
                <w:szCs w:val="24"/>
                <w:highlight w:val="none"/>
              </w:rPr>
              <w:fldChar w:fldCharType="end"/>
            </w:r>
            <w:r>
              <w:rPr>
                <w:sz w:val="24"/>
                <w:szCs w:val="24"/>
                <w:highlight w:val="none"/>
              </w:rPr>
              <w:t>危险废物收集、贮存、运输单位应编制应急预案。应急预案编制可参照《危险废物经营单位编制应急预案指南》，涉及运输的相关内容还应符合交通行政主管部门的有关规定。针对危险废物收集、贮存、运输过程中的事故易发环节应定期组织应急演练。</w:t>
            </w:r>
          </w:p>
          <w:p>
            <w:pPr>
              <w:keepNext w:val="0"/>
              <w:keepLines w:val="0"/>
              <w:pageBreakBefore w:val="0"/>
              <w:widowControl w:val="0"/>
              <w:kinsoku/>
              <w:wordWrap/>
              <w:overflowPunct/>
              <w:topLinePunct w:val="0"/>
              <w:autoSpaceDE/>
              <w:autoSpaceDN/>
              <w:bidi w:val="0"/>
              <w:spacing w:line="520" w:lineRule="exact"/>
              <w:ind w:firstLine="480"/>
              <w:rPr>
                <w:sz w:val="24"/>
                <w:szCs w:val="24"/>
                <w:highlight w:val="none"/>
              </w:rPr>
            </w:pPr>
            <w:r>
              <w:rPr>
                <w:rFonts w:hint="eastAsia" w:ascii="宋体" w:hAnsi="宋体" w:cs="宋体"/>
                <w:sz w:val="24"/>
                <w:szCs w:val="24"/>
                <w:highlight w:val="none"/>
              </w:rPr>
              <w:t>⑦</w:t>
            </w:r>
            <w:r>
              <w:rPr>
                <w:rFonts w:hint="eastAsia"/>
                <w:sz w:val="24"/>
                <w:szCs w:val="24"/>
                <w:highlight w:val="none"/>
              </w:rPr>
              <w:t>企业</w:t>
            </w:r>
            <w:r>
              <w:rPr>
                <w:sz w:val="24"/>
                <w:szCs w:val="24"/>
                <w:highlight w:val="none"/>
              </w:rPr>
              <w:t>要结合自身的实际情况，与生产记录相衔接，</w:t>
            </w:r>
            <w:r>
              <w:rPr>
                <w:rFonts w:hint="eastAsia"/>
                <w:sz w:val="24"/>
                <w:szCs w:val="24"/>
                <w:highlight w:val="none"/>
              </w:rPr>
              <w:t>根据</w:t>
            </w:r>
            <w:r>
              <w:rPr>
                <w:rFonts w:hint="eastAsia" w:ascii="宋体" w:hAnsi="宋体" w:cs="宋体"/>
                <w:color w:val="000000"/>
                <w:kern w:val="0"/>
                <w:sz w:val="24"/>
                <w:szCs w:val="24"/>
                <w:highlight w:val="none"/>
              </w:rPr>
              <w:t>《</w:t>
            </w:r>
            <w:r>
              <w:rPr>
                <w:sz w:val="24"/>
                <w:szCs w:val="24"/>
                <w:highlight w:val="none"/>
              </w:rPr>
              <w:fldChar w:fldCharType="begin"/>
            </w:r>
            <w:r>
              <w:rPr>
                <w:sz w:val="24"/>
                <w:szCs w:val="24"/>
                <w:highlight w:val="none"/>
              </w:rPr>
              <w:instrText xml:space="preserve"> HYPERLINK "https://www.mee.gov.cn/gkml/hbb/bgg/201601/W020160128385366835993.pdf" </w:instrText>
            </w:r>
            <w:r>
              <w:rPr>
                <w:sz w:val="24"/>
                <w:szCs w:val="24"/>
                <w:highlight w:val="none"/>
              </w:rPr>
              <w:fldChar w:fldCharType="separate"/>
            </w:r>
            <w:r>
              <w:rPr>
                <w:rFonts w:hint="eastAsia" w:ascii="宋体" w:hAnsi="宋体" w:cs="宋体"/>
                <w:color w:val="000000"/>
                <w:kern w:val="0"/>
                <w:sz w:val="24"/>
                <w:szCs w:val="24"/>
                <w:highlight w:val="none"/>
              </w:rPr>
              <w:t>危险废物产生单位管理计划制定指南</w:t>
            </w:r>
            <w:r>
              <w:rPr>
                <w:rFonts w:hint="eastAsia" w:ascii="宋体" w:hAnsi="宋体" w:cs="宋体"/>
                <w:color w:val="000000"/>
                <w:kern w:val="0"/>
                <w:sz w:val="24"/>
                <w:szCs w:val="24"/>
                <w:highlight w:val="none"/>
              </w:rPr>
              <w:fldChar w:fldCharType="end"/>
            </w:r>
            <w:r>
              <w:rPr>
                <w:rFonts w:hint="eastAsia" w:ascii="宋体" w:hAnsi="宋体" w:cs="宋体"/>
                <w:color w:val="000000"/>
                <w:kern w:val="0"/>
                <w:sz w:val="24"/>
                <w:szCs w:val="24"/>
                <w:highlight w:val="none"/>
              </w:rPr>
              <w:t>》</w:t>
            </w:r>
            <w:r>
              <w:rPr>
                <w:sz w:val="24"/>
                <w:szCs w:val="24"/>
                <w:highlight w:val="none"/>
              </w:rPr>
              <w:t>建立危险废物台账</w:t>
            </w:r>
            <w:r>
              <w:rPr>
                <w:rFonts w:hint="eastAsia"/>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sz w:val="24"/>
                <w:szCs w:val="24"/>
                <w:lang w:eastAsia="zh-CN"/>
              </w:rPr>
            </w:pPr>
            <w:r>
              <w:rPr>
                <w:sz w:val="24"/>
                <w:szCs w:val="24"/>
                <w:highlight w:val="none"/>
              </w:rPr>
              <w:t>建设单位认真落实上述</w:t>
            </w:r>
            <w:r>
              <w:rPr>
                <w:rFonts w:hint="eastAsia"/>
                <w:sz w:val="24"/>
                <w:szCs w:val="24"/>
                <w:highlight w:val="none"/>
              </w:rPr>
              <w:t>危险废物管理</w:t>
            </w:r>
            <w:r>
              <w:rPr>
                <w:sz w:val="24"/>
                <w:szCs w:val="24"/>
                <w:highlight w:val="none"/>
              </w:rPr>
              <w:t>处置方法，项目固体废弃物对周围环境不会产生明显影响。</w:t>
            </w:r>
          </w:p>
          <w:p>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zh-CN"/>
              </w:rPr>
              <w:t>环境管理要求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项目应按照《一般工业固体废物管理台账制定指南（试行）》（公告·2021年·第82号）、《排污许可证申请与核发技术规范工业固体废物（试行）》（HJ1200-2021）的要求规范管理一般工业固体废物。</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sz w:val="24"/>
                <w:szCs w:val="24"/>
              </w:rPr>
            </w:pPr>
            <w:r>
              <w:rPr>
                <w:rFonts w:hint="default" w:ascii="Times New Roman" w:hAnsi="Times New Roman" w:eastAsia="宋体" w:cs="Times New Roman"/>
                <w:color w:val="auto"/>
                <w:sz w:val="24"/>
                <w:szCs w:val="24"/>
                <w:highlight w:val="none"/>
                <w:lang w:val="en-US" w:eastAsia="zh-CN"/>
              </w:rPr>
              <w:t>贮存场所按照《环境保护图形标志—固体废物贮存（处置）场》（GB15562.2-1995）及修改单的要求设置环保图形标志，此外一般固废需按照《一般工业固体废物管理台账制定指南（试行）》（公告2021年第82号）的要求制定一般工业固体废物管理台账，并设立专人负责台账的管理与归档，一般工业固体废物管理台账保存期限不少于5年</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24"/>
              </w:rPr>
            </w:pPr>
            <w:r>
              <w:rPr>
                <w:b/>
                <w:sz w:val="24"/>
              </w:rPr>
              <w:t>（五）地下水、土壤环境影响分析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rPr>
            </w:pPr>
            <w:r>
              <w:rPr>
                <w:rFonts w:hint="eastAsia"/>
                <w:sz w:val="24"/>
              </w:rPr>
              <w:t>建设单位对化粪池</w:t>
            </w:r>
            <w:r>
              <w:rPr>
                <w:rFonts w:hint="eastAsia"/>
                <w:sz w:val="24"/>
                <w:lang w:eastAsia="zh-CN"/>
              </w:rPr>
              <w:t>、</w:t>
            </w:r>
            <w:r>
              <w:rPr>
                <w:rFonts w:hint="eastAsia"/>
                <w:sz w:val="24"/>
                <w:lang w:val="en-US" w:eastAsia="zh-CN"/>
              </w:rPr>
              <w:t>维修车间、危险废物贮存库</w:t>
            </w:r>
            <w:r>
              <w:rPr>
                <w:rFonts w:hint="eastAsia"/>
                <w:sz w:val="24"/>
              </w:rPr>
              <w:t>均做防渗防漏处理后，其废污水、危险废物正常情况下不直接下渗入地面，可杜绝地下水、土壤的污染途径。</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b/>
                <w:bCs/>
                <w:sz w:val="24"/>
              </w:rPr>
            </w:pPr>
            <w:r>
              <w:rPr>
                <w:rFonts w:hint="eastAsia"/>
                <w:b/>
                <w:bCs/>
                <w:sz w:val="24"/>
              </w:rPr>
              <w:t>地下水、土壤污染防治措施：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（1）分区控制措施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根据厂址各生产、生活功能单元可能产生污染的地区，对厂区可能</w:t>
            </w:r>
            <w:r>
              <w:rPr>
                <w:rFonts w:hint="eastAsia"/>
                <w:sz w:val="24"/>
                <w:lang w:eastAsia="zh-CN"/>
              </w:rPr>
              <w:t>泄漏</w:t>
            </w:r>
            <w:r>
              <w:rPr>
                <w:rFonts w:hint="eastAsia"/>
                <w:sz w:val="24"/>
              </w:rPr>
              <w:t>污染物的地面进行防渗处理，可有效</w:t>
            </w:r>
            <w:r>
              <w:rPr>
                <w:rFonts w:hint="eastAsia"/>
                <w:sz w:val="24"/>
                <w:lang w:eastAsia="zh-CN"/>
              </w:rPr>
              <w:t>防止</w:t>
            </w:r>
            <w:r>
              <w:rPr>
                <w:rFonts w:hint="eastAsia"/>
                <w:sz w:val="24"/>
              </w:rPr>
              <w:t>污染物渗入地下，并及时地将</w:t>
            </w:r>
            <w:r>
              <w:rPr>
                <w:rFonts w:hint="eastAsia"/>
                <w:sz w:val="24"/>
                <w:lang w:eastAsia="zh-CN"/>
              </w:rPr>
              <w:t>泄漏</w:t>
            </w:r>
            <w:r>
              <w:rPr>
                <w:rFonts w:hint="eastAsia"/>
                <w:sz w:val="24"/>
              </w:rPr>
              <w:t>、渗漏的污染物收集并进行集中处理。根据厂区各建筑物功能，将厂区划分为重点防渗区、一般防渗区和简单防渗区。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①重点防渗区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eastAsia="宋体"/>
                <w:sz w:val="24"/>
                <w:lang w:val="en-US" w:eastAsia="zh-CN"/>
              </w:rPr>
            </w:pPr>
            <w:r>
              <w:rPr>
                <w:rFonts w:hint="eastAsia"/>
                <w:sz w:val="24"/>
              </w:rPr>
              <w:t>指对地下水有污染的物料或者污染物</w:t>
            </w:r>
            <w:r>
              <w:rPr>
                <w:rFonts w:hint="eastAsia"/>
                <w:sz w:val="24"/>
                <w:lang w:eastAsia="zh-CN"/>
              </w:rPr>
              <w:t>泄漏</w:t>
            </w:r>
            <w:r>
              <w:rPr>
                <w:rFonts w:hint="eastAsia"/>
                <w:sz w:val="24"/>
              </w:rPr>
              <w:t>后，不能及时发现和处理的区城或者部位，主要包括</w:t>
            </w:r>
            <w:r>
              <w:rPr>
                <w:rFonts w:hint="eastAsia"/>
                <w:sz w:val="24"/>
                <w:lang w:eastAsia="zh-CN"/>
              </w:rPr>
              <w:t>危险废物贮存库</w:t>
            </w:r>
            <w:r>
              <w:rPr>
                <w:rFonts w:hint="eastAsia"/>
                <w:sz w:val="24"/>
              </w:rPr>
              <w:t>、</w:t>
            </w:r>
            <w:r>
              <w:rPr>
                <w:rFonts w:hint="eastAsia"/>
                <w:sz w:val="24"/>
                <w:lang w:eastAsia="zh-CN"/>
              </w:rPr>
              <w:t>维修车间</w:t>
            </w:r>
            <w:r>
              <w:rPr>
                <w:rFonts w:hint="eastAsia"/>
                <w:sz w:val="24"/>
              </w:rPr>
              <w:t>等。</w:t>
            </w:r>
            <w:r>
              <w:rPr>
                <w:rFonts w:hint="eastAsia"/>
                <w:sz w:val="24"/>
                <w:lang w:val="en-US" w:eastAsia="zh-CN"/>
              </w:rPr>
              <w:t>维修车间根据《环境影响评价技术导则 地下水环境》</w:t>
            </w:r>
            <w:r>
              <w:rPr>
                <w:rFonts w:hint="eastAsia"/>
                <w:sz w:val="24"/>
              </w:rPr>
              <w:t>：</w:t>
            </w:r>
            <w:r>
              <w:rPr>
                <w:rFonts w:hint="eastAsia"/>
                <w:color w:val="000000"/>
                <w:sz w:val="24"/>
                <w:szCs w:val="24"/>
              </w:rPr>
              <w:t>采用</w:t>
            </w:r>
            <w:r>
              <w:rPr>
                <w:rFonts w:hint="eastAsia"/>
                <w:color w:val="000000"/>
                <w:sz w:val="24"/>
                <w:szCs w:val="24"/>
                <w:lang w:val="en-US" w:eastAsia="zh-CN"/>
              </w:rPr>
              <w:t>等效黏土防渗层Mb≥6.0m</w:t>
            </w:r>
            <w:r>
              <w:rPr>
                <w:rFonts w:hint="eastAsia"/>
                <w:color w:val="000000"/>
                <w:sz w:val="24"/>
                <w:szCs w:val="24"/>
              </w:rPr>
              <w:t>，</w:t>
            </w:r>
            <w:r>
              <w:rPr>
                <w:rFonts w:hint="eastAsia"/>
                <w:color w:val="000000"/>
                <w:sz w:val="24"/>
                <w:szCs w:val="24"/>
                <w:lang w:val="en-US" w:eastAsia="zh-CN"/>
              </w:rPr>
              <w:t>K</w:t>
            </w:r>
            <w:r>
              <w:rPr>
                <w:rFonts w:hint="eastAsia"/>
                <w:color w:val="000000"/>
                <w:sz w:val="24"/>
                <w:szCs w:val="24"/>
              </w:rPr>
              <w:t>≤1×10</w:t>
            </w:r>
            <w:r>
              <w:rPr>
                <w:rFonts w:hint="eastAsia"/>
                <w:color w:val="000000"/>
                <w:sz w:val="24"/>
                <w:szCs w:val="24"/>
                <w:vertAlign w:val="superscript"/>
              </w:rPr>
              <w:t>-</w:t>
            </w:r>
            <w:r>
              <w:rPr>
                <w:rFonts w:hint="eastAsia"/>
                <w:color w:val="000000"/>
                <w:sz w:val="24"/>
                <w:szCs w:val="24"/>
                <w:vertAlign w:val="superscript"/>
                <w:lang w:val="en-US" w:eastAsia="zh-CN"/>
              </w:rPr>
              <w:t>7</w:t>
            </w:r>
            <w:r>
              <w:rPr>
                <w:rFonts w:hint="eastAsia"/>
                <w:color w:val="000000"/>
                <w:sz w:val="24"/>
                <w:szCs w:val="24"/>
              </w:rPr>
              <w:t>cm/s</w:t>
            </w:r>
            <w:r>
              <w:rPr>
                <w:rFonts w:hint="eastAsia"/>
                <w:sz w:val="24"/>
              </w:rPr>
              <w:t>或参照GB16889执行。</w:t>
            </w:r>
            <w:r>
              <w:rPr>
                <w:rFonts w:hint="eastAsia"/>
                <w:sz w:val="24"/>
                <w:lang w:val="en-US" w:eastAsia="zh-CN"/>
              </w:rPr>
              <w:t>危险废物贮存库应根据</w:t>
            </w:r>
            <w:r>
              <w:rPr>
                <w:sz w:val="24"/>
              </w:rPr>
              <w:t>《危险废物贮存污染控制标准》（GB18597-20</w:t>
            </w:r>
            <w:r>
              <w:rPr>
                <w:rFonts w:hint="eastAsia"/>
                <w:sz w:val="24"/>
                <w:lang w:val="en-US" w:eastAsia="zh-CN"/>
              </w:rPr>
              <w:t>23</w:t>
            </w:r>
            <w:r>
              <w:rPr>
                <w:sz w:val="24"/>
              </w:rPr>
              <w:t>）</w:t>
            </w:r>
            <w:r>
              <w:rPr>
                <w:rFonts w:hint="eastAsia"/>
                <w:sz w:val="24"/>
                <w:lang w:val="en-US" w:eastAsia="zh-CN"/>
              </w:rPr>
              <w:t>中要求，表面防渗材料应与所接触的物料或污染物相容，采用抗渗混凝土、高密度聚乙烯膜、钠基膨润土防水毯或其他防渗性能等效的材料。贮存的危险废物直接接触地面的，还应进行基础防渗，防渗层为至少1m厚黏土层（渗透系数不大于10</w:t>
            </w:r>
            <w:r>
              <w:rPr>
                <w:rFonts w:hint="eastAsia"/>
                <w:sz w:val="24"/>
                <w:vertAlign w:val="superscript"/>
                <w:lang w:val="en-US" w:eastAsia="zh-CN"/>
              </w:rPr>
              <w:t>-7</w:t>
            </w:r>
            <w:r>
              <w:rPr>
                <w:rFonts w:hint="eastAsia"/>
                <w:sz w:val="24"/>
                <w:lang w:val="en-US" w:eastAsia="zh-CN"/>
              </w:rPr>
              <w:t xml:space="preserve"> cm/s），或至少2mm厚高密度聚乙烯膜等人工防渗材料（渗透系数不大于10</w:t>
            </w:r>
            <w:r>
              <w:rPr>
                <w:rFonts w:hint="eastAsia"/>
                <w:sz w:val="24"/>
                <w:vertAlign w:val="superscript"/>
                <w:lang w:val="en-US" w:eastAsia="zh-CN"/>
              </w:rPr>
              <w:t xml:space="preserve">-10 </w:t>
            </w:r>
            <w:r>
              <w:rPr>
                <w:rFonts w:hint="eastAsia"/>
                <w:sz w:val="24"/>
                <w:lang w:val="en-US" w:eastAsia="zh-CN"/>
              </w:rPr>
              <w:t>cm/s），或其他防渗性能等效的材料。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②一般防渗区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指对地下水环境有污染的物料或者污染物</w:t>
            </w:r>
            <w:r>
              <w:rPr>
                <w:rFonts w:hint="eastAsia"/>
                <w:sz w:val="24"/>
                <w:lang w:eastAsia="zh-CN"/>
              </w:rPr>
              <w:t>泄漏</w:t>
            </w:r>
            <w:r>
              <w:rPr>
                <w:rFonts w:hint="eastAsia"/>
                <w:sz w:val="24"/>
              </w:rPr>
              <w:t>后，可及时发现和处理的区域或部位，主要为</w:t>
            </w:r>
            <w:r>
              <w:rPr>
                <w:rFonts w:hint="eastAsia"/>
                <w:sz w:val="24"/>
                <w:lang w:eastAsia="zh-CN"/>
              </w:rPr>
              <w:t>一般固体废物贮存库、化粪池、</w:t>
            </w:r>
            <w:r>
              <w:rPr>
                <w:rFonts w:hint="eastAsia"/>
                <w:sz w:val="24"/>
                <w:lang w:val="en-US" w:eastAsia="zh-CN"/>
              </w:rPr>
              <w:t>三级沉淀池</w:t>
            </w:r>
            <w:r>
              <w:rPr>
                <w:rFonts w:hint="eastAsia"/>
                <w:sz w:val="24"/>
                <w:lang w:eastAsia="zh-CN"/>
              </w:rPr>
              <w:t>、</w:t>
            </w:r>
            <w:r>
              <w:rPr>
                <w:rFonts w:hint="eastAsia"/>
                <w:sz w:val="24"/>
                <w:lang w:val="en-US" w:eastAsia="zh-CN"/>
              </w:rPr>
              <w:t>搅拌机楼</w:t>
            </w:r>
            <w:r>
              <w:rPr>
                <w:rFonts w:hint="eastAsia"/>
                <w:sz w:val="24"/>
                <w:lang w:eastAsia="zh-CN"/>
              </w:rPr>
              <w:t>主体</w:t>
            </w:r>
            <w:r>
              <w:rPr>
                <w:rFonts w:hint="eastAsia"/>
                <w:sz w:val="24"/>
              </w:rPr>
              <w:t>。该区域防渗技术要求：等效黏土防渗层Mb≥1.5m，K≤1×10</w:t>
            </w:r>
            <w:r>
              <w:rPr>
                <w:rFonts w:hint="eastAsia"/>
                <w:sz w:val="24"/>
                <w:vertAlign w:val="superscript"/>
              </w:rPr>
              <w:t>-7</w:t>
            </w:r>
            <w:r>
              <w:rPr>
                <w:rFonts w:hint="eastAsia"/>
                <w:sz w:val="24"/>
              </w:rPr>
              <w:t>cm/s或参照GB16889执行。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③简单防渗区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项目简单防渗区主要为</w:t>
            </w:r>
            <w:r>
              <w:rPr>
                <w:rFonts w:hint="eastAsia"/>
                <w:sz w:val="24"/>
                <w:lang w:val="en-US" w:eastAsia="zh-CN"/>
              </w:rPr>
              <w:t>堆仓</w:t>
            </w:r>
            <w:r>
              <w:rPr>
                <w:rFonts w:hint="eastAsia"/>
                <w:sz w:val="24"/>
              </w:rPr>
              <w:t>不会对地下水环境造成污染或可能产生轻微污染的，采取的防渗措施为</w:t>
            </w:r>
            <w:r>
              <w:rPr>
                <w:sz w:val="24"/>
              </w:rPr>
              <w:t>地面混凝土</w:t>
            </w:r>
            <w:r>
              <w:rPr>
                <w:rFonts w:hint="eastAsia"/>
                <w:sz w:val="24"/>
                <w:lang w:eastAsia="zh-CN"/>
              </w:rPr>
              <w:t>浇筑</w:t>
            </w:r>
            <w:r>
              <w:rPr>
                <w:sz w:val="24"/>
              </w:rPr>
              <w:t>底板，达到</w:t>
            </w:r>
            <w:r>
              <w:rPr>
                <w:rFonts w:hint="eastAsia"/>
                <w:sz w:val="24"/>
              </w:rPr>
              <w:t>简单防渗</w:t>
            </w:r>
            <w:r>
              <w:rPr>
                <w:sz w:val="24"/>
              </w:rPr>
              <w:t>要求</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eastAsia="宋体"/>
                <w:sz w:val="24"/>
                <w:lang w:eastAsia="zh-CN"/>
              </w:rPr>
            </w:pPr>
            <w:r>
              <w:rPr>
                <w:rFonts w:hint="eastAsia"/>
                <w:sz w:val="24"/>
              </w:rPr>
              <w:t>针对不同的防渗区域采取不同防渗措施，并给出不同分区的具体防渗要求。项目分区防渗要求见</w:t>
            </w:r>
            <w:r>
              <w:rPr>
                <w:rFonts w:hint="eastAsia"/>
                <w:sz w:val="24"/>
                <w:lang w:eastAsia="zh-CN"/>
              </w:rPr>
              <w:t>下表。</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eastAsia="宋体"/>
                <w:b/>
                <w:bCs/>
                <w:sz w:val="24"/>
                <w:lang w:val="en-US" w:eastAsia="zh-CN"/>
              </w:rPr>
            </w:pPr>
            <w:r>
              <w:rPr>
                <w:rFonts w:hint="eastAsia"/>
                <w:b/>
                <w:bCs/>
                <w:sz w:val="24"/>
                <w:lang w:eastAsia="zh-CN"/>
              </w:rPr>
              <w:t>表</w:t>
            </w:r>
            <w:r>
              <w:rPr>
                <w:rFonts w:hint="eastAsia"/>
                <w:b/>
                <w:bCs/>
                <w:sz w:val="24"/>
                <w:lang w:val="en-US" w:eastAsia="zh-CN"/>
              </w:rPr>
              <w:t>4-10   厂区主要设施采取的防渗措施</w:t>
            </w:r>
          </w:p>
          <w:tbl>
            <w:tblPr>
              <w:tblStyle w:val="21"/>
              <w:tblW w:w="498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634"/>
              <w:gridCol w:w="540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1732" w:type="pct"/>
                  <w:gridSpan w:val="2"/>
                  <w:noWrap w:val="0"/>
                  <w:vAlign w:val="center"/>
                </w:tcPr>
                <w:p>
                  <w:pPr>
                    <w:jc w:val="center"/>
                    <w:rPr>
                      <w:rFonts w:hint="eastAsia"/>
                      <w:color w:val="000000"/>
                      <w:szCs w:val="21"/>
                      <w:lang w:eastAsia="zh-CN"/>
                    </w:rPr>
                  </w:pPr>
                  <w:r>
                    <w:rPr>
                      <w:rFonts w:hint="eastAsia"/>
                      <w:color w:val="000000"/>
                      <w:szCs w:val="21"/>
                      <w:lang w:eastAsia="zh-CN"/>
                    </w:rPr>
                    <w:t>防渗区域</w:t>
                  </w:r>
                </w:p>
              </w:tc>
              <w:tc>
                <w:tcPr>
                  <w:tcW w:w="3267" w:type="pct"/>
                  <w:noWrap w:val="0"/>
                  <w:vAlign w:val="center"/>
                </w:tcPr>
                <w:p>
                  <w:pPr>
                    <w:jc w:val="center"/>
                    <w:rPr>
                      <w:rFonts w:hint="eastAsia" w:eastAsia="宋体"/>
                      <w:color w:val="000000"/>
                      <w:szCs w:val="21"/>
                      <w:lang w:eastAsia="zh-CN"/>
                    </w:rPr>
                  </w:pPr>
                  <w:r>
                    <w:rPr>
                      <w:rFonts w:hint="eastAsia"/>
                      <w:color w:val="000000"/>
                      <w:szCs w:val="21"/>
                      <w:lang w:eastAsia="zh-CN"/>
                    </w:rPr>
                    <w:t>具体要求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745" w:type="pct"/>
                  <w:vMerge w:val="restart"/>
                  <w:noWrap w:val="0"/>
                  <w:vAlign w:val="center"/>
                </w:tcPr>
                <w:p>
                  <w:pPr>
                    <w:jc w:val="center"/>
                    <w:rPr>
                      <w:rFonts w:hint="eastAsia" w:eastAsia="宋体"/>
                      <w:color w:val="000000"/>
                      <w:szCs w:val="21"/>
                      <w:lang w:eastAsia="zh-CN"/>
                    </w:rPr>
                  </w:pPr>
                  <w:r>
                    <w:rPr>
                      <w:rFonts w:hint="eastAsia"/>
                      <w:color w:val="000000"/>
                      <w:szCs w:val="21"/>
                      <w:lang w:eastAsia="zh-CN"/>
                    </w:rPr>
                    <w:t>重点防渗区</w:t>
                  </w:r>
                </w:p>
              </w:tc>
              <w:tc>
                <w:tcPr>
                  <w:tcW w:w="987" w:type="pct"/>
                  <w:noWrap w:val="0"/>
                  <w:vAlign w:val="center"/>
                </w:tcPr>
                <w:p>
                  <w:pPr>
                    <w:jc w:val="center"/>
                    <w:rPr>
                      <w:rFonts w:hint="eastAsia" w:eastAsia="宋体"/>
                      <w:color w:val="000000"/>
                      <w:sz w:val="21"/>
                      <w:szCs w:val="21"/>
                      <w:lang w:eastAsia="zh-CN"/>
                    </w:rPr>
                  </w:pPr>
                  <w:r>
                    <w:rPr>
                      <w:rFonts w:hint="eastAsia"/>
                      <w:color w:val="000000"/>
                      <w:sz w:val="21"/>
                      <w:szCs w:val="21"/>
                      <w:lang w:eastAsia="zh-CN"/>
                    </w:rPr>
                    <w:t>维修车间</w:t>
                  </w:r>
                </w:p>
              </w:tc>
              <w:tc>
                <w:tcPr>
                  <w:tcW w:w="3267" w:type="pct"/>
                  <w:noWrap w:val="0"/>
                  <w:vAlign w:val="center"/>
                </w:tcPr>
                <w:p>
                  <w:pPr>
                    <w:jc w:val="center"/>
                    <w:rPr>
                      <w:rFonts w:hint="default" w:eastAsia="宋体"/>
                      <w:color w:val="000000"/>
                      <w:sz w:val="21"/>
                      <w:szCs w:val="21"/>
                      <w:lang w:val="en-US" w:eastAsia="zh-CN"/>
                    </w:rPr>
                  </w:pPr>
                  <w:r>
                    <w:rPr>
                      <w:rFonts w:hint="eastAsia"/>
                      <w:color w:val="000000"/>
                      <w:sz w:val="21"/>
                      <w:szCs w:val="21"/>
                    </w:rPr>
                    <w:t>采用</w:t>
                  </w:r>
                  <w:r>
                    <w:rPr>
                      <w:rFonts w:hint="eastAsia"/>
                      <w:color w:val="000000"/>
                      <w:sz w:val="21"/>
                      <w:szCs w:val="21"/>
                      <w:lang w:val="en-US" w:eastAsia="zh-CN"/>
                    </w:rPr>
                    <w:t>等效黏土防渗层Mb≥6.0m</w:t>
                  </w:r>
                  <w:r>
                    <w:rPr>
                      <w:rFonts w:hint="eastAsia"/>
                      <w:color w:val="000000"/>
                      <w:sz w:val="21"/>
                      <w:szCs w:val="21"/>
                    </w:rPr>
                    <w:t>，</w:t>
                  </w:r>
                  <w:r>
                    <w:rPr>
                      <w:rFonts w:hint="eastAsia"/>
                      <w:color w:val="000000"/>
                      <w:sz w:val="21"/>
                      <w:szCs w:val="21"/>
                      <w:lang w:val="en-US" w:eastAsia="zh-CN"/>
                    </w:rPr>
                    <w:t>K</w:t>
                  </w:r>
                  <w:r>
                    <w:rPr>
                      <w:rFonts w:hint="eastAsia"/>
                      <w:color w:val="000000"/>
                      <w:sz w:val="21"/>
                      <w:szCs w:val="21"/>
                    </w:rPr>
                    <w:t>≤1×10</w:t>
                  </w:r>
                  <w:r>
                    <w:rPr>
                      <w:rFonts w:hint="eastAsia"/>
                      <w:color w:val="000000"/>
                      <w:sz w:val="21"/>
                      <w:szCs w:val="21"/>
                      <w:vertAlign w:val="superscript"/>
                    </w:rPr>
                    <w:t>-</w:t>
                  </w:r>
                  <w:r>
                    <w:rPr>
                      <w:rFonts w:hint="eastAsia"/>
                      <w:color w:val="000000"/>
                      <w:sz w:val="21"/>
                      <w:szCs w:val="21"/>
                      <w:vertAlign w:val="superscript"/>
                      <w:lang w:val="en-US" w:eastAsia="zh-CN"/>
                    </w:rPr>
                    <w:t>7</w:t>
                  </w:r>
                  <w:r>
                    <w:rPr>
                      <w:rFonts w:hint="eastAsia"/>
                      <w:color w:val="000000"/>
                      <w:sz w:val="21"/>
                      <w:szCs w:val="21"/>
                    </w:rPr>
                    <w:t>cm/s</w:t>
                  </w:r>
                  <w:r>
                    <w:rPr>
                      <w:rFonts w:hint="eastAsia"/>
                      <w:sz w:val="21"/>
                      <w:szCs w:val="21"/>
                    </w:rPr>
                    <w:t>或参照GB16889执行。</w:t>
                  </w:r>
                  <w:r>
                    <w:rPr>
                      <w:rFonts w:hint="eastAsia"/>
                      <w:color w:val="000000"/>
                      <w:sz w:val="21"/>
                      <w:szCs w:val="21"/>
                      <w:lang w:eastAsia="zh-CN"/>
                    </w:rPr>
                    <w:t>沥青维修车间、燃油维修车间设置围堰，围堰高度不小于</w:t>
                  </w:r>
                  <w:r>
                    <w:rPr>
                      <w:rFonts w:hint="eastAsia"/>
                      <w:color w:val="000000"/>
                      <w:sz w:val="21"/>
                      <w:szCs w:val="21"/>
                      <w:lang w:val="en-US" w:eastAsia="zh-CN"/>
                    </w:rPr>
                    <w:t>30cm</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745" w:type="pct"/>
                  <w:vMerge w:val="continue"/>
                  <w:noWrap w:val="0"/>
                  <w:vAlign w:val="center"/>
                </w:tcPr>
                <w:p>
                  <w:pPr>
                    <w:jc w:val="center"/>
                    <w:rPr>
                      <w:rFonts w:hint="eastAsia"/>
                      <w:color w:val="000000"/>
                      <w:szCs w:val="21"/>
                      <w:lang w:eastAsia="zh-CN"/>
                    </w:rPr>
                  </w:pPr>
                </w:p>
              </w:tc>
              <w:tc>
                <w:tcPr>
                  <w:tcW w:w="987" w:type="pct"/>
                  <w:noWrap w:val="0"/>
                  <w:vAlign w:val="center"/>
                </w:tcPr>
                <w:p>
                  <w:pPr>
                    <w:jc w:val="center"/>
                    <w:rPr>
                      <w:rFonts w:hint="eastAsia"/>
                      <w:color w:val="000000"/>
                      <w:sz w:val="21"/>
                      <w:szCs w:val="21"/>
                      <w:lang w:eastAsia="zh-CN"/>
                    </w:rPr>
                  </w:pPr>
                  <w:r>
                    <w:rPr>
                      <w:rFonts w:hint="eastAsia"/>
                      <w:color w:val="000000"/>
                      <w:sz w:val="21"/>
                      <w:szCs w:val="21"/>
                      <w:lang w:eastAsia="zh-CN"/>
                    </w:rPr>
                    <w:t>危险废物贮存库</w:t>
                  </w:r>
                </w:p>
              </w:tc>
              <w:tc>
                <w:tcPr>
                  <w:tcW w:w="3267" w:type="pct"/>
                  <w:noWrap w:val="0"/>
                  <w:vAlign w:val="center"/>
                </w:tcPr>
                <w:p>
                  <w:pPr>
                    <w:jc w:val="center"/>
                    <w:rPr>
                      <w:rFonts w:hint="eastAsia"/>
                      <w:color w:val="000000"/>
                      <w:sz w:val="21"/>
                      <w:szCs w:val="21"/>
                    </w:rPr>
                  </w:pPr>
                  <w:r>
                    <w:rPr>
                      <w:rFonts w:hint="eastAsia"/>
                      <w:sz w:val="21"/>
                      <w:szCs w:val="21"/>
                      <w:lang w:val="en-US" w:eastAsia="zh-CN"/>
                    </w:rPr>
                    <w:t>表面防渗材料应与所接触的物料或污染物相容，采用抗渗混凝土、高密度聚乙烯膜、钠基膨润土防水毯或其他防渗性能等效的材料。贮存的危险废物直接接触地面的，还应进行基础防渗，防渗层为至少1m厚黏土层（渗透系数不大于10</w:t>
                  </w:r>
                  <w:r>
                    <w:rPr>
                      <w:rFonts w:hint="eastAsia"/>
                      <w:sz w:val="21"/>
                      <w:szCs w:val="21"/>
                      <w:vertAlign w:val="superscript"/>
                      <w:lang w:val="en-US" w:eastAsia="zh-CN"/>
                    </w:rPr>
                    <w:t>-7</w:t>
                  </w:r>
                  <w:r>
                    <w:rPr>
                      <w:rFonts w:hint="eastAsia"/>
                      <w:sz w:val="21"/>
                      <w:szCs w:val="21"/>
                      <w:lang w:val="en-US" w:eastAsia="zh-CN"/>
                    </w:rPr>
                    <w:t xml:space="preserve"> cm/s），或至少2mm厚高密度聚乙烯膜等人工防渗材料（渗透系数不大于10</w:t>
                  </w:r>
                  <w:r>
                    <w:rPr>
                      <w:rFonts w:hint="eastAsia"/>
                      <w:sz w:val="21"/>
                      <w:szCs w:val="21"/>
                      <w:vertAlign w:val="superscript"/>
                      <w:lang w:val="en-US" w:eastAsia="zh-CN"/>
                    </w:rPr>
                    <w:t xml:space="preserve">-10 </w:t>
                  </w:r>
                  <w:r>
                    <w:rPr>
                      <w:rFonts w:hint="eastAsia"/>
                      <w:sz w:val="21"/>
                      <w:szCs w:val="21"/>
                      <w:lang w:val="en-US" w:eastAsia="zh-CN"/>
                    </w:rPr>
                    <w:t>cm/s），或其他防渗性能等效的材料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745" w:type="pct"/>
                  <w:noWrap w:val="0"/>
                  <w:vAlign w:val="center"/>
                </w:tcPr>
                <w:p>
                  <w:pPr>
                    <w:jc w:val="center"/>
                    <w:rPr>
                      <w:rFonts w:hint="eastAsia" w:eastAsia="宋体"/>
                      <w:color w:val="000000"/>
                      <w:szCs w:val="21"/>
                      <w:lang w:eastAsia="zh-CN"/>
                    </w:rPr>
                  </w:pPr>
                  <w:r>
                    <w:rPr>
                      <w:rFonts w:hint="eastAsia"/>
                      <w:color w:val="000000"/>
                      <w:szCs w:val="21"/>
                      <w:lang w:eastAsia="zh-CN"/>
                    </w:rPr>
                    <w:t>一般防渗区</w:t>
                  </w:r>
                </w:p>
              </w:tc>
              <w:tc>
                <w:tcPr>
                  <w:tcW w:w="987" w:type="pct"/>
                  <w:noWrap w:val="0"/>
                  <w:vAlign w:val="center"/>
                </w:tcPr>
                <w:p>
                  <w:pPr>
                    <w:jc w:val="center"/>
                    <w:rPr>
                      <w:rFonts w:hint="eastAsia" w:eastAsia="宋体"/>
                      <w:color w:val="000000"/>
                      <w:sz w:val="21"/>
                      <w:szCs w:val="21"/>
                      <w:lang w:eastAsia="zh-CN"/>
                    </w:rPr>
                  </w:pPr>
                  <w:r>
                    <w:rPr>
                      <w:rFonts w:hint="eastAsia"/>
                      <w:lang w:eastAsia="zh-CN"/>
                    </w:rPr>
                    <w:t>化粪池、</w:t>
                  </w:r>
                  <w:r>
                    <w:rPr>
                      <w:rFonts w:hint="eastAsia"/>
                      <w:lang w:val="en-US" w:eastAsia="zh-CN"/>
                    </w:rPr>
                    <w:t>三级沉淀池、</w:t>
                  </w:r>
                  <w:r>
                    <w:rPr>
                      <w:rFonts w:hint="eastAsia"/>
                      <w:color w:val="000000"/>
                      <w:sz w:val="21"/>
                      <w:szCs w:val="21"/>
                      <w:lang w:eastAsia="zh-CN"/>
                    </w:rPr>
                    <w:t>一般固体废物贮存库、</w:t>
                  </w:r>
                  <w:r>
                    <w:rPr>
                      <w:rFonts w:hint="eastAsia"/>
                      <w:color w:val="000000"/>
                      <w:sz w:val="21"/>
                      <w:szCs w:val="21"/>
                      <w:lang w:val="en-US" w:eastAsia="zh-CN"/>
                    </w:rPr>
                    <w:t>搅拌机主楼</w:t>
                  </w:r>
                </w:p>
              </w:tc>
              <w:tc>
                <w:tcPr>
                  <w:tcW w:w="3267" w:type="pct"/>
                  <w:noWrap w:val="0"/>
                  <w:vAlign w:val="center"/>
                </w:tcPr>
                <w:p>
                  <w:pPr>
                    <w:jc w:val="center"/>
                    <w:rPr>
                      <w:rFonts w:hint="eastAsia"/>
                      <w:color w:val="000000"/>
                      <w:sz w:val="21"/>
                      <w:szCs w:val="21"/>
                    </w:rPr>
                  </w:pPr>
                  <w:r>
                    <w:rPr>
                      <w:rFonts w:hint="eastAsia"/>
                      <w:sz w:val="21"/>
                      <w:szCs w:val="21"/>
                    </w:rPr>
                    <w:t>等效黏土防渗层Mb≥1.5m，K≤1×10</w:t>
                  </w:r>
                  <w:r>
                    <w:rPr>
                      <w:rFonts w:hint="eastAsia"/>
                      <w:sz w:val="21"/>
                      <w:szCs w:val="21"/>
                      <w:vertAlign w:val="superscript"/>
                    </w:rPr>
                    <w:t>-7</w:t>
                  </w:r>
                  <w:r>
                    <w:rPr>
                      <w:rFonts w:hint="eastAsia"/>
                      <w:sz w:val="21"/>
                      <w:szCs w:val="21"/>
                    </w:rPr>
                    <w:t>cm/s或参照GB16889执行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745" w:type="pct"/>
                  <w:noWrap w:val="0"/>
                  <w:vAlign w:val="center"/>
                </w:tcPr>
                <w:p>
                  <w:pPr>
                    <w:jc w:val="center"/>
                    <w:rPr>
                      <w:rFonts w:hint="eastAsia"/>
                      <w:color w:val="000000"/>
                      <w:szCs w:val="21"/>
                      <w:lang w:eastAsia="zh-CN"/>
                    </w:rPr>
                  </w:pPr>
                  <w:r>
                    <w:rPr>
                      <w:rFonts w:hint="eastAsia"/>
                      <w:color w:val="000000"/>
                      <w:szCs w:val="21"/>
                      <w:lang w:eastAsia="zh-CN"/>
                    </w:rPr>
                    <w:t>简单防渗区</w:t>
                  </w:r>
                </w:p>
              </w:tc>
              <w:tc>
                <w:tcPr>
                  <w:tcW w:w="987" w:type="pct"/>
                  <w:noWrap w:val="0"/>
                  <w:vAlign w:val="center"/>
                </w:tcPr>
                <w:p>
                  <w:pPr>
                    <w:jc w:val="center"/>
                    <w:rPr>
                      <w:rFonts w:hint="default" w:eastAsia="宋体"/>
                      <w:color w:val="000000"/>
                      <w:szCs w:val="21"/>
                      <w:lang w:val="en-US" w:eastAsia="zh-CN"/>
                    </w:rPr>
                  </w:pPr>
                  <w:r>
                    <w:rPr>
                      <w:rFonts w:hint="eastAsia"/>
                      <w:color w:val="000000"/>
                      <w:szCs w:val="21"/>
                      <w:lang w:val="en-US" w:eastAsia="zh-CN"/>
                    </w:rPr>
                    <w:t>砂石料堆仓、</w:t>
                  </w:r>
                  <w:r>
                    <w:rPr>
                      <w:rFonts w:hint="eastAsia"/>
                      <w:color w:val="000000"/>
                      <w:szCs w:val="21"/>
                      <w:lang w:eastAsia="zh-CN"/>
                    </w:rPr>
                    <w:t>办公</w:t>
                  </w:r>
                  <w:r>
                    <w:rPr>
                      <w:rFonts w:hint="eastAsia"/>
                      <w:color w:val="000000"/>
                      <w:szCs w:val="21"/>
                      <w:lang w:val="en-US" w:eastAsia="zh-CN"/>
                    </w:rPr>
                    <w:t>楼等</w:t>
                  </w:r>
                </w:p>
              </w:tc>
              <w:tc>
                <w:tcPr>
                  <w:tcW w:w="3267" w:type="pct"/>
                  <w:noWrap w:val="0"/>
                  <w:vAlign w:val="center"/>
                </w:tcPr>
                <w:p>
                  <w:pPr>
                    <w:jc w:val="center"/>
                    <w:rPr>
                      <w:rFonts w:hint="eastAsia" w:eastAsia="宋体"/>
                      <w:color w:val="000000"/>
                      <w:szCs w:val="21"/>
                      <w:lang w:eastAsia="zh-CN"/>
                    </w:rPr>
                  </w:pPr>
                  <w:r>
                    <w:rPr>
                      <w:rFonts w:hint="eastAsia" w:eastAsia="宋体"/>
                      <w:color w:val="000000"/>
                      <w:szCs w:val="21"/>
                      <w:lang w:eastAsia="zh-CN"/>
                    </w:rPr>
                    <w:t>地面混凝土浇筑底板</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w:t>
            </w:r>
            <w:r>
              <w:rPr>
                <w:rFonts w:hint="eastAsia"/>
                <w:sz w:val="24"/>
                <w:lang w:val="en-US" w:eastAsia="zh-CN"/>
              </w:rPr>
              <w:t>2</w:t>
            </w:r>
            <w:r>
              <w:rPr>
                <w:rFonts w:hint="eastAsia"/>
                <w:sz w:val="24"/>
              </w:rPr>
              <w:t>）跟踪监测要求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rPr>
              <w:t>根据项目生产特点和主要污染物的排放情况，</w:t>
            </w:r>
            <w:r>
              <w:rPr>
                <w:rFonts w:hint="eastAsia"/>
                <w:sz w:val="24"/>
              </w:rPr>
              <w:t>其废污水、危险废物正常情况下不直接下渗入地面，可杜绝地下水、土壤的污染途径</w:t>
            </w:r>
            <w:r>
              <w:rPr>
                <w:rFonts w:hint="eastAsia"/>
                <w:sz w:val="24"/>
                <w:lang w:eastAsia="zh-CN"/>
              </w:rPr>
              <w:t>，故不开展地下水及土壤监测计划</w:t>
            </w:r>
            <w:r>
              <w:rPr>
                <w:rFonts w:hint="eastAsia" w:ascii="Times New Roman" w:hAnsi="Times New Roman" w:eastAsia="宋体" w:cs="Times New Roman"/>
                <w:sz w:val="24"/>
                <w:lang w:eastAsia="zh-CN"/>
              </w:rPr>
              <w:t>。</w:t>
            </w:r>
          </w:p>
          <w:p>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cs="宋体"/>
                <w:b/>
                <w:sz w:val="24"/>
              </w:rPr>
            </w:pPr>
            <w:r>
              <w:rPr>
                <w:rFonts w:hint="eastAsia" w:ascii="宋体" w:hAnsi="宋体" w:cs="宋体"/>
                <w:b/>
                <w:sz w:val="24"/>
              </w:rPr>
              <w:t>（六）环境风险分析</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b/>
                <w:bCs/>
                <w:sz w:val="24"/>
              </w:rPr>
            </w:pPr>
            <w:r>
              <w:rPr>
                <w:b/>
                <w:bCs/>
                <w:sz w:val="24"/>
              </w:rPr>
              <w:t>1</w:t>
            </w:r>
            <w:r>
              <w:rPr>
                <w:rFonts w:hint="eastAsia"/>
                <w:b/>
                <w:bCs/>
                <w:sz w:val="24"/>
              </w:rPr>
              <w:t>.</w:t>
            </w:r>
            <w:r>
              <w:rPr>
                <w:b/>
                <w:bCs/>
                <w:sz w:val="24"/>
              </w:rPr>
              <w:t>本项目</w:t>
            </w:r>
            <w:r>
              <w:rPr>
                <w:rFonts w:hint="eastAsia"/>
                <w:b/>
                <w:bCs/>
                <w:sz w:val="24"/>
              </w:rPr>
              <w:t>风险物质识别</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sz w:val="24"/>
                <w:szCs w:val="32"/>
              </w:rPr>
            </w:pPr>
            <w:r>
              <w:rPr>
                <w:rFonts w:hint="eastAsia"/>
                <w:sz w:val="24"/>
                <w:szCs w:val="32"/>
              </w:rPr>
              <w:t>按照《建设项目环境风险评价技术导则》（HJ 169-2018）附录B中的“突发环境事件风险物质及临界量表</w:t>
            </w:r>
            <w:r>
              <w:rPr>
                <w:rFonts w:hint="eastAsia"/>
                <w:sz w:val="24"/>
                <w:szCs w:val="32"/>
                <w:lang w:eastAsia="zh-CN"/>
              </w:rPr>
              <w:t>”</w:t>
            </w:r>
            <w:r>
              <w:rPr>
                <w:rFonts w:hint="eastAsia"/>
                <w:sz w:val="24"/>
                <w:szCs w:val="32"/>
              </w:rPr>
              <w:t>进行危险性识别，</w:t>
            </w:r>
            <w:r>
              <w:rPr>
                <w:rFonts w:hint="eastAsia"/>
                <w:sz w:val="24"/>
                <w:szCs w:val="32"/>
                <w:lang w:eastAsia="zh-CN"/>
              </w:rPr>
              <w:t>本项目涉及</w:t>
            </w:r>
            <w:r>
              <w:rPr>
                <w:rFonts w:hint="eastAsia"/>
                <w:sz w:val="24"/>
                <w:szCs w:val="32"/>
              </w:rPr>
              <w:t>的环境风险物质主要为</w:t>
            </w:r>
            <w:r>
              <w:rPr>
                <w:rFonts w:hint="eastAsia"/>
                <w:sz w:val="24"/>
                <w:szCs w:val="32"/>
                <w:lang w:val="en-US" w:eastAsia="zh-CN"/>
              </w:rPr>
              <w:t>废润滑油</w:t>
            </w:r>
            <w:r>
              <w:rPr>
                <w:rFonts w:hint="eastAsia"/>
                <w:sz w:val="24"/>
                <w:szCs w:val="32"/>
                <w:lang w:eastAsia="zh-CN"/>
              </w:rPr>
              <w:t>、</w:t>
            </w:r>
            <w:r>
              <w:rPr>
                <w:rFonts w:hint="eastAsia"/>
                <w:sz w:val="24"/>
                <w:szCs w:val="32"/>
                <w:lang w:val="en-US" w:eastAsia="zh-CN"/>
              </w:rPr>
              <w:t>废润滑油桶</w:t>
            </w:r>
            <w:r>
              <w:rPr>
                <w:rFonts w:hint="eastAsia"/>
                <w:sz w:val="24"/>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hint="eastAsia"/>
                <w:b/>
                <w:sz w:val="24"/>
              </w:rPr>
            </w:pPr>
            <w:r>
              <w:rPr>
                <w:rFonts w:hint="eastAsia"/>
                <w:b/>
                <w:sz w:val="24"/>
              </w:rPr>
              <w:t>2.风险源分布</w:t>
            </w:r>
          </w:p>
          <w:p>
            <w:pPr>
              <w:keepNext w:val="0"/>
              <w:keepLines w:val="0"/>
              <w:pageBreakBefore w:val="0"/>
              <w:widowControl w:val="0"/>
              <w:kinsoku/>
              <w:wordWrap/>
              <w:overflowPunct/>
              <w:topLinePunct w:val="0"/>
              <w:autoSpaceDE/>
              <w:autoSpaceDN/>
              <w:bidi w:val="0"/>
              <w:snapToGrid w:val="0"/>
              <w:spacing w:line="520" w:lineRule="exact"/>
              <w:ind w:firstLine="482"/>
              <w:textAlignment w:val="auto"/>
              <w:rPr>
                <w:rFonts w:hint="eastAsia"/>
                <w:sz w:val="24"/>
              </w:rPr>
            </w:pPr>
            <w:r>
              <w:rPr>
                <w:sz w:val="24"/>
              </w:rPr>
              <w:t>本项目</w:t>
            </w:r>
            <w:r>
              <w:rPr>
                <w:rFonts w:hint="eastAsia"/>
                <w:sz w:val="24"/>
              </w:rPr>
              <w:t>风险源分布情况见表</w:t>
            </w:r>
            <w:r>
              <w:rPr>
                <w:rFonts w:hint="eastAsia"/>
                <w:sz w:val="24"/>
                <w:lang w:val="en-US" w:eastAsia="zh-CN"/>
              </w:rPr>
              <w:t>4-11</w:t>
            </w:r>
            <w:r>
              <w:rPr>
                <w:rFonts w:hint="eastAsia"/>
                <w:sz w:val="24"/>
              </w:rPr>
              <w:t>：</w:t>
            </w:r>
          </w:p>
          <w:p>
            <w:pPr>
              <w:keepNext w:val="0"/>
              <w:keepLines w:val="0"/>
              <w:pageBreakBefore w:val="0"/>
              <w:widowControl w:val="0"/>
              <w:kinsoku/>
              <w:wordWrap/>
              <w:overflowPunct/>
              <w:topLinePunct w:val="0"/>
              <w:autoSpaceDE/>
              <w:autoSpaceDN/>
              <w:bidi w:val="0"/>
              <w:snapToGrid w:val="0"/>
              <w:spacing w:line="520" w:lineRule="exact"/>
              <w:jc w:val="center"/>
              <w:textAlignment w:val="auto"/>
              <w:rPr>
                <w:b/>
                <w:bCs/>
                <w:sz w:val="24"/>
              </w:rPr>
            </w:pPr>
            <w:r>
              <w:rPr>
                <w:rFonts w:hint="eastAsia"/>
                <w:b/>
                <w:bCs/>
                <w:sz w:val="24"/>
              </w:rPr>
              <w:t>表</w:t>
            </w:r>
            <w:r>
              <w:rPr>
                <w:rFonts w:hint="eastAsia"/>
                <w:b/>
                <w:bCs/>
                <w:sz w:val="24"/>
                <w:lang w:val="en-US" w:eastAsia="zh-CN"/>
              </w:rPr>
              <w:t>4-11</w:t>
            </w:r>
            <w:r>
              <w:rPr>
                <w:rFonts w:hint="eastAsia"/>
                <w:b/>
                <w:bCs/>
                <w:sz w:val="24"/>
              </w:rPr>
              <w:t xml:space="preserve">   危险物质分布情况表</w:t>
            </w:r>
          </w:p>
          <w:tbl>
            <w:tblPr>
              <w:tblStyle w:val="21"/>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495"/>
              <w:gridCol w:w="1353"/>
              <w:gridCol w:w="1195"/>
              <w:gridCol w:w="118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8" w:type="pct"/>
                  <w:noWrap w:val="0"/>
                  <w:vAlign w:val="center"/>
                </w:tcPr>
                <w:p>
                  <w:pPr>
                    <w:jc w:val="center"/>
                    <w:rPr>
                      <w:szCs w:val="21"/>
                    </w:rPr>
                  </w:pPr>
                  <w:r>
                    <w:rPr>
                      <w:szCs w:val="21"/>
                    </w:rPr>
                    <w:t>序号</w:t>
                  </w:r>
                </w:p>
              </w:tc>
              <w:tc>
                <w:tcPr>
                  <w:tcW w:w="902" w:type="pct"/>
                  <w:noWrap w:val="0"/>
                  <w:vAlign w:val="center"/>
                </w:tcPr>
                <w:p>
                  <w:pPr>
                    <w:jc w:val="center"/>
                    <w:rPr>
                      <w:szCs w:val="21"/>
                    </w:rPr>
                  </w:pPr>
                  <w:r>
                    <w:rPr>
                      <w:szCs w:val="21"/>
                    </w:rPr>
                    <w:t>危险物质</w:t>
                  </w:r>
                </w:p>
              </w:tc>
              <w:tc>
                <w:tcPr>
                  <w:tcW w:w="816" w:type="pct"/>
                  <w:noWrap w:val="0"/>
                  <w:vAlign w:val="center"/>
                </w:tcPr>
                <w:p>
                  <w:pPr>
                    <w:jc w:val="center"/>
                    <w:rPr>
                      <w:rFonts w:hint="eastAsia" w:eastAsia="宋体"/>
                      <w:szCs w:val="21"/>
                      <w:lang w:val="en-US" w:eastAsia="zh-CN"/>
                    </w:rPr>
                  </w:pPr>
                  <w:r>
                    <w:rPr>
                      <w:szCs w:val="21"/>
                    </w:rPr>
                    <w:t>最大储存量</w:t>
                  </w:r>
                  <w:r>
                    <w:rPr>
                      <w:rFonts w:hint="eastAsia"/>
                      <w:szCs w:val="21"/>
                      <w:lang w:val="en-US" w:eastAsia="zh-CN"/>
                    </w:rPr>
                    <w:t>t</w:t>
                  </w:r>
                </w:p>
              </w:tc>
              <w:tc>
                <w:tcPr>
                  <w:tcW w:w="720" w:type="pct"/>
                  <w:noWrap w:val="0"/>
                  <w:vAlign w:val="center"/>
                </w:tcPr>
                <w:p>
                  <w:pPr>
                    <w:jc w:val="center"/>
                    <w:rPr>
                      <w:szCs w:val="21"/>
                    </w:rPr>
                  </w:pPr>
                  <w:r>
                    <w:rPr>
                      <w:szCs w:val="21"/>
                    </w:rPr>
                    <w:t>临界量</w:t>
                  </w:r>
                </w:p>
              </w:tc>
              <w:tc>
                <w:tcPr>
                  <w:tcW w:w="714" w:type="pct"/>
                  <w:noWrap w:val="0"/>
                  <w:vAlign w:val="center"/>
                </w:tcPr>
                <w:p>
                  <w:pPr>
                    <w:jc w:val="center"/>
                    <w:rPr>
                      <w:szCs w:val="21"/>
                    </w:rPr>
                  </w:pPr>
                  <w:r>
                    <w:rPr>
                      <w:szCs w:val="21"/>
                    </w:rPr>
                    <w:t>qi/Qi</w:t>
                  </w:r>
                </w:p>
              </w:tc>
              <w:tc>
                <w:tcPr>
                  <w:tcW w:w="714" w:type="pct"/>
                  <w:noWrap w:val="0"/>
                  <w:vAlign w:val="center"/>
                </w:tcPr>
                <w:p>
                  <w:pPr>
                    <w:jc w:val="center"/>
                    <w:rPr>
                      <w:szCs w:val="21"/>
                    </w:rPr>
                  </w:pPr>
                  <w:r>
                    <w:rPr>
                      <w:szCs w:val="21"/>
                    </w:rPr>
                    <w:t>分布</w:t>
                  </w:r>
                </w:p>
              </w:tc>
              <w:tc>
                <w:tcPr>
                  <w:tcW w:w="714" w:type="pct"/>
                  <w:noWrap w:val="0"/>
                  <w:vAlign w:val="center"/>
                </w:tcPr>
                <w:p>
                  <w:pPr>
                    <w:jc w:val="center"/>
                    <w:rPr>
                      <w:szCs w:val="21"/>
                    </w:rPr>
                  </w:pPr>
                  <w:r>
                    <w:rPr>
                      <w:szCs w:val="21"/>
                    </w:rPr>
                    <w:t>风险类型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trPr>
              <w:tc>
                <w:tcPr>
                  <w:tcW w:w="418" w:type="pct"/>
                  <w:noWrap w:val="0"/>
                  <w:vAlign w:val="center"/>
                </w:tcPr>
                <w:p>
                  <w:pPr>
                    <w:jc w:val="center"/>
                    <w:rPr>
                      <w:szCs w:val="21"/>
                    </w:rPr>
                  </w:pPr>
                  <w:r>
                    <w:rPr>
                      <w:szCs w:val="21"/>
                    </w:rPr>
                    <w:t>1</w:t>
                  </w:r>
                </w:p>
              </w:tc>
              <w:tc>
                <w:tcPr>
                  <w:tcW w:w="902" w:type="pct"/>
                  <w:noWrap w:val="0"/>
                  <w:vAlign w:val="center"/>
                </w:tcPr>
                <w:p>
                  <w:pPr>
                    <w:jc w:val="center"/>
                    <w:rPr>
                      <w:szCs w:val="21"/>
                    </w:rPr>
                  </w:pPr>
                  <w:r>
                    <w:rPr>
                      <w:rFonts w:hint="eastAsia"/>
                      <w:szCs w:val="21"/>
                    </w:rPr>
                    <w:t>废润滑油</w:t>
                  </w:r>
                </w:p>
              </w:tc>
              <w:tc>
                <w:tcPr>
                  <w:tcW w:w="816" w:type="pct"/>
                  <w:noWrap w:val="0"/>
                  <w:vAlign w:val="center"/>
                </w:tcPr>
                <w:p>
                  <w:pPr>
                    <w:jc w:val="center"/>
                    <w:rPr>
                      <w:rFonts w:hint="default" w:eastAsia="宋体"/>
                      <w:szCs w:val="21"/>
                      <w:lang w:val="en-US" w:eastAsia="zh-CN"/>
                    </w:rPr>
                  </w:pPr>
                  <w:r>
                    <w:rPr>
                      <w:rFonts w:hint="eastAsia"/>
                      <w:szCs w:val="21"/>
                      <w:lang w:val="en-US" w:eastAsia="zh-CN"/>
                    </w:rPr>
                    <w:t>0.5</w:t>
                  </w:r>
                </w:p>
              </w:tc>
              <w:tc>
                <w:tcPr>
                  <w:tcW w:w="720" w:type="pct"/>
                  <w:noWrap w:val="0"/>
                  <w:vAlign w:val="center"/>
                </w:tcPr>
                <w:p>
                  <w:pPr>
                    <w:jc w:val="center"/>
                    <w:rPr>
                      <w:rFonts w:hint="default" w:eastAsia="宋体"/>
                      <w:szCs w:val="21"/>
                      <w:lang w:val="en-US" w:eastAsia="zh-CN"/>
                    </w:rPr>
                  </w:pPr>
                  <w:r>
                    <w:rPr>
                      <w:rFonts w:hint="eastAsia"/>
                      <w:szCs w:val="21"/>
                      <w:lang w:val="en-US" w:eastAsia="zh-CN"/>
                    </w:rPr>
                    <w:t>2500</w:t>
                  </w:r>
                </w:p>
              </w:tc>
              <w:tc>
                <w:tcPr>
                  <w:tcW w:w="714" w:type="pct"/>
                  <w:noWrap w:val="0"/>
                  <w:vAlign w:val="center"/>
                </w:tcPr>
                <w:p>
                  <w:pPr>
                    <w:jc w:val="center"/>
                    <w:rPr>
                      <w:rFonts w:hint="default" w:eastAsia="宋体"/>
                      <w:szCs w:val="21"/>
                      <w:lang w:val="en-US" w:eastAsia="zh-CN"/>
                    </w:rPr>
                  </w:pPr>
                  <w:r>
                    <w:rPr>
                      <w:rFonts w:hint="eastAsia"/>
                      <w:szCs w:val="21"/>
                      <w:lang w:val="en-US" w:eastAsia="zh-CN"/>
                    </w:rPr>
                    <w:t>0.0002</w:t>
                  </w:r>
                </w:p>
              </w:tc>
              <w:tc>
                <w:tcPr>
                  <w:tcW w:w="714" w:type="pct"/>
                  <w:vMerge w:val="restart"/>
                  <w:noWrap w:val="0"/>
                  <w:vAlign w:val="center"/>
                </w:tcPr>
                <w:p>
                  <w:pPr>
                    <w:jc w:val="center"/>
                    <w:rPr>
                      <w:rFonts w:hint="default" w:eastAsia="宋体"/>
                      <w:szCs w:val="21"/>
                      <w:lang w:val="en-US" w:eastAsia="zh-CN"/>
                    </w:rPr>
                  </w:pPr>
                  <w:r>
                    <w:rPr>
                      <w:rFonts w:hint="eastAsia" w:eastAsia="宋体"/>
                      <w:szCs w:val="21"/>
                      <w:lang w:val="en-US" w:eastAsia="zh-CN"/>
                    </w:rPr>
                    <w:t>危险废物贮存库</w:t>
                  </w:r>
                </w:p>
              </w:tc>
              <w:tc>
                <w:tcPr>
                  <w:tcW w:w="714" w:type="pct"/>
                  <w:vMerge w:val="restart"/>
                  <w:noWrap w:val="0"/>
                  <w:vAlign w:val="center"/>
                </w:tcPr>
                <w:p>
                  <w:pPr>
                    <w:jc w:val="center"/>
                    <w:rPr>
                      <w:rFonts w:hint="eastAsia" w:eastAsia="宋体"/>
                      <w:szCs w:val="21"/>
                      <w:highlight w:val="none"/>
                      <w:lang w:eastAsia="zh-CN"/>
                    </w:rPr>
                  </w:pPr>
                  <w:r>
                    <w:rPr>
                      <w:szCs w:val="21"/>
                      <w:highlight w:val="none"/>
                    </w:rPr>
                    <w:t>火灾、</w:t>
                  </w:r>
                  <w:r>
                    <w:rPr>
                      <w:rFonts w:hint="eastAsia"/>
                      <w:szCs w:val="21"/>
                      <w:highlight w:val="none"/>
                      <w:lang w:eastAsia="zh-CN"/>
                    </w:rPr>
                    <w:t>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8" w:type="pct"/>
                  <w:noWrap w:val="0"/>
                  <w:vAlign w:val="center"/>
                </w:tcPr>
                <w:p>
                  <w:pPr>
                    <w:jc w:val="center"/>
                    <w:rPr>
                      <w:rFonts w:hint="eastAsia" w:eastAsia="宋体"/>
                      <w:szCs w:val="21"/>
                      <w:lang w:eastAsia="zh-CN"/>
                    </w:rPr>
                  </w:pPr>
                  <w:r>
                    <w:rPr>
                      <w:rFonts w:hint="eastAsia"/>
                      <w:szCs w:val="21"/>
                      <w:lang w:val="en-US" w:eastAsia="zh-CN"/>
                    </w:rPr>
                    <w:t>2</w:t>
                  </w:r>
                </w:p>
              </w:tc>
              <w:tc>
                <w:tcPr>
                  <w:tcW w:w="902" w:type="pct"/>
                  <w:noWrap w:val="0"/>
                  <w:vAlign w:val="center"/>
                </w:tcPr>
                <w:p>
                  <w:pPr>
                    <w:jc w:val="center"/>
                    <w:rPr>
                      <w:szCs w:val="21"/>
                    </w:rPr>
                  </w:pPr>
                  <w:r>
                    <w:rPr>
                      <w:rFonts w:hint="eastAsia"/>
                      <w:szCs w:val="21"/>
                    </w:rPr>
                    <w:t>废润滑油桶</w:t>
                  </w:r>
                </w:p>
              </w:tc>
              <w:tc>
                <w:tcPr>
                  <w:tcW w:w="816" w:type="pct"/>
                  <w:noWrap w:val="0"/>
                  <w:vAlign w:val="center"/>
                </w:tcPr>
                <w:p>
                  <w:pPr>
                    <w:jc w:val="center"/>
                    <w:rPr>
                      <w:rFonts w:hint="default" w:eastAsia="宋体"/>
                      <w:szCs w:val="21"/>
                      <w:lang w:val="en-US" w:eastAsia="zh-CN"/>
                    </w:rPr>
                  </w:pPr>
                  <w:r>
                    <w:rPr>
                      <w:rFonts w:hint="eastAsia"/>
                      <w:szCs w:val="21"/>
                      <w:lang w:val="en-US" w:eastAsia="zh-CN"/>
                    </w:rPr>
                    <w:t>0.04</w:t>
                  </w:r>
                </w:p>
              </w:tc>
              <w:tc>
                <w:tcPr>
                  <w:tcW w:w="720" w:type="pct"/>
                  <w:noWrap w:val="0"/>
                  <w:vAlign w:val="center"/>
                </w:tcPr>
                <w:p>
                  <w:pPr>
                    <w:jc w:val="center"/>
                    <w:rPr>
                      <w:szCs w:val="21"/>
                    </w:rPr>
                  </w:pPr>
                  <w:r>
                    <w:rPr>
                      <w:szCs w:val="21"/>
                    </w:rPr>
                    <w:t>2500</w:t>
                  </w:r>
                </w:p>
              </w:tc>
              <w:tc>
                <w:tcPr>
                  <w:tcW w:w="714" w:type="pct"/>
                  <w:noWrap w:val="0"/>
                  <w:vAlign w:val="center"/>
                </w:tcPr>
                <w:p>
                  <w:pPr>
                    <w:jc w:val="center"/>
                    <w:rPr>
                      <w:rFonts w:hint="eastAsia" w:eastAsia="宋体"/>
                      <w:szCs w:val="21"/>
                      <w:lang w:val="en-US" w:eastAsia="zh-CN"/>
                    </w:rPr>
                  </w:pPr>
                  <w:r>
                    <w:rPr>
                      <w:szCs w:val="21"/>
                    </w:rPr>
                    <w:t>0.00</w:t>
                  </w:r>
                  <w:r>
                    <w:rPr>
                      <w:rFonts w:hint="eastAsia"/>
                      <w:szCs w:val="21"/>
                      <w:lang w:val="en-US" w:eastAsia="zh-CN"/>
                    </w:rPr>
                    <w:t>002</w:t>
                  </w:r>
                </w:p>
              </w:tc>
              <w:tc>
                <w:tcPr>
                  <w:tcW w:w="714" w:type="pct"/>
                  <w:vMerge w:val="continue"/>
                  <w:noWrap w:val="0"/>
                  <w:vAlign w:val="center"/>
                </w:tcPr>
                <w:p>
                  <w:pPr>
                    <w:jc w:val="center"/>
                    <w:rPr>
                      <w:szCs w:val="21"/>
                    </w:rPr>
                  </w:pPr>
                </w:p>
              </w:tc>
              <w:tc>
                <w:tcPr>
                  <w:tcW w:w="714" w:type="pct"/>
                  <w:vMerge w:val="continue"/>
                  <w:noWrap w:val="0"/>
                  <w:vAlign w:val="center"/>
                </w:tcPr>
                <w:p>
                  <w:pPr>
                    <w:jc w:val="center"/>
                    <w:rPr>
                      <w:rFonts w:hint="eastAsia" w:eastAsia="宋体"/>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57" w:type="pct"/>
                  <w:gridSpan w:val="4"/>
                  <w:noWrap w:val="0"/>
                  <w:vAlign w:val="center"/>
                </w:tcPr>
                <w:p>
                  <w:pPr>
                    <w:jc w:val="center"/>
                    <w:rPr>
                      <w:rFonts w:hint="default"/>
                      <w:szCs w:val="21"/>
                      <w:lang w:val="en-US" w:eastAsia="zh-CN"/>
                    </w:rPr>
                  </w:pPr>
                  <w:r>
                    <w:rPr>
                      <w:rFonts w:hint="eastAsia"/>
                      <w:szCs w:val="21"/>
                      <w:lang w:val="en-US" w:eastAsia="zh-CN"/>
                    </w:rPr>
                    <w:t>合计Q</w:t>
                  </w:r>
                </w:p>
              </w:tc>
              <w:tc>
                <w:tcPr>
                  <w:tcW w:w="714" w:type="pct"/>
                  <w:noWrap w:val="0"/>
                  <w:vAlign w:val="center"/>
                </w:tcPr>
                <w:p>
                  <w:pPr>
                    <w:jc w:val="center"/>
                    <w:rPr>
                      <w:rFonts w:hint="default"/>
                      <w:szCs w:val="21"/>
                      <w:lang w:val="en-US" w:eastAsia="zh-CN"/>
                    </w:rPr>
                  </w:pPr>
                  <w:r>
                    <w:rPr>
                      <w:rFonts w:hint="eastAsia"/>
                      <w:szCs w:val="21"/>
                      <w:lang w:val="en-US" w:eastAsia="zh-CN"/>
                    </w:rPr>
                    <w:t>0.00022</w:t>
                  </w:r>
                </w:p>
              </w:tc>
              <w:tc>
                <w:tcPr>
                  <w:tcW w:w="714" w:type="pct"/>
                  <w:noWrap w:val="0"/>
                  <w:vAlign w:val="center"/>
                </w:tcPr>
                <w:p>
                  <w:pPr>
                    <w:jc w:val="center"/>
                    <w:rPr>
                      <w:rFonts w:hint="default"/>
                      <w:szCs w:val="21"/>
                      <w:lang w:val="en-US" w:eastAsia="zh-CN"/>
                    </w:rPr>
                  </w:pPr>
                  <w:r>
                    <w:rPr>
                      <w:rFonts w:hint="eastAsia"/>
                      <w:szCs w:val="21"/>
                      <w:lang w:val="en-US" w:eastAsia="zh-CN"/>
                    </w:rPr>
                    <w:t>/</w:t>
                  </w:r>
                </w:p>
              </w:tc>
              <w:tc>
                <w:tcPr>
                  <w:tcW w:w="714" w:type="pct"/>
                  <w:noWrap w:val="0"/>
                  <w:vAlign w:val="center"/>
                </w:tcPr>
                <w:p>
                  <w:pPr>
                    <w:jc w:val="center"/>
                    <w:rPr>
                      <w:rFonts w:hint="default"/>
                      <w:szCs w:val="21"/>
                      <w:lang w:val="en-US" w:eastAsia="zh-CN"/>
                    </w:rPr>
                  </w:pPr>
                  <w:r>
                    <w:rPr>
                      <w:rFonts w:hint="eastAsia"/>
                      <w:szCs w:val="21"/>
                      <w:lang w:val="en-US" w:eastAsia="zh-CN"/>
                    </w:rPr>
                    <w:t>/</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bCs/>
                <w:sz w:val="24"/>
              </w:rPr>
            </w:pPr>
            <w:r>
              <w:rPr>
                <w:rFonts w:hint="eastAsia"/>
                <w:b/>
                <w:bCs/>
                <w:sz w:val="24"/>
              </w:rPr>
              <w:t>3.环境风险源影响途径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泄漏事故：项目生产过程中涉及的危险品有</w:t>
            </w:r>
            <w:r>
              <w:rPr>
                <w:rFonts w:hint="eastAsia"/>
                <w:sz w:val="24"/>
                <w:lang w:val="en-US" w:eastAsia="zh-CN"/>
              </w:rPr>
              <w:t>废润滑油，若存储容器破损，废润滑油发生泄漏后，若防渗措施失效，泄漏的油品可能渗入地下水和土壤，污染地下水和土壤环境；若泄漏量较大，油品可能随雨水冲刷进入周边地表水体，对地表水环境造成影响。火灾事故：废润滑油属于易燃危险废物，若遇到明火或高温引发火灾事故，燃烧产生的烟气会对周边大气环境造成短期影响，同时消防灭火产生的含油废水若未有效收集，也可能进入周边环境造成污染</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lang w:val="en-US" w:eastAsia="zh-CN"/>
              </w:rPr>
              <w:t>危险废物贮存库</w:t>
            </w:r>
            <w:r>
              <w:rPr>
                <w:rFonts w:hint="eastAsia"/>
                <w:sz w:val="24"/>
              </w:rPr>
              <w:t>管理风险：</w:t>
            </w:r>
            <w:r>
              <w:rPr>
                <w:rFonts w:hint="eastAsia"/>
                <w:sz w:val="24"/>
                <w:lang w:val="en-US" w:eastAsia="zh-CN"/>
              </w:rPr>
              <w:t>危险废物贮存库</w:t>
            </w:r>
            <w:r>
              <w:rPr>
                <w:rFonts w:hint="eastAsia"/>
                <w:sz w:val="24"/>
              </w:rPr>
              <w:t>防渗层破损或破裂，且在收集和转运过程中若管理不当，容易导致危险废物渗漏和洒落至地面，并可能进入地表及地下水体，对土壤和水环境造成污染。</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bCs/>
                <w:sz w:val="24"/>
              </w:rPr>
            </w:pPr>
            <w:r>
              <w:rPr>
                <w:rFonts w:hint="eastAsia"/>
                <w:b/>
                <w:bCs/>
                <w:sz w:val="24"/>
              </w:rPr>
              <w:t>4.环境</w:t>
            </w:r>
            <w:r>
              <w:rPr>
                <w:b/>
                <w:bCs/>
                <w:sz w:val="24"/>
              </w:rPr>
              <w:t>风险防范措施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1）泄漏风险防范措施：废润滑油采用专用密封包装桶存放于危险废物贮存库内，贮存库地面按照重点防渗区要求进行防渗处理，周边设置应急泄漏收集沟，将泄漏油品引入应急收集池，可有效防止泄漏油品外流；日常生产中安排专人定期检查包装桶的完好性、防渗层的完整性，及时更换破损容器，排查防渗隐患。</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2）火灾风险防范措施：危险废物贮存库配备干粉灭火器、消防砂等消防器材，设置明显的禁火标识，严格控制库内火源、热源，定期对消防设施进行检查维护，确保消防设施正常可用；库内保持通风，避免易燃易爆气体积聚。</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3）危险废物贮存管理风险防范措施：严格按照相关规范要求建设危险废物贮存库，定期检查防渗层、收集设施的完好情况，严格执行危险废物分类存放、台账管理制度，规范转移流程，避免转运过程中发生洒落、泄漏；制定完善的风险应急预案，配备必要的应急物资，定期开展应急演练，提升突发环境事件的应急处置能力。</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rFonts w:hint="eastAsia"/>
                <w:sz w:val="24"/>
              </w:rPr>
              <w:t>危险废物在运输时要严格按照《危险货物运输规则》中的危险货物配装表进行配装，起运时包装要完整，装载应稳妥。严禁与易燃物或可燃物、食用化学品等混装运输。运输途中应防暴晒、雨淋，防高温。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b/>
                <w:bCs/>
                <w:kern w:val="0"/>
                <w:sz w:val="24"/>
                <w:lang w:val="en-US" w:eastAsia="zh-CN"/>
              </w:rPr>
            </w:pPr>
            <w:r>
              <w:rPr>
                <w:rFonts w:hint="eastAsia"/>
                <w:sz w:val="24"/>
              </w:rPr>
              <w:t>落实以上各项风险防范措施，并加强安全管理，保持各项安全设施有效运行，在以此为前提的情况下，可将事故风险概率和影响程度降至可接受水平。</w:t>
            </w:r>
          </w:p>
          <w:p>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b/>
                <w:sz w:val="24"/>
              </w:rPr>
            </w:pPr>
            <w:r>
              <w:rPr>
                <w:rFonts w:hint="eastAsia" w:ascii="宋体" w:hAnsi="宋体" w:eastAsia="宋体" w:cs="宋体"/>
                <w:b/>
                <w:sz w:val="24"/>
                <w:lang w:eastAsia="zh-CN"/>
              </w:rPr>
              <w:t>（七）</w:t>
            </w:r>
            <w:r>
              <w:rPr>
                <w:rFonts w:hint="eastAsia" w:ascii="宋体" w:hAnsi="宋体" w:eastAsia="宋体" w:cs="宋体"/>
                <w:b/>
                <w:sz w:val="24"/>
              </w:rPr>
              <w:t>环境管理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根据《固定污染源排污许可分类管理名录（2019 年版）》，项目属于63 水泥、石灰和石膏制造301，石膏、水泥制品及类似制品制造 302 水泥制品制造3021，属于登记管理。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sz w:val="24"/>
              </w:rPr>
            </w:pPr>
            <w:r>
              <w:rPr>
                <w:rFonts w:hint="eastAsia" w:ascii="Times New Roman" w:hAnsi="Times New Roman" w:eastAsia="宋体" w:cs="Times New Roman"/>
                <w:sz w:val="24"/>
                <w:lang w:val="en-US" w:eastAsia="zh-CN"/>
              </w:rPr>
              <w:t>严格按照《排污单位自行监测技术指南 总则》（HJ819-2017）、《排污许可证申请与核发技术规范 水泥工业》（HJ853-2017）相关要求开展自行监测，建立完善的环境管理台账，记录污染治理设施运行、污染物排放等信息，定期向生态环境主管部门上报监测数据和环境管理情况，主动公开污染物排放信息，接受生态环境部门及公众监督。设置专职环境管理人员，明确环境管理岗位职责，组织开展环保知识培训，提升员工环境保护意识，定期对各项环保治理设施进行日常检查、维护和保养，确保污染治理设施长期稳定达标运行。</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eastAsia="宋体"/>
                <w:sz w:val="24"/>
                <w:szCs w:val="24"/>
                <w:lang w:eastAsia="zh-CN"/>
              </w:rPr>
            </w:pPr>
            <w:r>
              <w:rPr>
                <w:rFonts w:hint="eastAsia"/>
                <w:sz w:val="24"/>
                <w:szCs w:val="24"/>
                <w:lang w:val="en-US" w:eastAsia="zh-CN"/>
              </w:rPr>
              <w:t>项目建成后应</w:t>
            </w:r>
            <w:r>
              <w:rPr>
                <w:rFonts w:hint="eastAsia"/>
                <w:sz w:val="24"/>
                <w:szCs w:val="24"/>
              </w:rPr>
              <w:t>根据《排污单位污染物排放口二维码标识技术规范》（HJ1297—2023）《危险废物识别标志设置技术规范 》（HJ 1276—2022）和《环境保护图形标志—固体废物贮存（处置）场》（GB 15562.2-1995）修改单，设置与之相适应的环境保护图形标志牌</w:t>
            </w:r>
            <w:r>
              <w:rPr>
                <w:rFonts w:hint="eastAsia"/>
                <w:sz w:val="24"/>
                <w:szCs w:val="24"/>
                <w:lang w:eastAsia="zh-CN"/>
              </w:rPr>
              <w:t>，必须使用由国家生态环境局统一定点制作和监制的环境保护图形标志牌，环境保护图形标志牌设置位置应距污染物排放口（源）及固体废物贮存（处置）场或采样点较近且醒目处，并能长久保留。</w:t>
            </w:r>
          </w:p>
          <w:p>
            <w:pPr>
              <w:keepNext w:val="0"/>
              <w:keepLines w:val="0"/>
              <w:pageBreakBefore w:val="0"/>
              <w:wordWrap/>
              <w:overflowPunct/>
              <w:topLinePunct w:val="0"/>
              <w:bidi w:val="0"/>
              <w:adjustRightInd w:val="0"/>
              <w:snapToGrid w:val="0"/>
              <w:spacing w:line="520" w:lineRule="exact"/>
              <w:ind w:firstLine="480" w:firstLineChars="200"/>
              <w:rPr>
                <w:rFonts w:ascii="宋体" w:cs="宋体"/>
                <w:b/>
                <w:kern w:val="0"/>
                <w:sz w:val="24"/>
                <w:szCs w:val="24"/>
              </w:rPr>
            </w:pPr>
            <w:r>
              <w:rPr>
                <w:rFonts w:hint="eastAsia"/>
                <w:sz w:val="24"/>
                <w:szCs w:val="24"/>
              </w:rPr>
              <w:t>建设单位应强化营运期的环境管理工作，确保项目运营不影响环境，不扰民。认真落实环保设施的“三同时”，本项目建成后</w:t>
            </w:r>
            <w:r>
              <w:rPr>
                <w:rFonts w:hint="eastAsia"/>
                <w:sz w:val="24"/>
                <w:szCs w:val="24"/>
                <w:lang w:val="en-US" w:eastAsia="zh-CN"/>
              </w:rPr>
              <w:t>建设单位自行开展项目竣工环境保护验收，</w:t>
            </w:r>
            <w:r>
              <w:rPr>
                <w:rFonts w:hint="eastAsia"/>
                <w:sz w:val="24"/>
                <w:szCs w:val="24"/>
              </w:rPr>
              <w:t>验收后到环保部门进行备案登记，并随时接受环保部门的不定期监督检查</w:t>
            </w:r>
            <w:r>
              <w:rPr>
                <w:rFonts w:hint="eastAsia"/>
                <w:sz w:val="24"/>
                <w:szCs w:val="24"/>
                <w:lang w:eastAsia="zh-CN"/>
              </w:rPr>
              <w:t>。</w:t>
            </w:r>
            <w:r>
              <w:rPr>
                <w:rFonts w:hint="eastAsia" w:ascii="宋体" w:hAnsi="宋体" w:cs="宋体"/>
                <w:bCs/>
                <w:spacing w:val="10"/>
                <w:sz w:val="24"/>
                <w:szCs w:val="24"/>
              </w:rPr>
              <w:t>环境保护图形标志详见下表。</w:t>
            </w:r>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宋体" w:hAnsi="宋体" w:cs="宋体"/>
                <w:b/>
                <w:bCs/>
                <w:spacing w:val="6"/>
                <w:sz w:val="24"/>
                <w:szCs w:val="24"/>
              </w:rPr>
            </w:pPr>
            <w:bookmarkStart w:id="24" w:name="_Ref975"/>
            <w:r>
              <w:rPr>
                <w:rFonts w:hint="eastAsia" w:ascii="宋体" w:hAnsi="宋体" w:cs="宋体"/>
                <w:b/>
                <w:bCs/>
                <w:spacing w:val="6"/>
                <w:sz w:val="24"/>
                <w:szCs w:val="24"/>
              </w:rPr>
              <w:t>表4-</w:t>
            </w:r>
            <w:r>
              <w:rPr>
                <w:rFonts w:hint="eastAsia" w:ascii="宋体" w:hAnsi="宋体" w:cs="宋体"/>
                <w:b/>
                <w:bCs/>
                <w:spacing w:val="6"/>
                <w:sz w:val="24"/>
                <w:szCs w:val="24"/>
                <w:lang w:val="en-US" w:eastAsia="zh-CN"/>
              </w:rPr>
              <w:t>12</w:t>
            </w:r>
            <w:r>
              <w:rPr>
                <w:rFonts w:hint="eastAsia" w:ascii="宋体" w:hAnsi="宋体" w:cs="宋体"/>
                <w:b/>
                <w:bCs/>
                <w:spacing w:val="6"/>
                <w:sz w:val="24"/>
                <w:szCs w:val="24"/>
              </w:rPr>
              <w:t xml:space="preserve">   环境保护图形标志</w:t>
            </w:r>
            <w:bookmarkEnd w:id="24"/>
            <w:r>
              <w:rPr>
                <w:rFonts w:hint="eastAsia" w:ascii="宋体" w:hAnsi="宋体" w:cs="宋体"/>
                <w:b/>
                <w:bCs/>
                <w:spacing w:val="6"/>
                <w:sz w:val="24"/>
                <w:szCs w:val="24"/>
              </w:rPr>
              <w:t>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094"/>
              <w:gridCol w:w="2419"/>
              <w:gridCol w:w="2263"/>
              <w:gridCol w:w="2518"/>
            </w:tblGrid>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PrEx>
              <w:trPr>
                <w:trHeight w:val="454" w:hRule="atLeast"/>
                <w:jc w:val="center"/>
              </w:trPr>
              <w:tc>
                <w:tcPr>
                  <w:tcW w:w="659" w:type="pct"/>
                  <w:tcBorders>
                    <w:tl2br w:val="nil"/>
                    <w:tr2bl w:val="nil"/>
                  </w:tcBorders>
                  <w:noWrap w:val="0"/>
                  <w:vAlign w:val="center"/>
                </w:tcPr>
                <w:p>
                  <w:pPr>
                    <w:adjustRightInd w:val="0"/>
                    <w:snapToGrid w:val="0"/>
                    <w:jc w:val="center"/>
                    <w:rPr>
                      <w:szCs w:val="21"/>
                    </w:rPr>
                  </w:pPr>
                  <w:r>
                    <w:rPr>
                      <w:szCs w:val="21"/>
                    </w:rPr>
                    <w:t>序号</w:t>
                  </w:r>
                </w:p>
              </w:tc>
              <w:tc>
                <w:tcPr>
                  <w:tcW w:w="1458" w:type="pct"/>
                  <w:tcBorders>
                    <w:tl2br w:val="nil"/>
                    <w:tr2bl w:val="nil"/>
                  </w:tcBorders>
                  <w:noWrap w:val="0"/>
                  <w:vAlign w:val="center"/>
                </w:tcPr>
                <w:p>
                  <w:pPr>
                    <w:adjustRightInd w:val="0"/>
                    <w:snapToGrid w:val="0"/>
                    <w:jc w:val="center"/>
                    <w:rPr>
                      <w:szCs w:val="21"/>
                    </w:rPr>
                  </w:pPr>
                  <w:r>
                    <w:rPr>
                      <w:szCs w:val="21"/>
                    </w:rPr>
                    <w:t>提示图形标志</w:t>
                  </w:r>
                </w:p>
              </w:tc>
              <w:tc>
                <w:tcPr>
                  <w:tcW w:w="1364" w:type="pct"/>
                  <w:tcBorders>
                    <w:tl2br w:val="nil"/>
                    <w:tr2bl w:val="nil"/>
                  </w:tcBorders>
                  <w:noWrap w:val="0"/>
                  <w:vAlign w:val="center"/>
                </w:tcPr>
                <w:p>
                  <w:pPr>
                    <w:adjustRightInd w:val="0"/>
                    <w:snapToGrid w:val="0"/>
                    <w:jc w:val="center"/>
                    <w:rPr>
                      <w:szCs w:val="21"/>
                    </w:rPr>
                  </w:pPr>
                  <w:r>
                    <w:rPr>
                      <w:szCs w:val="21"/>
                    </w:rPr>
                    <w:t>警告图形符号</w:t>
                  </w:r>
                </w:p>
              </w:tc>
              <w:tc>
                <w:tcPr>
                  <w:tcW w:w="1517" w:type="pct"/>
                  <w:tcBorders>
                    <w:tl2br w:val="nil"/>
                    <w:tr2bl w:val="nil"/>
                  </w:tcBorders>
                  <w:noWrap w:val="0"/>
                  <w:vAlign w:val="center"/>
                </w:tcPr>
                <w:p>
                  <w:pPr>
                    <w:adjustRightInd w:val="0"/>
                    <w:snapToGrid w:val="0"/>
                    <w:jc w:val="center"/>
                    <w:rPr>
                      <w:szCs w:val="21"/>
                    </w:rPr>
                  </w:pPr>
                  <w:r>
                    <w:rPr>
                      <w:szCs w:val="21"/>
                    </w:rPr>
                    <w:t>名称</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659" w:type="pct"/>
                  <w:tcBorders>
                    <w:tl2br w:val="nil"/>
                    <w:tr2bl w:val="nil"/>
                  </w:tcBorders>
                  <w:noWrap w:val="0"/>
                  <w:vAlign w:val="center"/>
                </w:tcPr>
                <w:p>
                  <w:pPr>
                    <w:adjustRightInd w:val="0"/>
                    <w:snapToGrid w:val="0"/>
                    <w:jc w:val="center"/>
                    <w:rPr>
                      <w:szCs w:val="21"/>
                    </w:rPr>
                  </w:pPr>
                  <w:r>
                    <w:rPr>
                      <w:szCs w:val="21"/>
                    </w:rPr>
                    <w:t>1</w:t>
                  </w:r>
                </w:p>
              </w:tc>
              <w:tc>
                <w:tcPr>
                  <w:tcW w:w="1458" w:type="pct"/>
                  <w:tcBorders>
                    <w:tl2br w:val="nil"/>
                    <w:tr2bl w:val="nil"/>
                  </w:tcBorders>
                  <w:noWrap w:val="0"/>
                  <w:vAlign w:val="center"/>
                </w:tcPr>
                <w:p>
                  <w:pPr>
                    <w:adjustRightInd w:val="0"/>
                    <w:snapToGrid w:val="0"/>
                    <w:jc w:val="center"/>
                    <w:rPr>
                      <w:szCs w:val="21"/>
                    </w:rPr>
                  </w:pPr>
                  <w:r>
                    <w:rPr>
                      <w:szCs w:val="21"/>
                    </w:rPr>
                    <w:drawing>
                      <wp:inline distT="0" distB="0" distL="114300" distR="114300">
                        <wp:extent cx="866775" cy="904875"/>
                        <wp:effectExtent l="0" t="0" r="9525" b="9525"/>
                        <wp:docPr id="1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
                                <pic:cNvPicPr>
                                  <a:picLocks noChangeAspect="1"/>
                                </pic:cNvPicPr>
                              </pic:nvPicPr>
                              <pic:blipFill>
                                <a:blip r:embed="rId8"/>
                                <a:stretch>
                                  <a:fillRect/>
                                </a:stretch>
                              </pic:blipFill>
                              <pic:spPr>
                                <a:xfrm>
                                  <a:off x="0" y="0"/>
                                  <a:ext cx="866775" cy="904875"/>
                                </a:xfrm>
                                <a:prstGeom prst="rect">
                                  <a:avLst/>
                                </a:prstGeom>
                                <a:noFill/>
                                <a:ln>
                                  <a:noFill/>
                                </a:ln>
                              </pic:spPr>
                            </pic:pic>
                          </a:graphicData>
                        </a:graphic>
                      </wp:inline>
                    </w:drawing>
                  </w:r>
                </w:p>
              </w:tc>
              <w:tc>
                <w:tcPr>
                  <w:tcW w:w="1364" w:type="pct"/>
                  <w:tcBorders>
                    <w:tl2br w:val="nil"/>
                    <w:tr2bl w:val="nil"/>
                  </w:tcBorders>
                  <w:noWrap w:val="0"/>
                  <w:vAlign w:val="center"/>
                </w:tcPr>
                <w:p>
                  <w:pPr>
                    <w:adjustRightInd w:val="0"/>
                    <w:snapToGrid w:val="0"/>
                    <w:jc w:val="center"/>
                    <w:rPr>
                      <w:szCs w:val="21"/>
                    </w:rPr>
                  </w:pPr>
                  <w:r>
                    <w:rPr>
                      <w:szCs w:val="21"/>
                    </w:rPr>
                    <w:drawing>
                      <wp:inline distT="0" distB="0" distL="114300" distR="114300">
                        <wp:extent cx="923925" cy="923925"/>
                        <wp:effectExtent l="0" t="0" r="9525" b="9525"/>
                        <wp:docPr id="1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
                                <pic:cNvPicPr>
                                  <a:picLocks noChangeAspect="1"/>
                                </pic:cNvPicPr>
                              </pic:nvPicPr>
                              <pic:blipFill>
                                <a:blip r:embed="rId9"/>
                                <a:stretch>
                                  <a:fillRect/>
                                </a:stretch>
                              </pic:blipFill>
                              <pic:spPr>
                                <a:xfrm>
                                  <a:off x="0" y="0"/>
                                  <a:ext cx="923925" cy="923925"/>
                                </a:xfrm>
                                <a:prstGeom prst="rect">
                                  <a:avLst/>
                                </a:prstGeom>
                                <a:noFill/>
                                <a:ln>
                                  <a:noFill/>
                                </a:ln>
                              </pic:spPr>
                            </pic:pic>
                          </a:graphicData>
                        </a:graphic>
                      </wp:inline>
                    </w:drawing>
                  </w:r>
                </w:p>
              </w:tc>
              <w:tc>
                <w:tcPr>
                  <w:tcW w:w="1517" w:type="pct"/>
                  <w:tcBorders>
                    <w:tl2br w:val="nil"/>
                    <w:tr2bl w:val="nil"/>
                  </w:tcBorders>
                  <w:noWrap w:val="0"/>
                  <w:vAlign w:val="center"/>
                </w:tcPr>
                <w:p>
                  <w:pPr>
                    <w:adjustRightInd w:val="0"/>
                    <w:snapToGrid w:val="0"/>
                    <w:jc w:val="center"/>
                    <w:rPr>
                      <w:szCs w:val="21"/>
                    </w:rPr>
                  </w:pPr>
                  <w:r>
                    <w:rPr>
                      <w:szCs w:val="21"/>
                    </w:rPr>
                    <w:t>废水排放口</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PrEx>
              <w:trPr>
                <w:trHeight w:val="454" w:hRule="atLeast"/>
                <w:jc w:val="center"/>
              </w:trPr>
              <w:tc>
                <w:tcPr>
                  <w:tcW w:w="659" w:type="pct"/>
                  <w:tcBorders>
                    <w:tl2br w:val="nil"/>
                    <w:tr2bl w:val="nil"/>
                  </w:tcBorders>
                  <w:noWrap w:val="0"/>
                  <w:vAlign w:val="center"/>
                </w:tcPr>
                <w:p>
                  <w:pPr>
                    <w:adjustRightInd w:val="0"/>
                    <w:snapToGrid w:val="0"/>
                    <w:jc w:val="center"/>
                    <w:rPr>
                      <w:szCs w:val="21"/>
                    </w:rPr>
                  </w:pPr>
                  <w:r>
                    <w:rPr>
                      <w:szCs w:val="21"/>
                    </w:rPr>
                    <w:t>2</w:t>
                  </w:r>
                </w:p>
              </w:tc>
              <w:tc>
                <w:tcPr>
                  <w:tcW w:w="1458" w:type="pct"/>
                  <w:tcBorders>
                    <w:tl2br w:val="nil"/>
                    <w:tr2bl w:val="nil"/>
                  </w:tcBorders>
                  <w:noWrap w:val="0"/>
                  <w:vAlign w:val="center"/>
                </w:tcPr>
                <w:p>
                  <w:pPr>
                    <w:adjustRightInd w:val="0"/>
                    <w:snapToGrid w:val="0"/>
                    <w:jc w:val="center"/>
                    <w:rPr>
                      <w:szCs w:val="21"/>
                    </w:rPr>
                  </w:pPr>
                  <w:r>
                    <w:rPr>
                      <w:szCs w:val="21"/>
                    </w:rPr>
                    <w:drawing>
                      <wp:inline distT="0" distB="0" distL="114300" distR="114300">
                        <wp:extent cx="923925" cy="866775"/>
                        <wp:effectExtent l="0" t="0" r="9525" b="9525"/>
                        <wp:docPr id="1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6"/>
                                <pic:cNvPicPr>
                                  <a:picLocks noChangeAspect="1"/>
                                </pic:cNvPicPr>
                              </pic:nvPicPr>
                              <pic:blipFill>
                                <a:blip r:embed="rId10"/>
                                <a:stretch>
                                  <a:fillRect/>
                                </a:stretch>
                              </pic:blipFill>
                              <pic:spPr>
                                <a:xfrm>
                                  <a:off x="0" y="0"/>
                                  <a:ext cx="923925" cy="866775"/>
                                </a:xfrm>
                                <a:prstGeom prst="rect">
                                  <a:avLst/>
                                </a:prstGeom>
                                <a:noFill/>
                                <a:ln>
                                  <a:noFill/>
                                </a:ln>
                              </pic:spPr>
                            </pic:pic>
                          </a:graphicData>
                        </a:graphic>
                      </wp:inline>
                    </w:drawing>
                  </w:r>
                </w:p>
              </w:tc>
              <w:tc>
                <w:tcPr>
                  <w:tcW w:w="1364" w:type="pct"/>
                  <w:tcBorders>
                    <w:tl2br w:val="nil"/>
                    <w:tr2bl w:val="nil"/>
                  </w:tcBorders>
                  <w:noWrap w:val="0"/>
                  <w:vAlign w:val="center"/>
                </w:tcPr>
                <w:p>
                  <w:pPr>
                    <w:adjustRightInd w:val="0"/>
                    <w:snapToGrid w:val="0"/>
                    <w:jc w:val="center"/>
                    <w:rPr>
                      <w:szCs w:val="21"/>
                    </w:rPr>
                  </w:pPr>
                  <w:r>
                    <w:rPr>
                      <w:szCs w:val="21"/>
                    </w:rPr>
                    <w:drawing>
                      <wp:inline distT="0" distB="0" distL="114300" distR="114300">
                        <wp:extent cx="952500" cy="904875"/>
                        <wp:effectExtent l="0" t="0" r="0" b="9525"/>
                        <wp:docPr id="1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7"/>
                                <pic:cNvPicPr>
                                  <a:picLocks noChangeAspect="1"/>
                                </pic:cNvPicPr>
                              </pic:nvPicPr>
                              <pic:blipFill>
                                <a:blip r:embed="rId11"/>
                                <a:stretch>
                                  <a:fillRect/>
                                </a:stretch>
                              </pic:blipFill>
                              <pic:spPr>
                                <a:xfrm>
                                  <a:off x="0" y="0"/>
                                  <a:ext cx="952500" cy="904875"/>
                                </a:xfrm>
                                <a:prstGeom prst="rect">
                                  <a:avLst/>
                                </a:prstGeom>
                                <a:noFill/>
                                <a:ln>
                                  <a:noFill/>
                                </a:ln>
                              </pic:spPr>
                            </pic:pic>
                          </a:graphicData>
                        </a:graphic>
                      </wp:inline>
                    </w:drawing>
                  </w:r>
                </w:p>
              </w:tc>
              <w:tc>
                <w:tcPr>
                  <w:tcW w:w="1517" w:type="pct"/>
                  <w:tcBorders>
                    <w:tl2br w:val="nil"/>
                    <w:tr2bl w:val="nil"/>
                  </w:tcBorders>
                  <w:noWrap w:val="0"/>
                  <w:vAlign w:val="center"/>
                </w:tcPr>
                <w:p>
                  <w:pPr>
                    <w:adjustRightInd w:val="0"/>
                    <w:snapToGrid w:val="0"/>
                    <w:jc w:val="center"/>
                    <w:rPr>
                      <w:szCs w:val="21"/>
                    </w:rPr>
                  </w:pPr>
                  <w:r>
                    <w:rPr>
                      <w:szCs w:val="21"/>
                    </w:rPr>
                    <w:t>废气排放口</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659" w:type="pct"/>
                  <w:tcBorders>
                    <w:tl2br w:val="nil"/>
                    <w:tr2bl w:val="nil"/>
                  </w:tcBorders>
                  <w:noWrap w:val="0"/>
                  <w:vAlign w:val="center"/>
                </w:tcPr>
                <w:p>
                  <w:pPr>
                    <w:adjustRightInd w:val="0"/>
                    <w:snapToGrid w:val="0"/>
                    <w:jc w:val="center"/>
                    <w:rPr>
                      <w:szCs w:val="21"/>
                    </w:rPr>
                  </w:pPr>
                  <w:r>
                    <w:rPr>
                      <w:szCs w:val="21"/>
                    </w:rPr>
                    <w:t>3</w:t>
                  </w:r>
                </w:p>
              </w:tc>
              <w:tc>
                <w:tcPr>
                  <w:tcW w:w="1458" w:type="pct"/>
                  <w:tcBorders>
                    <w:tl2br w:val="nil"/>
                    <w:tr2bl w:val="nil"/>
                  </w:tcBorders>
                  <w:noWrap w:val="0"/>
                  <w:vAlign w:val="center"/>
                </w:tcPr>
                <w:p>
                  <w:pPr>
                    <w:adjustRightInd w:val="0"/>
                    <w:snapToGrid w:val="0"/>
                    <w:jc w:val="center"/>
                    <w:rPr>
                      <w:szCs w:val="21"/>
                    </w:rPr>
                  </w:pPr>
                  <w:r>
                    <w:rPr>
                      <w:szCs w:val="21"/>
                    </w:rPr>
                    <w:drawing>
                      <wp:inline distT="0" distB="0" distL="114300" distR="114300">
                        <wp:extent cx="962025" cy="923925"/>
                        <wp:effectExtent l="0" t="0" r="9525" b="9525"/>
                        <wp:docPr id="10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8"/>
                                <pic:cNvPicPr>
                                  <a:picLocks noChangeAspect="1"/>
                                </pic:cNvPicPr>
                              </pic:nvPicPr>
                              <pic:blipFill>
                                <a:blip r:embed="rId12"/>
                                <a:stretch>
                                  <a:fillRect/>
                                </a:stretch>
                              </pic:blipFill>
                              <pic:spPr>
                                <a:xfrm>
                                  <a:off x="0" y="0"/>
                                  <a:ext cx="962025" cy="923925"/>
                                </a:xfrm>
                                <a:prstGeom prst="rect">
                                  <a:avLst/>
                                </a:prstGeom>
                                <a:noFill/>
                                <a:ln>
                                  <a:noFill/>
                                </a:ln>
                              </pic:spPr>
                            </pic:pic>
                          </a:graphicData>
                        </a:graphic>
                      </wp:inline>
                    </w:drawing>
                  </w:r>
                </w:p>
              </w:tc>
              <w:tc>
                <w:tcPr>
                  <w:tcW w:w="1364" w:type="pct"/>
                  <w:tcBorders>
                    <w:tl2br w:val="nil"/>
                    <w:tr2bl w:val="nil"/>
                  </w:tcBorders>
                  <w:noWrap w:val="0"/>
                  <w:vAlign w:val="center"/>
                </w:tcPr>
                <w:p>
                  <w:pPr>
                    <w:adjustRightInd w:val="0"/>
                    <w:snapToGrid w:val="0"/>
                    <w:jc w:val="center"/>
                    <w:rPr>
                      <w:szCs w:val="21"/>
                    </w:rPr>
                  </w:pPr>
                  <w:r>
                    <w:rPr>
                      <w:szCs w:val="21"/>
                    </w:rPr>
                    <w:drawing>
                      <wp:inline distT="0" distB="0" distL="114300" distR="114300">
                        <wp:extent cx="962660" cy="777875"/>
                        <wp:effectExtent l="0" t="0" r="8890" b="3175"/>
                        <wp:docPr id="10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9"/>
                                <pic:cNvPicPr>
                                  <a:picLocks noChangeAspect="1"/>
                                </pic:cNvPicPr>
                              </pic:nvPicPr>
                              <pic:blipFill>
                                <a:blip r:embed="rId13"/>
                                <a:stretch>
                                  <a:fillRect/>
                                </a:stretch>
                              </pic:blipFill>
                              <pic:spPr>
                                <a:xfrm>
                                  <a:off x="0" y="0"/>
                                  <a:ext cx="962660" cy="777875"/>
                                </a:xfrm>
                                <a:prstGeom prst="rect">
                                  <a:avLst/>
                                </a:prstGeom>
                                <a:noFill/>
                                <a:ln>
                                  <a:noFill/>
                                </a:ln>
                              </pic:spPr>
                            </pic:pic>
                          </a:graphicData>
                        </a:graphic>
                      </wp:inline>
                    </w:drawing>
                  </w:r>
                </w:p>
              </w:tc>
              <w:tc>
                <w:tcPr>
                  <w:tcW w:w="1517" w:type="pct"/>
                  <w:tcBorders>
                    <w:tl2br w:val="nil"/>
                    <w:tr2bl w:val="nil"/>
                  </w:tcBorders>
                  <w:noWrap w:val="0"/>
                  <w:vAlign w:val="center"/>
                </w:tcPr>
                <w:p>
                  <w:pPr>
                    <w:adjustRightInd w:val="0"/>
                    <w:snapToGrid w:val="0"/>
                    <w:jc w:val="center"/>
                    <w:rPr>
                      <w:szCs w:val="21"/>
                    </w:rPr>
                  </w:pPr>
                  <w:r>
                    <w:rPr>
                      <w:szCs w:val="21"/>
                    </w:rPr>
                    <w:t>噪声排放源</w:t>
                  </w:r>
                </w:p>
              </w:tc>
            </w:tr>
            <w:tr>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673" w:hRule="atLeast"/>
                <w:jc w:val="center"/>
              </w:trPr>
              <w:tc>
                <w:tcPr>
                  <w:tcW w:w="659" w:type="pct"/>
                  <w:tcBorders>
                    <w:tl2br w:val="nil"/>
                    <w:tr2bl w:val="nil"/>
                  </w:tcBorders>
                  <w:noWrap w:val="0"/>
                  <w:vAlign w:val="center"/>
                </w:tcPr>
                <w:p>
                  <w:pPr>
                    <w:adjustRightInd w:val="0"/>
                    <w:snapToGrid w:val="0"/>
                    <w:jc w:val="center"/>
                    <w:rPr>
                      <w:szCs w:val="21"/>
                    </w:rPr>
                  </w:pPr>
                  <w:r>
                    <w:rPr>
                      <w:szCs w:val="21"/>
                    </w:rPr>
                    <w:t>4</w:t>
                  </w:r>
                </w:p>
              </w:tc>
              <w:tc>
                <w:tcPr>
                  <w:tcW w:w="1458" w:type="pct"/>
                  <w:tcBorders>
                    <w:tl2br w:val="nil"/>
                    <w:tr2bl w:val="nil"/>
                  </w:tcBorders>
                  <w:noWrap w:val="0"/>
                  <w:vAlign w:val="center"/>
                </w:tcPr>
                <w:p>
                  <w:pPr>
                    <w:adjustRightInd w:val="0"/>
                    <w:snapToGrid w:val="0"/>
                    <w:jc w:val="center"/>
                    <w:rPr>
                      <w:szCs w:val="21"/>
                    </w:rPr>
                  </w:pPr>
                  <w:r>
                    <w:rPr>
                      <w:szCs w:val="21"/>
                    </w:rPr>
                    <w:t>/</w:t>
                  </w:r>
                </w:p>
              </w:tc>
              <w:tc>
                <w:tcPr>
                  <w:tcW w:w="1364" w:type="pct"/>
                  <w:tcBorders>
                    <w:tl2br w:val="nil"/>
                    <w:tr2bl w:val="nil"/>
                  </w:tcBorders>
                  <w:noWrap w:val="0"/>
                  <w:vAlign w:val="center"/>
                </w:tcPr>
                <w:p>
                  <w:pPr>
                    <w:adjustRightInd w:val="0"/>
                    <w:snapToGrid w:val="0"/>
                    <w:jc w:val="center"/>
                    <w:rPr>
                      <w:szCs w:val="21"/>
                    </w:rPr>
                  </w:pPr>
                  <w:r>
                    <w:rPr>
                      <w:szCs w:val="21"/>
                    </w:rPr>
                    <w:drawing>
                      <wp:anchor distT="0" distB="0" distL="114300" distR="114300" simplePos="0" relativeHeight="251762688" behindDoc="0" locked="0" layoutInCell="1" allowOverlap="1">
                        <wp:simplePos x="0" y="0"/>
                        <wp:positionH relativeFrom="column">
                          <wp:posOffset>206375</wp:posOffset>
                        </wp:positionH>
                        <wp:positionV relativeFrom="paragraph">
                          <wp:posOffset>176530</wp:posOffset>
                        </wp:positionV>
                        <wp:extent cx="947420" cy="838200"/>
                        <wp:effectExtent l="0" t="0" r="5080" b="0"/>
                        <wp:wrapNone/>
                        <wp:docPr id="1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
                                <pic:cNvPicPr>
                                  <a:picLocks noChangeAspect="1"/>
                                </pic:cNvPicPr>
                              </pic:nvPicPr>
                              <pic:blipFill>
                                <a:blip r:embed="rId14"/>
                                <a:stretch>
                                  <a:fillRect/>
                                </a:stretch>
                              </pic:blipFill>
                              <pic:spPr>
                                <a:xfrm>
                                  <a:off x="0" y="0"/>
                                  <a:ext cx="947420" cy="838200"/>
                                </a:xfrm>
                                <a:prstGeom prst="rect">
                                  <a:avLst/>
                                </a:prstGeom>
                                <a:noFill/>
                                <a:ln>
                                  <a:noFill/>
                                </a:ln>
                              </pic:spPr>
                            </pic:pic>
                          </a:graphicData>
                        </a:graphic>
                      </wp:anchor>
                    </w:drawing>
                  </w:r>
                </w:p>
                <w:p>
                  <w:pPr>
                    <w:adjustRightInd w:val="0"/>
                    <w:snapToGrid w:val="0"/>
                    <w:jc w:val="center"/>
                    <w:rPr>
                      <w:szCs w:val="21"/>
                    </w:rPr>
                  </w:pPr>
                </w:p>
                <w:p>
                  <w:pPr>
                    <w:adjustRightInd w:val="0"/>
                    <w:snapToGrid w:val="0"/>
                    <w:jc w:val="center"/>
                    <w:rPr>
                      <w:szCs w:val="21"/>
                    </w:rPr>
                  </w:pPr>
                </w:p>
                <w:p>
                  <w:pPr>
                    <w:adjustRightInd w:val="0"/>
                    <w:snapToGrid w:val="0"/>
                    <w:jc w:val="center"/>
                    <w:rPr>
                      <w:szCs w:val="21"/>
                    </w:rPr>
                  </w:pPr>
                </w:p>
                <w:p>
                  <w:pPr>
                    <w:adjustRightInd w:val="0"/>
                    <w:snapToGrid w:val="0"/>
                    <w:jc w:val="center"/>
                    <w:rPr>
                      <w:szCs w:val="21"/>
                    </w:rPr>
                  </w:pPr>
                </w:p>
                <w:p>
                  <w:pPr>
                    <w:adjustRightInd w:val="0"/>
                    <w:snapToGrid w:val="0"/>
                    <w:jc w:val="center"/>
                    <w:rPr>
                      <w:szCs w:val="21"/>
                    </w:rPr>
                  </w:pPr>
                </w:p>
              </w:tc>
              <w:tc>
                <w:tcPr>
                  <w:tcW w:w="1517" w:type="pct"/>
                  <w:tcBorders>
                    <w:tl2br w:val="nil"/>
                    <w:tr2bl w:val="nil"/>
                  </w:tcBorders>
                  <w:noWrap w:val="0"/>
                  <w:vAlign w:val="center"/>
                </w:tcPr>
                <w:p>
                  <w:pPr>
                    <w:adjustRightInd w:val="0"/>
                    <w:snapToGrid w:val="0"/>
                    <w:jc w:val="center"/>
                    <w:rPr>
                      <w:szCs w:val="21"/>
                    </w:rPr>
                  </w:pPr>
                  <w:r>
                    <w:rPr>
                      <w:szCs w:val="21"/>
                    </w:rPr>
                    <w:t>危险废物</w:t>
                  </w:r>
                </w:p>
              </w:tc>
            </w:tr>
          </w:tbl>
          <w:p>
            <w:pPr>
              <w:keepNext w:val="0"/>
              <w:keepLines w:val="0"/>
              <w:pageBreakBefore w:val="0"/>
              <w:widowControl w:val="0"/>
              <w:kinsoku/>
              <w:wordWrap/>
              <w:overflowPunct/>
              <w:topLinePunct w:val="0"/>
              <w:bidi w:val="0"/>
              <w:adjustRightInd w:val="0"/>
              <w:snapToGrid w:val="0"/>
              <w:spacing w:line="520" w:lineRule="exact"/>
              <w:textAlignment w:val="auto"/>
              <w:rPr>
                <w:b/>
                <w:bCs/>
                <w:kern w:val="0"/>
                <w:sz w:val="24"/>
              </w:rPr>
            </w:pPr>
            <w:r>
              <w:rPr>
                <w:rFonts w:hint="eastAsia"/>
                <w:b/>
                <w:bCs/>
                <w:kern w:val="0"/>
                <w:sz w:val="24"/>
                <w:lang w:eastAsia="zh-CN"/>
              </w:rPr>
              <w:t>（</w:t>
            </w:r>
            <w:r>
              <w:rPr>
                <w:rFonts w:hint="eastAsia"/>
                <w:b/>
                <w:bCs/>
                <w:kern w:val="0"/>
                <w:sz w:val="24"/>
                <w:lang w:val="en-US" w:eastAsia="zh-CN"/>
              </w:rPr>
              <w:t>八</w:t>
            </w:r>
            <w:r>
              <w:rPr>
                <w:rFonts w:hint="eastAsia"/>
                <w:b/>
                <w:bCs/>
                <w:kern w:val="0"/>
                <w:sz w:val="24"/>
                <w:lang w:eastAsia="zh-CN"/>
              </w:rPr>
              <w:t>）</w:t>
            </w:r>
            <w:r>
              <w:rPr>
                <w:b/>
                <w:bCs/>
                <w:kern w:val="0"/>
                <w:sz w:val="24"/>
              </w:rPr>
              <w:t>项目环保投资估算</w:t>
            </w:r>
          </w:p>
          <w:p>
            <w:pPr>
              <w:keepNext w:val="0"/>
              <w:keepLines w:val="0"/>
              <w:pageBreakBefore w:val="0"/>
              <w:widowControl w:val="0"/>
              <w:kinsoku/>
              <w:wordWrap/>
              <w:overflowPunct/>
              <w:topLinePunct w:val="0"/>
              <w:bidi w:val="0"/>
              <w:spacing w:line="520" w:lineRule="exact"/>
              <w:ind w:firstLine="480"/>
              <w:textAlignment w:val="auto"/>
              <w:rPr>
                <w:color w:val="auto"/>
                <w:sz w:val="24"/>
              </w:rPr>
            </w:pPr>
            <w:r>
              <w:rPr>
                <w:color w:val="auto"/>
                <w:sz w:val="24"/>
              </w:rPr>
              <w:t>本项目总</w:t>
            </w:r>
            <w:r>
              <w:rPr>
                <w:rFonts w:hint="eastAsia"/>
                <w:color w:val="auto"/>
                <w:sz w:val="24"/>
              </w:rPr>
              <w:t>投资</w:t>
            </w:r>
            <w:r>
              <w:rPr>
                <w:rFonts w:hint="eastAsia"/>
                <w:color w:val="auto"/>
                <w:sz w:val="24"/>
                <w:lang w:val="en-US" w:eastAsia="zh-CN"/>
              </w:rPr>
              <w:t>2500</w:t>
            </w:r>
            <w:r>
              <w:rPr>
                <w:color w:val="auto"/>
                <w:sz w:val="24"/>
              </w:rPr>
              <w:t>万元，其中环保投资</w:t>
            </w:r>
            <w:r>
              <w:rPr>
                <w:rFonts w:hint="eastAsia"/>
                <w:color w:val="auto"/>
                <w:sz w:val="24"/>
                <w:lang w:val="en-US" w:eastAsia="zh-CN"/>
              </w:rPr>
              <w:t>147</w:t>
            </w:r>
            <w:r>
              <w:rPr>
                <w:rFonts w:hint="eastAsia"/>
                <w:color w:val="auto"/>
                <w:sz w:val="24"/>
              </w:rPr>
              <w:t>万元</w:t>
            </w:r>
            <w:r>
              <w:rPr>
                <w:color w:val="auto"/>
                <w:sz w:val="24"/>
              </w:rPr>
              <w:t>，占投资的</w:t>
            </w:r>
            <w:r>
              <w:rPr>
                <w:rFonts w:hint="eastAsia"/>
                <w:color w:val="auto"/>
                <w:sz w:val="24"/>
                <w:lang w:val="en-US" w:eastAsia="zh-CN"/>
              </w:rPr>
              <w:t>5.7</w:t>
            </w:r>
            <w:r>
              <w:rPr>
                <w:rFonts w:hint="eastAsia"/>
                <w:color w:val="auto"/>
                <w:sz w:val="24"/>
              </w:rPr>
              <w:t>%</w:t>
            </w:r>
            <w:r>
              <w:rPr>
                <w:color w:val="auto"/>
                <w:sz w:val="24"/>
              </w:rPr>
              <w:t>，具体情况见</w:t>
            </w:r>
            <w:r>
              <w:rPr>
                <w:rFonts w:hint="eastAsia"/>
                <w:color w:val="auto"/>
                <w:sz w:val="24"/>
                <w:lang w:eastAsia="zh-CN"/>
              </w:rPr>
              <w:t>表</w:t>
            </w:r>
            <w:r>
              <w:rPr>
                <w:rFonts w:hint="eastAsia"/>
                <w:color w:val="auto"/>
                <w:sz w:val="24"/>
                <w:lang w:val="en-US" w:eastAsia="zh-CN"/>
              </w:rPr>
              <w:t>4-13</w:t>
            </w:r>
            <w:r>
              <w:rPr>
                <w:color w:val="auto"/>
                <w:sz w:val="24"/>
              </w:rPr>
              <w:t>。</w:t>
            </w:r>
          </w:p>
          <w:p>
            <w:pPr>
              <w:pStyle w:val="55"/>
              <w:keepNext w:val="0"/>
              <w:keepLines w:val="0"/>
              <w:pageBreakBefore w:val="0"/>
              <w:widowControl w:val="0"/>
              <w:kinsoku/>
              <w:wordWrap/>
              <w:overflowPunct/>
              <w:topLinePunct w:val="0"/>
              <w:bidi w:val="0"/>
              <w:adjustRightInd w:val="0"/>
              <w:snapToGrid w:val="0"/>
              <w:spacing w:line="520" w:lineRule="exact"/>
              <w:ind w:firstLine="0" w:firstLineChars="0"/>
              <w:jc w:val="center"/>
              <w:textAlignment w:val="auto"/>
              <w:rPr>
                <w:rFonts w:hint="eastAsia" w:ascii="宋体" w:hAnsi="宋体" w:cs="宋体"/>
                <w:szCs w:val="21"/>
              </w:rPr>
            </w:pPr>
            <w:r>
              <w:rPr>
                <w:rFonts w:ascii="Times New Roman" w:hAnsi="Times New Roman"/>
                <w:b/>
                <w:color w:val="000000"/>
                <w:szCs w:val="24"/>
              </w:rPr>
              <w:t>表</w:t>
            </w:r>
            <w:r>
              <w:rPr>
                <w:rFonts w:hint="eastAsia" w:ascii="Times New Roman" w:hAnsi="Times New Roman"/>
                <w:b/>
                <w:color w:val="000000"/>
                <w:szCs w:val="24"/>
                <w:lang w:val="en-US" w:eastAsia="zh-CN"/>
              </w:rPr>
              <w:t>4-13</w:t>
            </w:r>
            <w:r>
              <w:rPr>
                <w:rFonts w:hint="eastAsia" w:ascii="Times New Roman" w:hAnsi="Times New Roman"/>
                <w:b/>
                <w:color w:val="000000"/>
                <w:szCs w:val="24"/>
              </w:rPr>
              <w:t xml:space="preserve">   </w:t>
            </w:r>
            <w:r>
              <w:rPr>
                <w:rFonts w:ascii="Times New Roman" w:hAnsi="Times New Roman"/>
                <w:b/>
                <w:color w:val="000000"/>
                <w:szCs w:val="24"/>
              </w:rPr>
              <w:t>环保设施（措施）及投资估算一览表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86"/>
              <w:gridCol w:w="1292"/>
              <w:gridCol w:w="1891"/>
              <w:gridCol w:w="2732"/>
              <w:gridCol w:w="153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noWrap w:val="0"/>
                  <w:vAlign w:val="center"/>
                </w:tcPr>
                <w:p>
                  <w:pPr>
                    <w:jc w:val="center"/>
                    <w:rPr>
                      <w:szCs w:val="21"/>
                    </w:rPr>
                  </w:pPr>
                  <w:r>
                    <w:rPr>
                      <w:szCs w:val="21"/>
                    </w:rPr>
                    <w:t>时段</w:t>
                  </w:r>
                </w:p>
              </w:tc>
              <w:tc>
                <w:tcPr>
                  <w:tcW w:w="3183" w:type="dxa"/>
                  <w:gridSpan w:val="2"/>
                  <w:noWrap w:val="0"/>
                  <w:vAlign w:val="center"/>
                </w:tcPr>
                <w:p>
                  <w:pPr>
                    <w:jc w:val="center"/>
                    <w:rPr>
                      <w:szCs w:val="21"/>
                    </w:rPr>
                  </w:pPr>
                  <w:r>
                    <w:rPr>
                      <w:caps/>
                      <w:szCs w:val="21"/>
                    </w:rPr>
                    <w:t>项目</w:t>
                  </w:r>
                </w:p>
              </w:tc>
              <w:tc>
                <w:tcPr>
                  <w:tcW w:w="2732" w:type="dxa"/>
                  <w:noWrap w:val="0"/>
                  <w:vAlign w:val="center"/>
                </w:tcPr>
                <w:p>
                  <w:pPr>
                    <w:jc w:val="center"/>
                    <w:rPr>
                      <w:szCs w:val="21"/>
                    </w:rPr>
                  </w:pPr>
                  <w:r>
                    <w:rPr>
                      <w:szCs w:val="21"/>
                    </w:rPr>
                    <w:t>环保措施</w:t>
                  </w:r>
                </w:p>
              </w:tc>
              <w:tc>
                <w:tcPr>
                  <w:tcW w:w="1535" w:type="dxa"/>
                  <w:noWrap w:val="0"/>
                  <w:vAlign w:val="center"/>
                </w:tcPr>
                <w:p>
                  <w:pPr>
                    <w:jc w:val="center"/>
                    <w:rPr>
                      <w:szCs w:val="21"/>
                    </w:rPr>
                  </w:pPr>
                  <w:r>
                    <w:rPr>
                      <w:szCs w:val="21"/>
                    </w:rPr>
                    <w:t>投资（万元）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786" w:type="dxa"/>
                  <w:vMerge w:val="restart"/>
                  <w:noWrap w:val="0"/>
                  <w:vAlign w:val="center"/>
                </w:tcPr>
                <w:p>
                  <w:pPr>
                    <w:jc w:val="center"/>
                    <w:rPr>
                      <w:szCs w:val="21"/>
                    </w:rPr>
                  </w:pPr>
                  <w:r>
                    <w:rPr>
                      <w:szCs w:val="21"/>
                    </w:rPr>
                    <w:t>施</w:t>
                  </w:r>
                </w:p>
                <w:p>
                  <w:pPr>
                    <w:jc w:val="center"/>
                    <w:rPr>
                      <w:szCs w:val="21"/>
                    </w:rPr>
                  </w:pPr>
                  <w:r>
                    <w:rPr>
                      <w:szCs w:val="21"/>
                    </w:rPr>
                    <w:t>工</w:t>
                  </w:r>
                </w:p>
                <w:p>
                  <w:pPr>
                    <w:jc w:val="center"/>
                    <w:rPr>
                      <w:szCs w:val="21"/>
                    </w:rPr>
                  </w:pPr>
                  <w:r>
                    <w:rPr>
                      <w:szCs w:val="21"/>
                    </w:rPr>
                    <w:t>期</w:t>
                  </w:r>
                </w:p>
              </w:tc>
              <w:tc>
                <w:tcPr>
                  <w:tcW w:w="3183" w:type="dxa"/>
                  <w:gridSpan w:val="2"/>
                  <w:noWrap w:val="0"/>
                  <w:vAlign w:val="center"/>
                </w:tcPr>
                <w:p>
                  <w:pPr>
                    <w:jc w:val="center"/>
                    <w:rPr>
                      <w:szCs w:val="21"/>
                    </w:rPr>
                  </w:pPr>
                  <w:r>
                    <w:rPr>
                      <w:rFonts w:hint="eastAsia"/>
                      <w:szCs w:val="21"/>
                    </w:rPr>
                    <w:t>扬尘治理</w:t>
                  </w:r>
                </w:p>
              </w:tc>
              <w:tc>
                <w:tcPr>
                  <w:tcW w:w="2732" w:type="dxa"/>
                  <w:noWrap w:val="0"/>
                  <w:vAlign w:val="center"/>
                </w:tcPr>
                <w:p>
                  <w:pPr>
                    <w:jc w:val="center"/>
                    <w:rPr>
                      <w:rFonts w:hint="eastAsia" w:eastAsia="宋体"/>
                      <w:szCs w:val="21"/>
                      <w:lang w:eastAsia="zh-CN"/>
                    </w:rPr>
                  </w:pPr>
                  <w:r>
                    <w:rPr>
                      <w:szCs w:val="21"/>
                    </w:rPr>
                    <w:t>洒水</w:t>
                  </w:r>
                  <w:r>
                    <w:rPr>
                      <w:rFonts w:hint="eastAsia"/>
                      <w:szCs w:val="21"/>
                      <w:lang w:eastAsia="zh-CN"/>
                    </w:rPr>
                    <w:t>抑尘</w:t>
                  </w:r>
                </w:p>
              </w:tc>
              <w:tc>
                <w:tcPr>
                  <w:tcW w:w="1535" w:type="dxa"/>
                  <w:noWrap w:val="0"/>
                  <w:vAlign w:val="center"/>
                </w:tcPr>
                <w:p>
                  <w:pPr>
                    <w:jc w:val="center"/>
                    <w:rPr>
                      <w:rFonts w:hint="eastAsia"/>
                      <w:szCs w:val="21"/>
                    </w:rPr>
                  </w:pPr>
                  <w:r>
                    <w:rPr>
                      <w:rFonts w:hint="eastAsia"/>
                      <w:szCs w:val="21"/>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786" w:type="dxa"/>
                  <w:vMerge w:val="continue"/>
                  <w:noWrap w:val="0"/>
                  <w:vAlign w:val="center"/>
                </w:tcPr>
                <w:p>
                  <w:pPr>
                    <w:jc w:val="center"/>
                    <w:rPr>
                      <w:szCs w:val="21"/>
                    </w:rPr>
                  </w:pPr>
                </w:p>
              </w:tc>
              <w:tc>
                <w:tcPr>
                  <w:tcW w:w="3183" w:type="dxa"/>
                  <w:gridSpan w:val="2"/>
                  <w:noWrap w:val="0"/>
                  <w:vAlign w:val="center"/>
                </w:tcPr>
                <w:p>
                  <w:pPr>
                    <w:jc w:val="center"/>
                    <w:rPr>
                      <w:szCs w:val="21"/>
                    </w:rPr>
                  </w:pPr>
                  <w:r>
                    <w:rPr>
                      <w:rFonts w:hint="eastAsia"/>
                      <w:szCs w:val="21"/>
                    </w:rPr>
                    <w:t>废水治理</w:t>
                  </w:r>
                </w:p>
              </w:tc>
              <w:tc>
                <w:tcPr>
                  <w:tcW w:w="2732" w:type="dxa"/>
                  <w:noWrap w:val="0"/>
                  <w:vAlign w:val="center"/>
                </w:tcPr>
                <w:p>
                  <w:pPr>
                    <w:jc w:val="center"/>
                    <w:rPr>
                      <w:szCs w:val="21"/>
                    </w:rPr>
                  </w:pPr>
                  <w:r>
                    <w:rPr>
                      <w:rFonts w:hint="eastAsia"/>
                      <w:szCs w:val="21"/>
                    </w:rPr>
                    <w:t>沉淀池</w:t>
                  </w:r>
                </w:p>
              </w:tc>
              <w:tc>
                <w:tcPr>
                  <w:tcW w:w="1535" w:type="dxa"/>
                  <w:noWrap w:val="0"/>
                  <w:vAlign w:val="center"/>
                </w:tcPr>
                <w:p>
                  <w:pPr>
                    <w:jc w:val="center"/>
                    <w:rPr>
                      <w:rFonts w:hint="eastAsia"/>
                      <w:szCs w:val="21"/>
                    </w:rPr>
                  </w:pPr>
                  <w:r>
                    <w:rPr>
                      <w:rFonts w:hint="eastAsia"/>
                      <w:szCs w:val="21"/>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noWrap w:val="0"/>
                  <w:vAlign w:val="center"/>
                </w:tcPr>
                <w:p>
                  <w:pPr>
                    <w:jc w:val="center"/>
                    <w:rPr>
                      <w:szCs w:val="21"/>
                    </w:rPr>
                  </w:pPr>
                </w:p>
              </w:tc>
              <w:tc>
                <w:tcPr>
                  <w:tcW w:w="3183" w:type="dxa"/>
                  <w:gridSpan w:val="2"/>
                  <w:noWrap w:val="0"/>
                  <w:vAlign w:val="center"/>
                </w:tcPr>
                <w:p>
                  <w:pPr>
                    <w:jc w:val="center"/>
                    <w:rPr>
                      <w:szCs w:val="21"/>
                    </w:rPr>
                  </w:pPr>
                  <w:r>
                    <w:rPr>
                      <w:szCs w:val="21"/>
                    </w:rPr>
                    <w:t>噪声治理</w:t>
                  </w:r>
                </w:p>
              </w:tc>
              <w:tc>
                <w:tcPr>
                  <w:tcW w:w="2732" w:type="dxa"/>
                  <w:tcBorders>
                    <w:right w:val="single" w:color="auto" w:sz="4" w:space="0"/>
                  </w:tcBorders>
                  <w:noWrap w:val="0"/>
                  <w:vAlign w:val="center"/>
                </w:tcPr>
                <w:p>
                  <w:pPr>
                    <w:jc w:val="center"/>
                    <w:rPr>
                      <w:szCs w:val="21"/>
                    </w:rPr>
                  </w:pPr>
                  <w:r>
                    <w:rPr>
                      <w:szCs w:val="21"/>
                    </w:rPr>
                    <w:t>围墙遮挡、施工设备降噪</w:t>
                  </w:r>
                </w:p>
              </w:tc>
              <w:tc>
                <w:tcPr>
                  <w:tcW w:w="1535" w:type="dxa"/>
                  <w:noWrap w:val="0"/>
                  <w:vAlign w:val="center"/>
                </w:tcPr>
                <w:p>
                  <w:pPr>
                    <w:jc w:val="center"/>
                    <w:rPr>
                      <w:rFonts w:hint="eastAsia"/>
                      <w:szCs w:val="21"/>
                    </w:rPr>
                  </w:pPr>
                  <w:r>
                    <w:rPr>
                      <w:rFonts w:hint="eastAsia"/>
                      <w:szCs w:val="21"/>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tcBorders>
                    <w:bottom w:val="single" w:color="000000" w:sz="4" w:space="0"/>
                  </w:tcBorders>
                  <w:noWrap w:val="0"/>
                  <w:vAlign w:val="center"/>
                </w:tcPr>
                <w:p>
                  <w:pPr>
                    <w:jc w:val="center"/>
                    <w:rPr>
                      <w:szCs w:val="21"/>
                    </w:rPr>
                  </w:pPr>
                </w:p>
              </w:tc>
              <w:tc>
                <w:tcPr>
                  <w:tcW w:w="5915" w:type="dxa"/>
                  <w:gridSpan w:val="3"/>
                  <w:tcBorders>
                    <w:bottom w:val="single" w:color="000000" w:sz="4" w:space="0"/>
                    <w:right w:val="single" w:color="auto" w:sz="4" w:space="0"/>
                  </w:tcBorders>
                  <w:noWrap w:val="0"/>
                  <w:vAlign w:val="center"/>
                </w:tcPr>
                <w:p>
                  <w:pPr>
                    <w:jc w:val="center"/>
                    <w:rPr>
                      <w:szCs w:val="21"/>
                    </w:rPr>
                  </w:pPr>
                  <w:r>
                    <w:rPr>
                      <w:szCs w:val="21"/>
                    </w:rPr>
                    <w:t>小计</w:t>
                  </w:r>
                </w:p>
              </w:tc>
              <w:tc>
                <w:tcPr>
                  <w:tcW w:w="1535" w:type="dxa"/>
                  <w:noWrap w:val="0"/>
                  <w:vAlign w:val="center"/>
                </w:tcPr>
                <w:p>
                  <w:pPr>
                    <w:jc w:val="center"/>
                    <w:rPr>
                      <w:rFonts w:hint="eastAsia"/>
                      <w:szCs w:val="21"/>
                    </w:rPr>
                  </w:pPr>
                  <w:r>
                    <w:rPr>
                      <w:rFonts w:hint="eastAsia"/>
                      <w:szCs w:val="2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restart"/>
                  <w:tcBorders>
                    <w:top w:val="single" w:color="auto" w:sz="4" w:space="0"/>
                  </w:tcBorders>
                  <w:noWrap w:val="0"/>
                  <w:vAlign w:val="center"/>
                </w:tcPr>
                <w:p>
                  <w:pPr>
                    <w:jc w:val="center"/>
                    <w:rPr>
                      <w:rFonts w:hint="eastAsia"/>
                      <w:szCs w:val="21"/>
                    </w:rPr>
                  </w:pPr>
                  <w:r>
                    <w:rPr>
                      <w:rFonts w:hint="eastAsia"/>
                      <w:szCs w:val="21"/>
                    </w:rPr>
                    <w:t>运</w:t>
                  </w:r>
                </w:p>
                <w:p>
                  <w:pPr>
                    <w:jc w:val="center"/>
                    <w:rPr>
                      <w:rFonts w:hint="eastAsia"/>
                      <w:szCs w:val="21"/>
                    </w:rPr>
                  </w:pPr>
                  <w:r>
                    <w:rPr>
                      <w:rFonts w:hint="eastAsia"/>
                      <w:szCs w:val="21"/>
                    </w:rPr>
                    <w:t>营</w:t>
                  </w:r>
                </w:p>
                <w:p>
                  <w:pPr>
                    <w:jc w:val="center"/>
                    <w:rPr>
                      <w:rFonts w:hint="eastAsia"/>
                      <w:szCs w:val="21"/>
                    </w:rPr>
                  </w:pPr>
                  <w:r>
                    <w:rPr>
                      <w:rFonts w:hint="eastAsia"/>
                      <w:szCs w:val="21"/>
                    </w:rPr>
                    <w:t>期</w:t>
                  </w:r>
                </w:p>
              </w:tc>
              <w:tc>
                <w:tcPr>
                  <w:tcW w:w="1292" w:type="dxa"/>
                  <w:vMerge w:val="restart"/>
                  <w:tcBorders>
                    <w:top w:val="single" w:color="auto" w:sz="4" w:space="0"/>
                  </w:tcBorders>
                  <w:noWrap w:val="0"/>
                  <w:vAlign w:val="center"/>
                </w:tcPr>
                <w:p>
                  <w:pPr>
                    <w:jc w:val="center"/>
                    <w:rPr>
                      <w:rFonts w:hint="eastAsia"/>
                      <w:szCs w:val="21"/>
                    </w:rPr>
                  </w:pPr>
                  <w:r>
                    <w:rPr>
                      <w:rFonts w:hint="eastAsia"/>
                      <w:szCs w:val="21"/>
                    </w:rPr>
                    <w:t>废气治理</w:t>
                  </w:r>
                </w:p>
                <w:p>
                  <w:pPr>
                    <w:jc w:val="center"/>
                    <w:rPr>
                      <w:rFonts w:hint="eastAsia"/>
                      <w:szCs w:val="21"/>
                    </w:rPr>
                  </w:pPr>
                </w:p>
              </w:tc>
              <w:tc>
                <w:tcPr>
                  <w:tcW w:w="1891" w:type="dxa"/>
                  <w:tcBorders>
                    <w:right w:val="single" w:color="auto" w:sz="4" w:space="0"/>
                  </w:tcBorders>
                  <w:noWrap w:val="0"/>
                  <w:vAlign w:val="center"/>
                </w:tcPr>
                <w:p>
                  <w:pPr>
                    <w:pStyle w:val="57"/>
                    <w:rPr>
                      <w:rFonts w:hint="eastAsia"/>
                      <w:szCs w:val="21"/>
                    </w:rPr>
                  </w:pPr>
                  <w:r>
                    <w:rPr>
                      <w:rFonts w:hint="eastAsia"/>
                      <w:szCs w:val="21"/>
                    </w:rPr>
                    <w:t>砂石料搅拌</w:t>
                  </w:r>
                </w:p>
              </w:tc>
              <w:tc>
                <w:tcPr>
                  <w:tcW w:w="2732" w:type="dxa"/>
                  <w:tcBorders>
                    <w:left w:val="single" w:color="auto" w:sz="4" w:space="0"/>
                    <w:right w:val="single" w:color="auto" w:sz="4" w:space="0"/>
                  </w:tcBorders>
                  <w:noWrap w:val="0"/>
                  <w:vAlign w:val="center"/>
                </w:tcPr>
                <w:p>
                  <w:pPr>
                    <w:pStyle w:val="57"/>
                    <w:rPr>
                      <w:rFonts w:hint="eastAsia"/>
                      <w:szCs w:val="21"/>
                    </w:rPr>
                  </w:pPr>
                  <w:r>
                    <w:rPr>
                      <w:rFonts w:hint="eastAsia"/>
                      <w:spacing w:val="-2"/>
                      <w:szCs w:val="21"/>
                    </w:rPr>
                    <w:t>2套</w:t>
                  </w:r>
                  <w:r>
                    <w:rPr>
                      <w:rFonts w:hint="eastAsia"/>
                      <w:szCs w:val="21"/>
                      <w:lang w:val="en-US" w:eastAsia="zh-CN"/>
                    </w:rPr>
                    <w:t>布袋</w:t>
                  </w:r>
                  <w:r>
                    <w:rPr>
                      <w:rFonts w:hint="eastAsia"/>
                      <w:szCs w:val="21"/>
                    </w:rPr>
                    <w:t>除尘器</w:t>
                  </w:r>
                </w:p>
              </w:tc>
              <w:tc>
                <w:tcPr>
                  <w:tcW w:w="1535" w:type="dxa"/>
                  <w:noWrap w:val="0"/>
                  <w:vAlign w:val="center"/>
                </w:tcPr>
                <w:p>
                  <w:pPr>
                    <w:jc w:val="center"/>
                    <w:rPr>
                      <w:rFonts w:hint="default"/>
                      <w:szCs w:val="21"/>
                      <w:lang w:val="en-US"/>
                    </w:rPr>
                  </w:pPr>
                  <w:r>
                    <w:rPr>
                      <w:rFonts w:hint="eastAsia"/>
                      <w:szCs w:val="21"/>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noWrap w:val="0"/>
                  <w:vAlign w:val="center"/>
                </w:tcPr>
                <w:p>
                  <w:pPr>
                    <w:jc w:val="center"/>
                    <w:rPr>
                      <w:szCs w:val="21"/>
                    </w:rPr>
                  </w:pPr>
                </w:p>
              </w:tc>
              <w:tc>
                <w:tcPr>
                  <w:tcW w:w="1292" w:type="dxa"/>
                  <w:vMerge w:val="continue"/>
                  <w:noWrap w:val="0"/>
                  <w:vAlign w:val="center"/>
                </w:tcPr>
                <w:p>
                  <w:pPr>
                    <w:jc w:val="center"/>
                    <w:rPr>
                      <w:rFonts w:hint="eastAsia"/>
                      <w:szCs w:val="21"/>
                    </w:rPr>
                  </w:pPr>
                </w:p>
              </w:tc>
              <w:tc>
                <w:tcPr>
                  <w:tcW w:w="1891" w:type="dxa"/>
                  <w:tcBorders>
                    <w:right w:val="single" w:color="auto" w:sz="4" w:space="0"/>
                  </w:tcBorders>
                  <w:noWrap w:val="0"/>
                  <w:vAlign w:val="center"/>
                </w:tcPr>
                <w:p>
                  <w:pPr>
                    <w:pStyle w:val="57"/>
                    <w:rPr>
                      <w:rFonts w:hint="eastAsia" w:eastAsia="宋体"/>
                      <w:szCs w:val="21"/>
                      <w:lang w:eastAsia="zh-CN"/>
                    </w:rPr>
                  </w:pPr>
                  <w:r>
                    <w:rPr>
                      <w:rFonts w:hint="eastAsia"/>
                      <w:szCs w:val="21"/>
                    </w:rPr>
                    <w:t>水泥筒仓、粉煤灰筒仓</w:t>
                  </w:r>
                </w:p>
              </w:tc>
              <w:tc>
                <w:tcPr>
                  <w:tcW w:w="2732" w:type="dxa"/>
                  <w:tcBorders>
                    <w:left w:val="single" w:color="auto" w:sz="4" w:space="0"/>
                    <w:right w:val="single" w:color="auto" w:sz="4" w:space="0"/>
                  </w:tcBorders>
                  <w:noWrap w:val="0"/>
                  <w:vAlign w:val="center"/>
                </w:tcPr>
                <w:p>
                  <w:pPr>
                    <w:pStyle w:val="57"/>
                    <w:rPr>
                      <w:rFonts w:hint="eastAsia"/>
                      <w:szCs w:val="21"/>
                    </w:rPr>
                  </w:pPr>
                  <w:r>
                    <w:rPr>
                      <w:rFonts w:hint="eastAsia"/>
                      <w:szCs w:val="21"/>
                      <w:lang w:val="en-US" w:eastAsia="zh-CN"/>
                    </w:rPr>
                    <w:t>8套滤芯式</w:t>
                  </w:r>
                  <w:r>
                    <w:rPr>
                      <w:rFonts w:hint="eastAsia"/>
                      <w:szCs w:val="21"/>
                    </w:rPr>
                    <w:t>除尘器</w:t>
                  </w:r>
                </w:p>
              </w:tc>
              <w:tc>
                <w:tcPr>
                  <w:tcW w:w="1535" w:type="dxa"/>
                  <w:noWrap w:val="0"/>
                  <w:vAlign w:val="center"/>
                </w:tcPr>
                <w:p>
                  <w:pPr>
                    <w:jc w:val="center"/>
                    <w:rPr>
                      <w:rFonts w:hint="default" w:eastAsia="宋体"/>
                      <w:szCs w:val="21"/>
                      <w:lang w:val="en-US" w:eastAsia="zh-CN"/>
                    </w:rPr>
                  </w:pPr>
                  <w:r>
                    <w:rPr>
                      <w:rFonts w:hint="eastAsia" w:eastAsia="宋体"/>
                      <w:szCs w:val="21"/>
                      <w:lang w:val="en-US" w:eastAsia="zh-CN"/>
                    </w:rPr>
                    <w:t>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noWrap w:val="0"/>
                  <w:vAlign w:val="center"/>
                </w:tcPr>
                <w:p>
                  <w:pPr>
                    <w:jc w:val="center"/>
                    <w:rPr>
                      <w:szCs w:val="21"/>
                    </w:rPr>
                  </w:pPr>
                </w:p>
              </w:tc>
              <w:tc>
                <w:tcPr>
                  <w:tcW w:w="1292" w:type="dxa"/>
                  <w:vMerge w:val="continue"/>
                  <w:noWrap w:val="0"/>
                  <w:vAlign w:val="center"/>
                </w:tcPr>
                <w:p>
                  <w:pPr>
                    <w:jc w:val="center"/>
                    <w:rPr>
                      <w:rFonts w:hint="eastAsia"/>
                      <w:szCs w:val="21"/>
                    </w:rPr>
                  </w:pPr>
                </w:p>
              </w:tc>
              <w:tc>
                <w:tcPr>
                  <w:tcW w:w="1891" w:type="dxa"/>
                  <w:tcBorders>
                    <w:right w:val="single" w:color="auto" w:sz="4" w:space="0"/>
                  </w:tcBorders>
                  <w:noWrap w:val="0"/>
                  <w:vAlign w:val="center"/>
                </w:tcPr>
                <w:p>
                  <w:pPr>
                    <w:pStyle w:val="57"/>
                    <w:rPr>
                      <w:rFonts w:hint="default" w:eastAsia="宋体"/>
                      <w:szCs w:val="21"/>
                      <w:lang w:val="en-US" w:eastAsia="zh-CN"/>
                    </w:rPr>
                  </w:pPr>
                  <w:r>
                    <w:rPr>
                      <w:rFonts w:hint="eastAsia"/>
                      <w:szCs w:val="21"/>
                      <w:lang w:val="en-US" w:eastAsia="zh-CN"/>
                    </w:rPr>
                    <w:t>原料堆仓、上料仓，道路等</w:t>
                  </w:r>
                </w:p>
              </w:tc>
              <w:tc>
                <w:tcPr>
                  <w:tcW w:w="2732" w:type="dxa"/>
                  <w:tcBorders>
                    <w:left w:val="single" w:color="auto" w:sz="4" w:space="0"/>
                    <w:right w:val="single" w:color="auto" w:sz="4" w:space="0"/>
                  </w:tcBorders>
                  <w:noWrap w:val="0"/>
                  <w:vAlign w:val="center"/>
                </w:tcPr>
                <w:p>
                  <w:pPr>
                    <w:pStyle w:val="57"/>
                    <w:rPr>
                      <w:rFonts w:hint="default"/>
                      <w:szCs w:val="21"/>
                      <w:lang w:val="en-US" w:eastAsia="zh-CN"/>
                    </w:rPr>
                  </w:pPr>
                  <w:r>
                    <w:rPr>
                      <w:rFonts w:hint="eastAsia"/>
                      <w:szCs w:val="21"/>
                      <w:lang w:eastAsia="zh-CN"/>
                    </w:rPr>
                    <w:t>喷淋系统、</w:t>
                  </w:r>
                  <w:r>
                    <w:rPr>
                      <w:rFonts w:hint="eastAsia"/>
                      <w:szCs w:val="21"/>
                      <w:lang w:val="en-US" w:eastAsia="zh-CN"/>
                    </w:rPr>
                    <w:t>洒水</w:t>
                  </w:r>
                </w:p>
              </w:tc>
              <w:tc>
                <w:tcPr>
                  <w:tcW w:w="1535" w:type="dxa"/>
                  <w:noWrap w:val="0"/>
                  <w:vAlign w:val="center"/>
                </w:tcPr>
                <w:p>
                  <w:pPr>
                    <w:jc w:val="center"/>
                    <w:rPr>
                      <w:rFonts w:hint="default" w:eastAsia="宋体"/>
                      <w:szCs w:val="21"/>
                      <w:lang w:val="en-US" w:eastAsia="zh-CN"/>
                    </w:rPr>
                  </w:pPr>
                  <w:r>
                    <w:rPr>
                      <w:rFonts w:hint="eastAsia" w:eastAsia="宋体"/>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80" w:hRule="atLeast"/>
                <w:jc w:val="center"/>
              </w:trPr>
              <w:tc>
                <w:tcPr>
                  <w:tcW w:w="786" w:type="dxa"/>
                  <w:vMerge w:val="continue"/>
                  <w:noWrap w:val="0"/>
                  <w:vAlign w:val="center"/>
                </w:tcPr>
                <w:p>
                  <w:pPr>
                    <w:jc w:val="center"/>
                    <w:rPr>
                      <w:szCs w:val="21"/>
                    </w:rPr>
                  </w:pPr>
                </w:p>
              </w:tc>
              <w:tc>
                <w:tcPr>
                  <w:tcW w:w="1292" w:type="dxa"/>
                  <w:noWrap w:val="0"/>
                  <w:vAlign w:val="center"/>
                </w:tcPr>
                <w:p>
                  <w:pPr>
                    <w:jc w:val="center"/>
                    <w:rPr>
                      <w:szCs w:val="21"/>
                    </w:rPr>
                  </w:pPr>
                  <w:r>
                    <w:rPr>
                      <w:szCs w:val="21"/>
                    </w:rPr>
                    <w:t>噪声治理</w:t>
                  </w:r>
                </w:p>
              </w:tc>
              <w:tc>
                <w:tcPr>
                  <w:tcW w:w="1891" w:type="dxa"/>
                  <w:tcBorders>
                    <w:right w:val="single" w:color="auto" w:sz="4" w:space="0"/>
                  </w:tcBorders>
                  <w:noWrap w:val="0"/>
                  <w:vAlign w:val="center"/>
                </w:tcPr>
                <w:p>
                  <w:pPr>
                    <w:pStyle w:val="57"/>
                    <w:rPr>
                      <w:rFonts w:hint="default" w:eastAsia="宋体"/>
                      <w:szCs w:val="21"/>
                      <w:lang w:val="en-US" w:eastAsia="zh-CN"/>
                    </w:rPr>
                  </w:pPr>
                  <w:r>
                    <w:rPr>
                      <w:rFonts w:hint="eastAsia"/>
                      <w:szCs w:val="21"/>
                      <w:lang w:val="en-US" w:eastAsia="zh-CN"/>
                    </w:rPr>
                    <w:t>各类生产设备、车辆</w:t>
                  </w:r>
                </w:p>
              </w:tc>
              <w:tc>
                <w:tcPr>
                  <w:tcW w:w="2732" w:type="dxa"/>
                  <w:tcBorders>
                    <w:left w:val="single" w:color="auto" w:sz="4" w:space="0"/>
                    <w:right w:val="single" w:color="auto" w:sz="4" w:space="0"/>
                  </w:tcBorders>
                  <w:noWrap w:val="0"/>
                  <w:vAlign w:val="center"/>
                </w:tcPr>
                <w:p>
                  <w:pPr>
                    <w:pStyle w:val="57"/>
                    <w:rPr>
                      <w:rFonts w:hint="default" w:eastAsia="宋体"/>
                      <w:szCs w:val="21"/>
                      <w:lang w:val="en-US" w:eastAsia="zh-CN"/>
                    </w:rPr>
                  </w:pPr>
                  <w:r>
                    <w:rPr>
                      <w:rFonts w:hint="default" w:ascii="Times New Roman" w:hAnsi="Times New Roman" w:cs="Times New Roman"/>
                      <w:color w:val="auto"/>
                      <w:sz w:val="21"/>
                      <w:szCs w:val="21"/>
                      <w:highlight w:val="none"/>
                    </w:rPr>
                    <w:t>基础减振</w:t>
                  </w:r>
                  <w:r>
                    <w:rPr>
                      <w:rFonts w:hint="eastAsia" w:ascii="Times New Roman" w:hAnsi="Times New Roman" w:cs="Times New Roman"/>
                      <w:color w:val="auto"/>
                      <w:sz w:val="21"/>
                      <w:szCs w:val="21"/>
                      <w:highlight w:val="none"/>
                      <w:lang w:eastAsia="zh-CN"/>
                    </w:rPr>
                    <w:t>、使用低噪声设备、</w:t>
                  </w:r>
                  <w:r>
                    <w:rPr>
                      <w:rFonts w:hint="eastAsia" w:ascii="Times New Roman" w:hAnsi="Times New Roman" w:cs="Times New Roman"/>
                      <w:color w:val="auto"/>
                      <w:sz w:val="21"/>
                      <w:szCs w:val="21"/>
                      <w:highlight w:val="none"/>
                      <w:lang w:val="en-US" w:eastAsia="zh-CN"/>
                    </w:rPr>
                    <w:t>绿化</w:t>
                  </w:r>
                </w:p>
              </w:tc>
              <w:tc>
                <w:tcPr>
                  <w:tcW w:w="1535" w:type="dxa"/>
                  <w:noWrap w:val="0"/>
                  <w:vAlign w:val="center"/>
                </w:tcPr>
                <w:p>
                  <w:pPr>
                    <w:jc w:val="center"/>
                    <w:rPr>
                      <w:rFonts w:hint="eastAsia" w:eastAsia="宋体"/>
                      <w:szCs w:val="21"/>
                      <w:lang w:eastAsia="zh-CN"/>
                    </w:rPr>
                  </w:pPr>
                  <w:r>
                    <w:rPr>
                      <w:rFonts w:hint="eastAsia"/>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noWrap w:val="0"/>
                  <w:vAlign w:val="center"/>
                </w:tcPr>
                <w:p>
                  <w:pPr>
                    <w:jc w:val="center"/>
                    <w:rPr>
                      <w:szCs w:val="21"/>
                    </w:rPr>
                  </w:pPr>
                </w:p>
              </w:tc>
              <w:tc>
                <w:tcPr>
                  <w:tcW w:w="1292" w:type="dxa"/>
                  <w:vMerge w:val="restart"/>
                  <w:noWrap w:val="0"/>
                  <w:vAlign w:val="center"/>
                </w:tcPr>
                <w:p>
                  <w:pPr>
                    <w:jc w:val="center"/>
                    <w:rPr>
                      <w:szCs w:val="21"/>
                    </w:rPr>
                  </w:pPr>
                  <w:r>
                    <w:rPr>
                      <w:szCs w:val="21"/>
                    </w:rPr>
                    <w:t>废水治理</w:t>
                  </w:r>
                </w:p>
              </w:tc>
              <w:tc>
                <w:tcPr>
                  <w:tcW w:w="1891" w:type="dxa"/>
                  <w:tcBorders>
                    <w:right w:val="single" w:color="auto" w:sz="4" w:space="0"/>
                  </w:tcBorders>
                  <w:noWrap w:val="0"/>
                  <w:vAlign w:val="center"/>
                </w:tcPr>
                <w:p>
                  <w:pPr>
                    <w:jc w:val="center"/>
                    <w:rPr>
                      <w:rFonts w:hint="eastAsia" w:eastAsia="宋体"/>
                      <w:spacing w:val="-2"/>
                      <w:szCs w:val="21"/>
                      <w:lang w:eastAsia="zh-CN"/>
                    </w:rPr>
                  </w:pPr>
                  <w:r>
                    <w:rPr>
                      <w:spacing w:val="-2"/>
                      <w:szCs w:val="21"/>
                    </w:rPr>
                    <w:t>生活污水</w:t>
                  </w:r>
                </w:p>
              </w:tc>
              <w:tc>
                <w:tcPr>
                  <w:tcW w:w="2732" w:type="dxa"/>
                  <w:tcBorders>
                    <w:left w:val="single" w:color="auto" w:sz="4" w:space="0"/>
                    <w:right w:val="single" w:color="auto" w:sz="4" w:space="0"/>
                  </w:tcBorders>
                  <w:noWrap w:val="0"/>
                  <w:vAlign w:val="center"/>
                </w:tcPr>
                <w:p>
                  <w:pPr>
                    <w:jc w:val="center"/>
                    <w:rPr>
                      <w:spacing w:val="-2"/>
                      <w:szCs w:val="21"/>
                    </w:rPr>
                  </w:pPr>
                  <w:r>
                    <w:rPr>
                      <w:rStyle w:val="37"/>
                      <w:rFonts w:hint="eastAsia"/>
                      <w:color w:val="auto"/>
                      <w:sz w:val="21"/>
                      <w:szCs w:val="21"/>
                      <w:lang w:val="en-US" w:eastAsia="zh-CN"/>
                    </w:rPr>
                    <w:t>1座1</w:t>
                  </w:r>
                  <w:r>
                    <w:rPr>
                      <w:rStyle w:val="37"/>
                      <w:rFonts w:hint="eastAsia"/>
                      <w:color w:val="auto"/>
                      <w:sz w:val="21"/>
                      <w:szCs w:val="21"/>
                    </w:rPr>
                    <w:t>0m</w:t>
                  </w:r>
                  <w:r>
                    <w:rPr>
                      <w:rStyle w:val="37"/>
                      <w:rFonts w:hint="eastAsia"/>
                      <w:color w:val="auto"/>
                      <w:sz w:val="21"/>
                      <w:szCs w:val="21"/>
                      <w:vertAlign w:val="superscript"/>
                    </w:rPr>
                    <w:t>3</w:t>
                  </w:r>
                  <w:r>
                    <w:rPr>
                      <w:rStyle w:val="37"/>
                      <w:rFonts w:hint="eastAsia"/>
                      <w:color w:val="auto"/>
                      <w:sz w:val="21"/>
                      <w:szCs w:val="21"/>
                    </w:rPr>
                    <w:t>化粪池</w:t>
                  </w:r>
                </w:p>
              </w:tc>
              <w:tc>
                <w:tcPr>
                  <w:tcW w:w="1535" w:type="dxa"/>
                  <w:noWrap w:val="0"/>
                  <w:vAlign w:val="center"/>
                </w:tcPr>
                <w:p>
                  <w:pPr>
                    <w:jc w:val="center"/>
                    <w:rPr>
                      <w:rFonts w:hint="default" w:eastAsia="宋体"/>
                      <w:szCs w:val="21"/>
                      <w:lang w:val="en-US" w:eastAsia="zh-CN"/>
                    </w:rPr>
                  </w:pPr>
                  <w:r>
                    <w:rPr>
                      <w:rFonts w:hint="eastAsia" w:eastAsia="宋体"/>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noWrap w:val="0"/>
                  <w:vAlign w:val="center"/>
                </w:tcPr>
                <w:p>
                  <w:pPr>
                    <w:jc w:val="center"/>
                    <w:rPr>
                      <w:szCs w:val="21"/>
                    </w:rPr>
                  </w:pPr>
                </w:p>
              </w:tc>
              <w:tc>
                <w:tcPr>
                  <w:tcW w:w="1292" w:type="dxa"/>
                  <w:vMerge w:val="continue"/>
                  <w:noWrap w:val="0"/>
                  <w:vAlign w:val="center"/>
                </w:tcPr>
                <w:p>
                  <w:pPr>
                    <w:jc w:val="center"/>
                    <w:rPr>
                      <w:szCs w:val="21"/>
                    </w:rPr>
                  </w:pPr>
                </w:p>
              </w:tc>
              <w:tc>
                <w:tcPr>
                  <w:tcW w:w="1891" w:type="dxa"/>
                  <w:tcBorders>
                    <w:right w:val="single" w:color="auto" w:sz="4" w:space="0"/>
                  </w:tcBorders>
                  <w:noWrap w:val="0"/>
                  <w:vAlign w:val="center"/>
                </w:tcPr>
                <w:p>
                  <w:pPr>
                    <w:jc w:val="center"/>
                    <w:rPr>
                      <w:rFonts w:hint="eastAsia" w:eastAsia="宋体"/>
                      <w:spacing w:val="-2"/>
                      <w:szCs w:val="21"/>
                      <w:lang w:val="en-US" w:eastAsia="zh-CN"/>
                    </w:rPr>
                  </w:pPr>
                  <w:r>
                    <w:rPr>
                      <w:rFonts w:hint="eastAsia"/>
                      <w:spacing w:val="-2"/>
                      <w:szCs w:val="21"/>
                      <w:lang w:val="en-US" w:eastAsia="zh-CN"/>
                    </w:rPr>
                    <w:t>生产废水</w:t>
                  </w:r>
                </w:p>
              </w:tc>
              <w:tc>
                <w:tcPr>
                  <w:tcW w:w="2732" w:type="dxa"/>
                  <w:tcBorders>
                    <w:left w:val="single" w:color="auto" w:sz="4" w:space="0"/>
                    <w:right w:val="single" w:color="auto" w:sz="4" w:space="0"/>
                  </w:tcBorders>
                  <w:noWrap w:val="0"/>
                  <w:vAlign w:val="center"/>
                </w:tcPr>
                <w:p>
                  <w:pPr>
                    <w:jc w:val="center"/>
                    <w:rPr>
                      <w:rStyle w:val="37"/>
                      <w:rFonts w:hint="eastAsia"/>
                      <w:color w:val="auto"/>
                      <w:sz w:val="21"/>
                      <w:szCs w:val="21"/>
                      <w:lang w:val="en-US" w:eastAsia="zh-CN"/>
                    </w:rPr>
                  </w:pPr>
                  <w:r>
                    <w:rPr>
                      <w:rStyle w:val="37"/>
                      <w:rFonts w:hint="eastAsia"/>
                      <w:color w:val="auto"/>
                      <w:sz w:val="21"/>
                      <w:szCs w:val="21"/>
                      <w:lang w:val="en-US" w:eastAsia="zh-CN"/>
                    </w:rPr>
                    <w:t>三级沉淀池</w:t>
                  </w:r>
                  <w:r>
                    <w:rPr>
                      <w:rFonts w:hint="default" w:ascii="Calibri" w:hAnsi="Calibri"/>
                      <w:sz w:val="21"/>
                      <w:szCs w:val="21"/>
                    </w:rPr>
                    <w:t>（3×10m</w:t>
                  </w:r>
                  <w:r>
                    <w:rPr>
                      <w:rFonts w:hint="default" w:ascii="Calibri" w:hAnsi="Calibri"/>
                      <w:sz w:val="21"/>
                      <w:szCs w:val="21"/>
                      <w:vertAlign w:val="superscript"/>
                    </w:rPr>
                    <w:t>3</w:t>
                  </w:r>
                  <w:r>
                    <w:rPr>
                      <w:rFonts w:hint="default" w:ascii="Calibri" w:hAnsi="Calibri"/>
                      <w:sz w:val="21"/>
                      <w:szCs w:val="21"/>
                    </w:rPr>
                    <w:t>）</w:t>
                  </w:r>
                </w:p>
              </w:tc>
              <w:tc>
                <w:tcPr>
                  <w:tcW w:w="1535" w:type="dxa"/>
                  <w:noWrap w:val="0"/>
                  <w:vAlign w:val="center"/>
                </w:tcPr>
                <w:p>
                  <w:pPr>
                    <w:jc w:val="center"/>
                    <w:rPr>
                      <w:rFonts w:hint="default"/>
                      <w:szCs w:val="21"/>
                      <w:lang w:val="en-US" w:eastAsia="zh-CN"/>
                    </w:rPr>
                  </w:pPr>
                  <w:r>
                    <w:rPr>
                      <w:rFonts w:hint="eastAsia"/>
                      <w:szCs w:val="21"/>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noWrap w:val="0"/>
                  <w:vAlign w:val="center"/>
                </w:tcPr>
                <w:p>
                  <w:pPr>
                    <w:jc w:val="center"/>
                    <w:rPr>
                      <w:szCs w:val="21"/>
                    </w:rPr>
                  </w:pPr>
                </w:p>
              </w:tc>
              <w:tc>
                <w:tcPr>
                  <w:tcW w:w="1292" w:type="dxa"/>
                  <w:noWrap w:val="0"/>
                  <w:vAlign w:val="center"/>
                </w:tcPr>
                <w:p>
                  <w:pPr>
                    <w:jc w:val="center"/>
                    <w:rPr>
                      <w:szCs w:val="21"/>
                    </w:rPr>
                  </w:pPr>
                  <w:r>
                    <w:rPr>
                      <w:szCs w:val="21"/>
                    </w:rPr>
                    <w:t>固废治理</w:t>
                  </w:r>
                </w:p>
              </w:tc>
              <w:tc>
                <w:tcPr>
                  <w:tcW w:w="1891" w:type="dxa"/>
                  <w:tcBorders>
                    <w:right w:val="single" w:color="auto" w:sz="4" w:space="0"/>
                  </w:tcBorders>
                  <w:noWrap w:val="0"/>
                  <w:vAlign w:val="center"/>
                </w:tcPr>
                <w:p>
                  <w:pPr>
                    <w:jc w:val="center"/>
                    <w:rPr>
                      <w:rFonts w:hint="eastAsia" w:eastAsia="宋体"/>
                      <w:szCs w:val="21"/>
                      <w:lang w:eastAsia="zh-CN"/>
                    </w:rPr>
                  </w:pPr>
                  <w:r>
                    <w:rPr>
                      <w:szCs w:val="21"/>
                    </w:rPr>
                    <w:t>生活垃圾</w:t>
                  </w:r>
                  <w:r>
                    <w:rPr>
                      <w:rFonts w:hint="eastAsia"/>
                      <w:szCs w:val="21"/>
                      <w:lang w:eastAsia="zh-CN"/>
                    </w:rPr>
                    <w:t>、一般固废、危险废物</w:t>
                  </w:r>
                </w:p>
              </w:tc>
              <w:tc>
                <w:tcPr>
                  <w:tcW w:w="2732" w:type="dxa"/>
                  <w:tcBorders>
                    <w:left w:val="single" w:color="auto" w:sz="4" w:space="0"/>
                    <w:right w:val="single" w:color="auto" w:sz="4" w:space="0"/>
                  </w:tcBorders>
                  <w:noWrap w:val="0"/>
                  <w:vAlign w:val="center"/>
                </w:tcPr>
                <w:p>
                  <w:pPr>
                    <w:jc w:val="center"/>
                    <w:rPr>
                      <w:rFonts w:hint="eastAsia" w:eastAsia="宋体"/>
                      <w:szCs w:val="21"/>
                      <w:lang w:eastAsia="zh-CN"/>
                    </w:rPr>
                  </w:pPr>
                  <w:r>
                    <w:rPr>
                      <w:szCs w:val="21"/>
                    </w:rPr>
                    <w:t>垃圾</w:t>
                  </w:r>
                  <w:r>
                    <w:rPr>
                      <w:rFonts w:hint="eastAsia"/>
                      <w:szCs w:val="21"/>
                    </w:rPr>
                    <w:t>箱、生活垃圾</w:t>
                  </w:r>
                  <w:r>
                    <w:rPr>
                      <w:szCs w:val="21"/>
                    </w:rPr>
                    <w:t>收集装置</w:t>
                  </w:r>
                  <w:r>
                    <w:rPr>
                      <w:rFonts w:hint="eastAsia"/>
                      <w:szCs w:val="21"/>
                      <w:lang w:eastAsia="zh-CN"/>
                    </w:rPr>
                    <w:t>、一般固体废物贮存库（</w:t>
                  </w:r>
                  <w:r>
                    <w:rPr>
                      <w:rFonts w:hint="eastAsia"/>
                      <w:szCs w:val="21"/>
                      <w:lang w:val="en-US" w:eastAsia="zh-CN"/>
                    </w:rPr>
                    <w:t>10m</w:t>
                  </w:r>
                  <w:r>
                    <w:rPr>
                      <w:rFonts w:hint="eastAsia"/>
                      <w:szCs w:val="21"/>
                      <w:vertAlign w:val="superscript"/>
                      <w:lang w:val="en-US" w:eastAsia="zh-CN"/>
                    </w:rPr>
                    <w:t>2</w:t>
                  </w:r>
                  <w:r>
                    <w:rPr>
                      <w:rFonts w:hint="eastAsia"/>
                      <w:szCs w:val="21"/>
                      <w:lang w:eastAsia="zh-CN"/>
                    </w:rPr>
                    <w:t>）、危险废物贮存库（</w:t>
                  </w:r>
                  <w:r>
                    <w:rPr>
                      <w:rFonts w:hint="eastAsia"/>
                      <w:szCs w:val="21"/>
                      <w:lang w:val="en-US" w:eastAsia="zh-CN"/>
                    </w:rPr>
                    <w:t>10m</w:t>
                  </w:r>
                  <w:r>
                    <w:rPr>
                      <w:rFonts w:hint="eastAsia"/>
                      <w:szCs w:val="21"/>
                      <w:vertAlign w:val="superscript"/>
                      <w:lang w:val="en-US" w:eastAsia="zh-CN"/>
                    </w:rPr>
                    <w:t>2</w:t>
                  </w:r>
                  <w:r>
                    <w:rPr>
                      <w:rFonts w:hint="eastAsia"/>
                      <w:szCs w:val="21"/>
                      <w:lang w:eastAsia="zh-CN"/>
                    </w:rPr>
                    <w:t>）</w:t>
                  </w:r>
                </w:p>
              </w:tc>
              <w:tc>
                <w:tcPr>
                  <w:tcW w:w="1535" w:type="dxa"/>
                  <w:noWrap w:val="0"/>
                  <w:vAlign w:val="center"/>
                </w:tcPr>
                <w:p>
                  <w:pPr>
                    <w:jc w:val="center"/>
                    <w:rPr>
                      <w:rFonts w:hint="default" w:eastAsia="宋体"/>
                      <w:szCs w:val="21"/>
                      <w:lang w:val="en-US" w:eastAsia="zh-CN"/>
                    </w:rPr>
                  </w:pPr>
                  <w:r>
                    <w:rPr>
                      <w:rFonts w:hint="eastAsia"/>
                      <w:szCs w:val="21"/>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786" w:type="dxa"/>
                  <w:vMerge w:val="continue"/>
                  <w:noWrap w:val="0"/>
                  <w:vAlign w:val="center"/>
                </w:tcPr>
                <w:p>
                  <w:pPr>
                    <w:jc w:val="center"/>
                    <w:rPr>
                      <w:szCs w:val="21"/>
                    </w:rPr>
                  </w:pPr>
                </w:p>
              </w:tc>
              <w:tc>
                <w:tcPr>
                  <w:tcW w:w="5915" w:type="dxa"/>
                  <w:gridSpan w:val="3"/>
                  <w:tcBorders>
                    <w:right w:val="single" w:color="auto" w:sz="4" w:space="0"/>
                  </w:tcBorders>
                  <w:noWrap w:val="0"/>
                  <w:vAlign w:val="center"/>
                </w:tcPr>
                <w:p>
                  <w:pPr>
                    <w:jc w:val="center"/>
                    <w:rPr>
                      <w:spacing w:val="-2"/>
                      <w:szCs w:val="21"/>
                    </w:rPr>
                  </w:pPr>
                  <w:r>
                    <w:rPr>
                      <w:rFonts w:hint="eastAsia"/>
                      <w:spacing w:val="-2"/>
                      <w:szCs w:val="21"/>
                    </w:rPr>
                    <w:t>小计</w:t>
                  </w:r>
                </w:p>
              </w:tc>
              <w:tc>
                <w:tcPr>
                  <w:tcW w:w="1535" w:type="dxa"/>
                  <w:noWrap w:val="0"/>
                  <w:vAlign w:val="center"/>
                </w:tcPr>
                <w:p>
                  <w:pPr>
                    <w:jc w:val="center"/>
                    <w:rPr>
                      <w:rFonts w:hint="default" w:eastAsia="宋体"/>
                      <w:szCs w:val="21"/>
                      <w:lang w:val="en-US" w:eastAsia="zh-CN"/>
                    </w:rPr>
                  </w:pPr>
                  <w:r>
                    <w:rPr>
                      <w:rFonts w:hint="eastAsia"/>
                      <w:szCs w:val="21"/>
                      <w:lang w:val="en-US" w:eastAsia="zh-CN"/>
                    </w:rPr>
                    <w:t>136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0" w:hRule="atLeast"/>
                <w:jc w:val="center"/>
              </w:trPr>
              <w:tc>
                <w:tcPr>
                  <w:tcW w:w="6701" w:type="dxa"/>
                  <w:gridSpan w:val="4"/>
                  <w:tcBorders>
                    <w:right w:val="single" w:color="auto" w:sz="4" w:space="0"/>
                  </w:tcBorders>
                  <w:noWrap w:val="0"/>
                  <w:vAlign w:val="center"/>
                </w:tcPr>
                <w:p>
                  <w:pPr>
                    <w:jc w:val="center"/>
                    <w:rPr>
                      <w:szCs w:val="21"/>
                    </w:rPr>
                  </w:pPr>
                  <w:r>
                    <w:rPr>
                      <w:rFonts w:hint="eastAsia"/>
                      <w:szCs w:val="21"/>
                    </w:rPr>
                    <w:t>合计</w:t>
                  </w:r>
                </w:p>
              </w:tc>
              <w:tc>
                <w:tcPr>
                  <w:tcW w:w="1535" w:type="dxa"/>
                  <w:noWrap w:val="0"/>
                  <w:vAlign w:val="center"/>
                </w:tcPr>
                <w:p>
                  <w:pPr>
                    <w:jc w:val="center"/>
                    <w:rPr>
                      <w:rFonts w:hint="default" w:eastAsia="宋体"/>
                      <w:szCs w:val="21"/>
                      <w:lang w:val="en-US" w:eastAsia="zh-CN"/>
                    </w:rPr>
                  </w:pPr>
                  <w:r>
                    <w:rPr>
                      <w:rFonts w:hint="eastAsia" w:eastAsia="宋体"/>
                      <w:szCs w:val="21"/>
                      <w:lang w:val="en-US" w:eastAsia="zh-CN"/>
                    </w:rPr>
                    <w:t>143</w:t>
                  </w:r>
                </w:p>
              </w:tc>
            </w:tr>
          </w:tbl>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pStyle w:val="12"/>
              <w:spacing w:line="360" w:lineRule="auto"/>
              <w:rPr>
                <w:rFonts w:hint="eastAsia"/>
                <w:sz w:val="24"/>
              </w:rPr>
            </w:pPr>
          </w:p>
          <w:p>
            <w:pPr>
              <w:adjustRightInd w:val="0"/>
              <w:snapToGrid w:val="0"/>
              <w:rPr>
                <w:rFonts w:hint="eastAsia" w:ascii="宋体" w:hAnsi="宋体" w:cs="宋体"/>
                <w:bCs/>
                <w:spacing w:val="-10"/>
                <w:szCs w:val="21"/>
              </w:rPr>
            </w:pPr>
          </w:p>
        </w:tc>
      </w:tr>
    </w:tbl>
    <w:p>
      <w:pPr>
        <w:adjustRightInd w:val="0"/>
        <w:snapToGrid w:val="0"/>
        <w:spacing w:line="360" w:lineRule="auto"/>
        <w:rPr>
          <w:rFonts w:hint="eastAsia" w:ascii="宋体" w:cs="宋体"/>
          <w:b/>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pPr>
        <w:pStyle w:val="18"/>
        <w:jc w:val="center"/>
        <w:outlineLvl w:val="0"/>
        <w:rPr>
          <w:rFonts w:ascii="黑体" w:hAnsi="黑体" w:eastAsia="黑体"/>
          <w:snapToGrid w:val="0"/>
          <w:sz w:val="30"/>
          <w:szCs w:val="30"/>
        </w:rPr>
      </w:pPr>
      <w:r>
        <w:rPr>
          <w:rFonts w:hint="eastAsia" w:ascii="黑体" w:hAnsi="黑体" w:eastAsia="黑体"/>
          <w:snapToGrid w:val="0"/>
          <w:sz w:val="30"/>
          <w:szCs w:val="30"/>
        </w:rPr>
        <w:t>五、</w:t>
      </w:r>
      <w:bookmarkStart w:id="25" w:name="_Hlk54167917"/>
      <w:r>
        <w:rPr>
          <w:rFonts w:hint="eastAsia" w:ascii="黑体" w:hAnsi="黑体" w:eastAsia="黑体"/>
          <w:snapToGrid w:val="0"/>
          <w:sz w:val="30"/>
          <w:szCs w:val="30"/>
        </w:rPr>
        <w:t>环境保护措施监督检查清单</w:t>
      </w:r>
      <w:bookmarkEnd w:id="25"/>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755"/>
        <w:gridCol w:w="1755"/>
        <w:gridCol w:w="17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pPr>
              <w:adjustRightInd w:val="0"/>
              <w:snapToGrid w:val="0"/>
              <w:ind w:firstLine="840"/>
              <w:rPr>
                <w:rFonts w:hint="eastAsia" w:ascii="宋体" w:hAnsi="宋体" w:cs="宋体"/>
                <w:szCs w:val="21"/>
              </w:rPr>
            </w:pPr>
            <w:r>
              <w:rPr>
                <w:rFonts w:hint="eastAsia" w:ascii="宋体" w:hAnsi="宋体" w:cs="宋体"/>
                <w:szCs w:val="21"/>
              </w:rPr>
              <w:t>内容</w:t>
            </w:r>
          </w:p>
          <w:p>
            <w:pPr>
              <w:adjustRightInd w:val="0"/>
              <w:snapToGrid w:val="0"/>
              <w:rPr>
                <w:rFonts w:hint="eastAsia" w:ascii="宋体" w:hAnsi="宋体" w:cs="宋体"/>
                <w:szCs w:val="21"/>
              </w:rPr>
            </w:pPr>
            <w:r>
              <w:rPr>
                <w:rFonts w:hint="eastAsia" w:ascii="宋体" w:hAnsi="宋体" w:cs="宋体"/>
                <w:szCs w:val="21"/>
              </w:rPr>
              <w:t>要素</w:t>
            </w:r>
          </w:p>
        </w:tc>
        <w:tc>
          <w:tcPr>
            <w:tcW w:w="1755"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排放口</w:t>
            </w:r>
            <w:r>
              <w:rPr>
                <w:rFonts w:hint="eastAsia" w:ascii="宋体" w:hAnsi="宋体" w:cs="宋体"/>
                <w:szCs w:val="21"/>
                <w:lang w:eastAsia="zh-CN"/>
              </w:rPr>
              <w:t>（</w:t>
            </w:r>
            <w:r>
              <w:rPr>
                <w:rFonts w:hint="eastAsia" w:ascii="宋体" w:hAnsi="宋体" w:cs="宋体"/>
                <w:szCs w:val="21"/>
              </w:rPr>
              <w:t>编号、</w:t>
            </w:r>
          </w:p>
          <w:p>
            <w:pPr>
              <w:adjustRightInd w:val="0"/>
              <w:snapToGrid w:val="0"/>
              <w:jc w:val="center"/>
              <w:rPr>
                <w:rFonts w:hint="eastAsia" w:ascii="宋体" w:hAnsi="宋体" w:cs="宋体"/>
                <w:szCs w:val="21"/>
              </w:rPr>
            </w:pPr>
            <w:r>
              <w:rPr>
                <w:rFonts w:hint="eastAsia" w:ascii="宋体" w:hAnsi="宋体" w:cs="宋体"/>
                <w:szCs w:val="21"/>
              </w:rPr>
              <w:t>名称</w:t>
            </w:r>
            <w:r>
              <w:rPr>
                <w:rFonts w:hint="eastAsia" w:ascii="宋体" w:hAnsi="宋体" w:cs="宋体"/>
                <w:szCs w:val="21"/>
                <w:lang w:eastAsia="zh-CN"/>
              </w:rPr>
              <w:t>）</w:t>
            </w:r>
            <w:r>
              <w:rPr>
                <w:rFonts w:hint="eastAsia" w:ascii="宋体" w:hAnsi="宋体" w:cs="宋体"/>
                <w:szCs w:val="21"/>
              </w:rPr>
              <w:t>/污染源</w:t>
            </w:r>
          </w:p>
        </w:tc>
        <w:tc>
          <w:tcPr>
            <w:tcW w:w="1755"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污染物项目</w:t>
            </w:r>
          </w:p>
        </w:tc>
        <w:tc>
          <w:tcPr>
            <w:tcW w:w="1755"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环境保护措施</w:t>
            </w:r>
          </w:p>
        </w:tc>
        <w:tc>
          <w:tcPr>
            <w:tcW w:w="1757"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1778" w:type="dxa"/>
            <w:vMerge w:val="restart"/>
            <w:noWrap w:val="0"/>
            <w:vAlign w:val="center"/>
          </w:tcPr>
          <w:p>
            <w:pPr>
              <w:adjustRightInd w:val="0"/>
              <w:snapToGrid w:val="0"/>
              <w:jc w:val="center"/>
              <w:rPr>
                <w:rFonts w:hint="eastAsia" w:ascii="宋体" w:hAnsi="宋体" w:cs="宋体"/>
                <w:szCs w:val="21"/>
              </w:rPr>
            </w:pPr>
            <w:r>
              <w:rPr>
                <w:rFonts w:hint="eastAsia" w:ascii="宋体" w:hAnsi="宋体" w:cs="宋体"/>
                <w:szCs w:val="21"/>
              </w:rPr>
              <w:t>大气环境</w:t>
            </w:r>
          </w:p>
        </w:tc>
        <w:tc>
          <w:tcPr>
            <w:tcW w:w="1755" w:type="dxa"/>
            <w:noWrap w:val="0"/>
            <w:vAlign w:val="center"/>
          </w:tcPr>
          <w:p>
            <w:pPr>
              <w:jc w:val="center"/>
              <w:rPr>
                <w:rFonts w:hint="eastAsia" w:ascii="宋体" w:hAnsi="宋体" w:cs="宋体"/>
                <w:szCs w:val="21"/>
              </w:rPr>
            </w:pPr>
            <w:r>
              <w:rPr>
                <w:rFonts w:hint="eastAsia" w:ascii="宋体" w:hAnsi="宋体" w:cs="宋体"/>
                <w:szCs w:val="21"/>
              </w:rPr>
              <w:t>原料堆存</w:t>
            </w:r>
          </w:p>
        </w:tc>
        <w:tc>
          <w:tcPr>
            <w:tcW w:w="1755"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颗粒物</w:t>
            </w:r>
          </w:p>
        </w:tc>
        <w:tc>
          <w:tcPr>
            <w:tcW w:w="1755" w:type="dxa"/>
            <w:noWrap w:val="0"/>
            <w:vAlign w:val="center"/>
          </w:tcPr>
          <w:p>
            <w:pPr>
              <w:snapToGrid w:val="0"/>
              <w:jc w:val="center"/>
              <w:rPr>
                <w:rFonts w:hint="eastAsia" w:ascii="宋体" w:hAnsi="宋体" w:eastAsia="宋体" w:cs="宋体"/>
                <w:szCs w:val="21"/>
                <w:lang w:eastAsia="zh-CN"/>
              </w:rPr>
            </w:pPr>
            <w:r>
              <w:rPr>
                <w:rFonts w:hint="eastAsia" w:cs="宋体"/>
                <w:kern w:val="0"/>
                <w:szCs w:val="21"/>
              </w:rPr>
              <w:t>封闭式堆场</w:t>
            </w:r>
            <w:r>
              <w:rPr>
                <w:rFonts w:hint="eastAsia" w:cs="宋体"/>
                <w:kern w:val="0"/>
                <w:szCs w:val="21"/>
                <w:lang w:eastAsia="zh-CN"/>
              </w:rPr>
              <w:t>、</w:t>
            </w:r>
            <w:r>
              <w:rPr>
                <w:rFonts w:hint="eastAsia"/>
                <w:szCs w:val="21"/>
                <w:lang w:eastAsia="zh-CN"/>
              </w:rPr>
              <w:t>喷淋</w:t>
            </w:r>
            <w:r>
              <w:rPr>
                <w:rFonts w:hint="eastAsia"/>
                <w:szCs w:val="21"/>
              </w:rPr>
              <w:t>抑尘</w:t>
            </w:r>
          </w:p>
        </w:tc>
        <w:tc>
          <w:tcPr>
            <w:tcW w:w="1757" w:type="dxa"/>
            <w:vMerge w:val="restart"/>
            <w:noWrap w:val="0"/>
            <w:vAlign w:val="center"/>
          </w:tcPr>
          <w:p>
            <w:pPr>
              <w:jc w:val="center"/>
              <w:rPr>
                <w:rFonts w:hint="eastAsia"/>
                <w:szCs w:val="21"/>
              </w:rPr>
            </w:pPr>
            <w:r>
              <w:rPr>
                <w:rFonts w:hint="eastAsia" w:ascii="宋体" w:hAnsi="宋体" w:cs="宋体"/>
                <w:szCs w:val="21"/>
              </w:rPr>
              <w:t>《水泥工业大气污染物排放标准》（GB4915-2013）中表3大气污染物无组织排放限值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1778" w:type="dxa"/>
            <w:vMerge w:val="continue"/>
            <w:noWrap w:val="0"/>
            <w:vAlign w:val="center"/>
          </w:tcPr>
          <w:p>
            <w:pPr>
              <w:jc w:val="center"/>
            </w:pPr>
          </w:p>
        </w:tc>
        <w:tc>
          <w:tcPr>
            <w:tcW w:w="1755" w:type="dxa"/>
            <w:noWrap w:val="0"/>
            <w:vAlign w:val="center"/>
          </w:tcPr>
          <w:p>
            <w:pPr>
              <w:jc w:val="center"/>
              <w:rPr>
                <w:rFonts w:hint="eastAsia" w:eastAsia="宋体"/>
                <w:szCs w:val="21"/>
                <w:lang w:val="en-US" w:eastAsia="zh-CN"/>
              </w:rPr>
            </w:pPr>
            <w:r>
              <w:rPr>
                <w:rFonts w:hint="eastAsia"/>
                <w:szCs w:val="21"/>
                <w:lang w:val="en-US" w:eastAsia="zh-CN"/>
              </w:rPr>
              <w:t>砂石料</w:t>
            </w:r>
            <w:r>
              <w:rPr>
                <w:rFonts w:hint="eastAsia"/>
                <w:szCs w:val="21"/>
              </w:rPr>
              <w:t>上料</w:t>
            </w:r>
            <w:r>
              <w:rPr>
                <w:rFonts w:hint="eastAsia"/>
                <w:szCs w:val="21"/>
                <w:lang w:val="en-US" w:eastAsia="zh-CN"/>
              </w:rPr>
              <w:t>输送</w:t>
            </w:r>
          </w:p>
        </w:tc>
        <w:tc>
          <w:tcPr>
            <w:tcW w:w="1755" w:type="dxa"/>
            <w:noWrap w:val="0"/>
            <w:vAlign w:val="center"/>
          </w:tcPr>
          <w:p>
            <w:pPr>
              <w:adjustRightInd w:val="0"/>
              <w:snapToGrid w:val="0"/>
              <w:jc w:val="center"/>
              <w:rPr>
                <w:rFonts w:hint="eastAsia"/>
                <w:szCs w:val="21"/>
              </w:rPr>
            </w:pPr>
            <w:r>
              <w:rPr>
                <w:rFonts w:hint="eastAsia" w:ascii="宋体" w:hAnsi="宋体" w:cs="宋体"/>
                <w:szCs w:val="21"/>
              </w:rPr>
              <w:t>颗粒物</w:t>
            </w:r>
          </w:p>
        </w:tc>
        <w:tc>
          <w:tcPr>
            <w:tcW w:w="1755" w:type="dxa"/>
            <w:noWrap w:val="0"/>
            <w:vAlign w:val="center"/>
          </w:tcPr>
          <w:p>
            <w:pPr>
              <w:snapToGrid w:val="0"/>
              <w:jc w:val="center"/>
              <w:rPr>
                <w:rFonts w:hint="default" w:eastAsia="宋体"/>
                <w:szCs w:val="21"/>
                <w:lang w:val="en-US" w:eastAsia="zh-CN"/>
              </w:rPr>
            </w:pPr>
            <w:r>
              <w:rPr>
                <w:rFonts w:hint="eastAsia"/>
                <w:szCs w:val="21"/>
                <w:lang w:val="en-US" w:eastAsia="zh-CN"/>
              </w:rPr>
              <w:t>半</w:t>
            </w:r>
            <w:r>
              <w:rPr>
                <w:rFonts w:hint="eastAsia"/>
                <w:szCs w:val="21"/>
                <w:lang w:eastAsia="zh-CN"/>
              </w:rPr>
              <w:t>封闭式上料仓</w:t>
            </w:r>
            <w:r>
              <w:rPr>
                <w:rFonts w:hint="eastAsia"/>
                <w:szCs w:val="21"/>
              </w:rPr>
              <w:t>、</w:t>
            </w:r>
            <w:r>
              <w:rPr>
                <w:rFonts w:hint="eastAsia"/>
                <w:szCs w:val="21"/>
                <w:lang w:val="en-US" w:eastAsia="zh-CN"/>
              </w:rPr>
              <w:t>洒水措施</w:t>
            </w:r>
          </w:p>
        </w:tc>
        <w:tc>
          <w:tcPr>
            <w:tcW w:w="1757" w:type="dxa"/>
            <w:vMerge w:val="continue"/>
            <w:noWrap w:val="0"/>
            <w:vAlign w:val="center"/>
          </w:tcPr>
          <w:p>
            <w:pPr>
              <w:jc w:val="center"/>
              <w:rPr>
                <w:rFonts w:hint="eastAsia"/>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eastAsia" w:ascii="宋体" w:hAnsi="宋体" w:cs="宋体"/>
                <w:szCs w:val="21"/>
              </w:rPr>
            </w:pPr>
          </w:p>
        </w:tc>
        <w:tc>
          <w:tcPr>
            <w:tcW w:w="1755" w:type="dxa"/>
            <w:noWrap w:val="0"/>
            <w:vAlign w:val="center"/>
          </w:tcPr>
          <w:p>
            <w:pPr>
              <w:jc w:val="center"/>
              <w:rPr>
                <w:rFonts w:hint="eastAsia" w:ascii="宋体" w:hAnsi="宋体" w:cs="宋体"/>
                <w:szCs w:val="21"/>
              </w:rPr>
            </w:pPr>
            <w:r>
              <w:rPr>
                <w:rFonts w:hint="eastAsia" w:cs="宋体"/>
                <w:kern w:val="0"/>
                <w:szCs w:val="21"/>
              </w:rPr>
              <w:t>水泥、</w:t>
            </w:r>
            <w:r>
              <w:rPr>
                <w:rFonts w:hint="eastAsia" w:cs="宋体"/>
                <w:kern w:val="0"/>
                <w:szCs w:val="21"/>
                <w:lang w:val="en-US" w:eastAsia="zh-CN"/>
              </w:rPr>
              <w:t>矿粉、</w:t>
            </w:r>
            <w:r>
              <w:rPr>
                <w:rFonts w:hint="eastAsia" w:cs="宋体"/>
                <w:kern w:val="0"/>
                <w:szCs w:val="21"/>
              </w:rPr>
              <w:t>粉煤灰筒仓</w:t>
            </w:r>
          </w:p>
        </w:tc>
        <w:tc>
          <w:tcPr>
            <w:tcW w:w="1755"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颗粒物</w:t>
            </w:r>
          </w:p>
        </w:tc>
        <w:tc>
          <w:tcPr>
            <w:tcW w:w="1755" w:type="dxa"/>
            <w:noWrap w:val="0"/>
            <w:vAlign w:val="center"/>
          </w:tcPr>
          <w:p>
            <w:pPr>
              <w:spacing w:line="240" w:lineRule="auto"/>
              <w:jc w:val="center"/>
              <w:rPr>
                <w:rFonts w:hint="eastAsia" w:ascii="宋体" w:hAnsi="宋体" w:cs="宋体"/>
                <w:szCs w:val="21"/>
              </w:rPr>
            </w:pPr>
            <w:r>
              <w:rPr>
                <w:rFonts w:hint="default" w:ascii="Times New Roman" w:hAnsi="Times New Roman" w:eastAsia="宋体" w:cs="Times New Roman"/>
                <w:color w:val="auto"/>
                <w:sz w:val="21"/>
                <w:szCs w:val="21"/>
                <w:highlight w:val="none"/>
              </w:rPr>
              <w:t>仓顶布袋除尘器</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排放</w:t>
            </w:r>
            <w:r>
              <w:rPr>
                <w:rFonts w:hint="default" w:ascii="Times New Roman" w:hAnsi="Times New Roman" w:eastAsia="宋体" w:cs="Times New Roman"/>
                <w:color w:val="auto"/>
                <w:sz w:val="21"/>
                <w:szCs w:val="21"/>
                <w:highlight w:val="none"/>
                <w:lang w:val="en-US" w:eastAsia="zh-CN"/>
              </w:rPr>
              <w:t>方式为无组织排放</w:t>
            </w:r>
          </w:p>
        </w:tc>
        <w:tc>
          <w:tcPr>
            <w:tcW w:w="1757" w:type="dxa"/>
            <w:vMerge w:val="continue"/>
            <w:noWrap w:val="0"/>
            <w:vAlign w:val="center"/>
          </w:tcPr>
          <w:p>
            <w:pPr>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eastAsia" w:ascii="宋体" w:hAnsi="宋体" w:cs="宋体"/>
                <w:szCs w:val="21"/>
              </w:rPr>
            </w:pPr>
          </w:p>
        </w:tc>
        <w:tc>
          <w:tcPr>
            <w:tcW w:w="1755" w:type="dxa"/>
            <w:noWrap w:val="0"/>
            <w:vAlign w:val="center"/>
          </w:tcPr>
          <w:p>
            <w:pPr>
              <w:jc w:val="center"/>
              <w:rPr>
                <w:rFonts w:hint="eastAsia" w:ascii="宋体" w:hAnsi="宋体" w:eastAsia="宋体" w:cs="宋体"/>
                <w:szCs w:val="21"/>
                <w:lang w:eastAsia="zh-CN"/>
              </w:rPr>
            </w:pPr>
            <w:r>
              <w:rPr>
                <w:rFonts w:hint="eastAsia"/>
                <w:szCs w:val="21"/>
              </w:rPr>
              <w:t>搅拌</w:t>
            </w:r>
            <w:r>
              <w:rPr>
                <w:rFonts w:hint="eastAsia"/>
                <w:szCs w:val="21"/>
                <w:lang w:eastAsia="zh-CN"/>
              </w:rPr>
              <w:t>粉尘</w:t>
            </w:r>
          </w:p>
        </w:tc>
        <w:tc>
          <w:tcPr>
            <w:tcW w:w="1755"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颗粒物</w:t>
            </w:r>
          </w:p>
        </w:tc>
        <w:tc>
          <w:tcPr>
            <w:tcW w:w="1755" w:type="dxa"/>
            <w:noWrap w:val="0"/>
            <w:vAlign w:val="center"/>
          </w:tcPr>
          <w:p>
            <w:pPr>
              <w:spacing w:line="240" w:lineRule="auto"/>
              <w:jc w:val="center"/>
              <w:rPr>
                <w:rFonts w:hint="eastAsia" w:ascii="宋体" w:hAnsi="宋体" w:cs="宋体"/>
                <w:szCs w:val="21"/>
              </w:rPr>
            </w:pPr>
            <w:r>
              <w:rPr>
                <w:rFonts w:hint="eastAsia" w:ascii="Times New Roman" w:hAnsi="Times New Roman" w:eastAsia="宋体" w:cs="Times New Roman"/>
                <w:color w:val="auto"/>
                <w:sz w:val="21"/>
                <w:szCs w:val="21"/>
                <w:highlight w:val="none"/>
                <w:lang w:val="en-US" w:eastAsia="zh-CN"/>
              </w:rPr>
              <w:t>袋式</w:t>
            </w:r>
            <w:r>
              <w:rPr>
                <w:rFonts w:hint="default" w:ascii="Times New Roman" w:hAnsi="Times New Roman" w:eastAsia="宋体" w:cs="Times New Roman"/>
                <w:color w:val="auto"/>
                <w:sz w:val="21"/>
                <w:szCs w:val="21"/>
                <w:highlight w:val="none"/>
                <w:lang w:val="en-US" w:eastAsia="zh-CN"/>
              </w:rPr>
              <w:t>除尘器</w:t>
            </w:r>
            <w:r>
              <w:rPr>
                <w:rFonts w:hint="eastAsia" w:ascii="Times New Roman" w:hAnsi="Times New Roman" w:eastAsia="宋体" w:cs="Times New Roman"/>
                <w:color w:val="auto"/>
                <w:sz w:val="21"/>
                <w:szCs w:val="21"/>
                <w:highlight w:val="none"/>
                <w:lang w:val="en-US" w:eastAsia="zh-CN"/>
              </w:rPr>
              <w:t>，排放</w:t>
            </w:r>
            <w:r>
              <w:rPr>
                <w:rFonts w:hint="default" w:ascii="Times New Roman" w:hAnsi="Times New Roman" w:eastAsia="宋体" w:cs="Times New Roman"/>
                <w:color w:val="auto"/>
                <w:sz w:val="21"/>
                <w:szCs w:val="21"/>
                <w:highlight w:val="none"/>
                <w:lang w:val="en-US" w:eastAsia="zh-CN"/>
              </w:rPr>
              <w:t>方式为无组织排放</w:t>
            </w:r>
          </w:p>
        </w:tc>
        <w:tc>
          <w:tcPr>
            <w:tcW w:w="1757" w:type="dxa"/>
            <w:vMerge w:val="continue"/>
            <w:noWrap w:val="0"/>
            <w:vAlign w:val="center"/>
          </w:tcPr>
          <w:p>
            <w:pPr>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eastAsia" w:ascii="宋体" w:hAnsi="宋体" w:cs="宋体"/>
                <w:szCs w:val="21"/>
              </w:rPr>
            </w:pPr>
          </w:p>
        </w:tc>
        <w:tc>
          <w:tcPr>
            <w:tcW w:w="1755" w:type="dxa"/>
            <w:noWrap w:val="0"/>
            <w:vAlign w:val="center"/>
          </w:tcPr>
          <w:p>
            <w:pPr>
              <w:spacing w:line="240" w:lineRule="auto"/>
              <w:jc w:val="center"/>
              <w:rPr>
                <w:rFonts w:hint="eastAsia"/>
                <w:szCs w:val="21"/>
              </w:rPr>
            </w:pPr>
            <w:r>
              <w:rPr>
                <w:rFonts w:hint="default" w:ascii="Times New Roman" w:hAnsi="Times New Roman" w:eastAsia="宋体" w:cs="Times New Roman"/>
                <w:color w:val="auto"/>
                <w:sz w:val="21"/>
                <w:szCs w:val="21"/>
                <w:highlight w:val="none"/>
              </w:rPr>
              <w:t>车辆运输</w:t>
            </w:r>
            <w:r>
              <w:rPr>
                <w:rFonts w:hint="eastAsia" w:cs="Times New Roman"/>
                <w:color w:val="auto"/>
                <w:sz w:val="21"/>
                <w:szCs w:val="21"/>
                <w:highlight w:val="none"/>
                <w:lang w:val="en-US" w:eastAsia="zh-CN"/>
              </w:rPr>
              <w:t>扬尘</w:t>
            </w:r>
          </w:p>
        </w:tc>
        <w:tc>
          <w:tcPr>
            <w:tcW w:w="1755" w:type="dxa"/>
            <w:noWrap w:val="0"/>
            <w:vAlign w:val="center"/>
          </w:tcPr>
          <w:p>
            <w:pPr>
              <w:spacing w:line="240" w:lineRule="auto"/>
              <w:jc w:val="center"/>
              <w:rPr>
                <w:rFonts w:hint="eastAsia" w:ascii="宋体" w:hAnsi="宋体" w:cs="宋体"/>
                <w:szCs w:val="21"/>
              </w:rPr>
            </w:pPr>
            <w:r>
              <w:rPr>
                <w:rFonts w:hint="default" w:ascii="Times New Roman" w:hAnsi="Times New Roman" w:eastAsia="宋体" w:cs="Times New Roman"/>
                <w:color w:val="auto"/>
                <w:sz w:val="21"/>
                <w:szCs w:val="21"/>
                <w:highlight w:val="none"/>
              </w:rPr>
              <w:t>颗粒物</w:t>
            </w:r>
          </w:p>
        </w:tc>
        <w:tc>
          <w:tcPr>
            <w:tcW w:w="1755" w:type="dxa"/>
            <w:noWrap w:val="0"/>
            <w:vAlign w:val="center"/>
          </w:tcPr>
          <w:p>
            <w:pPr>
              <w:spacing w:line="240" w:lineRule="auto"/>
              <w:jc w:val="center"/>
              <w:rPr>
                <w:rFonts w:hint="eastAsia"/>
                <w:bCs/>
                <w:szCs w:val="21"/>
              </w:rPr>
            </w:pPr>
            <w:r>
              <w:rPr>
                <w:rFonts w:hint="default" w:ascii="Times New Roman" w:hAnsi="Times New Roman" w:eastAsia="宋体" w:cs="Times New Roman"/>
                <w:color w:val="auto"/>
                <w:sz w:val="21"/>
                <w:szCs w:val="21"/>
                <w:highlight w:val="none"/>
              </w:rPr>
              <w:t>洒水抑尘</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严禁超载、控制车速</w:t>
            </w:r>
          </w:p>
        </w:tc>
        <w:tc>
          <w:tcPr>
            <w:tcW w:w="1757" w:type="dxa"/>
            <w:vMerge w:val="continue"/>
            <w:noWrap w:val="0"/>
            <w:vAlign w:val="center"/>
          </w:tcPr>
          <w:p>
            <w:pPr>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pPr>
              <w:adjustRightInd w:val="0"/>
              <w:snapToGrid w:val="0"/>
              <w:jc w:val="center"/>
              <w:rPr>
                <w:rFonts w:hint="eastAsia" w:ascii="宋体" w:hAnsi="宋体" w:cs="宋体"/>
                <w:szCs w:val="21"/>
              </w:rPr>
            </w:pPr>
            <w:r>
              <w:rPr>
                <w:rFonts w:hint="eastAsia" w:ascii="宋体" w:hAnsi="宋体" w:cs="宋体"/>
                <w:szCs w:val="21"/>
              </w:rPr>
              <w:t>地表水环境</w:t>
            </w:r>
          </w:p>
        </w:tc>
        <w:tc>
          <w:tcPr>
            <w:tcW w:w="1755" w:type="dxa"/>
            <w:noWrap w:val="0"/>
            <w:vAlign w:val="center"/>
          </w:tcPr>
          <w:p>
            <w:pPr>
              <w:ind w:left="8" w:leftChars="-3" w:hanging="14" w:hangingChars="7"/>
              <w:jc w:val="center"/>
              <w:rPr>
                <w:rFonts w:hint="eastAsia" w:ascii="宋体" w:hAnsi="宋体" w:cs="宋体"/>
                <w:szCs w:val="21"/>
              </w:rPr>
            </w:pPr>
            <w:r>
              <w:rPr>
                <w:rFonts w:hint="eastAsia"/>
                <w:szCs w:val="21"/>
              </w:rPr>
              <w:t>职工生活</w:t>
            </w:r>
          </w:p>
        </w:tc>
        <w:tc>
          <w:tcPr>
            <w:tcW w:w="1755" w:type="dxa"/>
            <w:noWrap w:val="0"/>
            <w:vAlign w:val="center"/>
          </w:tcPr>
          <w:p>
            <w:pPr>
              <w:jc w:val="center"/>
              <w:rPr>
                <w:rFonts w:hint="eastAsia" w:ascii="宋体" w:hAnsi="宋体" w:cs="宋体"/>
                <w:szCs w:val="21"/>
              </w:rPr>
            </w:pPr>
            <w:r>
              <w:rPr>
                <w:rFonts w:hint="eastAsia"/>
                <w:szCs w:val="21"/>
              </w:rPr>
              <w:t>生活污水</w:t>
            </w:r>
          </w:p>
        </w:tc>
        <w:tc>
          <w:tcPr>
            <w:tcW w:w="1755" w:type="dxa"/>
            <w:noWrap w:val="0"/>
            <w:vAlign w:val="center"/>
          </w:tcPr>
          <w:p>
            <w:pPr>
              <w:snapToGrid w:val="0"/>
              <w:jc w:val="center"/>
              <w:rPr>
                <w:rFonts w:hint="default" w:ascii="宋体" w:hAnsi="宋体" w:eastAsia="宋体" w:cs="宋体"/>
                <w:szCs w:val="21"/>
                <w:lang w:val="en-US" w:eastAsia="zh-CN"/>
              </w:rPr>
            </w:pPr>
            <w:r>
              <w:rPr>
                <w:rFonts w:hint="eastAsia"/>
                <w:szCs w:val="21"/>
              </w:rPr>
              <w:t>收集到化粪池处理后</w:t>
            </w:r>
            <w:r>
              <w:rPr>
                <w:rFonts w:hint="eastAsia"/>
                <w:szCs w:val="21"/>
                <w:lang w:val="en-US" w:eastAsia="zh-CN"/>
              </w:rPr>
              <w:t>排入市政管网</w:t>
            </w:r>
          </w:p>
        </w:tc>
        <w:tc>
          <w:tcPr>
            <w:tcW w:w="1757"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达到轮台县</w:t>
            </w:r>
            <w:r>
              <w:rPr>
                <w:rFonts w:hint="eastAsia" w:ascii="宋体" w:hAnsi="宋体" w:cs="宋体"/>
                <w:szCs w:val="21"/>
                <w:lang w:val="en-US" w:eastAsia="zh-CN"/>
              </w:rPr>
              <w:t>新城区</w:t>
            </w:r>
            <w:r>
              <w:rPr>
                <w:rFonts w:hint="eastAsia" w:ascii="宋体" w:hAnsi="宋体" w:cs="宋体"/>
                <w:szCs w:val="21"/>
              </w:rPr>
              <w:t>污水处理厂纳管条件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eastAsia" w:ascii="宋体" w:hAnsi="宋体" w:cs="宋体"/>
                <w:szCs w:val="21"/>
              </w:rPr>
            </w:pPr>
          </w:p>
        </w:tc>
        <w:tc>
          <w:tcPr>
            <w:tcW w:w="1755" w:type="dxa"/>
            <w:noWrap w:val="0"/>
            <w:vAlign w:val="center"/>
          </w:tcPr>
          <w:p>
            <w:pPr>
              <w:ind w:left="8" w:leftChars="-3" w:hanging="14" w:hangingChars="7"/>
              <w:jc w:val="center"/>
              <w:rPr>
                <w:rFonts w:hint="eastAsia" w:ascii="宋体" w:hAnsi="宋体" w:cs="宋体"/>
                <w:szCs w:val="21"/>
              </w:rPr>
            </w:pPr>
            <w:r>
              <w:rPr>
                <w:rFonts w:hint="eastAsia"/>
                <w:szCs w:val="21"/>
              </w:rPr>
              <w:t>生产</w:t>
            </w:r>
          </w:p>
        </w:tc>
        <w:tc>
          <w:tcPr>
            <w:tcW w:w="1755" w:type="dxa"/>
            <w:noWrap w:val="0"/>
            <w:vAlign w:val="center"/>
          </w:tcPr>
          <w:p>
            <w:pPr>
              <w:jc w:val="center"/>
              <w:rPr>
                <w:rFonts w:hint="eastAsia" w:ascii="宋体" w:hAnsi="宋体" w:cs="宋体"/>
                <w:szCs w:val="21"/>
              </w:rPr>
            </w:pPr>
            <w:r>
              <w:rPr>
                <w:rFonts w:hint="eastAsia"/>
                <w:szCs w:val="21"/>
              </w:rPr>
              <w:t>生产废水</w:t>
            </w:r>
          </w:p>
        </w:tc>
        <w:tc>
          <w:tcPr>
            <w:tcW w:w="1755" w:type="dxa"/>
            <w:noWrap w:val="0"/>
            <w:vAlign w:val="center"/>
          </w:tcPr>
          <w:p>
            <w:pPr>
              <w:snapToGrid w:val="0"/>
              <w:jc w:val="center"/>
              <w:rPr>
                <w:rFonts w:hint="default" w:ascii="宋体" w:hAnsi="宋体" w:eastAsia="宋体" w:cs="宋体"/>
                <w:szCs w:val="21"/>
                <w:lang w:val="en-US" w:eastAsia="zh-CN"/>
              </w:rPr>
            </w:pPr>
            <w:r>
              <w:rPr>
                <w:rFonts w:hint="eastAsia"/>
                <w:szCs w:val="21"/>
              </w:rPr>
              <w:t>经</w:t>
            </w:r>
            <w:r>
              <w:rPr>
                <w:rFonts w:hint="eastAsia"/>
                <w:szCs w:val="21"/>
                <w:lang w:val="en-US" w:eastAsia="zh-CN"/>
              </w:rPr>
              <w:t>三级</w:t>
            </w:r>
            <w:r>
              <w:rPr>
                <w:rFonts w:hint="eastAsia"/>
                <w:szCs w:val="21"/>
              </w:rPr>
              <w:t>沉淀池</w:t>
            </w:r>
            <w:r>
              <w:rPr>
                <w:rFonts w:hint="eastAsia"/>
                <w:szCs w:val="21"/>
                <w:lang w:eastAsia="zh-CN"/>
              </w:rPr>
              <w:t>（</w:t>
            </w:r>
            <w:r>
              <w:rPr>
                <w:rFonts w:hint="default" w:ascii="Calibri" w:hAnsi="Calibri"/>
                <w:sz w:val="21"/>
                <w:szCs w:val="21"/>
              </w:rPr>
              <w:t>3×10m</w:t>
            </w:r>
            <w:r>
              <w:rPr>
                <w:rFonts w:hint="default" w:ascii="Calibri" w:hAnsi="Calibri"/>
                <w:sz w:val="21"/>
                <w:szCs w:val="21"/>
                <w:vertAlign w:val="superscript"/>
              </w:rPr>
              <w:t>3</w:t>
            </w:r>
            <w:r>
              <w:rPr>
                <w:rFonts w:hint="eastAsia"/>
                <w:szCs w:val="21"/>
                <w:lang w:eastAsia="zh-CN"/>
              </w:rPr>
              <w:t>）</w:t>
            </w:r>
            <w:r>
              <w:rPr>
                <w:rFonts w:hint="eastAsia"/>
                <w:szCs w:val="21"/>
              </w:rPr>
              <w:t>沉淀后</w:t>
            </w:r>
            <w:r>
              <w:rPr>
                <w:rFonts w:hint="eastAsia"/>
                <w:szCs w:val="21"/>
                <w:lang w:val="en-US" w:eastAsia="zh-CN"/>
              </w:rPr>
              <w:t>循环使用</w:t>
            </w:r>
          </w:p>
        </w:tc>
        <w:tc>
          <w:tcPr>
            <w:tcW w:w="1757"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声环境</w:t>
            </w:r>
          </w:p>
        </w:tc>
        <w:tc>
          <w:tcPr>
            <w:tcW w:w="1755" w:type="dxa"/>
            <w:noWrap w:val="0"/>
            <w:vAlign w:val="center"/>
          </w:tcPr>
          <w:p>
            <w:pPr>
              <w:spacing w:line="240" w:lineRule="auto"/>
              <w:jc w:val="center"/>
              <w:rPr>
                <w:rFonts w:hint="eastAsia" w:ascii="宋体" w:hAnsi="宋体" w:cs="宋体"/>
                <w:szCs w:val="21"/>
              </w:rPr>
            </w:pPr>
            <w:r>
              <w:rPr>
                <w:rFonts w:hint="default" w:ascii="Times New Roman" w:hAnsi="Times New Roman" w:eastAsia="宋体" w:cs="Times New Roman"/>
                <w:color w:val="auto"/>
                <w:sz w:val="21"/>
                <w:szCs w:val="21"/>
                <w:highlight w:val="none"/>
              </w:rPr>
              <w:t>生产设备</w:t>
            </w:r>
          </w:p>
        </w:tc>
        <w:tc>
          <w:tcPr>
            <w:tcW w:w="1755" w:type="dxa"/>
            <w:noWrap w:val="0"/>
            <w:vAlign w:val="center"/>
          </w:tcPr>
          <w:p>
            <w:pPr>
              <w:spacing w:line="240" w:lineRule="auto"/>
              <w:jc w:val="center"/>
              <w:rPr>
                <w:rFonts w:hint="eastAsia" w:ascii="宋体" w:hAnsi="宋体" w:cs="宋体"/>
                <w:szCs w:val="21"/>
              </w:rPr>
            </w:pPr>
            <w:r>
              <w:rPr>
                <w:rFonts w:hint="default" w:ascii="Times New Roman" w:hAnsi="Times New Roman" w:eastAsia="宋体" w:cs="Times New Roman"/>
                <w:color w:val="auto"/>
                <w:sz w:val="21"/>
                <w:szCs w:val="21"/>
                <w:highlight w:val="none"/>
              </w:rPr>
              <w:t>噪声</w:t>
            </w:r>
          </w:p>
        </w:tc>
        <w:tc>
          <w:tcPr>
            <w:tcW w:w="1755" w:type="dxa"/>
            <w:noWrap w:val="0"/>
            <w:vAlign w:val="center"/>
          </w:tcPr>
          <w:p>
            <w:pPr>
              <w:adjustRightInd w:val="0"/>
              <w:snapToGrid w:val="0"/>
              <w:jc w:val="center"/>
              <w:rPr>
                <w:rFonts w:hint="eastAsia" w:ascii="宋体" w:hAnsi="宋体" w:cs="宋体"/>
                <w:szCs w:val="21"/>
              </w:rPr>
            </w:pPr>
            <w:r>
              <w:rPr>
                <w:rFonts w:hint="eastAsia"/>
                <w:szCs w:val="21"/>
                <w:lang w:val="en-US" w:eastAsia="zh-CN"/>
              </w:rPr>
              <w:t>基础减振、选用低噪声设备</w:t>
            </w:r>
          </w:p>
        </w:tc>
        <w:tc>
          <w:tcPr>
            <w:tcW w:w="1757" w:type="dxa"/>
            <w:noWrap w:val="0"/>
            <w:vAlign w:val="center"/>
          </w:tcPr>
          <w:p>
            <w:pPr>
              <w:adjustRightInd w:val="0"/>
              <w:snapToGrid w:val="0"/>
              <w:jc w:val="center"/>
              <w:rPr>
                <w:rFonts w:hint="eastAsia" w:ascii="宋体" w:hAnsi="宋体" w:cs="宋体"/>
                <w:szCs w:val="21"/>
              </w:rPr>
            </w:pPr>
            <w:r>
              <w:rPr>
                <w:szCs w:val="21"/>
              </w:rPr>
              <w:t>《工业企业厂界环境噪声排放标准》</w:t>
            </w:r>
            <w:r>
              <w:rPr>
                <w:rFonts w:hint="eastAsia"/>
                <w:szCs w:val="21"/>
              </w:rPr>
              <w:t>（</w:t>
            </w:r>
            <w:r>
              <w:rPr>
                <w:szCs w:val="21"/>
              </w:rPr>
              <w:t>GB12348-2008</w:t>
            </w:r>
            <w:r>
              <w:rPr>
                <w:rFonts w:hint="eastAsia"/>
                <w:szCs w:val="21"/>
              </w:rPr>
              <w:t>）</w:t>
            </w:r>
            <w:r>
              <w:rPr>
                <w:szCs w:val="21"/>
              </w:rPr>
              <w:t>中的</w:t>
            </w:r>
            <w:r>
              <w:rPr>
                <w:rFonts w:hint="eastAsia"/>
                <w:szCs w:val="21"/>
                <w:lang w:val="en-US" w:eastAsia="zh-CN"/>
              </w:rPr>
              <w:t>2</w:t>
            </w:r>
            <w:r>
              <w:rPr>
                <w:szCs w:val="21"/>
              </w:rPr>
              <w:t>类标准值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电磁辐射</w:t>
            </w:r>
          </w:p>
        </w:tc>
        <w:tc>
          <w:tcPr>
            <w:tcW w:w="7022" w:type="dxa"/>
            <w:gridSpan w:val="4"/>
            <w:noWrap w:val="0"/>
            <w:vAlign w:val="center"/>
          </w:tcPr>
          <w:p>
            <w:pPr>
              <w:jc w:val="center"/>
              <w:rPr>
                <w:rFonts w:hint="eastAsia" w:ascii="宋体" w:hAnsi="宋体" w:cs="宋体"/>
                <w:szCs w:val="21"/>
              </w:rPr>
            </w:pPr>
            <w:r>
              <w:rPr>
                <w:rFonts w:hint="eastAsia"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778" w:type="dxa"/>
            <w:vMerge w:val="restart"/>
            <w:noWrap w:val="0"/>
            <w:vAlign w:val="center"/>
          </w:tcPr>
          <w:p>
            <w:pPr>
              <w:adjustRightInd w:val="0"/>
              <w:snapToGrid w:val="0"/>
              <w:jc w:val="center"/>
              <w:rPr>
                <w:rFonts w:hint="eastAsia" w:ascii="宋体" w:hAnsi="宋体" w:cs="宋体"/>
                <w:szCs w:val="21"/>
              </w:rPr>
            </w:pPr>
            <w:r>
              <w:rPr>
                <w:rFonts w:hint="eastAsia" w:ascii="宋体" w:hAnsi="宋体" w:cs="宋体"/>
                <w:szCs w:val="21"/>
              </w:rPr>
              <w:t>固体废物</w:t>
            </w:r>
          </w:p>
        </w:tc>
        <w:tc>
          <w:tcPr>
            <w:tcW w:w="1755" w:type="dxa"/>
            <w:noWrap w:val="0"/>
            <w:vAlign w:val="center"/>
          </w:tcPr>
          <w:p>
            <w:pPr>
              <w:adjustRightInd w:val="0"/>
              <w:snapToGrid w:val="0"/>
              <w:jc w:val="center"/>
              <w:rPr>
                <w:rFonts w:hint="eastAsia" w:ascii="宋体" w:hAnsi="宋体" w:cs="宋体"/>
                <w:sz w:val="21"/>
                <w:szCs w:val="21"/>
              </w:rPr>
            </w:pPr>
            <w:r>
              <w:rPr>
                <w:rFonts w:hint="eastAsia"/>
                <w:sz w:val="21"/>
                <w:szCs w:val="21"/>
              </w:rPr>
              <w:t>生产过程</w:t>
            </w:r>
          </w:p>
        </w:tc>
        <w:tc>
          <w:tcPr>
            <w:tcW w:w="1755" w:type="dxa"/>
            <w:noWrap w:val="0"/>
            <w:vAlign w:val="center"/>
          </w:tcPr>
          <w:p>
            <w:pPr>
              <w:jc w:val="center"/>
              <w:rPr>
                <w:rFonts w:hint="eastAsia" w:ascii="宋体" w:hAnsi="宋体" w:cs="宋体"/>
                <w:sz w:val="21"/>
                <w:szCs w:val="21"/>
              </w:rPr>
            </w:pPr>
            <w:r>
              <w:rPr>
                <w:rFonts w:hint="eastAsia"/>
                <w:bCs/>
                <w:sz w:val="21"/>
                <w:szCs w:val="21"/>
              </w:rPr>
              <w:t>除尘系统收集粉尘</w:t>
            </w:r>
          </w:p>
        </w:tc>
        <w:tc>
          <w:tcPr>
            <w:tcW w:w="1755" w:type="dxa"/>
            <w:vMerge w:val="restart"/>
            <w:noWrap w:val="0"/>
            <w:vAlign w:val="center"/>
          </w:tcPr>
          <w:p>
            <w:pPr>
              <w:adjustRightInd w:val="0"/>
              <w:snapToGrid w:val="0"/>
              <w:jc w:val="center"/>
              <w:rPr>
                <w:rFonts w:hint="eastAsia"/>
                <w:sz w:val="21"/>
                <w:szCs w:val="21"/>
              </w:rPr>
            </w:pPr>
            <w:r>
              <w:rPr>
                <w:rFonts w:hint="eastAsia"/>
                <w:sz w:val="21"/>
                <w:szCs w:val="21"/>
              </w:rPr>
              <w:t>回用于生产</w:t>
            </w:r>
          </w:p>
          <w:p>
            <w:pPr>
              <w:adjustRightInd w:val="0"/>
              <w:snapToGrid w:val="0"/>
              <w:jc w:val="center"/>
              <w:rPr>
                <w:rFonts w:hint="eastAsia" w:eastAsia="宋体"/>
                <w:sz w:val="21"/>
                <w:szCs w:val="21"/>
                <w:lang w:eastAsia="zh-CN"/>
              </w:rPr>
            </w:pPr>
          </w:p>
        </w:tc>
        <w:tc>
          <w:tcPr>
            <w:tcW w:w="1757" w:type="dxa"/>
            <w:vMerge w:val="restart"/>
            <w:noWrap w:val="0"/>
            <w:vAlign w:val="center"/>
          </w:tcPr>
          <w:p>
            <w:pPr>
              <w:adjustRightInd w:val="0"/>
              <w:snapToGrid w:val="0"/>
              <w:jc w:val="center"/>
              <w:rPr>
                <w:rFonts w:hint="eastAsia" w:ascii="宋体" w:hAnsi="宋体" w:cs="宋体"/>
                <w:szCs w:val="21"/>
              </w:rPr>
            </w:pPr>
            <w:r>
              <w:rPr>
                <w:rFonts w:hint="eastAsia" w:ascii="宋体" w:hAnsi="宋体" w:cs="宋体"/>
                <w:color w:val="000000"/>
                <w:szCs w:val="21"/>
              </w:rPr>
              <w:t>《一般工业固体废物贮存和填埋污染控制标准》</w:t>
            </w:r>
            <w:r>
              <w:rPr>
                <w:rFonts w:hint="eastAsia" w:ascii="宋体" w:hAnsi="宋体" w:cs="宋体"/>
                <w:color w:val="000000"/>
                <w:szCs w:val="21"/>
                <w:lang w:eastAsia="zh-CN"/>
              </w:rPr>
              <w:t>（</w:t>
            </w:r>
            <w:r>
              <w:rPr>
                <w:rFonts w:hint="eastAsia" w:ascii="宋体" w:hAnsi="宋体" w:cs="宋体"/>
                <w:color w:val="000000"/>
                <w:szCs w:val="21"/>
              </w:rPr>
              <w:t>GB18599—2020</w:t>
            </w:r>
            <w:r>
              <w:rPr>
                <w:rFonts w:hint="eastAsia" w:ascii="宋体" w:hAnsi="宋体" w:cs="宋体"/>
                <w:color w:val="000000"/>
                <w:szCs w:val="21"/>
                <w:lang w:eastAsia="zh-CN"/>
              </w:rPr>
              <w:t>）</w:t>
            </w:r>
            <w:r>
              <w:rPr>
                <w:rFonts w:hint="eastAsia" w:ascii="宋体" w:hAnsi="宋体" w:cs="宋体"/>
                <w:color w:val="000000"/>
                <w:szCs w:val="21"/>
              </w:rPr>
              <w:t>有关要求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778" w:type="dxa"/>
            <w:vMerge w:val="continue"/>
            <w:noWrap w:val="0"/>
            <w:vAlign w:val="center"/>
          </w:tcPr>
          <w:p>
            <w:pPr>
              <w:adjustRightInd w:val="0"/>
              <w:snapToGrid w:val="0"/>
              <w:jc w:val="center"/>
              <w:rPr>
                <w:rFonts w:hint="eastAsia" w:ascii="宋体" w:hAnsi="宋体" w:cs="宋体"/>
                <w:szCs w:val="21"/>
              </w:rPr>
            </w:pPr>
          </w:p>
        </w:tc>
        <w:tc>
          <w:tcPr>
            <w:tcW w:w="1755" w:type="dxa"/>
            <w:noWrap w:val="0"/>
            <w:vAlign w:val="center"/>
          </w:tcPr>
          <w:p>
            <w:pPr>
              <w:adjustRightInd w:val="0"/>
              <w:snapToGrid w:val="0"/>
              <w:jc w:val="center"/>
              <w:rPr>
                <w:rFonts w:hint="eastAsia" w:eastAsia="宋体"/>
                <w:sz w:val="21"/>
                <w:szCs w:val="21"/>
                <w:lang w:eastAsia="zh-CN"/>
              </w:rPr>
            </w:pPr>
            <w:r>
              <w:rPr>
                <w:rFonts w:hint="eastAsia"/>
                <w:sz w:val="21"/>
                <w:szCs w:val="21"/>
                <w:lang w:eastAsia="zh-CN"/>
              </w:rPr>
              <w:t>沉淀池</w:t>
            </w:r>
          </w:p>
        </w:tc>
        <w:tc>
          <w:tcPr>
            <w:tcW w:w="1755" w:type="dxa"/>
            <w:noWrap w:val="0"/>
            <w:vAlign w:val="center"/>
          </w:tcPr>
          <w:p>
            <w:pPr>
              <w:jc w:val="center"/>
              <w:rPr>
                <w:rFonts w:hint="eastAsia" w:eastAsia="宋体"/>
                <w:bCs/>
                <w:sz w:val="21"/>
                <w:szCs w:val="21"/>
                <w:lang w:eastAsia="zh-CN"/>
              </w:rPr>
            </w:pPr>
            <w:r>
              <w:rPr>
                <w:rFonts w:hint="eastAsia"/>
                <w:bCs/>
                <w:sz w:val="21"/>
                <w:szCs w:val="21"/>
                <w:lang w:eastAsia="zh-CN"/>
              </w:rPr>
              <w:t>沉渣</w:t>
            </w:r>
          </w:p>
        </w:tc>
        <w:tc>
          <w:tcPr>
            <w:tcW w:w="1755" w:type="dxa"/>
            <w:vMerge w:val="continue"/>
            <w:noWrap w:val="0"/>
            <w:vAlign w:val="center"/>
          </w:tcPr>
          <w:p>
            <w:pPr>
              <w:adjustRightInd w:val="0"/>
              <w:snapToGrid w:val="0"/>
              <w:jc w:val="center"/>
              <w:rPr>
                <w:rFonts w:hint="eastAsia" w:eastAsia="宋体"/>
                <w:sz w:val="21"/>
                <w:szCs w:val="21"/>
                <w:lang w:eastAsia="zh-CN"/>
              </w:rPr>
            </w:pPr>
          </w:p>
        </w:tc>
        <w:tc>
          <w:tcPr>
            <w:tcW w:w="1757" w:type="dxa"/>
            <w:vMerge w:val="continue"/>
            <w:noWrap w:val="0"/>
            <w:vAlign w:val="center"/>
          </w:tcPr>
          <w:p>
            <w:pPr>
              <w:adjustRightInd w:val="0"/>
              <w:snapToGrid w:val="0"/>
              <w:jc w:val="center"/>
              <w:rPr>
                <w:rFonts w:hint="eastAsia" w:ascii="宋体" w:hAns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778" w:type="dxa"/>
            <w:vMerge w:val="continue"/>
            <w:noWrap w:val="0"/>
            <w:vAlign w:val="center"/>
          </w:tcPr>
          <w:p>
            <w:pPr>
              <w:adjustRightInd w:val="0"/>
              <w:snapToGrid w:val="0"/>
              <w:jc w:val="center"/>
            </w:pPr>
          </w:p>
        </w:tc>
        <w:tc>
          <w:tcPr>
            <w:tcW w:w="1755" w:type="dxa"/>
            <w:noWrap w:val="0"/>
            <w:vAlign w:val="center"/>
          </w:tcPr>
          <w:p>
            <w:pPr>
              <w:adjustRightInd w:val="0"/>
              <w:snapToGrid w:val="0"/>
              <w:jc w:val="center"/>
              <w:rPr>
                <w:rFonts w:hint="eastAsia" w:ascii="宋体" w:hAnsi="宋体" w:eastAsia="宋体" w:cs="宋体"/>
                <w:sz w:val="21"/>
                <w:szCs w:val="21"/>
                <w:lang w:eastAsia="zh-CN"/>
              </w:rPr>
            </w:pPr>
            <w:r>
              <w:rPr>
                <w:rFonts w:hint="eastAsia"/>
                <w:sz w:val="21"/>
                <w:szCs w:val="21"/>
                <w:lang w:val="en-US" w:eastAsia="zh-CN"/>
              </w:rPr>
              <w:t>检验</w:t>
            </w:r>
          </w:p>
        </w:tc>
        <w:tc>
          <w:tcPr>
            <w:tcW w:w="1755" w:type="dxa"/>
            <w:noWrap w:val="0"/>
            <w:vAlign w:val="center"/>
          </w:tcPr>
          <w:p>
            <w:pPr>
              <w:jc w:val="center"/>
              <w:rPr>
                <w:rFonts w:hint="eastAsia" w:ascii="宋体" w:hAnsi="宋体" w:cs="宋体"/>
                <w:sz w:val="21"/>
                <w:szCs w:val="21"/>
              </w:rPr>
            </w:pPr>
            <w:r>
              <w:rPr>
                <w:rFonts w:hint="eastAsia"/>
                <w:sz w:val="21"/>
                <w:szCs w:val="21"/>
                <w:lang w:eastAsia="zh-CN"/>
              </w:rPr>
              <w:t>检验</w:t>
            </w:r>
            <w:r>
              <w:rPr>
                <w:rFonts w:hint="eastAsia"/>
                <w:sz w:val="21"/>
                <w:szCs w:val="21"/>
              </w:rPr>
              <w:t>废混凝土</w:t>
            </w:r>
          </w:p>
        </w:tc>
        <w:tc>
          <w:tcPr>
            <w:tcW w:w="1755" w:type="dxa"/>
            <w:vMerge w:val="continue"/>
            <w:noWrap w:val="0"/>
            <w:vAlign w:val="center"/>
          </w:tcPr>
          <w:p>
            <w:pPr>
              <w:adjustRightInd w:val="0"/>
              <w:snapToGrid w:val="0"/>
              <w:jc w:val="center"/>
              <w:rPr>
                <w:rFonts w:hint="eastAsia" w:ascii="宋体" w:hAnsi="宋体" w:cs="宋体"/>
                <w:sz w:val="21"/>
                <w:szCs w:val="21"/>
              </w:rPr>
            </w:pPr>
          </w:p>
        </w:tc>
        <w:tc>
          <w:tcPr>
            <w:tcW w:w="1757" w:type="dxa"/>
            <w:vMerge w:val="continue"/>
            <w:noWrap w:val="0"/>
            <w:vAlign w:val="center"/>
          </w:tcPr>
          <w:p>
            <w:pPr>
              <w:adjustRightInd w:val="0"/>
              <w:snapToGrid w:val="0"/>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778" w:type="dxa"/>
            <w:vMerge w:val="continue"/>
            <w:noWrap w:val="0"/>
            <w:vAlign w:val="center"/>
          </w:tcPr>
          <w:p>
            <w:pPr>
              <w:adjustRightInd w:val="0"/>
              <w:snapToGrid w:val="0"/>
              <w:jc w:val="center"/>
            </w:pPr>
          </w:p>
        </w:tc>
        <w:tc>
          <w:tcPr>
            <w:tcW w:w="1755" w:type="dxa"/>
            <w:noWrap w:val="0"/>
            <w:vAlign w:val="center"/>
          </w:tcPr>
          <w:p>
            <w:pPr>
              <w:adjustRightInd w:val="0"/>
              <w:snapToGrid w:val="0"/>
              <w:jc w:val="center"/>
              <w:rPr>
                <w:rFonts w:hint="eastAsia"/>
                <w:sz w:val="21"/>
                <w:szCs w:val="21"/>
                <w:lang w:eastAsia="zh-CN"/>
              </w:rPr>
            </w:pPr>
            <w:r>
              <w:rPr>
                <w:rFonts w:hint="eastAsia"/>
                <w:sz w:val="21"/>
                <w:szCs w:val="21"/>
                <w:lang w:eastAsia="zh-CN"/>
              </w:rPr>
              <w:t>布袋除尘器</w:t>
            </w:r>
          </w:p>
        </w:tc>
        <w:tc>
          <w:tcPr>
            <w:tcW w:w="1755" w:type="dxa"/>
            <w:noWrap w:val="0"/>
            <w:vAlign w:val="center"/>
          </w:tcPr>
          <w:p>
            <w:pPr>
              <w:jc w:val="center"/>
              <w:rPr>
                <w:rFonts w:hint="eastAsia"/>
                <w:sz w:val="21"/>
                <w:szCs w:val="21"/>
                <w:lang w:eastAsia="zh-CN"/>
              </w:rPr>
            </w:pPr>
            <w:r>
              <w:rPr>
                <w:rFonts w:hint="eastAsia"/>
                <w:sz w:val="21"/>
                <w:szCs w:val="21"/>
                <w:lang w:eastAsia="zh-CN"/>
              </w:rPr>
              <w:t>废旧滤袋</w:t>
            </w:r>
          </w:p>
        </w:tc>
        <w:tc>
          <w:tcPr>
            <w:tcW w:w="1755" w:type="dxa"/>
            <w:noWrap w:val="0"/>
            <w:vAlign w:val="center"/>
          </w:tcPr>
          <w:p>
            <w:pPr>
              <w:adjustRightInd w:val="0"/>
              <w:snapToGrid w:val="0"/>
              <w:jc w:val="center"/>
              <w:rPr>
                <w:rFonts w:hint="eastAsia"/>
                <w:szCs w:val="21"/>
                <w:lang w:eastAsia="zh-CN"/>
              </w:rPr>
            </w:pPr>
            <w:r>
              <w:rPr>
                <w:rFonts w:hint="eastAsia"/>
                <w:szCs w:val="21"/>
                <w:lang w:eastAsia="zh-CN"/>
              </w:rPr>
              <w:t>厂家回收</w:t>
            </w:r>
          </w:p>
        </w:tc>
        <w:tc>
          <w:tcPr>
            <w:tcW w:w="1757" w:type="dxa"/>
            <w:vMerge w:val="continue"/>
            <w:noWrap w:val="0"/>
            <w:vAlign w:val="center"/>
          </w:tcPr>
          <w:p>
            <w:pPr>
              <w:adjustRightInd w:val="0"/>
              <w:snapToGrid w:val="0"/>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778" w:type="dxa"/>
            <w:vMerge w:val="continue"/>
            <w:noWrap w:val="0"/>
            <w:vAlign w:val="center"/>
          </w:tcPr>
          <w:p>
            <w:pPr>
              <w:adjustRightInd w:val="0"/>
              <w:snapToGrid w:val="0"/>
              <w:jc w:val="center"/>
              <w:rPr>
                <w:rFonts w:hint="eastAsia" w:ascii="宋体" w:hAnsi="宋体" w:cs="宋体"/>
                <w:szCs w:val="21"/>
              </w:rPr>
            </w:pPr>
          </w:p>
        </w:tc>
        <w:tc>
          <w:tcPr>
            <w:tcW w:w="1755" w:type="dxa"/>
            <w:noWrap w:val="0"/>
            <w:vAlign w:val="center"/>
          </w:tcPr>
          <w:p>
            <w:pPr>
              <w:adjustRightInd w:val="0"/>
              <w:snapToGrid w:val="0"/>
              <w:jc w:val="center"/>
              <w:rPr>
                <w:rFonts w:hint="eastAsia" w:ascii="宋体" w:hAnsi="宋体" w:cs="宋体"/>
                <w:sz w:val="21"/>
                <w:szCs w:val="21"/>
              </w:rPr>
            </w:pPr>
            <w:r>
              <w:rPr>
                <w:rFonts w:hint="eastAsia"/>
                <w:sz w:val="21"/>
                <w:szCs w:val="21"/>
              </w:rPr>
              <w:t>员工生活</w:t>
            </w:r>
          </w:p>
        </w:tc>
        <w:tc>
          <w:tcPr>
            <w:tcW w:w="1755" w:type="dxa"/>
            <w:noWrap w:val="0"/>
            <w:vAlign w:val="center"/>
          </w:tcPr>
          <w:p>
            <w:pPr>
              <w:jc w:val="center"/>
              <w:rPr>
                <w:rFonts w:hint="eastAsia" w:ascii="宋体" w:hAnsi="宋体" w:cs="宋体"/>
                <w:sz w:val="21"/>
                <w:szCs w:val="21"/>
              </w:rPr>
            </w:pPr>
            <w:r>
              <w:rPr>
                <w:sz w:val="21"/>
                <w:szCs w:val="21"/>
              </w:rPr>
              <w:t>生活垃圾</w:t>
            </w:r>
          </w:p>
        </w:tc>
        <w:tc>
          <w:tcPr>
            <w:tcW w:w="1755" w:type="dxa"/>
            <w:noWrap w:val="0"/>
            <w:vAlign w:val="center"/>
          </w:tcPr>
          <w:p>
            <w:pPr>
              <w:adjustRightInd w:val="0"/>
              <w:snapToGrid w:val="0"/>
              <w:jc w:val="center"/>
              <w:rPr>
                <w:rFonts w:hint="eastAsia" w:ascii="宋体" w:hAnsi="宋体" w:cs="宋体"/>
                <w:sz w:val="21"/>
                <w:szCs w:val="21"/>
              </w:rPr>
            </w:pPr>
            <w:r>
              <w:rPr>
                <w:rFonts w:hint="eastAsia"/>
                <w:kern w:val="0"/>
                <w:sz w:val="21"/>
                <w:szCs w:val="21"/>
              </w:rPr>
              <w:t>分类收集后</w:t>
            </w:r>
            <w:r>
              <w:rPr>
                <w:rFonts w:hint="eastAsia"/>
                <w:kern w:val="0"/>
                <w:sz w:val="21"/>
                <w:szCs w:val="21"/>
                <w:lang w:val="en-US" w:eastAsia="zh-CN"/>
              </w:rPr>
              <w:t>交由</w:t>
            </w:r>
            <w:r>
              <w:rPr>
                <w:rFonts w:hint="eastAsia"/>
                <w:kern w:val="0"/>
                <w:sz w:val="21"/>
                <w:szCs w:val="21"/>
              </w:rPr>
              <w:t>环卫部门及时清运</w:t>
            </w:r>
          </w:p>
        </w:tc>
        <w:tc>
          <w:tcPr>
            <w:tcW w:w="1757" w:type="dxa"/>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778" w:type="dxa"/>
            <w:vMerge w:val="continue"/>
            <w:noWrap w:val="0"/>
            <w:vAlign w:val="center"/>
          </w:tcPr>
          <w:p>
            <w:pPr>
              <w:adjustRightInd w:val="0"/>
              <w:snapToGrid w:val="0"/>
              <w:jc w:val="center"/>
              <w:rPr>
                <w:rFonts w:hint="eastAsia" w:ascii="宋体" w:hAnsi="宋体" w:cs="宋体"/>
                <w:szCs w:val="21"/>
              </w:rPr>
            </w:pPr>
          </w:p>
        </w:tc>
        <w:tc>
          <w:tcPr>
            <w:tcW w:w="1755" w:type="dxa"/>
            <w:noWrap w:val="0"/>
            <w:vAlign w:val="center"/>
          </w:tcPr>
          <w:p>
            <w:pPr>
              <w:adjustRightInd w:val="0"/>
              <w:snapToGrid w:val="0"/>
              <w:jc w:val="center"/>
              <w:rPr>
                <w:rFonts w:hint="eastAsia" w:eastAsia="宋体"/>
                <w:szCs w:val="21"/>
                <w:lang w:val="en-US" w:eastAsia="zh-CN"/>
              </w:rPr>
            </w:pPr>
            <w:r>
              <w:rPr>
                <w:rFonts w:hint="eastAsia"/>
                <w:szCs w:val="21"/>
                <w:lang w:val="en-US" w:eastAsia="zh-CN"/>
              </w:rPr>
              <w:t>设备、车辆</w:t>
            </w:r>
            <w:r>
              <w:rPr>
                <w:rFonts w:hint="eastAsia"/>
                <w:szCs w:val="21"/>
              </w:rPr>
              <w:t>维护</w:t>
            </w:r>
            <w:r>
              <w:rPr>
                <w:rFonts w:hint="eastAsia"/>
                <w:szCs w:val="21"/>
                <w:lang w:val="en-US" w:eastAsia="zh-CN"/>
              </w:rPr>
              <w:t>保养</w:t>
            </w:r>
          </w:p>
        </w:tc>
        <w:tc>
          <w:tcPr>
            <w:tcW w:w="1755" w:type="dxa"/>
            <w:noWrap w:val="0"/>
            <w:vAlign w:val="center"/>
          </w:tcPr>
          <w:p>
            <w:pPr>
              <w:jc w:val="center"/>
              <w:rPr>
                <w:rFonts w:hint="default" w:eastAsia="宋体"/>
                <w:szCs w:val="21"/>
                <w:lang w:val="en-US" w:eastAsia="zh-CN"/>
              </w:rPr>
            </w:pPr>
            <w:r>
              <w:rPr>
                <w:rFonts w:hint="eastAsia"/>
                <w:szCs w:val="21"/>
              </w:rPr>
              <w:t>废</w:t>
            </w:r>
            <w:r>
              <w:rPr>
                <w:rFonts w:hint="eastAsia"/>
                <w:szCs w:val="21"/>
                <w:lang w:val="en-US" w:eastAsia="zh-CN"/>
              </w:rPr>
              <w:t>润滑油、废润滑油桶、废含油抹布、含油手套</w:t>
            </w:r>
          </w:p>
        </w:tc>
        <w:tc>
          <w:tcPr>
            <w:tcW w:w="1755" w:type="dxa"/>
            <w:noWrap w:val="0"/>
            <w:vAlign w:val="center"/>
          </w:tcPr>
          <w:p>
            <w:pPr>
              <w:adjustRightInd w:val="0"/>
              <w:snapToGrid w:val="0"/>
              <w:jc w:val="center"/>
              <w:rPr>
                <w:rFonts w:hint="eastAsia"/>
                <w:kern w:val="0"/>
                <w:szCs w:val="21"/>
              </w:rPr>
            </w:pPr>
            <w:r>
              <w:rPr>
                <w:rFonts w:hint="eastAsia"/>
                <w:kern w:val="0"/>
                <w:szCs w:val="21"/>
              </w:rPr>
              <w:t>作为危险废物暂存至危险废物贮存库，交由有资质的单位处置</w:t>
            </w:r>
          </w:p>
        </w:tc>
        <w:tc>
          <w:tcPr>
            <w:tcW w:w="1757" w:type="dxa"/>
            <w:noWrap w:val="0"/>
            <w:vAlign w:val="center"/>
          </w:tcPr>
          <w:p>
            <w:pPr>
              <w:adjustRightInd w:val="0"/>
              <w:snapToGrid w:val="0"/>
              <w:jc w:val="center"/>
              <w:rPr>
                <w:rFonts w:hint="eastAsia" w:ascii="宋体" w:hAnsi="宋体" w:cs="宋体"/>
                <w:szCs w:val="21"/>
              </w:rPr>
            </w:pPr>
            <w:r>
              <w:rPr>
                <w:rFonts w:hint="eastAsia" w:cs="Times New Roman"/>
                <w:color w:val="auto"/>
                <w:sz w:val="21"/>
                <w:szCs w:val="21"/>
                <w:highlight w:val="none"/>
                <w:lang w:val="en-US" w:eastAsia="zh-CN"/>
              </w:rPr>
              <w:t>《危险废物贮存污染控制标准》（GB18957-2023）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土壤及地下水</w:t>
            </w:r>
          </w:p>
          <w:p>
            <w:pPr>
              <w:adjustRightInd w:val="0"/>
              <w:snapToGrid w:val="0"/>
              <w:jc w:val="center"/>
              <w:rPr>
                <w:rFonts w:hint="eastAsia" w:ascii="宋体" w:hAnsi="宋体" w:cs="宋体"/>
                <w:szCs w:val="21"/>
              </w:rPr>
            </w:pPr>
            <w:r>
              <w:rPr>
                <w:rFonts w:hint="eastAsia" w:ascii="宋体" w:hAnsi="宋体" w:cs="宋体"/>
                <w:szCs w:val="21"/>
              </w:rPr>
              <w:t>污染防治措施</w:t>
            </w:r>
          </w:p>
        </w:tc>
        <w:tc>
          <w:tcPr>
            <w:tcW w:w="7022" w:type="dxa"/>
            <w:gridSpan w:val="4"/>
            <w:noWrap w:val="0"/>
            <w:vAlign w:val="center"/>
          </w:tcPr>
          <w:p>
            <w:pPr>
              <w:adjustRightInd w:val="0"/>
              <w:snapToGrid w:val="0"/>
              <w:jc w:val="center"/>
              <w:rPr>
                <w:rFonts w:hint="eastAsia" w:ascii="宋体" w:hAnsi="宋体" w:cs="宋体"/>
                <w:szCs w:val="21"/>
              </w:rPr>
            </w:pPr>
            <w:r>
              <w:rPr>
                <w:szCs w:val="21"/>
              </w:rPr>
              <w:t>划分</w:t>
            </w:r>
            <w:r>
              <w:rPr>
                <w:rFonts w:hint="eastAsia"/>
                <w:szCs w:val="21"/>
              </w:rPr>
              <w:t>一</w:t>
            </w:r>
            <w:r>
              <w:rPr>
                <w:szCs w:val="21"/>
              </w:rPr>
              <w:t>般防渗区、重点防渗区</w:t>
            </w:r>
            <w:r>
              <w:rPr>
                <w:rFonts w:hint="eastAsia"/>
                <w:szCs w:val="21"/>
                <w:lang w:eastAsia="zh-CN"/>
              </w:rPr>
              <w:t>、简单防渗区</w:t>
            </w:r>
            <w:r>
              <w:rPr>
                <w:rFonts w:hint="eastAsia"/>
                <w:szCs w:val="21"/>
              </w:rPr>
              <w:t>，</w:t>
            </w:r>
            <w:r>
              <w:rPr>
                <w:szCs w:val="21"/>
              </w:rPr>
              <w:t>防渗区则应按照不同分区要求，采取不同等级的防渗措施，并确保其可靠性和有效性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生态保护措施</w:t>
            </w:r>
          </w:p>
        </w:tc>
        <w:tc>
          <w:tcPr>
            <w:tcW w:w="7022" w:type="dxa"/>
            <w:gridSpan w:val="4"/>
            <w:noWrap w:val="0"/>
            <w:vAlign w:val="center"/>
          </w:tcPr>
          <w:p>
            <w:pPr>
              <w:adjustRightInd w:val="0"/>
              <w:snapToGrid w:val="0"/>
              <w:jc w:val="center"/>
              <w:rPr>
                <w:rFonts w:hint="eastAsia" w:ascii="宋体" w:hAnsi="宋体" w:cs="宋体"/>
                <w:szCs w:val="21"/>
              </w:rPr>
            </w:pPr>
            <w:r>
              <w:rPr>
                <w:rFonts w:hint="eastAsia"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pPr>
              <w:adjustRightInd w:val="0"/>
              <w:snapToGrid w:val="0"/>
              <w:jc w:val="center"/>
              <w:rPr>
                <w:rFonts w:ascii="宋体" w:hAnsi="宋体" w:cs="宋体"/>
                <w:spacing w:val="-8"/>
                <w:szCs w:val="21"/>
              </w:rPr>
            </w:pPr>
            <w:r>
              <w:rPr>
                <w:rFonts w:hint="eastAsia" w:ascii="宋体" w:hAnsi="宋体" w:cs="宋体"/>
                <w:spacing w:val="-8"/>
                <w:szCs w:val="21"/>
              </w:rPr>
              <w:t>环境风险</w:t>
            </w:r>
          </w:p>
          <w:p>
            <w:pPr>
              <w:adjustRightInd w:val="0"/>
              <w:snapToGrid w:val="0"/>
              <w:jc w:val="center"/>
              <w:rPr>
                <w:rFonts w:hint="eastAsia" w:ascii="宋体" w:hAnsi="宋体" w:cs="宋体"/>
                <w:spacing w:val="-8"/>
                <w:szCs w:val="21"/>
              </w:rPr>
            </w:pPr>
            <w:r>
              <w:rPr>
                <w:rFonts w:hint="eastAsia" w:ascii="宋体" w:hAnsi="宋体" w:cs="宋体"/>
                <w:spacing w:val="-8"/>
                <w:szCs w:val="21"/>
              </w:rPr>
              <w:t>防范措施</w:t>
            </w:r>
          </w:p>
        </w:tc>
        <w:tc>
          <w:tcPr>
            <w:tcW w:w="7022" w:type="dxa"/>
            <w:gridSpan w:val="4"/>
            <w:noWrap w:val="0"/>
            <w:vAlign w:val="center"/>
          </w:tcPr>
          <w:p>
            <w:pPr>
              <w:adjustRightInd w:val="0"/>
              <w:snapToGrid w:val="0"/>
              <w:jc w:val="left"/>
              <w:rPr>
                <w:rFonts w:hint="eastAsia" w:ascii="宋体" w:hAnsi="宋体" w:cs="宋体"/>
                <w:szCs w:val="21"/>
              </w:rPr>
            </w:pPr>
            <w:r>
              <w:rPr>
                <w:rFonts w:hint="eastAsia" w:ascii="宋体" w:hAnsi="宋体" w:cs="宋体"/>
                <w:szCs w:val="21"/>
              </w:rPr>
              <w:t>严格执行安全生产各项制度；</w:t>
            </w:r>
          </w:p>
          <w:p>
            <w:pPr>
              <w:adjustRightInd w:val="0"/>
              <w:snapToGrid w:val="0"/>
              <w:jc w:val="left"/>
              <w:rPr>
                <w:rFonts w:hint="eastAsia" w:ascii="宋体" w:hAnsi="宋体" w:cs="宋体"/>
                <w:szCs w:val="21"/>
              </w:rPr>
            </w:pPr>
            <w:r>
              <w:rPr>
                <w:rFonts w:hint="eastAsia" w:ascii="宋体" w:hAnsi="宋体" w:cs="宋体"/>
                <w:szCs w:val="21"/>
              </w:rPr>
              <w:t>定期维护生产设备，防止设备故障造成安全隐患；</w:t>
            </w:r>
          </w:p>
          <w:p>
            <w:pPr>
              <w:adjustRightInd w:val="0"/>
              <w:snapToGrid w:val="0"/>
              <w:jc w:val="left"/>
              <w:rPr>
                <w:rFonts w:hint="eastAsia" w:ascii="宋体" w:hAnsi="宋体" w:cs="宋体"/>
                <w:szCs w:val="21"/>
              </w:rPr>
            </w:pPr>
            <w:r>
              <w:rPr>
                <w:rFonts w:hint="eastAsia" w:ascii="宋体" w:hAnsi="宋体" w:cs="宋体"/>
                <w:szCs w:val="21"/>
              </w:rPr>
              <w:t>设置专人对除尘</w:t>
            </w:r>
            <w:r>
              <w:rPr>
                <w:rFonts w:hint="eastAsia" w:ascii="宋体" w:hAnsi="宋体" w:cs="宋体"/>
                <w:szCs w:val="21"/>
                <w:lang w:val="en-US" w:eastAsia="zh-CN"/>
              </w:rPr>
              <w:t>系统</w:t>
            </w:r>
            <w:r>
              <w:rPr>
                <w:rFonts w:hint="eastAsia" w:ascii="宋体" w:hAnsi="宋体" w:cs="宋体"/>
                <w:szCs w:val="21"/>
              </w:rPr>
              <w:t>进行负责；</w:t>
            </w:r>
          </w:p>
          <w:p>
            <w:pPr>
              <w:adjustRightInd w:val="0"/>
              <w:snapToGrid w:val="0"/>
              <w:jc w:val="left"/>
              <w:rPr>
                <w:rFonts w:hint="eastAsia" w:ascii="宋体" w:hAnsi="宋体" w:cs="宋体"/>
                <w:szCs w:val="21"/>
              </w:rPr>
            </w:pPr>
            <w:r>
              <w:rPr>
                <w:rFonts w:hint="eastAsia" w:ascii="宋体" w:hAnsi="宋体" w:cs="宋体"/>
                <w:szCs w:val="21"/>
              </w:rPr>
              <w:t>日常进行检查，确保不发生故障。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noWrap w:val="0"/>
            <w:vAlign w:val="center"/>
          </w:tcPr>
          <w:p>
            <w:pPr>
              <w:adjustRightInd w:val="0"/>
              <w:snapToGrid w:val="0"/>
              <w:jc w:val="center"/>
              <w:rPr>
                <w:rFonts w:ascii="宋体" w:hAnsi="宋体" w:cs="宋体"/>
                <w:spacing w:val="-8"/>
                <w:szCs w:val="21"/>
              </w:rPr>
            </w:pPr>
            <w:r>
              <w:rPr>
                <w:rFonts w:hint="eastAsia" w:ascii="宋体" w:hAnsi="宋体" w:cs="宋体"/>
                <w:spacing w:val="-8"/>
                <w:szCs w:val="21"/>
              </w:rPr>
              <w:t>其他环境</w:t>
            </w:r>
          </w:p>
          <w:p>
            <w:pPr>
              <w:adjustRightInd w:val="0"/>
              <w:snapToGrid w:val="0"/>
              <w:jc w:val="center"/>
              <w:rPr>
                <w:rFonts w:hint="eastAsia" w:ascii="宋体" w:hAnsi="宋体" w:cs="宋体"/>
                <w:spacing w:val="-8"/>
                <w:szCs w:val="21"/>
              </w:rPr>
            </w:pPr>
            <w:r>
              <w:rPr>
                <w:rFonts w:hint="eastAsia" w:ascii="宋体" w:hAnsi="宋体" w:cs="宋体"/>
                <w:spacing w:val="-8"/>
                <w:szCs w:val="21"/>
              </w:rPr>
              <w:t>管理要求</w:t>
            </w:r>
          </w:p>
        </w:tc>
        <w:tc>
          <w:tcPr>
            <w:tcW w:w="7022" w:type="dxa"/>
            <w:gridSpan w:val="4"/>
            <w:noWrap w:val="0"/>
            <w:vAlign w:val="center"/>
          </w:tcPr>
          <w:p>
            <w:pPr>
              <w:adjustRightInd w:val="0"/>
              <w:snapToGrid w:val="0"/>
              <w:jc w:val="left"/>
              <w:rPr>
                <w:rFonts w:hint="eastAsia" w:eastAsia="宋体"/>
                <w:szCs w:val="21"/>
                <w:lang w:eastAsia="zh-CN"/>
              </w:rPr>
            </w:pPr>
            <w:r>
              <w:rPr>
                <w:rFonts w:hint="eastAsia"/>
                <w:szCs w:val="21"/>
              </w:rPr>
              <w:t>为加强项目的环境管理，</w:t>
            </w:r>
            <w:r>
              <w:rPr>
                <w:rFonts w:hint="eastAsia"/>
                <w:szCs w:val="21"/>
                <w:lang w:eastAsia="zh-CN"/>
              </w:rPr>
              <w:t>加大</w:t>
            </w:r>
            <w:r>
              <w:rPr>
                <w:rFonts w:hint="eastAsia"/>
                <w:szCs w:val="21"/>
              </w:rPr>
              <w:t>环境监测的力度，必须严格控制污染物的排放总量，执行建设项目“三同时”制度，为了既发展生产又保护环境，实现建设项目的经济效益，社会效益和环境效益的统一，更好</w:t>
            </w:r>
            <w:r>
              <w:rPr>
                <w:rFonts w:hint="eastAsia"/>
                <w:szCs w:val="21"/>
                <w:lang w:eastAsia="zh-CN"/>
              </w:rPr>
              <w:t>地</w:t>
            </w:r>
            <w:r>
              <w:rPr>
                <w:rFonts w:hint="eastAsia"/>
                <w:szCs w:val="21"/>
              </w:rPr>
              <w:t>监控工程环保设施的运行及时掌握和了解污染治理措施的效果，必须设置相应的环保机构，制定项目环境管理和环境监测计划</w:t>
            </w:r>
          </w:p>
          <w:p>
            <w:pPr>
              <w:adjustRightInd w:val="0"/>
              <w:snapToGrid w:val="0"/>
              <w:jc w:val="left"/>
              <w:rPr>
                <w:rFonts w:hint="eastAsia" w:eastAsia="宋体"/>
                <w:szCs w:val="21"/>
                <w:lang w:eastAsia="zh-CN"/>
              </w:rPr>
            </w:pPr>
            <w:r>
              <w:rPr>
                <w:rFonts w:hint="eastAsia"/>
                <w:szCs w:val="21"/>
              </w:rPr>
              <w:t>1.环境管理计划</w:t>
            </w:r>
          </w:p>
          <w:p>
            <w:pPr>
              <w:adjustRightInd w:val="0"/>
              <w:snapToGrid w:val="0"/>
              <w:jc w:val="left"/>
              <w:rPr>
                <w:rFonts w:hint="eastAsia" w:eastAsia="宋体"/>
                <w:szCs w:val="21"/>
                <w:lang w:eastAsia="zh-CN"/>
              </w:rPr>
            </w:pPr>
            <w:r>
              <w:rPr>
                <w:rFonts w:hint="eastAsia"/>
                <w:szCs w:val="21"/>
              </w:rPr>
              <w:t>为了保证环境管理工作的有效性，项目环境管理应指定专人主管，由专人负责运营期环境保护工作，环境监测可委托具有环境检测资质的单位进行监测监控，废气排放情况及环保设施的运转状况。</w:t>
            </w:r>
          </w:p>
          <w:p>
            <w:pPr>
              <w:adjustRightInd w:val="0"/>
              <w:snapToGrid w:val="0"/>
              <w:jc w:val="left"/>
              <w:rPr>
                <w:rFonts w:hint="eastAsia" w:eastAsia="宋体"/>
                <w:szCs w:val="21"/>
                <w:lang w:eastAsia="zh-CN"/>
              </w:rPr>
            </w:pPr>
            <w:r>
              <w:rPr>
                <w:rFonts w:hint="eastAsia"/>
                <w:szCs w:val="21"/>
              </w:rPr>
              <w:t>2.管理职责</w:t>
            </w:r>
          </w:p>
          <w:p>
            <w:pPr>
              <w:adjustRightInd w:val="0"/>
              <w:snapToGrid w:val="0"/>
              <w:jc w:val="left"/>
              <w:rPr>
                <w:rFonts w:hint="eastAsia" w:eastAsia="宋体"/>
                <w:szCs w:val="21"/>
                <w:lang w:eastAsia="zh-CN"/>
              </w:rPr>
            </w:pPr>
            <w:r>
              <w:rPr>
                <w:rFonts w:hint="eastAsia"/>
                <w:szCs w:val="21"/>
              </w:rPr>
              <w:t>（1）贯彻执行国家，省级，地方各项环保政策法规标准，根据项目实际编制环</w:t>
            </w:r>
            <w:r>
              <w:rPr>
                <w:rFonts w:hint="eastAsia"/>
                <w:szCs w:val="21"/>
                <w:lang w:eastAsia="zh-CN"/>
              </w:rPr>
              <w:t>境保护</w:t>
            </w:r>
            <w:r>
              <w:rPr>
                <w:rFonts w:hint="eastAsia"/>
                <w:szCs w:val="21"/>
              </w:rPr>
              <w:t>规划和实施细则，并组织实施监督执行。</w:t>
            </w:r>
          </w:p>
          <w:p>
            <w:pPr>
              <w:adjustRightInd w:val="0"/>
              <w:snapToGrid w:val="0"/>
              <w:jc w:val="left"/>
              <w:rPr>
                <w:rFonts w:hint="eastAsia" w:eastAsia="宋体"/>
                <w:szCs w:val="21"/>
                <w:lang w:eastAsia="zh-CN"/>
              </w:rPr>
            </w:pPr>
            <w:r>
              <w:rPr>
                <w:rFonts w:hint="eastAsia"/>
                <w:szCs w:val="21"/>
              </w:rPr>
              <w:t>（2）建立污染源档案，定期由具有环境监测资质的单位对污染物进行监督监测和应急监测，掌握项目各污染源排放动态，以便为环境管理与污染防治提供科学依据。</w:t>
            </w:r>
          </w:p>
          <w:p>
            <w:pPr>
              <w:adjustRightInd w:val="0"/>
              <w:snapToGrid w:val="0"/>
              <w:jc w:val="left"/>
              <w:rPr>
                <w:rFonts w:hint="eastAsia" w:eastAsia="宋体"/>
                <w:szCs w:val="21"/>
                <w:lang w:eastAsia="zh-CN"/>
              </w:rPr>
            </w:pPr>
            <w:r>
              <w:rPr>
                <w:rFonts w:hint="eastAsia"/>
                <w:szCs w:val="21"/>
              </w:rPr>
              <w:t>（3）制定切实可行的污染物排放控制指标，环保治理设施运行考核指标，组织落实实施，定期进行检查。</w:t>
            </w:r>
          </w:p>
          <w:p>
            <w:pPr>
              <w:adjustRightInd w:val="0"/>
              <w:snapToGrid w:val="0"/>
              <w:jc w:val="left"/>
              <w:rPr>
                <w:rFonts w:hint="eastAsia" w:eastAsia="宋体"/>
                <w:szCs w:val="21"/>
                <w:lang w:eastAsia="zh-CN"/>
              </w:rPr>
            </w:pPr>
            <w:r>
              <w:rPr>
                <w:rFonts w:hint="eastAsia"/>
                <w:szCs w:val="21"/>
              </w:rPr>
              <w:t>（4）组织和管理项目的污染治理工作，负责环保治理设施的运行及管理工作，建立污染物浓度和排放总量双向控制制度，并彻底做到各项污染物达标排放。</w:t>
            </w:r>
          </w:p>
          <w:p>
            <w:pPr>
              <w:adjustRightInd w:val="0"/>
              <w:snapToGrid w:val="0"/>
              <w:jc w:val="left"/>
              <w:rPr>
                <w:rFonts w:hint="eastAsia" w:eastAsia="宋体"/>
                <w:szCs w:val="21"/>
                <w:lang w:eastAsia="zh-CN"/>
              </w:rPr>
            </w:pPr>
            <w:r>
              <w:rPr>
                <w:rFonts w:hint="eastAsia"/>
                <w:szCs w:val="21"/>
              </w:rPr>
              <w:t>（5）定期进行项目环境管理人员环保知识和技术培训工作。</w:t>
            </w:r>
          </w:p>
          <w:p>
            <w:pPr>
              <w:adjustRightInd w:val="0"/>
              <w:snapToGrid w:val="0"/>
              <w:jc w:val="left"/>
              <w:rPr>
                <w:rFonts w:hint="eastAsia" w:eastAsia="宋体"/>
                <w:szCs w:val="21"/>
                <w:lang w:eastAsia="zh-CN"/>
              </w:rPr>
            </w:pPr>
            <w:r>
              <w:rPr>
                <w:rFonts w:hint="eastAsia"/>
                <w:szCs w:val="21"/>
              </w:rPr>
              <w:t>（6）做好常规环境统计工作，掌握各项治理设施的运行状况。</w:t>
            </w:r>
          </w:p>
          <w:p>
            <w:pPr>
              <w:adjustRightInd w:val="0"/>
              <w:snapToGrid w:val="0"/>
              <w:jc w:val="left"/>
              <w:rPr>
                <w:rFonts w:hint="eastAsia" w:eastAsia="宋体"/>
                <w:szCs w:val="21"/>
                <w:lang w:eastAsia="zh-CN"/>
              </w:rPr>
            </w:pPr>
            <w:r>
              <w:rPr>
                <w:rFonts w:hint="eastAsia"/>
                <w:szCs w:val="21"/>
              </w:rPr>
              <w:t>（7）科学组织生产调度。通过及时全面了解生产情况，均衡组织生产，使生产各环节协调进行，加强环境保护工作调度，做好</w:t>
            </w:r>
            <w:r>
              <w:rPr>
                <w:rFonts w:hint="eastAsia"/>
                <w:szCs w:val="21"/>
                <w:lang w:eastAsia="zh-CN"/>
              </w:rPr>
              <w:t>突发事件</w:t>
            </w:r>
            <w:r>
              <w:rPr>
                <w:rFonts w:hint="eastAsia"/>
                <w:szCs w:val="21"/>
              </w:rPr>
              <w:t>，</w:t>
            </w:r>
            <w:r>
              <w:rPr>
                <w:rFonts w:hint="eastAsia"/>
                <w:szCs w:val="21"/>
                <w:lang w:eastAsia="zh-CN"/>
              </w:rPr>
              <w:t>防止</w:t>
            </w:r>
            <w:r>
              <w:rPr>
                <w:rFonts w:hint="eastAsia"/>
                <w:szCs w:val="21"/>
              </w:rPr>
              <w:t>污染的应急措施，使生产过程的污染物排放达到最低限度。</w:t>
            </w:r>
          </w:p>
          <w:p>
            <w:pPr>
              <w:adjustRightInd w:val="0"/>
              <w:snapToGrid w:val="0"/>
              <w:jc w:val="left"/>
              <w:rPr>
                <w:rFonts w:hint="eastAsia"/>
                <w:szCs w:val="21"/>
              </w:rPr>
            </w:pPr>
            <w:r>
              <w:rPr>
                <w:rFonts w:hint="eastAsia"/>
                <w:szCs w:val="21"/>
              </w:rPr>
              <w:t>（8）管好用好设备。合理使用设备，加强对设备的维护和修理，杜绝设备和管道的跑、冒、漏现象。</w:t>
            </w:r>
          </w:p>
          <w:p>
            <w:pPr>
              <w:adjustRightInd w:val="0"/>
              <w:snapToGrid w:val="0"/>
              <w:jc w:val="left"/>
              <w:rPr>
                <w:rFonts w:hint="eastAsia"/>
                <w:szCs w:val="21"/>
              </w:rPr>
            </w:pPr>
          </w:p>
          <w:p>
            <w:pPr>
              <w:adjustRightInd w:val="0"/>
              <w:snapToGrid w:val="0"/>
              <w:jc w:val="left"/>
              <w:rPr>
                <w:rFonts w:hint="eastAsia"/>
                <w:szCs w:val="21"/>
              </w:rPr>
            </w:pPr>
          </w:p>
          <w:p>
            <w:pPr>
              <w:adjustRightInd w:val="0"/>
              <w:snapToGrid w:val="0"/>
              <w:jc w:val="left"/>
              <w:rPr>
                <w:rFonts w:hint="eastAsia"/>
                <w:szCs w:val="21"/>
              </w:rPr>
            </w:pPr>
          </w:p>
          <w:p>
            <w:pPr>
              <w:adjustRightInd w:val="0"/>
              <w:snapToGrid w:val="0"/>
              <w:jc w:val="left"/>
              <w:rPr>
                <w:rFonts w:hint="eastAsia"/>
                <w:szCs w:val="21"/>
              </w:rPr>
            </w:pPr>
          </w:p>
          <w:p>
            <w:pPr>
              <w:adjustRightInd w:val="0"/>
              <w:snapToGrid w:val="0"/>
              <w:jc w:val="left"/>
              <w:rPr>
                <w:rFonts w:hint="eastAsia"/>
                <w:szCs w:val="21"/>
              </w:rPr>
            </w:pPr>
          </w:p>
          <w:p>
            <w:pPr>
              <w:adjustRightInd w:val="0"/>
              <w:snapToGrid w:val="0"/>
              <w:jc w:val="both"/>
              <w:rPr>
                <w:rFonts w:hint="eastAsia" w:ascii="宋体" w:hAnsi="宋体" w:cs="宋体"/>
                <w:szCs w:val="21"/>
              </w:rPr>
            </w:pPr>
          </w:p>
        </w:tc>
      </w:tr>
    </w:tbl>
    <w:p>
      <w:pPr>
        <w:pStyle w:val="18"/>
        <w:jc w:val="center"/>
        <w:outlineLvl w:val="0"/>
        <w:rPr>
          <w:rFonts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adjustRightInd w:val="0"/>
              <w:snapToGrid w:val="0"/>
              <w:spacing w:before="120" w:beforeLines="50" w:line="360" w:lineRule="auto"/>
              <w:ind w:firstLine="480" w:firstLineChars="200"/>
              <w:rPr>
                <w:rFonts w:hint="eastAsia" w:ascii="宋体" w:hAnsi="宋体" w:cs="宋体"/>
                <w:sz w:val="24"/>
              </w:rPr>
            </w:pPr>
            <w:r>
              <w:rPr>
                <w:rFonts w:hint="eastAsia" w:ascii="宋体" w:hAnsi="宋体" w:cs="宋体"/>
                <w:sz w:val="24"/>
              </w:rPr>
              <w:t>本项目生产运营会产生噪声、废气及固体废物，经评价分析，在全面落实本报告提出的各项环保措施和建议的基础上，落实本项目的污染防治对策，加强环保管理，环境污染可基本得到控制，做到污染物达标排放，对周围环境影响不大。因此，从环境保护角度，本建设项目环境影响可行。</w:t>
            </w:r>
          </w:p>
          <w:p>
            <w:pPr>
              <w:spacing w:line="360" w:lineRule="auto"/>
              <w:rPr>
                <w:rFonts w:ascii="宋体" w:cs="宋体"/>
                <w:sz w:val="24"/>
              </w:rPr>
            </w:pPr>
          </w:p>
        </w:tc>
      </w:tr>
    </w:tbl>
    <w:p>
      <w:pPr>
        <w:rPr>
          <w:rFonts w:ascii="宋体"/>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18"/>
        <w:adjustRightInd w:val="0"/>
        <w:snapToGrid w:val="0"/>
        <w:spacing w:before="0" w:beforeAutospacing="0" w:after="0" w:afterAutospacing="0"/>
        <w:jc w:val="center"/>
        <w:outlineLvl w:val="0"/>
        <w:rPr>
          <w:rFonts w:hint="eastAsia" w:ascii="方正小标宋_GBK" w:hAnsi="黑体" w:eastAsia="方正小标宋_GBK"/>
          <w:snapToGrid w:val="0"/>
          <w:sz w:val="38"/>
          <w:szCs w:val="38"/>
        </w:rPr>
      </w:pPr>
      <w:r>
        <w:rPr>
          <w:rFonts w:hint="eastAsia" w:ascii="方正小标宋_GBK" w:hAnsi="黑体" w:eastAsia="方正小标宋_GBK"/>
          <w:snapToGrid w:val="0"/>
          <w:sz w:val="38"/>
          <w:szCs w:val="38"/>
        </w:rPr>
        <w:t>建设项目污染物排放量汇总表</w:t>
      </w:r>
    </w:p>
    <w:tbl>
      <w:tblPr>
        <w:tblStyle w:val="21"/>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502"/>
        <w:gridCol w:w="1616"/>
        <w:gridCol w:w="1276"/>
        <w:gridCol w:w="1701"/>
        <w:gridCol w:w="1559"/>
        <w:gridCol w:w="1761"/>
        <w:gridCol w:w="1732"/>
        <w:gridCol w:w="10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jc w:val="right"/>
              <w:textAlignment w:val="auto"/>
              <w:rPr>
                <w:rFonts w:hint="default" w:ascii="Calibri" w:hAnsi="Calibri" w:eastAsia="宋体" w:cs="宋体"/>
                <w:snapToGrid w:val="0"/>
                <w:color w:val="000000"/>
                <w:spacing w:val="-6"/>
                <w:kern w:val="21"/>
                <w:sz w:val="21"/>
                <w:szCs w:val="21"/>
              </w:rPr>
            </w:pPr>
            <w:r>
              <w:rPr>
                <w:rFonts w:hint="default" w:ascii="Calibri" w:hAnsi="Calibri" w:eastAsia="宋体" w:cs="宋体"/>
                <w:snapToGrid w:val="0"/>
                <w:color w:val="000000"/>
                <w:spacing w:val="-6"/>
                <w:kern w:val="21"/>
                <w:sz w:val="21"/>
                <w:szCs w:val="21"/>
              </w:rPr>
              <w:t>项目</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jc w:val="left"/>
              <w:textAlignment w:val="auto"/>
              <w:rPr>
                <w:rFonts w:hint="default" w:ascii="Calibri" w:hAnsi="Calibri" w:eastAsia="宋体" w:cs="宋体"/>
                <w:snapToGrid w:val="0"/>
                <w:color w:val="000000"/>
                <w:spacing w:val="-6"/>
                <w:kern w:val="21"/>
                <w:sz w:val="21"/>
                <w:szCs w:val="21"/>
              </w:rPr>
            </w:pPr>
            <w:r>
              <w:rPr>
                <w:rFonts w:hint="default" w:ascii="Calibri" w:hAnsi="Calibri" w:eastAsia="宋体" w:cs="宋体"/>
                <w:snapToGrid w:val="0"/>
                <w:color w:val="000000"/>
                <w:spacing w:val="-6"/>
                <w:kern w:val="21"/>
                <w:sz w:val="21"/>
                <w:szCs w:val="21"/>
              </w:rPr>
              <w:t>分类</w:t>
            </w:r>
          </w:p>
        </w:tc>
        <w:tc>
          <w:tcPr>
            <w:tcW w:w="1502"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spacing w:val="-6"/>
                <w:kern w:val="21"/>
                <w:sz w:val="21"/>
                <w:szCs w:val="21"/>
              </w:rPr>
            </w:pPr>
            <w:r>
              <w:rPr>
                <w:rFonts w:hint="default" w:ascii="Calibri" w:hAnsi="Calibri" w:eastAsia="宋体" w:cs="宋体"/>
                <w:snapToGrid w:val="0"/>
                <w:color w:val="000000"/>
                <w:spacing w:val="-6"/>
                <w:kern w:val="21"/>
                <w:sz w:val="21"/>
                <w:szCs w:val="21"/>
              </w:rPr>
              <w:t>污染物名称</w:t>
            </w:r>
          </w:p>
        </w:tc>
        <w:tc>
          <w:tcPr>
            <w:tcW w:w="1616"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现有工程</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排放量（固体废物产生量）</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1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①</w:t>
            </w:r>
            <w:r>
              <w:rPr>
                <w:rFonts w:hint="eastAsia" w:ascii="宋体" w:hAnsi="宋体" w:eastAsia="宋体" w:cs="宋体"/>
                <w:snapToGrid w:val="0"/>
                <w:color w:val="000000"/>
                <w:spacing w:val="-6"/>
                <w:kern w:val="21"/>
                <w:sz w:val="21"/>
                <w:szCs w:val="21"/>
              </w:rPr>
              <w:fldChar w:fldCharType="end"/>
            </w:r>
          </w:p>
        </w:tc>
        <w:tc>
          <w:tcPr>
            <w:tcW w:w="1276"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现有工程</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许可排放量</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2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snapToGrid w:val="0"/>
                <w:color w:val="000000"/>
                <w:spacing w:val="-6"/>
                <w:kern w:val="21"/>
                <w:sz w:val="21"/>
                <w:szCs w:val="21"/>
              </w:rPr>
              <w:t>②</w:t>
            </w:r>
            <w:r>
              <w:rPr>
                <w:rFonts w:hint="eastAsia" w:ascii="宋体" w:hAnsi="宋体" w:eastAsia="宋体" w:cs="宋体"/>
                <w:snapToGrid w:val="0"/>
                <w:color w:val="000000"/>
                <w:spacing w:val="-6"/>
                <w:kern w:val="21"/>
                <w:sz w:val="21"/>
                <w:szCs w:val="21"/>
              </w:rPr>
              <w:fldChar w:fldCharType="end"/>
            </w:r>
          </w:p>
        </w:tc>
        <w:tc>
          <w:tcPr>
            <w:tcW w:w="1701"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在建工程</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排放量（固体废物产生量）</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3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③</w:t>
            </w:r>
            <w:r>
              <w:rPr>
                <w:rFonts w:hint="eastAsia" w:ascii="宋体" w:hAnsi="宋体" w:eastAsia="宋体" w:cs="宋体"/>
                <w:snapToGrid w:val="0"/>
                <w:color w:val="000000"/>
                <w:spacing w:val="-6"/>
                <w:kern w:val="21"/>
                <w:sz w:val="21"/>
                <w:szCs w:val="21"/>
              </w:rPr>
              <w:fldChar w:fldCharType="end"/>
            </w:r>
          </w:p>
        </w:tc>
        <w:tc>
          <w:tcPr>
            <w:tcW w:w="1559"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本项目</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排放量（固体废物产生量）</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4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④</w:t>
            </w:r>
            <w:r>
              <w:rPr>
                <w:rFonts w:hint="eastAsia" w:ascii="宋体" w:hAnsi="宋体" w:eastAsia="宋体" w:cs="宋体"/>
                <w:snapToGrid w:val="0"/>
                <w:color w:val="000000"/>
                <w:spacing w:val="-6"/>
                <w:kern w:val="21"/>
                <w:sz w:val="21"/>
                <w:szCs w:val="21"/>
              </w:rPr>
              <w:fldChar w:fldCharType="end"/>
            </w:r>
          </w:p>
        </w:tc>
        <w:tc>
          <w:tcPr>
            <w:tcW w:w="1761"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以新带老削减量</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（新建项目不填）</w:t>
            </w:r>
            <w:r>
              <w:rPr>
                <w:rFonts w:hint="eastAsia" w:ascii="宋体" w:hAnsi="宋体" w:eastAsia="宋体" w:cs="宋体"/>
                <w:snapToGrid w:val="0"/>
                <w:color w:val="000000"/>
                <w:spacing w:val="-16"/>
                <w:kern w:val="21"/>
                <w:sz w:val="21"/>
                <w:szCs w:val="21"/>
              </w:rPr>
              <w:fldChar w:fldCharType="begin"/>
            </w:r>
            <w:r>
              <w:rPr>
                <w:rFonts w:hint="eastAsia" w:ascii="宋体" w:hAnsi="宋体" w:eastAsia="宋体" w:cs="宋体"/>
                <w:snapToGrid w:val="0"/>
                <w:color w:val="000000"/>
                <w:spacing w:val="-16"/>
                <w:kern w:val="21"/>
                <w:sz w:val="21"/>
                <w:szCs w:val="21"/>
              </w:rPr>
              <w:instrText xml:space="preserve"> = 5 \* GB3 \* MERGEFORMAT </w:instrText>
            </w:r>
            <w:r>
              <w:rPr>
                <w:rFonts w:hint="eastAsia" w:ascii="宋体" w:hAnsi="宋体" w:eastAsia="宋体" w:cs="宋体"/>
                <w:snapToGrid w:val="0"/>
                <w:color w:val="000000"/>
                <w:spacing w:val="-16"/>
                <w:kern w:val="21"/>
                <w:sz w:val="21"/>
                <w:szCs w:val="21"/>
              </w:rPr>
              <w:fldChar w:fldCharType="separate"/>
            </w:r>
            <w:r>
              <w:rPr>
                <w:rFonts w:hint="eastAsia" w:ascii="宋体" w:hAnsi="宋体" w:eastAsia="宋体" w:cs="宋体"/>
                <w:kern w:val="2"/>
                <w:sz w:val="21"/>
                <w:szCs w:val="21"/>
              </w:rPr>
              <w:t>⑤</w:t>
            </w:r>
            <w:r>
              <w:rPr>
                <w:rFonts w:hint="eastAsia" w:ascii="宋体" w:hAnsi="宋体" w:eastAsia="宋体" w:cs="宋体"/>
                <w:snapToGrid w:val="0"/>
                <w:color w:val="000000"/>
                <w:spacing w:val="-16"/>
                <w:kern w:val="21"/>
                <w:sz w:val="21"/>
                <w:szCs w:val="21"/>
              </w:rPr>
              <w:fldChar w:fldCharType="end"/>
            </w:r>
          </w:p>
        </w:tc>
        <w:tc>
          <w:tcPr>
            <w:tcW w:w="1732"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本项目建成后</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全厂排放量（固体废物产生量）</w:t>
            </w:r>
            <w:r>
              <w:rPr>
                <w:rFonts w:hint="eastAsia" w:ascii="宋体" w:hAnsi="宋体" w:eastAsia="宋体" w:cs="宋体"/>
                <w:snapToGrid w:val="0"/>
                <w:color w:val="000000"/>
                <w:spacing w:val="-16"/>
                <w:kern w:val="21"/>
                <w:sz w:val="21"/>
                <w:szCs w:val="21"/>
              </w:rPr>
              <w:fldChar w:fldCharType="begin"/>
            </w:r>
            <w:r>
              <w:rPr>
                <w:rFonts w:hint="eastAsia" w:ascii="宋体" w:hAnsi="宋体" w:eastAsia="宋体" w:cs="宋体"/>
                <w:snapToGrid w:val="0"/>
                <w:color w:val="000000"/>
                <w:spacing w:val="-16"/>
                <w:kern w:val="21"/>
                <w:sz w:val="21"/>
                <w:szCs w:val="21"/>
              </w:rPr>
              <w:instrText xml:space="preserve"> = 6 \* GB3 \* MERGEFORMAT </w:instrText>
            </w:r>
            <w:r>
              <w:rPr>
                <w:rFonts w:hint="eastAsia" w:ascii="宋体" w:hAnsi="宋体" w:eastAsia="宋体" w:cs="宋体"/>
                <w:snapToGrid w:val="0"/>
                <w:color w:val="000000"/>
                <w:spacing w:val="-16"/>
                <w:kern w:val="21"/>
                <w:sz w:val="21"/>
                <w:szCs w:val="21"/>
              </w:rPr>
              <w:fldChar w:fldCharType="separate"/>
            </w:r>
            <w:r>
              <w:rPr>
                <w:rFonts w:hint="eastAsia" w:ascii="宋体" w:hAnsi="宋体" w:eastAsia="宋体" w:cs="宋体"/>
                <w:kern w:val="2"/>
                <w:sz w:val="21"/>
                <w:szCs w:val="21"/>
              </w:rPr>
              <w:t>⑥</w:t>
            </w:r>
            <w:r>
              <w:rPr>
                <w:rFonts w:hint="eastAsia" w:ascii="宋体" w:hAnsi="宋体" w:eastAsia="宋体" w:cs="宋体"/>
                <w:snapToGrid w:val="0"/>
                <w:color w:val="000000"/>
                <w:spacing w:val="-16"/>
                <w:kern w:val="21"/>
                <w:sz w:val="21"/>
                <w:szCs w:val="21"/>
              </w:rPr>
              <w:fldChar w:fldCharType="end"/>
            </w:r>
          </w:p>
        </w:tc>
        <w:tc>
          <w:tcPr>
            <w:tcW w:w="1053" w:type="dxa"/>
            <w:noWrap w:val="0"/>
            <w:tcMar>
              <w:left w:w="28" w:type="dxa"/>
              <w:right w:w="28" w:type="dxa"/>
            </w:tcMar>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变化量</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7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⑦</w:t>
            </w:r>
            <w:r>
              <w:rPr>
                <w:rFonts w:hint="eastAsia" w:ascii="宋体" w:hAnsi="宋体" w:eastAsia="宋体" w:cs="宋体"/>
                <w:snapToGrid w:val="0"/>
                <w:color w:val="000000"/>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废气</w:t>
            </w:r>
          </w:p>
        </w:tc>
        <w:tc>
          <w:tcPr>
            <w:tcW w:w="1502"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粉尘</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lang w:val="en-US" w:eastAsia="zh-CN"/>
              </w:rPr>
              <w:t>0.</w:t>
            </w:r>
            <w:r>
              <w:rPr>
                <w:rFonts w:hint="eastAsia" w:ascii="Calibri" w:hAnsi="Calibri" w:eastAsia="宋体" w:cs="宋体"/>
                <w:snapToGrid w:val="0"/>
                <w:color w:val="000000"/>
                <w:kern w:val="21"/>
                <w:sz w:val="21"/>
                <w:szCs w:val="21"/>
                <w:lang w:val="en-US" w:eastAsia="zh-CN"/>
              </w:rPr>
              <w:t>390</w:t>
            </w:r>
            <w:r>
              <w:rPr>
                <w:rFonts w:hint="default" w:ascii="Calibri" w:hAnsi="Calibri" w:eastAsia="宋体" w:cs="宋体"/>
                <w:snapToGrid w:val="0"/>
                <w:color w:val="000000"/>
                <w:kern w:val="21"/>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lang w:val="en-US" w:eastAsia="zh-CN"/>
              </w:rPr>
              <w:t>0.</w:t>
            </w:r>
            <w:r>
              <w:rPr>
                <w:rFonts w:hint="eastAsia" w:ascii="Calibri" w:hAnsi="Calibri" w:eastAsia="宋体" w:cs="宋体"/>
                <w:snapToGrid w:val="0"/>
                <w:color w:val="000000"/>
                <w:kern w:val="21"/>
                <w:sz w:val="21"/>
                <w:szCs w:val="21"/>
                <w:lang w:val="en-US" w:eastAsia="zh-CN"/>
              </w:rPr>
              <w:t>390</w:t>
            </w:r>
            <w:r>
              <w:rPr>
                <w:rFonts w:hint="default" w:ascii="Calibri" w:hAnsi="Calibri" w:eastAsia="宋体" w:cs="宋体"/>
                <w:snapToGrid w:val="0"/>
                <w:color w:val="000000"/>
                <w:kern w:val="21"/>
                <w:sz w:val="21"/>
                <w:szCs w:val="21"/>
              </w:rPr>
              <w:t>t/a</w:t>
            </w:r>
          </w:p>
        </w:tc>
        <w:tc>
          <w:tcPr>
            <w:tcW w:w="1053"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588" w:type="dxa"/>
            <w:vMerge w:val="restart"/>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废水</w:t>
            </w:r>
          </w:p>
        </w:tc>
        <w:tc>
          <w:tcPr>
            <w:tcW w:w="1502"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z w:val="21"/>
                <w:szCs w:val="21"/>
              </w:rPr>
              <w:t>COD</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sz w:val="21"/>
                <w:szCs w:val="21"/>
              </w:rPr>
              <w:t>0.</w:t>
            </w:r>
            <w:r>
              <w:rPr>
                <w:rFonts w:hint="eastAsia" w:ascii="Calibri" w:hAnsi="Calibri" w:eastAsia="宋体" w:cs="宋体"/>
                <w:snapToGrid w:val="0"/>
                <w:sz w:val="21"/>
                <w:szCs w:val="21"/>
                <w:lang w:val="en-US" w:eastAsia="zh-CN"/>
              </w:rPr>
              <w:t>077</w:t>
            </w:r>
            <w:r>
              <w:rPr>
                <w:rFonts w:hint="default" w:ascii="Calibri" w:hAnsi="Calibri" w:eastAsia="宋体" w:cs="宋体"/>
                <w:snapToGrid w:val="0"/>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sz w:val="21"/>
                <w:szCs w:val="21"/>
              </w:rPr>
              <w:t>0.</w:t>
            </w:r>
            <w:r>
              <w:rPr>
                <w:rFonts w:hint="eastAsia" w:ascii="Calibri" w:hAnsi="Calibri" w:eastAsia="宋体" w:cs="宋体"/>
                <w:snapToGrid w:val="0"/>
                <w:sz w:val="21"/>
                <w:szCs w:val="21"/>
                <w:lang w:val="en-US" w:eastAsia="zh-CN"/>
              </w:rPr>
              <w:t>077</w:t>
            </w:r>
            <w:r>
              <w:rPr>
                <w:rFonts w:hint="default" w:ascii="Calibri" w:hAnsi="Calibri" w:eastAsia="宋体" w:cs="宋体"/>
                <w:snapToGrid w:val="0"/>
                <w:sz w:val="21"/>
                <w:szCs w:val="21"/>
              </w:rPr>
              <w:t>t/a</w:t>
            </w:r>
          </w:p>
        </w:tc>
        <w:tc>
          <w:tcPr>
            <w:tcW w:w="1053"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z w:val="21"/>
                <w:szCs w:val="21"/>
              </w:rPr>
              <w:t>BOD</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sz w:val="21"/>
                <w:szCs w:val="21"/>
              </w:rPr>
              <w:t>0.</w:t>
            </w:r>
            <w:r>
              <w:rPr>
                <w:rFonts w:hint="default" w:ascii="Calibri" w:hAnsi="Calibri" w:eastAsia="宋体" w:cs="宋体"/>
                <w:snapToGrid w:val="0"/>
                <w:sz w:val="21"/>
                <w:szCs w:val="21"/>
                <w:lang w:val="en-US" w:eastAsia="zh-CN"/>
              </w:rPr>
              <w:t>0</w:t>
            </w:r>
            <w:r>
              <w:rPr>
                <w:rFonts w:hint="eastAsia" w:ascii="Calibri" w:hAnsi="Calibri" w:eastAsia="宋体" w:cs="宋体"/>
                <w:snapToGrid w:val="0"/>
                <w:sz w:val="21"/>
                <w:szCs w:val="21"/>
                <w:lang w:val="en-US" w:eastAsia="zh-CN"/>
              </w:rPr>
              <w:t>59</w:t>
            </w:r>
            <w:r>
              <w:rPr>
                <w:rFonts w:hint="default" w:ascii="Calibri" w:hAnsi="Calibri" w:eastAsia="宋体" w:cs="宋体"/>
                <w:snapToGrid w:val="0"/>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sz w:val="21"/>
                <w:szCs w:val="21"/>
              </w:rPr>
              <w:t>0.</w:t>
            </w:r>
            <w:r>
              <w:rPr>
                <w:rFonts w:hint="default" w:ascii="Calibri" w:hAnsi="Calibri" w:eastAsia="宋体" w:cs="宋体"/>
                <w:snapToGrid w:val="0"/>
                <w:sz w:val="21"/>
                <w:szCs w:val="21"/>
                <w:lang w:val="en-US" w:eastAsia="zh-CN"/>
              </w:rPr>
              <w:t>0</w:t>
            </w:r>
            <w:r>
              <w:rPr>
                <w:rFonts w:hint="eastAsia" w:ascii="Calibri" w:hAnsi="Calibri" w:eastAsia="宋体" w:cs="宋体"/>
                <w:snapToGrid w:val="0"/>
                <w:sz w:val="21"/>
                <w:szCs w:val="21"/>
                <w:lang w:val="en-US" w:eastAsia="zh-CN"/>
              </w:rPr>
              <w:t>59</w:t>
            </w:r>
            <w:r>
              <w:rPr>
                <w:rFonts w:hint="default" w:ascii="Calibri" w:hAnsi="Calibri" w:eastAsia="宋体" w:cs="宋体"/>
                <w:snapToGrid w:val="0"/>
                <w:sz w:val="21"/>
                <w:szCs w:val="21"/>
              </w:rPr>
              <w:t>t/a</w:t>
            </w:r>
          </w:p>
        </w:tc>
        <w:tc>
          <w:tcPr>
            <w:tcW w:w="1053"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leftChars="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z w:val="21"/>
                <w:szCs w:val="21"/>
              </w:rPr>
              <w:t>SS</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color w:val="000000"/>
                <w:kern w:val="0"/>
                <w:sz w:val="21"/>
                <w:szCs w:val="21"/>
                <w:lang w:bidi="ar"/>
              </w:rPr>
              <w:t>0.</w:t>
            </w:r>
            <w:r>
              <w:rPr>
                <w:rFonts w:hint="default" w:ascii="Calibri" w:hAnsi="Calibri" w:eastAsia="宋体" w:cs="宋体"/>
                <w:color w:val="000000"/>
                <w:kern w:val="0"/>
                <w:sz w:val="21"/>
                <w:szCs w:val="21"/>
                <w:lang w:val="en-US" w:eastAsia="zh-CN" w:bidi="ar"/>
              </w:rPr>
              <w:t>0</w:t>
            </w:r>
            <w:r>
              <w:rPr>
                <w:rFonts w:hint="eastAsia" w:ascii="Calibri" w:hAnsi="Calibri" w:eastAsia="宋体" w:cs="宋体"/>
                <w:color w:val="000000"/>
                <w:kern w:val="0"/>
                <w:sz w:val="21"/>
                <w:szCs w:val="21"/>
                <w:lang w:val="en-US" w:eastAsia="zh-CN" w:bidi="ar"/>
              </w:rPr>
              <w:t>36</w:t>
            </w:r>
            <w:r>
              <w:rPr>
                <w:rFonts w:hint="default" w:ascii="Calibri" w:hAnsi="Calibri" w:eastAsia="宋体" w:cs="宋体"/>
                <w:snapToGrid w:val="0"/>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color w:val="000000"/>
                <w:kern w:val="0"/>
                <w:sz w:val="21"/>
                <w:szCs w:val="21"/>
                <w:lang w:bidi="ar"/>
              </w:rPr>
              <w:t>0.</w:t>
            </w:r>
            <w:r>
              <w:rPr>
                <w:rFonts w:hint="default" w:ascii="Calibri" w:hAnsi="Calibri" w:eastAsia="宋体" w:cs="宋体"/>
                <w:color w:val="000000"/>
                <w:kern w:val="0"/>
                <w:sz w:val="21"/>
                <w:szCs w:val="21"/>
                <w:lang w:val="en-US" w:eastAsia="zh-CN" w:bidi="ar"/>
              </w:rPr>
              <w:t>0</w:t>
            </w:r>
            <w:r>
              <w:rPr>
                <w:rFonts w:hint="eastAsia" w:ascii="Calibri" w:hAnsi="Calibri" w:eastAsia="宋体" w:cs="宋体"/>
                <w:color w:val="000000"/>
                <w:kern w:val="0"/>
                <w:sz w:val="21"/>
                <w:szCs w:val="21"/>
                <w:lang w:val="en-US" w:eastAsia="zh-CN" w:bidi="ar"/>
              </w:rPr>
              <w:t>36</w:t>
            </w:r>
            <w:r>
              <w:rPr>
                <w:rFonts w:hint="default" w:ascii="Calibri" w:hAnsi="Calibri" w:eastAsia="宋体" w:cs="宋体"/>
                <w:snapToGrid w:val="0"/>
                <w:sz w:val="21"/>
                <w:szCs w:val="21"/>
              </w:rPr>
              <w:t>t/a</w:t>
            </w:r>
          </w:p>
        </w:tc>
        <w:tc>
          <w:tcPr>
            <w:tcW w:w="1053"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leftChars="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z w:val="21"/>
                <w:szCs w:val="21"/>
              </w:rPr>
              <w:t>NH</w:t>
            </w:r>
            <w:r>
              <w:rPr>
                <w:rFonts w:hint="default" w:ascii="Calibri" w:hAnsi="Calibri" w:eastAsia="宋体" w:cs="宋体"/>
                <w:sz w:val="21"/>
                <w:szCs w:val="21"/>
                <w:vertAlign w:val="subscript"/>
              </w:rPr>
              <w:t>3</w:t>
            </w:r>
            <w:r>
              <w:rPr>
                <w:rFonts w:hint="default" w:ascii="Calibri" w:hAnsi="Calibri" w:eastAsia="宋体" w:cs="宋体"/>
                <w:sz w:val="21"/>
                <w:szCs w:val="21"/>
              </w:rPr>
              <w:t>-N</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color w:val="000000"/>
                <w:kern w:val="0"/>
                <w:sz w:val="21"/>
                <w:szCs w:val="21"/>
                <w:lang w:bidi="ar"/>
              </w:rPr>
              <w:t>0.0</w:t>
            </w:r>
            <w:r>
              <w:rPr>
                <w:rFonts w:hint="eastAsia" w:ascii="Calibri" w:hAnsi="Calibri" w:eastAsia="宋体" w:cs="宋体"/>
                <w:color w:val="000000"/>
                <w:kern w:val="0"/>
                <w:sz w:val="21"/>
                <w:szCs w:val="21"/>
                <w:lang w:val="en-US" w:eastAsia="zh-CN" w:bidi="ar"/>
              </w:rPr>
              <w:t>08</w:t>
            </w:r>
            <w:r>
              <w:rPr>
                <w:rFonts w:hint="default" w:ascii="Calibri" w:hAnsi="Calibri" w:eastAsia="宋体" w:cs="宋体"/>
                <w:snapToGrid w:val="0"/>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color w:val="000000"/>
                <w:kern w:val="0"/>
                <w:sz w:val="21"/>
                <w:szCs w:val="21"/>
                <w:lang w:bidi="ar"/>
              </w:rPr>
              <w:t>0.0</w:t>
            </w:r>
            <w:r>
              <w:rPr>
                <w:rFonts w:hint="eastAsia" w:ascii="Calibri" w:hAnsi="Calibri" w:eastAsia="宋体" w:cs="宋体"/>
                <w:color w:val="000000"/>
                <w:kern w:val="0"/>
                <w:sz w:val="21"/>
                <w:szCs w:val="21"/>
                <w:lang w:val="en-US" w:eastAsia="zh-CN" w:bidi="ar"/>
              </w:rPr>
              <w:t>08</w:t>
            </w:r>
            <w:r>
              <w:rPr>
                <w:rFonts w:hint="default" w:ascii="Calibri" w:hAnsi="Calibri" w:eastAsia="宋体" w:cs="宋体"/>
                <w:snapToGrid w:val="0"/>
                <w:sz w:val="21"/>
                <w:szCs w:val="21"/>
              </w:rPr>
              <w:t>t/a</w:t>
            </w:r>
          </w:p>
        </w:tc>
        <w:tc>
          <w:tcPr>
            <w:tcW w:w="1053" w:type="dxa"/>
            <w:noWrap w:val="0"/>
            <w:vAlign w:val="center"/>
          </w:tcPr>
          <w:p>
            <w:pPr>
              <w:keepNext w:val="0"/>
              <w:keepLines w:val="0"/>
              <w:pageBreakBefore w:val="0"/>
              <w:widowControl w:val="0"/>
              <w:tabs>
                <w:tab w:val="left" w:pos="2148"/>
              </w:tabs>
              <w:kinsoku/>
              <w:wordWrap/>
              <w:overflowPunct/>
              <w:topLinePunct w:val="0"/>
              <w:autoSpaceDE/>
              <w:autoSpaceDN/>
              <w:bidi w:val="0"/>
              <w:spacing w:line="240" w:lineRule="auto"/>
              <w:ind w:left="0" w:leftChars="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一般工业</w:t>
            </w:r>
          </w:p>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固体废物</w:t>
            </w:r>
          </w:p>
        </w:tc>
        <w:tc>
          <w:tcPr>
            <w:tcW w:w="1502" w:type="dxa"/>
            <w:noWrap w:val="0"/>
            <w:vAlign w:val="center"/>
          </w:tcPr>
          <w:p>
            <w:pPr>
              <w:keepNext w:val="0"/>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z w:val="21"/>
                <w:szCs w:val="21"/>
              </w:rPr>
              <w:t>除尘系统收集粉尘</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67.072t/a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eastAsia" w:ascii="Calibri" w:hAnsi="Calibri" w:eastAsia="宋体" w:cs="宋体"/>
                <w:snapToGrid w:val="0"/>
                <w:color w:val="000000"/>
                <w:kern w:val="21"/>
                <w:sz w:val="21"/>
                <w:szCs w:val="21"/>
                <w:lang w:val="en-US" w:eastAsia="zh-CN"/>
              </w:rPr>
              <w:t>67.072t/a</w:t>
            </w:r>
          </w:p>
        </w:tc>
        <w:tc>
          <w:tcPr>
            <w:tcW w:w="1053"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keepNext w:val="0"/>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z w:val="21"/>
                <w:szCs w:val="21"/>
                <w:lang w:eastAsia="zh-CN"/>
              </w:rPr>
              <w:t>检验</w:t>
            </w:r>
            <w:r>
              <w:rPr>
                <w:rFonts w:hint="default" w:ascii="Calibri" w:hAnsi="Calibri" w:eastAsia="宋体" w:cs="宋体"/>
                <w:sz w:val="21"/>
                <w:szCs w:val="21"/>
              </w:rPr>
              <w:t>废混凝土</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eastAsia" w:ascii="Calibri" w:hAnsi="Calibri" w:eastAsia="宋体" w:cs="宋体"/>
                <w:color w:val="000000"/>
                <w:sz w:val="21"/>
                <w:szCs w:val="21"/>
                <w:lang w:val="en-US" w:eastAsia="zh-CN"/>
              </w:rPr>
              <w:t>0.5</w:t>
            </w:r>
            <w:r>
              <w:rPr>
                <w:rFonts w:hint="default" w:ascii="Calibri" w:hAnsi="Calibri" w:eastAsia="宋体" w:cs="宋体"/>
                <w:color w:val="000000"/>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snapToGrid w:val="0"/>
                <w:color w:val="000000"/>
                <w:kern w:val="21"/>
                <w:sz w:val="21"/>
                <w:szCs w:val="21"/>
              </w:rPr>
            </w:pPr>
            <w:r>
              <w:rPr>
                <w:rFonts w:hint="eastAsia" w:ascii="Calibri" w:hAnsi="Calibri" w:eastAsia="宋体" w:cs="宋体"/>
                <w:color w:val="000000"/>
                <w:sz w:val="21"/>
                <w:szCs w:val="21"/>
                <w:lang w:val="en-US" w:eastAsia="zh-CN"/>
              </w:rPr>
              <w:t>0.5</w:t>
            </w:r>
            <w:r>
              <w:rPr>
                <w:rFonts w:hint="default" w:ascii="Calibri" w:hAnsi="Calibri" w:eastAsia="宋体" w:cs="宋体"/>
                <w:color w:val="000000"/>
                <w:sz w:val="21"/>
                <w:szCs w:val="21"/>
              </w:rPr>
              <w:t>t/a</w:t>
            </w:r>
          </w:p>
        </w:tc>
        <w:tc>
          <w:tcPr>
            <w:tcW w:w="1053"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keepNext w:val="0"/>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default" w:ascii="Calibri" w:hAnsi="Calibri" w:eastAsia="宋体" w:cs="宋体"/>
                <w:sz w:val="21"/>
                <w:szCs w:val="21"/>
                <w:lang w:eastAsia="zh-CN"/>
              </w:rPr>
            </w:pPr>
            <w:r>
              <w:rPr>
                <w:rFonts w:hint="default" w:ascii="Calibri" w:hAnsi="Calibri" w:eastAsia="宋体" w:cs="宋体"/>
                <w:sz w:val="21"/>
                <w:szCs w:val="21"/>
                <w:lang w:eastAsia="zh-CN"/>
              </w:rPr>
              <w:t>废旧滤袋</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color w:val="000000"/>
                <w:sz w:val="21"/>
                <w:szCs w:val="21"/>
                <w:lang w:val="en-US" w:eastAsia="zh-CN"/>
              </w:rPr>
            </w:pPr>
            <w:r>
              <w:rPr>
                <w:rFonts w:hint="default" w:ascii="Calibri" w:hAnsi="Calibri" w:eastAsia="宋体" w:cs="宋体"/>
                <w:color w:val="000000"/>
                <w:sz w:val="21"/>
                <w:szCs w:val="21"/>
                <w:lang w:val="en-US" w:eastAsia="zh-CN"/>
              </w:rPr>
              <w:t>0.0</w:t>
            </w:r>
            <w:r>
              <w:rPr>
                <w:rFonts w:hint="eastAsia" w:ascii="Calibri" w:hAnsi="Calibri" w:eastAsia="宋体" w:cs="宋体"/>
                <w:color w:val="000000"/>
                <w:sz w:val="21"/>
                <w:szCs w:val="21"/>
                <w:lang w:val="en-US" w:eastAsia="zh-CN"/>
              </w:rPr>
              <w:t>5</w:t>
            </w:r>
            <w:r>
              <w:rPr>
                <w:rFonts w:hint="default" w:ascii="Calibri" w:hAnsi="Calibri" w:eastAsia="宋体" w:cs="宋体"/>
                <w:color w:val="000000"/>
                <w:sz w:val="21"/>
                <w:szCs w:val="21"/>
                <w:lang w:val="en-US" w:eastAsia="zh-CN"/>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c>
          <w:tcPr>
            <w:tcW w:w="1732" w:type="dxa"/>
            <w:noWrap w:val="0"/>
            <w:vAlign w:val="center"/>
          </w:tcPr>
          <w:p>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color w:val="000000"/>
                <w:sz w:val="21"/>
                <w:szCs w:val="21"/>
                <w:lang w:val="en-US" w:eastAsia="zh-CN"/>
              </w:rPr>
            </w:pPr>
            <w:r>
              <w:rPr>
                <w:rFonts w:hint="default" w:ascii="Calibri" w:hAnsi="Calibri" w:eastAsia="宋体" w:cs="宋体"/>
                <w:color w:val="000000"/>
                <w:sz w:val="21"/>
                <w:szCs w:val="21"/>
                <w:lang w:val="en-US" w:eastAsia="zh-CN"/>
              </w:rPr>
              <w:t>0.0</w:t>
            </w:r>
            <w:r>
              <w:rPr>
                <w:rFonts w:hint="eastAsia" w:ascii="Calibri" w:hAnsi="Calibri" w:eastAsia="宋体" w:cs="宋体"/>
                <w:color w:val="000000"/>
                <w:sz w:val="21"/>
                <w:szCs w:val="21"/>
                <w:lang w:val="en-US" w:eastAsia="zh-CN"/>
              </w:rPr>
              <w:t>5</w:t>
            </w:r>
            <w:r>
              <w:rPr>
                <w:rFonts w:hint="default" w:ascii="Calibri" w:hAnsi="Calibri" w:eastAsia="宋体" w:cs="宋体"/>
                <w:color w:val="000000"/>
                <w:sz w:val="21"/>
                <w:szCs w:val="21"/>
                <w:lang w:val="en-US" w:eastAsia="zh-CN"/>
              </w:rPr>
              <w:t>t/a</w:t>
            </w:r>
          </w:p>
        </w:tc>
        <w:tc>
          <w:tcPr>
            <w:tcW w:w="1053"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Calibri" w:hAnsi="Calibri" w:eastAsia="宋体" w:cs="宋体"/>
                <w:color w:val="000000"/>
                <w:sz w:val="21"/>
                <w:szCs w:val="21"/>
                <w:lang w:val="en-US" w:eastAsia="zh-CN"/>
              </w:rPr>
            </w:pPr>
            <w:r>
              <w:rPr>
                <w:rFonts w:hint="eastAsia" w:ascii="Calibri" w:hAnsi="Calibri" w:eastAsia="宋体" w:cs="宋体"/>
                <w:color w:val="000000"/>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keepNext w:val="0"/>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default" w:ascii="Calibri" w:hAnsi="Calibri" w:eastAsia="宋体" w:cs="宋体"/>
                <w:sz w:val="21"/>
                <w:szCs w:val="21"/>
                <w:lang w:eastAsia="zh-CN"/>
              </w:rPr>
            </w:pPr>
            <w:r>
              <w:rPr>
                <w:rFonts w:hint="default" w:ascii="Calibri" w:hAnsi="Calibri" w:eastAsia="宋体" w:cs="宋体"/>
                <w:sz w:val="21"/>
                <w:szCs w:val="21"/>
                <w:lang w:eastAsia="zh-CN"/>
              </w:rPr>
              <w:t>沉淀池沉渣</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lang w:val="en-US" w:eastAsia="zh-CN"/>
              </w:rPr>
            </w:pPr>
            <w:r>
              <w:rPr>
                <w:rFonts w:hint="default" w:ascii="Calibri" w:hAnsi="Calibri" w:eastAsia="宋体" w:cs="宋体"/>
                <w:snapToGrid w:val="0"/>
                <w:color w:val="000000"/>
                <w:kern w:val="21"/>
                <w:sz w:val="21"/>
                <w:szCs w:val="21"/>
                <w:lang w:val="en-US" w:eastAsia="zh-CN"/>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lang w:val="en-US" w:eastAsia="zh-CN"/>
              </w:rPr>
            </w:pPr>
            <w:r>
              <w:rPr>
                <w:rFonts w:hint="default" w:ascii="Calibri" w:hAnsi="Calibri" w:eastAsia="宋体" w:cs="宋体"/>
                <w:snapToGrid w:val="0"/>
                <w:color w:val="000000"/>
                <w:kern w:val="21"/>
                <w:sz w:val="21"/>
                <w:szCs w:val="21"/>
                <w:lang w:val="en-US" w:eastAsia="zh-CN"/>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lang w:val="en-US" w:eastAsia="zh-CN"/>
              </w:rPr>
            </w:pPr>
            <w:r>
              <w:rPr>
                <w:rFonts w:hint="default" w:ascii="Calibri" w:hAnsi="Calibri" w:eastAsia="宋体" w:cs="宋体"/>
                <w:snapToGrid w:val="0"/>
                <w:color w:val="000000"/>
                <w:kern w:val="21"/>
                <w:sz w:val="21"/>
                <w:szCs w:val="21"/>
                <w:lang w:val="en-US" w:eastAsia="zh-CN"/>
              </w:rPr>
              <w:t>/</w:t>
            </w:r>
          </w:p>
        </w:tc>
        <w:tc>
          <w:tcPr>
            <w:tcW w:w="1559"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color w:val="000000"/>
                <w:sz w:val="21"/>
                <w:szCs w:val="21"/>
                <w:lang w:val="en-US" w:eastAsia="zh-CN"/>
              </w:rPr>
            </w:pPr>
            <w:r>
              <w:rPr>
                <w:rFonts w:hint="eastAsia" w:ascii="Calibri" w:hAnsi="Calibri" w:eastAsia="宋体" w:cs="宋体"/>
                <w:color w:val="000000"/>
                <w:sz w:val="21"/>
                <w:szCs w:val="21"/>
                <w:lang w:val="en-US" w:eastAsia="zh-CN"/>
              </w:rPr>
              <w:t>5</w:t>
            </w:r>
            <w:r>
              <w:rPr>
                <w:rFonts w:hint="default" w:ascii="Calibri" w:hAnsi="Calibri" w:eastAsia="宋体" w:cs="宋体"/>
                <w:color w:val="000000"/>
                <w:sz w:val="21"/>
                <w:szCs w:val="21"/>
                <w:lang w:val="en-US" w:eastAsia="zh-CN"/>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lang w:val="en-US" w:eastAsia="zh-CN"/>
              </w:rPr>
            </w:pPr>
            <w:r>
              <w:rPr>
                <w:rFonts w:hint="default" w:ascii="Calibri" w:hAnsi="Calibri" w:eastAsia="宋体" w:cs="宋体"/>
                <w:snapToGrid w:val="0"/>
                <w:color w:val="000000"/>
                <w:kern w:val="21"/>
                <w:sz w:val="21"/>
                <w:szCs w:val="21"/>
                <w:lang w:val="en-US" w:eastAsia="zh-CN"/>
              </w:rPr>
              <w:t>/</w:t>
            </w:r>
          </w:p>
        </w:tc>
        <w:tc>
          <w:tcPr>
            <w:tcW w:w="1732" w:type="dxa"/>
            <w:noWrap w:val="0"/>
            <w:vAlign w:val="center"/>
          </w:tcPr>
          <w:p>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color w:val="000000"/>
                <w:sz w:val="21"/>
                <w:szCs w:val="21"/>
              </w:rPr>
            </w:pPr>
            <w:r>
              <w:rPr>
                <w:rFonts w:hint="eastAsia" w:ascii="Calibri" w:hAnsi="Calibri" w:eastAsia="宋体" w:cs="宋体"/>
                <w:color w:val="000000"/>
                <w:sz w:val="21"/>
                <w:szCs w:val="21"/>
                <w:lang w:val="en-US" w:eastAsia="zh-CN"/>
              </w:rPr>
              <w:t>5</w:t>
            </w:r>
            <w:r>
              <w:rPr>
                <w:rFonts w:hint="default" w:ascii="Calibri" w:hAnsi="Calibri" w:eastAsia="宋体" w:cs="宋体"/>
                <w:color w:val="000000"/>
                <w:sz w:val="21"/>
                <w:szCs w:val="21"/>
                <w:lang w:val="en-US" w:eastAsia="zh-CN"/>
              </w:rPr>
              <w:t>t/a</w:t>
            </w:r>
          </w:p>
        </w:tc>
        <w:tc>
          <w:tcPr>
            <w:tcW w:w="1053"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Calibri" w:hAnsi="Calibri" w:eastAsia="宋体" w:cs="宋体"/>
                <w:color w:val="000000"/>
                <w:sz w:val="21"/>
                <w:szCs w:val="21"/>
                <w:lang w:val="en-US" w:eastAsia="zh-CN"/>
              </w:rPr>
            </w:pPr>
            <w:r>
              <w:rPr>
                <w:rFonts w:hint="eastAsia" w:ascii="Calibri" w:hAnsi="Calibri" w:eastAsia="宋体" w:cs="宋体"/>
                <w:color w:val="000000"/>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keepNext w:val="0"/>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default" w:ascii="Calibri" w:hAnsi="Calibri" w:eastAsia="宋体" w:cs="宋体"/>
                <w:sz w:val="21"/>
                <w:szCs w:val="21"/>
              </w:rPr>
              <w:t>生活垃圾</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rPr>
            </w:pPr>
            <w:r>
              <w:rPr>
                <w:rFonts w:hint="eastAsia" w:ascii="Calibri" w:hAnsi="Calibri" w:eastAsia="宋体" w:cs="宋体"/>
                <w:sz w:val="21"/>
                <w:szCs w:val="21"/>
                <w:lang w:val="en-US" w:eastAsia="zh-CN"/>
              </w:rPr>
              <w:t>1.62</w:t>
            </w:r>
            <w:r>
              <w:rPr>
                <w:rFonts w:hint="default" w:ascii="Calibri" w:hAnsi="Calibri" w:eastAsia="宋体" w:cs="宋体"/>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Calibri" w:hAnsi="Calibri" w:eastAsia="宋体" w:cs="宋体"/>
                <w:snapToGrid w:val="0"/>
                <w:color w:val="000000"/>
                <w:kern w:val="21"/>
                <w:sz w:val="21"/>
                <w:szCs w:val="21"/>
              </w:rPr>
            </w:pPr>
            <w:r>
              <w:rPr>
                <w:rFonts w:hint="eastAsia" w:ascii="Calibri" w:hAnsi="Calibri" w:eastAsia="宋体" w:cs="宋体"/>
                <w:sz w:val="21"/>
                <w:szCs w:val="21"/>
                <w:lang w:val="en-US" w:eastAsia="zh-CN"/>
              </w:rPr>
              <w:t>1.62</w:t>
            </w:r>
            <w:r>
              <w:rPr>
                <w:rFonts w:hint="default" w:ascii="Calibri" w:hAnsi="Calibri" w:eastAsia="宋体" w:cs="宋体"/>
                <w:sz w:val="21"/>
                <w:szCs w:val="21"/>
              </w:rPr>
              <w:t>t/a</w:t>
            </w:r>
          </w:p>
        </w:tc>
        <w:tc>
          <w:tcPr>
            <w:tcW w:w="1053"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危险废物</w:t>
            </w:r>
          </w:p>
        </w:tc>
        <w:tc>
          <w:tcPr>
            <w:tcW w:w="1502"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lang w:val="en-US" w:eastAsia="zh-CN"/>
              </w:rPr>
            </w:pPr>
            <w:r>
              <w:rPr>
                <w:rFonts w:hint="default" w:ascii="Calibri" w:hAnsi="Calibri" w:eastAsia="宋体" w:cs="宋体"/>
                <w:snapToGrid w:val="0"/>
                <w:color w:val="000000"/>
                <w:kern w:val="21"/>
                <w:sz w:val="21"/>
                <w:szCs w:val="21"/>
              </w:rPr>
              <w:t>废</w:t>
            </w:r>
            <w:r>
              <w:rPr>
                <w:rFonts w:hint="eastAsia" w:ascii="Calibri" w:hAnsi="Calibri" w:eastAsia="宋体" w:cs="宋体"/>
                <w:snapToGrid w:val="0"/>
                <w:color w:val="000000"/>
                <w:kern w:val="21"/>
                <w:sz w:val="21"/>
                <w:szCs w:val="21"/>
                <w:lang w:val="en-US" w:eastAsia="zh-CN"/>
              </w:rPr>
              <w:t>润滑油、废润滑油桶</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559"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kern w:val="2"/>
                <w:sz w:val="21"/>
                <w:szCs w:val="21"/>
              </w:rPr>
              <w:t>0.</w:t>
            </w:r>
            <w:r>
              <w:rPr>
                <w:rFonts w:hint="eastAsia" w:ascii="Calibri" w:hAnsi="Calibri" w:eastAsia="宋体" w:cs="宋体"/>
                <w:kern w:val="2"/>
                <w:sz w:val="21"/>
                <w:szCs w:val="21"/>
                <w:lang w:val="en-US" w:eastAsia="zh-CN"/>
              </w:rPr>
              <w:t>54</w:t>
            </w:r>
            <w:r>
              <w:rPr>
                <w:rFonts w:hint="default" w:ascii="Calibri" w:hAnsi="Calibri" w:eastAsia="宋体" w:cs="宋体"/>
                <w:kern w:val="2"/>
                <w:sz w:val="21"/>
                <w:szCs w:val="21"/>
              </w:rPr>
              <w:t>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w:t>
            </w:r>
          </w:p>
        </w:tc>
        <w:tc>
          <w:tcPr>
            <w:tcW w:w="1732"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kern w:val="2"/>
                <w:sz w:val="21"/>
                <w:szCs w:val="21"/>
              </w:rPr>
              <w:t>0.</w:t>
            </w:r>
            <w:r>
              <w:rPr>
                <w:rFonts w:hint="eastAsia" w:ascii="Calibri" w:hAnsi="Calibri" w:eastAsia="宋体" w:cs="宋体"/>
                <w:kern w:val="2"/>
                <w:sz w:val="21"/>
                <w:szCs w:val="21"/>
                <w:lang w:val="en-US" w:eastAsia="zh-CN"/>
              </w:rPr>
              <w:t>54</w:t>
            </w:r>
            <w:r>
              <w:rPr>
                <w:rFonts w:hint="default" w:ascii="Calibri" w:hAnsi="Calibri" w:eastAsia="宋体" w:cs="宋体"/>
                <w:kern w:val="2"/>
                <w:sz w:val="21"/>
                <w:szCs w:val="21"/>
              </w:rPr>
              <w:t>t/a</w:t>
            </w:r>
          </w:p>
        </w:tc>
        <w:tc>
          <w:tcPr>
            <w:tcW w:w="1053"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p>
        </w:tc>
        <w:tc>
          <w:tcPr>
            <w:tcW w:w="1502"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snapToGrid w:val="0"/>
                <w:color w:val="000000"/>
                <w:kern w:val="21"/>
                <w:sz w:val="21"/>
                <w:szCs w:val="21"/>
              </w:rPr>
            </w:pPr>
            <w:r>
              <w:rPr>
                <w:rFonts w:hint="default" w:ascii="Calibri" w:hAnsi="Calibri" w:eastAsia="宋体" w:cs="宋体"/>
                <w:snapToGrid w:val="0"/>
                <w:color w:val="000000"/>
                <w:kern w:val="21"/>
                <w:sz w:val="21"/>
                <w:szCs w:val="21"/>
              </w:rPr>
              <w:t>废含油抹布、含油手套</w:t>
            </w:r>
          </w:p>
        </w:tc>
        <w:tc>
          <w:tcPr>
            <w:tcW w:w="161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c>
          <w:tcPr>
            <w:tcW w:w="1276"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c>
          <w:tcPr>
            <w:tcW w:w="170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c>
          <w:tcPr>
            <w:tcW w:w="1559"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default" w:ascii="Calibri" w:hAnsi="Calibri" w:eastAsia="宋体" w:cs="宋体"/>
                <w:kern w:val="2"/>
                <w:sz w:val="21"/>
                <w:szCs w:val="21"/>
                <w:lang w:val="en-US" w:eastAsia="zh-CN"/>
              </w:rPr>
            </w:pPr>
            <w:r>
              <w:rPr>
                <w:rFonts w:hint="eastAsia" w:ascii="Calibri" w:hAnsi="Calibri" w:eastAsia="宋体" w:cs="宋体"/>
                <w:kern w:val="2"/>
                <w:sz w:val="21"/>
                <w:szCs w:val="21"/>
                <w:lang w:val="en-US" w:eastAsia="zh-CN"/>
              </w:rPr>
              <w:t>0.01t/a</w:t>
            </w:r>
          </w:p>
        </w:tc>
        <w:tc>
          <w:tcPr>
            <w:tcW w:w="1761"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firstLine="0" w:firstLineChars="0"/>
              <w:textAlignment w:val="auto"/>
              <w:rPr>
                <w:rFonts w:hint="eastAsia"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c>
          <w:tcPr>
            <w:tcW w:w="1732" w:type="dxa"/>
            <w:noWrap w:val="0"/>
            <w:vAlign w:val="center"/>
          </w:tcPr>
          <w:p>
            <w:pPr>
              <w:pStyle w:val="40"/>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textAlignment w:val="auto"/>
              <w:rPr>
                <w:rFonts w:hint="default" w:ascii="Calibri" w:hAnsi="Calibri" w:eastAsia="宋体" w:cs="宋体"/>
                <w:kern w:val="2"/>
                <w:sz w:val="21"/>
                <w:szCs w:val="21"/>
              </w:rPr>
            </w:pPr>
            <w:r>
              <w:rPr>
                <w:rFonts w:hint="eastAsia" w:ascii="Calibri" w:hAnsi="Calibri" w:eastAsia="宋体" w:cs="宋体"/>
                <w:kern w:val="2"/>
                <w:sz w:val="21"/>
                <w:szCs w:val="21"/>
                <w:lang w:val="en-US" w:eastAsia="zh-CN"/>
              </w:rPr>
              <w:t>0.01t/a</w:t>
            </w:r>
          </w:p>
        </w:tc>
        <w:tc>
          <w:tcPr>
            <w:tcW w:w="1053" w:type="dxa"/>
            <w:noWrap w:val="0"/>
            <w:vAlign w:val="center"/>
          </w:tcPr>
          <w:p>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Calibri" w:hAnsi="Calibri" w:eastAsia="宋体" w:cs="宋体"/>
                <w:snapToGrid w:val="0"/>
                <w:color w:val="000000"/>
                <w:kern w:val="21"/>
                <w:sz w:val="21"/>
                <w:szCs w:val="21"/>
                <w:lang w:val="en-US" w:eastAsia="zh-CN"/>
              </w:rPr>
            </w:pPr>
            <w:r>
              <w:rPr>
                <w:rFonts w:hint="eastAsia" w:ascii="Calibri" w:hAnsi="Calibri" w:eastAsia="宋体" w:cs="宋体"/>
                <w:snapToGrid w:val="0"/>
                <w:color w:val="000000"/>
                <w:kern w:val="21"/>
                <w:sz w:val="21"/>
                <w:szCs w:val="21"/>
                <w:lang w:val="en-US" w:eastAsia="zh-CN"/>
              </w:rPr>
              <w:t>/</w:t>
            </w:r>
          </w:p>
        </w:tc>
      </w:tr>
    </w:tbl>
    <w:p>
      <w:pPr>
        <w:pStyle w:val="40"/>
        <w:spacing w:before="192" w:beforeLines="80" w:after="24"/>
        <w:jc w:val="left"/>
        <w:rPr>
          <w:rFonts w:hint="eastAsia" w:ascii="宋体" w:hAnsi="宋体" w:eastAsia="宋体" w:cs="宋体"/>
          <w:snapToGrid w:val="0"/>
          <w:color w:val="000000"/>
          <w:spacing w:val="-6"/>
          <w:kern w:val="21"/>
          <w:sz w:val="24"/>
          <w:szCs w:val="24"/>
        </w:rPr>
      </w:pPr>
      <w:r>
        <w:rPr>
          <w:rFonts w:hint="eastAsia" w:ascii="宋体" w:hAnsi="宋体" w:eastAsia="宋体" w:cs="宋体"/>
          <w:snapToGrid w:val="0"/>
          <w:color w:val="000000"/>
          <w:kern w:val="21"/>
          <w:sz w:val="24"/>
          <w:szCs w:val="24"/>
        </w:rPr>
        <w:t>注：</w:t>
      </w:r>
      <w:r>
        <w:rPr>
          <w:rFonts w:hint="eastAsia" w:ascii="宋体" w:hAnsi="宋体" w:eastAsia="宋体" w:cs="宋体"/>
          <w:snapToGrid w:val="0"/>
          <w:color w:val="000000"/>
          <w:spacing w:val="-16"/>
          <w:kern w:val="21"/>
          <w:sz w:val="24"/>
          <w:szCs w:val="24"/>
        </w:rPr>
        <w:fldChar w:fldCharType="begin"/>
      </w:r>
      <w:r>
        <w:rPr>
          <w:rFonts w:hint="eastAsia" w:ascii="宋体" w:hAnsi="宋体" w:eastAsia="宋体" w:cs="宋体"/>
          <w:snapToGrid w:val="0"/>
          <w:color w:val="000000"/>
          <w:spacing w:val="-16"/>
          <w:kern w:val="21"/>
          <w:sz w:val="24"/>
          <w:szCs w:val="24"/>
        </w:rPr>
        <w:instrText xml:space="preserve"> = 6 \* GB3 \* MERGEFORMAT </w:instrText>
      </w:r>
      <w:r>
        <w:rPr>
          <w:rFonts w:hint="eastAsia" w:ascii="宋体" w:hAnsi="宋体" w:eastAsia="宋体" w:cs="宋体"/>
          <w:snapToGrid w:val="0"/>
          <w:color w:val="000000"/>
          <w:spacing w:val="-16"/>
          <w:kern w:val="21"/>
          <w:sz w:val="24"/>
          <w:szCs w:val="24"/>
        </w:rPr>
        <w:fldChar w:fldCharType="separate"/>
      </w:r>
      <w:r>
        <w:rPr>
          <w:rFonts w:hint="eastAsia" w:ascii="宋体" w:hAnsi="宋体" w:eastAsia="宋体" w:cs="宋体"/>
          <w:sz w:val="24"/>
          <w:szCs w:val="24"/>
        </w:rPr>
        <w:t>⑥</w:t>
      </w:r>
      <w:r>
        <w:rPr>
          <w:rFonts w:hint="eastAsia" w:ascii="宋体" w:hAnsi="宋体" w:eastAsia="宋体" w:cs="宋体"/>
          <w:snapToGrid w:val="0"/>
          <w:color w:val="000000"/>
          <w:spacing w:val="-16"/>
          <w:kern w:val="21"/>
          <w:sz w:val="24"/>
          <w:szCs w:val="24"/>
        </w:rPr>
        <w:fldChar w:fldCharType="end"/>
      </w:r>
      <w:r>
        <w:rPr>
          <w:rFonts w:hint="eastAsia" w:ascii="宋体" w:hAnsi="宋体" w:eastAsia="宋体" w:cs="宋体"/>
          <w:snapToGrid w:val="0"/>
          <w:color w:val="000000"/>
          <w:spacing w:val="-16"/>
          <w:kern w:val="21"/>
          <w:sz w:val="24"/>
          <w:szCs w:val="24"/>
        </w:rPr>
        <w:t>=</w:t>
      </w:r>
      <w:r>
        <w:rPr>
          <w:rFonts w:hint="eastAsia" w:ascii="宋体" w:hAnsi="宋体" w:eastAsia="宋体" w:cs="宋体"/>
          <w:snapToGrid w:val="0"/>
          <w:color w:val="000000"/>
          <w:spacing w:val="-6"/>
          <w:kern w:val="21"/>
          <w:sz w:val="24"/>
          <w:szCs w:val="24"/>
        </w:rPr>
        <w:fldChar w:fldCharType="begin"/>
      </w:r>
      <w:r>
        <w:rPr>
          <w:rFonts w:hint="eastAsia" w:ascii="宋体" w:hAnsi="宋体" w:eastAsia="宋体" w:cs="宋体"/>
          <w:snapToGrid w:val="0"/>
          <w:color w:val="000000"/>
          <w:spacing w:val="-6"/>
          <w:kern w:val="21"/>
          <w:sz w:val="24"/>
          <w:szCs w:val="24"/>
        </w:rPr>
        <w:instrText xml:space="preserve"> = 1 \* GB3 \* MERGEFORMAT </w:instrText>
      </w:r>
      <w:r>
        <w:rPr>
          <w:rFonts w:hint="eastAsia" w:ascii="宋体" w:hAnsi="宋体" w:eastAsia="宋体" w:cs="宋体"/>
          <w:snapToGrid w:val="0"/>
          <w:color w:val="000000"/>
          <w:spacing w:val="-6"/>
          <w:kern w:val="21"/>
          <w:sz w:val="24"/>
          <w:szCs w:val="24"/>
        </w:rPr>
        <w:fldChar w:fldCharType="separate"/>
      </w:r>
      <w:r>
        <w:rPr>
          <w:rFonts w:hint="eastAsia" w:ascii="宋体" w:hAnsi="宋体" w:eastAsia="宋体" w:cs="宋体"/>
          <w:sz w:val="24"/>
          <w:szCs w:val="24"/>
        </w:rPr>
        <w:t>①</w:t>
      </w:r>
      <w:r>
        <w:rPr>
          <w:rFonts w:hint="eastAsia" w:ascii="宋体" w:hAnsi="宋体" w:eastAsia="宋体" w:cs="宋体"/>
          <w:snapToGrid w:val="0"/>
          <w:color w:val="000000"/>
          <w:spacing w:val="-6"/>
          <w:kern w:val="21"/>
          <w:sz w:val="24"/>
          <w:szCs w:val="24"/>
        </w:rPr>
        <w:fldChar w:fldCharType="end"/>
      </w:r>
      <w:r>
        <w:rPr>
          <w:rFonts w:hint="eastAsia" w:ascii="宋体" w:hAnsi="宋体" w:eastAsia="宋体" w:cs="宋体"/>
          <w:snapToGrid w:val="0"/>
          <w:color w:val="000000"/>
          <w:spacing w:val="-6"/>
          <w:kern w:val="21"/>
          <w:sz w:val="24"/>
          <w:szCs w:val="24"/>
        </w:rPr>
        <w:t>+</w:t>
      </w:r>
      <w:r>
        <w:rPr>
          <w:rFonts w:hint="eastAsia" w:ascii="宋体" w:hAnsi="宋体" w:eastAsia="宋体" w:cs="宋体"/>
          <w:snapToGrid w:val="0"/>
          <w:color w:val="000000"/>
          <w:spacing w:val="-6"/>
          <w:kern w:val="21"/>
          <w:sz w:val="24"/>
          <w:szCs w:val="24"/>
        </w:rPr>
        <w:fldChar w:fldCharType="begin"/>
      </w:r>
      <w:r>
        <w:rPr>
          <w:rFonts w:hint="eastAsia" w:ascii="宋体" w:hAnsi="宋体" w:eastAsia="宋体" w:cs="宋体"/>
          <w:snapToGrid w:val="0"/>
          <w:color w:val="000000"/>
          <w:spacing w:val="-6"/>
          <w:kern w:val="21"/>
          <w:sz w:val="24"/>
          <w:szCs w:val="24"/>
        </w:rPr>
        <w:instrText xml:space="preserve"> = 3 \* GB3 \* MERGEFORMAT </w:instrText>
      </w:r>
      <w:r>
        <w:rPr>
          <w:rFonts w:hint="eastAsia" w:ascii="宋体" w:hAnsi="宋体" w:eastAsia="宋体" w:cs="宋体"/>
          <w:snapToGrid w:val="0"/>
          <w:color w:val="000000"/>
          <w:spacing w:val="-6"/>
          <w:kern w:val="21"/>
          <w:sz w:val="24"/>
          <w:szCs w:val="24"/>
        </w:rPr>
        <w:fldChar w:fldCharType="separate"/>
      </w:r>
      <w:r>
        <w:rPr>
          <w:rFonts w:hint="eastAsia" w:ascii="宋体" w:hAnsi="宋体" w:eastAsia="宋体" w:cs="宋体"/>
          <w:sz w:val="24"/>
          <w:szCs w:val="24"/>
        </w:rPr>
        <w:t>③</w:t>
      </w:r>
      <w:r>
        <w:rPr>
          <w:rFonts w:hint="eastAsia" w:ascii="宋体" w:hAnsi="宋体" w:eastAsia="宋体" w:cs="宋体"/>
          <w:snapToGrid w:val="0"/>
          <w:color w:val="000000"/>
          <w:spacing w:val="-6"/>
          <w:kern w:val="21"/>
          <w:sz w:val="24"/>
          <w:szCs w:val="24"/>
        </w:rPr>
        <w:fldChar w:fldCharType="end"/>
      </w:r>
      <w:r>
        <w:rPr>
          <w:rFonts w:hint="eastAsia" w:ascii="宋体" w:hAnsi="宋体" w:eastAsia="宋体" w:cs="宋体"/>
          <w:snapToGrid w:val="0"/>
          <w:color w:val="000000"/>
          <w:spacing w:val="-6"/>
          <w:kern w:val="21"/>
          <w:sz w:val="24"/>
          <w:szCs w:val="24"/>
        </w:rPr>
        <w:t>+</w:t>
      </w:r>
      <w:r>
        <w:rPr>
          <w:rFonts w:hint="eastAsia" w:ascii="宋体" w:hAnsi="宋体" w:eastAsia="宋体" w:cs="宋体"/>
          <w:snapToGrid w:val="0"/>
          <w:color w:val="000000"/>
          <w:spacing w:val="-6"/>
          <w:kern w:val="21"/>
          <w:sz w:val="24"/>
          <w:szCs w:val="24"/>
        </w:rPr>
        <w:fldChar w:fldCharType="begin"/>
      </w:r>
      <w:r>
        <w:rPr>
          <w:rFonts w:hint="eastAsia" w:ascii="宋体" w:hAnsi="宋体" w:eastAsia="宋体" w:cs="宋体"/>
          <w:snapToGrid w:val="0"/>
          <w:color w:val="000000"/>
          <w:spacing w:val="-6"/>
          <w:kern w:val="21"/>
          <w:sz w:val="24"/>
          <w:szCs w:val="24"/>
        </w:rPr>
        <w:instrText xml:space="preserve"> = 4 \* GB3 \* MERGEFORMAT </w:instrText>
      </w:r>
      <w:r>
        <w:rPr>
          <w:rFonts w:hint="eastAsia" w:ascii="宋体" w:hAnsi="宋体" w:eastAsia="宋体" w:cs="宋体"/>
          <w:snapToGrid w:val="0"/>
          <w:color w:val="000000"/>
          <w:spacing w:val="-6"/>
          <w:kern w:val="21"/>
          <w:sz w:val="24"/>
          <w:szCs w:val="24"/>
        </w:rPr>
        <w:fldChar w:fldCharType="separate"/>
      </w:r>
      <w:r>
        <w:rPr>
          <w:rFonts w:hint="eastAsia" w:ascii="宋体" w:hAnsi="宋体" w:eastAsia="宋体" w:cs="宋体"/>
          <w:sz w:val="24"/>
          <w:szCs w:val="24"/>
        </w:rPr>
        <w:t>④</w:t>
      </w:r>
      <w:r>
        <w:rPr>
          <w:rFonts w:hint="eastAsia" w:ascii="宋体" w:hAnsi="宋体" w:eastAsia="宋体" w:cs="宋体"/>
          <w:snapToGrid w:val="0"/>
          <w:color w:val="000000"/>
          <w:spacing w:val="-6"/>
          <w:kern w:val="21"/>
          <w:sz w:val="24"/>
          <w:szCs w:val="24"/>
        </w:rPr>
        <w:fldChar w:fldCharType="end"/>
      </w:r>
      <w:r>
        <w:rPr>
          <w:rFonts w:hint="eastAsia" w:ascii="宋体" w:hAnsi="宋体" w:eastAsia="宋体" w:cs="宋体"/>
          <w:snapToGrid w:val="0"/>
          <w:color w:val="000000"/>
          <w:spacing w:val="-6"/>
          <w:kern w:val="21"/>
          <w:sz w:val="24"/>
          <w:szCs w:val="24"/>
        </w:rPr>
        <w:t>-</w:t>
      </w:r>
      <w:r>
        <w:rPr>
          <w:rFonts w:hint="eastAsia" w:ascii="宋体" w:hAnsi="宋体" w:eastAsia="宋体" w:cs="宋体"/>
          <w:snapToGrid w:val="0"/>
          <w:color w:val="000000"/>
          <w:spacing w:val="-16"/>
          <w:kern w:val="21"/>
          <w:sz w:val="24"/>
          <w:szCs w:val="24"/>
        </w:rPr>
        <w:fldChar w:fldCharType="begin"/>
      </w:r>
      <w:r>
        <w:rPr>
          <w:rFonts w:hint="eastAsia" w:ascii="宋体" w:hAnsi="宋体" w:eastAsia="宋体" w:cs="宋体"/>
          <w:snapToGrid w:val="0"/>
          <w:color w:val="000000"/>
          <w:spacing w:val="-16"/>
          <w:kern w:val="21"/>
          <w:sz w:val="24"/>
          <w:szCs w:val="24"/>
        </w:rPr>
        <w:instrText xml:space="preserve"> = 5 \* GB3 \* MERGEFORMAT </w:instrText>
      </w:r>
      <w:r>
        <w:rPr>
          <w:rFonts w:hint="eastAsia" w:ascii="宋体" w:hAnsi="宋体" w:eastAsia="宋体" w:cs="宋体"/>
          <w:snapToGrid w:val="0"/>
          <w:color w:val="000000"/>
          <w:spacing w:val="-16"/>
          <w:kern w:val="21"/>
          <w:sz w:val="24"/>
          <w:szCs w:val="24"/>
        </w:rPr>
        <w:fldChar w:fldCharType="separate"/>
      </w:r>
      <w:r>
        <w:rPr>
          <w:rFonts w:hint="eastAsia" w:ascii="宋体" w:hAnsi="宋体" w:eastAsia="宋体" w:cs="宋体"/>
          <w:sz w:val="24"/>
          <w:szCs w:val="24"/>
        </w:rPr>
        <w:t>⑤</w:t>
      </w:r>
      <w:r>
        <w:rPr>
          <w:rFonts w:hint="eastAsia" w:ascii="宋体" w:hAnsi="宋体" w:eastAsia="宋体" w:cs="宋体"/>
          <w:snapToGrid w:val="0"/>
          <w:color w:val="000000"/>
          <w:spacing w:val="-16"/>
          <w:kern w:val="21"/>
          <w:sz w:val="24"/>
          <w:szCs w:val="24"/>
        </w:rPr>
        <w:fldChar w:fldCharType="end"/>
      </w:r>
      <w:r>
        <w:rPr>
          <w:rFonts w:hint="eastAsia" w:ascii="宋体" w:hAnsi="宋体" w:eastAsia="宋体" w:cs="宋体"/>
          <w:snapToGrid w:val="0"/>
          <w:color w:val="000000"/>
          <w:spacing w:val="-16"/>
          <w:kern w:val="21"/>
          <w:sz w:val="24"/>
          <w:szCs w:val="24"/>
        </w:rPr>
        <w:t>；</w:t>
      </w:r>
      <w:r>
        <w:rPr>
          <w:rFonts w:hint="eastAsia" w:ascii="宋体" w:hAnsi="宋体" w:eastAsia="宋体" w:cs="宋体"/>
          <w:snapToGrid w:val="0"/>
          <w:color w:val="000000"/>
          <w:spacing w:val="-6"/>
          <w:kern w:val="21"/>
          <w:sz w:val="24"/>
          <w:szCs w:val="24"/>
        </w:rPr>
        <w:fldChar w:fldCharType="begin"/>
      </w:r>
      <w:r>
        <w:rPr>
          <w:rFonts w:hint="eastAsia" w:ascii="宋体" w:hAnsi="宋体" w:eastAsia="宋体" w:cs="宋体"/>
          <w:snapToGrid w:val="0"/>
          <w:color w:val="000000"/>
          <w:spacing w:val="-6"/>
          <w:kern w:val="21"/>
          <w:sz w:val="24"/>
          <w:szCs w:val="24"/>
        </w:rPr>
        <w:instrText xml:space="preserve"> = 7 \* GB3 \* MERGEFORMAT </w:instrText>
      </w:r>
      <w:r>
        <w:rPr>
          <w:rFonts w:hint="eastAsia" w:ascii="宋体" w:hAnsi="宋体" w:eastAsia="宋体" w:cs="宋体"/>
          <w:snapToGrid w:val="0"/>
          <w:color w:val="000000"/>
          <w:spacing w:val="-6"/>
          <w:kern w:val="21"/>
          <w:sz w:val="24"/>
          <w:szCs w:val="24"/>
        </w:rPr>
        <w:fldChar w:fldCharType="separate"/>
      </w:r>
      <w:r>
        <w:rPr>
          <w:rFonts w:hint="eastAsia" w:ascii="宋体" w:hAnsi="宋体" w:eastAsia="宋体" w:cs="宋体"/>
          <w:sz w:val="24"/>
          <w:szCs w:val="24"/>
        </w:rPr>
        <w:t>⑦</w:t>
      </w:r>
      <w:r>
        <w:rPr>
          <w:rFonts w:hint="eastAsia" w:ascii="宋体" w:hAnsi="宋体" w:eastAsia="宋体" w:cs="宋体"/>
          <w:snapToGrid w:val="0"/>
          <w:color w:val="000000"/>
          <w:spacing w:val="-6"/>
          <w:kern w:val="21"/>
          <w:sz w:val="24"/>
          <w:szCs w:val="24"/>
        </w:rPr>
        <w:fldChar w:fldCharType="end"/>
      </w:r>
      <w:r>
        <w:rPr>
          <w:rFonts w:hint="eastAsia" w:ascii="宋体" w:hAnsi="宋体" w:eastAsia="宋体" w:cs="宋体"/>
          <w:snapToGrid w:val="0"/>
          <w:color w:val="000000"/>
          <w:spacing w:val="-6"/>
          <w:kern w:val="21"/>
          <w:sz w:val="24"/>
          <w:szCs w:val="24"/>
        </w:rPr>
        <w:t>=</w:t>
      </w:r>
      <w:r>
        <w:rPr>
          <w:rFonts w:hint="eastAsia" w:ascii="宋体" w:hAnsi="宋体" w:eastAsia="宋体" w:cs="宋体"/>
          <w:snapToGrid w:val="0"/>
          <w:color w:val="000000"/>
          <w:spacing w:val="-16"/>
          <w:kern w:val="21"/>
          <w:sz w:val="24"/>
          <w:szCs w:val="24"/>
        </w:rPr>
        <w:fldChar w:fldCharType="begin"/>
      </w:r>
      <w:r>
        <w:rPr>
          <w:rFonts w:hint="eastAsia" w:ascii="宋体" w:hAnsi="宋体" w:eastAsia="宋体" w:cs="宋体"/>
          <w:snapToGrid w:val="0"/>
          <w:color w:val="000000"/>
          <w:spacing w:val="-16"/>
          <w:kern w:val="21"/>
          <w:sz w:val="24"/>
          <w:szCs w:val="24"/>
        </w:rPr>
        <w:instrText xml:space="preserve"> = 6 \* GB3 \* MERGEFORMAT </w:instrText>
      </w:r>
      <w:r>
        <w:rPr>
          <w:rFonts w:hint="eastAsia" w:ascii="宋体" w:hAnsi="宋体" w:eastAsia="宋体" w:cs="宋体"/>
          <w:snapToGrid w:val="0"/>
          <w:color w:val="000000"/>
          <w:spacing w:val="-16"/>
          <w:kern w:val="21"/>
          <w:sz w:val="24"/>
          <w:szCs w:val="24"/>
        </w:rPr>
        <w:fldChar w:fldCharType="separate"/>
      </w:r>
      <w:r>
        <w:rPr>
          <w:rFonts w:hint="eastAsia" w:ascii="宋体" w:hAnsi="宋体" w:eastAsia="宋体" w:cs="宋体"/>
          <w:sz w:val="24"/>
          <w:szCs w:val="24"/>
        </w:rPr>
        <w:t>⑥</w:t>
      </w:r>
      <w:r>
        <w:rPr>
          <w:rFonts w:hint="eastAsia" w:ascii="宋体" w:hAnsi="宋体" w:eastAsia="宋体" w:cs="宋体"/>
          <w:snapToGrid w:val="0"/>
          <w:color w:val="000000"/>
          <w:spacing w:val="-16"/>
          <w:kern w:val="21"/>
          <w:sz w:val="24"/>
          <w:szCs w:val="24"/>
        </w:rPr>
        <w:fldChar w:fldCharType="end"/>
      </w:r>
      <w:r>
        <w:rPr>
          <w:rFonts w:hint="eastAsia" w:ascii="宋体" w:hAnsi="宋体" w:eastAsia="宋体" w:cs="宋体"/>
          <w:snapToGrid w:val="0"/>
          <w:color w:val="000000"/>
          <w:spacing w:val="-16"/>
          <w:kern w:val="21"/>
          <w:sz w:val="24"/>
          <w:szCs w:val="24"/>
        </w:rPr>
        <w:t>-</w:t>
      </w:r>
      <w:r>
        <w:rPr>
          <w:rFonts w:hint="eastAsia" w:ascii="宋体" w:hAnsi="宋体" w:eastAsia="宋体" w:cs="宋体"/>
          <w:snapToGrid w:val="0"/>
          <w:color w:val="000000"/>
          <w:spacing w:val="-6"/>
          <w:kern w:val="21"/>
          <w:sz w:val="24"/>
          <w:szCs w:val="24"/>
        </w:rPr>
        <w:fldChar w:fldCharType="begin"/>
      </w:r>
      <w:r>
        <w:rPr>
          <w:rFonts w:hint="eastAsia" w:ascii="宋体" w:hAnsi="宋体" w:eastAsia="宋体" w:cs="宋体"/>
          <w:snapToGrid w:val="0"/>
          <w:color w:val="000000"/>
          <w:spacing w:val="-6"/>
          <w:kern w:val="21"/>
          <w:sz w:val="24"/>
          <w:szCs w:val="24"/>
        </w:rPr>
        <w:instrText xml:space="preserve"> = 1 \* GB3 \* MERGEFORMAT </w:instrText>
      </w:r>
      <w:r>
        <w:rPr>
          <w:rFonts w:hint="eastAsia" w:ascii="宋体" w:hAnsi="宋体" w:eastAsia="宋体" w:cs="宋体"/>
          <w:snapToGrid w:val="0"/>
          <w:color w:val="000000"/>
          <w:spacing w:val="-6"/>
          <w:kern w:val="21"/>
          <w:sz w:val="24"/>
          <w:szCs w:val="24"/>
        </w:rPr>
        <w:fldChar w:fldCharType="separate"/>
      </w:r>
      <w:r>
        <w:rPr>
          <w:rFonts w:hint="eastAsia" w:ascii="宋体" w:hAnsi="宋体" w:eastAsia="宋体" w:cs="宋体"/>
          <w:sz w:val="24"/>
          <w:szCs w:val="24"/>
        </w:rPr>
        <w:t>①</w:t>
      </w:r>
      <w:r>
        <w:rPr>
          <w:rFonts w:hint="eastAsia" w:ascii="宋体" w:hAnsi="宋体" w:eastAsia="宋体" w:cs="宋体"/>
          <w:snapToGrid w:val="0"/>
          <w:color w:val="000000"/>
          <w:spacing w:val="-6"/>
          <w:kern w:val="21"/>
          <w:sz w:val="24"/>
          <w:szCs w:val="24"/>
        </w:rPr>
        <w:fldChar w:fldCharType="end"/>
      </w:r>
    </w:p>
    <w:sectPr>
      <w:footerReference r:id="rId5" w:type="default"/>
      <w:pgSz w:w="16838" w:h="11906" w:orient="landscape"/>
      <w:pgMar w:top="1797" w:right="1440" w:bottom="1797" w:left="1440"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GiOdOXmAQAA0QMA&#10;AA4AAAAAAAAAAQAgAAAAHgEAAGRycy9lMm9Eb2MueG1sUEsFBgAAAAAGAAYAWQEAAHYFAAAAAA==&#10;">
              <v:fill on="f" focussize="0,0"/>
              <v:stroke on="f"/>
              <v:imagedata o:title=""/>
              <o:lock v:ext="edit" aspectratio="f"/>
              <v:textbox inset="0mm,0mm,0mm,0mm" style="mso-fit-shape-to-text:t;">
                <w:txbxContent>
                  <w:p>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wps:txbx>
                    <wps:bodyPr wrap="none" lIns="0" tIns="0" rIns="0" bIns="0" upright="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Qxiq8wBAACeAwAADgAAAGRycy9lMm9Eb2MueG1srVPNjtMwEL4j8Q6W&#10;79TZCqFu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EtbkJ1TYnjFkd+/vH9/PP3+dc3&#10;sqxeX2eN+gA1pt4HTE7DWz9g/uwHdGbqg4o2f5EUwTgqfLooLIdERH60Wq5WFYYExuYL4rOH5yFC&#10;eie9JdloaMQRFmX58QOkMXVOydWcv9PGlDEa948DMbOH5d7HHrOVht0wEdr59oR8epx+Qx0uOyXm&#10;vUNx86LMRpyN3WwcQtT7rmxSrgfh9pCwidJbrjDCToVxbIXdtGJ5L/6+l6yH3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5DGKrzAEAAJ4DAAAOAAAAAAAAAAEAIAAAAB4BAABkcnMvZTJv&#10;RG9jLnhtbFBLBQYAAAAABgAGAFkBAABcBQAAAAA=&#10;">
              <v:fill on="f" focussize="0,0"/>
              <v:stroke on="f"/>
              <v:imagedata o:title=""/>
              <o:lock v:ext="edit" aspectratio="f"/>
              <v:textbox inset="0mm,0mm,0mm,0mm" style="mso-fit-shape-to-text:t;">
                <w:txbxContent>
                  <w:p>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wps:txbx>
                    <wps:bodyPr wrap="none" lIns="0" tIns="0" rIns="0" bIns="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g4fScwBAACe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BjdhuaTEcoMjP3//dv7x6/zz&#10;KymLt2XSqPdQYeqTx+Q43LkB82c/oDNRH9pg0hdJEYyjwqeLwnKIRKRHq3K1KjAkMDZfEJ89P/cB&#10;4nvpDElGTQOOMCvLj48Qx9Q5JVWz7l5pnceo7V8OxEwelnofe0xWHHbDRGjnmhPy6XH6NbW47JTo&#10;B4vipkWZjTAbu9k4+KD2Xd6kVA/87SFiE7m3VGGEnQrj2DK7acXSXvx5z1nPv9Xm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Dh9JzAEAAJ4DAAAOAAAAAAAAAAEAIAAAAB4BAABkcnMvZTJv&#10;RG9jLnhtbFBLBQYAAAAABgAGAFkBAABcBQAAAAA=&#10;">
              <v:fill on="f" focussize="0,0"/>
              <v:stroke on="f"/>
              <v:imagedata o:title=""/>
              <o:lock v:ext="edit" aspectratio="f"/>
              <v:textbox inset="0mm,0mm,0mm,0mm" style="mso-fit-shape-to-text:t;">
                <w:txbxContent>
                  <w:p>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xMDZiYWExMzI4MTZkM2NkMjRhM2Y4M2Q5NjVlM2E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C7E26"/>
    <w:rsid w:val="000D5A44"/>
    <w:rsid w:val="000E3ED2"/>
    <w:rsid w:val="00131F42"/>
    <w:rsid w:val="001357F1"/>
    <w:rsid w:val="00140FA8"/>
    <w:rsid w:val="00142FEB"/>
    <w:rsid w:val="00143A2D"/>
    <w:rsid w:val="00145A41"/>
    <w:rsid w:val="00151675"/>
    <w:rsid w:val="00157435"/>
    <w:rsid w:val="00172E78"/>
    <w:rsid w:val="0017504D"/>
    <w:rsid w:val="0017671A"/>
    <w:rsid w:val="00177422"/>
    <w:rsid w:val="00184590"/>
    <w:rsid w:val="001870D1"/>
    <w:rsid w:val="0018781E"/>
    <w:rsid w:val="0019262D"/>
    <w:rsid w:val="00194196"/>
    <w:rsid w:val="001A0C13"/>
    <w:rsid w:val="001A1B35"/>
    <w:rsid w:val="001A48A2"/>
    <w:rsid w:val="001A6F61"/>
    <w:rsid w:val="001B72B8"/>
    <w:rsid w:val="001C69B3"/>
    <w:rsid w:val="001D5595"/>
    <w:rsid w:val="001D7874"/>
    <w:rsid w:val="001D7F22"/>
    <w:rsid w:val="001F0553"/>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C5D71"/>
    <w:rsid w:val="002D3DD0"/>
    <w:rsid w:val="002D72BB"/>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B61EC"/>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76E1B"/>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0DD3"/>
    <w:rsid w:val="00524303"/>
    <w:rsid w:val="005258A2"/>
    <w:rsid w:val="005401AE"/>
    <w:rsid w:val="00542E07"/>
    <w:rsid w:val="00545424"/>
    <w:rsid w:val="00554A7B"/>
    <w:rsid w:val="0055572C"/>
    <w:rsid w:val="0056106A"/>
    <w:rsid w:val="00567F3C"/>
    <w:rsid w:val="005720AE"/>
    <w:rsid w:val="00594D77"/>
    <w:rsid w:val="005969E4"/>
    <w:rsid w:val="005A06B7"/>
    <w:rsid w:val="005A1759"/>
    <w:rsid w:val="005A259B"/>
    <w:rsid w:val="005A68A7"/>
    <w:rsid w:val="005D36AB"/>
    <w:rsid w:val="005F4066"/>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6E6584"/>
    <w:rsid w:val="00706C5D"/>
    <w:rsid w:val="007170C9"/>
    <w:rsid w:val="00732922"/>
    <w:rsid w:val="0075162E"/>
    <w:rsid w:val="00754034"/>
    <w:rsid w:val="00756556"/>
    <w:rsid w:val="007618C4"/>
    <w:rsid w:val="00767980"/>
    <w:rsid w:val="00770B19"/>
    <w:rsid w:val="0077463F"/>
    <w:rsid w:val="007836EA"/>
    <w:rsid w:val="00784CDA"/>
    <w:rsid w:val="007906C4"/>
    <w:rsid w:val="007940EA"/>
    <w:rsid w:val="00795EF2"/>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455F5"/>
    <w:rsid w:val="008706B3"/>
    <w:rsid w:val="0087135F"/>
    <w:rsid w:val="00872D94"/>
    <w:rsid w:val="00880364"/>
    <w:rsid w:val="008819CF"/>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3E0C"/>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1A07"/>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1277"/>
    <w:rsid w:val="00BC32DC"/>
    <w:rsid w:val="00BC35B6"/>
    <w:rsid w:val="00BD1B51"/>
    <w:rsid w:val="00BD4596"/>
    <w:rsid w:val="00BE04FD"/>
    <w:rsid w:val="00BE1405"/>
    <w:rsid w:val="00BE312D"/>
    <w:rsid w:val="00BE33A9"/>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1064"/>
    <w:rsid w:val="00CC489B"/>
    <w:rsid w:val="00CD2BCD"/>
    <w:rsid w:val="00CD3A4C"/>
    <w:rsid w:val="00CE10E9"/>
    <w:rsid w:val="00CE2910"/>
    <w:rsid w:val="00CE5393"/>
    <w:rsid w:val="00CF36BE"/>
    <w:rsid w:val="00CF6000"/>
    <w:rsid w:val="00D003F3"/>
    <w:rsid w:val="00D0364F"/>
    <w:rsid w:val="00D06834"/>
    <w:rsid w:val="00D22EAF"/>
    <w:rsid w:val="00D22EC2"/>
    <w:rsid w:val="00D308ED"/>
    <w:rsid w:val="00D36D86"/>
    <w:rsid w:val="00D428AA"/>
    <w:rsid w:val="00D50A34"/>
    <w:rsid w:val="00D53EFA"/>
    <w:rsid w:val="00D73EA8"/>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473AC"/>
    <w:rsid w:val="00E56322"/>
    <w:rsid w:val="00E60982"/>
    <w:rsid w:val="00E62704"/>
    <w:rsid w:val="00E62C62"/>
    <w:rsid w:val="00E654C1"/>
    <w:rsid w:val="00E65D97"/>
    <w:rsid w:val="00E72A5A"/>
    <w:rsid w:val="00E73354"/>
    <w:rsid w:val="00E81CDE"/>
    <w:rsid w:val="00E9242D"/>
    <w:rsid w:val="00EB5255"/>
    <w:rsid w:val="00EB5C47"/>
    <w:rsid w:val="00ED0639"/>
    <w:rsid w:val="00EF4755"/>
    <w:rsid w:val="00EF7135"/>
    <w:rsid w:val="00F027DB"/>
    <w:rsid w:val="00F064F6"/>
    <w:rsid w:val="00F14A7A"/>
    <w:rsid w:val="00F22985"/>
    <w:rsid w:val="00F3383E"/>
    <w:rsid w:val="00F465A7"/>
    <w:rsid w:val="00F50B7C"/>
    <w:rsid w:val="00F550E6"/>
    <w:rsid w:val="00F74345"/>
    <w:rsid w:val="00F80A0A"/>
    <w:rsid w:val="00F82B19"/>
    <w:rsid w:val="00F9212D"/>
    <w:rsid w:val="00F965DA"/>
    <w:rsid w:val="00FA406A"/>
    <w:rsid w:val="00FA5432"/>
    <w:rsid w:val="00FB503A"/>
    <w:rsid w:val="00FB516C"/>
    <w:rsid w:val="00FD0236"/>
    <w:rsid w:val="00FD18F4"/>
    <w:rsid w:val="00FD54DB"/>
    <w:rsid w:val="00FD619F"/>
    <w:rsid w:val="00FF6DC1"/>
    <w:rsid w:val="01290F7E"/>
    <w:rsid w:val="015D1E09"/>
    <w:rsid w:val="020379F3"/>
    <w:rsid w:val="020466B0"/>
    <w:rsid w:val="02493B6C"/>
    <w:rsid w:val="02697903"/>
    <w:rsid w:val="02902FB7"/>
    <w:rsid w:val="02F96569"/>
    <w:rsid w:val="030430A7"/>
    <w:rsid w:val="03214A19"/>
    <w:rsid w:val="03A51097"/>
    <w:rsid w:val="03EA271C"/>
    <w:rsid w:val="03EA7B21"/>
    <w:rsid w:val="04D7454F"/>
    <w:rsid w:val="04DA026D"/>
    <w:rsid w:val="05235885"/>
    <w:rsid w:val="05452235"/>
    <w:rsid w:val="05801E77"/>
    <w:rsid w:val="058D58F7"/>
    <w:rsid w:val="05F83EAE"/>
    <w:rsid w:val="063E7D85"/>
    <w:rsid w:val="06963563"/>
    <w:rsid w:val="07293586"/>
    <w:rsid w:val="07295285"/>
    <w:rsid w:val="074D1C8E"/>
    <w:rsid w:val="07636392"/>
    <w:rsid w:val="07770C56"/>
    <w:rsid w:val="085550F1"/>
    <w:rsid w:val="088E4648"/>
    <w:rsid w:val="092217DD"/>
    <w:rsid w:val="093853E0"/>
    <w:rsid w:val="093A7294"/>
    <w:rsid w:val="099B4C93"/>
    <w:rsid w:val="0A263993"/>
    <w:rsid w:val="0A2D3AC2"/>
    <w:rsid w:val="0A401714"/>
    <w:rsid w:val="0A4D0B17"/>
    <w:rsid w:val="0A6B4337"/>
    <w:rsid w:val="0A7A6404"/>
    <w:rsid w:val="0AA755DF"/>
    <w:rsid w:val="0ACE77F8"/>
    <w:rsid w:val="0B120D44"/>
    <w:rsid w:val="0B3E3C3E"/>
    <w:rsid w:val="0B632B29"/>
    <w:rsid w:val="0BD27BF6"/>
    <w:rsid w:val="0C3B3C7D"/>
    <w:rsid w:val="0C724A61"/>
    <w:rsid w:val="0C724C20"/>
    <w:rsid w:val="0C8C245D"/>
    <w:rsid w:val="0CAB2EAE"/>
    <w:rsid w:val="0D3B5C31"/>
    <w:rsid w:val="0D486637"/>
    <w:rsid w:val="0D621C7D"/>
    <w:rsid w:val="0D9B45C3"/>
    <w:rsid w:val="0DA06ED1"/>
    <w:rsid w:val="0DA40CD9"/>
    <w:rsid w:val="0DBD4117"/>
    <w:rsid w:val="0DC57083"/>
    <w:rsid w:val="0DF714C0"/>
    <w:rsid w:val="0DFD321A"/>
    <w:rsid w:val="0E73034D"/>
    <w:rsid w:val="0ECB20BE"/>
    <w:rsid w:val="0EDD7623"/>
    <w:rsid w:val="0F13775A"/>
    <w:rsid w:val="0F5F45FE"/>
    <w:rsid w:val="0F9A112B"/>
    <w:rsid w:val="0FA63686"/>
    <w:rsid w:val="103C6460"/>
    <w:rsid w:val="106D2F64"/>
    <w:rsid w:val="10967AC4"/>
    <w:rsid w:val="109C1F0D"/>
    <w:rsid w:val="10B63710"/>
    <w:rsid w:val="10F0712E"/>
    <w:rsid w:val="10F10820"/>
    <w:rsid w:val="111C2F7A"/>
    <w:rsid w:val="113F6159"/>
    <w:rsid w:val="114114C8"/>
    <w:rsid w:val="11665CA1"/>
    <w:rsid w:val="11835FE2"/>
    <w:rsid w:val="11AB0430"/>
    <w:rsid w:val="12990FE2"/>
    <w:rsid w:val="12A06CFD"/>
    <w:rsid w:val="13555EA1"/>
    <w:rsid w:val="13951726"/>
    <w:rsid w:val="139543DE"/>
    <w:rsid w:val="13CA0DAA"/>
    <w:rsid w:val="13D51EA4"/>
    <w:rsid w:val="14396509"/>
    <w:rsid w:val="14DD2C3C"/>
    <w:rsid w:val="14DE3DC3"/>
    <w:rsid w:val="15170DCC"/>
    <w:rsid w:val="152824DA"/>
    <w:rsid w:val="15853C1D"/>
    <w:rsid w:val="16087E1D"/>
    <w:rsid w:val="1715624C"/>
    <w:rsid w:val="17701D14"/>
    <w:rsid w:val="17735226"/>
    <w:rsid w:val="178C4C74"/>
    <w:rsid w:val="17AC2D60"/>
    <w:rsid w:val="189428AA"/>
    <w:rsid w:val="189F624C"/>
    <w:rsid w:val="18B15893"/>
    <w:rsid w:val="1913314E"/>
    <w:rsid w:val="195E099B"/>
    <w:rsid w:val="19E16D09"/>
    <w:rsid w:val="1A1C66C0"/>
    <w:rsid w:val="1A42393B"/>
    <w:rsid w:val="1A87423B"/>
    <w:rsid w:val="1A925567"/>
    <w:rsid w:val="1AAD45DE"/>
    <w:rsid w:val="1AC34829"/>
    <w:rsid w:val="1AC541FE"/>
    <w:rsid w:val="1B046F80"/>
    <w:rsid w:val="1B3267B5"/>
    <w:rsid w:val="1B40161D"/>
    <w:rsid w:val="1B441859"/>
    <w:rsid w:val="1B6606B1"/>
    <w:rsid w:val="1BA11301"/>
    <w:rsid w:val="1BA725F7"/>
    <w:rsid w:val="1BE57190"/>
    <w:rsid w:val="1BE7763B"/>
    <w:rsid w:val="1BEF127C"/>
    <w:rsid w:val="1C2210BC"/>
    <w:rsid w:val="1C5E7925"/>
    <w:rsid w:val="1CFD070F"/>
    <w:rsid w:val="1D3C6914"/>
    <w:rsid w:val="1D5F6196"/>
    <w:rsid w:val="1D6132A5"/>
    <w:rsid w:val="1D85152C"/>
    <w:rsid w:val="1D8E56D5"/>
    <w:rsid w:val="1D92188C"/>
    <w:rsid w:val="1E7A43DA"/>
    <w:rsid w:val="1E7D7984"/>
    <w:rsid w:val="1E894AFB"/>
    <w:rsid w:val="1EEC550B"/>
    <w:rsid w:val="1FE7539E"/>
    <w:rsid w:val="20562666"/>
    <w:rsid w:val="20671BE0"/>
    <w:rsid w:val="20963CB8"/>
    <w:rsid w:val="20A81A1B"/>
    <w:rsid w:val="20B07FB6"/>
    <w:rsid w:val="20B646FB"/>
    <w:rsid w:val="213B74B1"/>
    <w:rsid w:val="215A2310"/>
    <w:rsid w:val="217F019E"/>
    <w:rsid w:val="21DE318A"/>
    <w:rsid w:val="21EF5B80"/>
    <w:rsid w:val="21FA3BB0"/>
    <w:rsid w:val="21FF478B"/>
    <w:rsid w:val="22576990"/>
    <w:rsid w:val="22F47480"/>
    <w:rsid w:val="230444DE"/>
    <w:rsid w:val="233D0C29"/>
    <w:rsid w:val="23DE1C48"/>
    <w:rsid w:val="240210CD"/>
    <w:rsid w:val="24337809"/>
    <w:rsid w:val="243831C0"/>
    <w:rsid w:val="24A964DE"/>
    <w:rsid w:val="24BF09F7"/>
    <w:rsid w:val="252C29EB"/>
    <w:rsid w:val="252D53FE"/>
    <w:rsid w:val="256E67EC"/>
    <w:rsid w:val="25846395"/>
    <w:rsid w:val="25AC57DC"/>
    <w:rsid w:val="25E456CA"/>
    <w:rsid w:val="25EC2D81"/>
    <w:rsid w:val="260F1419"/>
    <w:rsid w:val="26544264"/>
    <w:rsid w:val="26DD55C6"/>
    <w:rsid w:val="272E7F82"/>
    <w:rsid w:val="27655F16"/>
    <w:rsid w:val="277057A2"/>
    <w:rsid w:val="280A3049"/>
    <w:rsid w:val="283B1940"/>
    <w:rsid w:val="284B708E"/>
    <w:rsid w:val="28913BFB"/>
    <w:rsid w:val="291C10AD"/>
    <w:rsid w:val="29206EB8"/>
    <w:rsid w:val="29217F49"/>
    <w:rsid w:val="29595666"/>
    <w:rsid w:val="29733294"/>
    <w:rsid w:val="298104C0"/>
    <w:rsid w:val="29874881"/>
    <w:rsid w:val="29E325E0"/>
    <w:rsid w:val="2A452503"/>
    <w:rsid w:val="2A661624"/>
    <w:rsid w:val="2AE20819"/>
    <w:rsid w:val="2BA936A8"/>
    <w:rsid w:val="2C315A5A"/>
    <w:rsid w:val="2C445CF7"/>
    <w:rsid w:val="2C4B1C25"/>
    <w:rsid w:val="2D5633F8"/>
    <w:rsid w:val="2D9E56F5"/>
    <w:rsid w:val="2DB65AC7"/>
    <w:rsid w:val="2DCD6F92"/>
    <w:rsid w:val="2DE75215"/>
    <w:rsid w:val="2E667F96"/>
    <w:rsid w:val="2E6B754E"/>
    <w:rsid w:val="2E8226AB"/>
    <w:rsid w:val="2F7D2EF8"/>
    <w:rsid w:val="2F8017EE"/>
    <w:rsid w:val="2F874AE2"/>
    <w:rsid w:val="2FD065E6"/>
    <w:rsid w:val="2FD96870"/>
    <w:rsid w:val="30580BC9"/>
    <w:rsid w:val="306716D6"/>
    <w:rsid w:val="30C05CD1"/>
    <w:rsid w:val="30D8015A"/>
    <w:rsid w:val="311E2ED7"/>
    <w:rsid w:val="312905B0"/>
    <w:rsid w:val="315619EE"/>
    <w:rsid w:val="315C449C"/>
    <w:rsid w:val="31992E3D"/>
    <w:rsid w:val="31B82709"/>
    <w:rsid w:val="31D05482"/>
    <w:rsid w:val="32400B34"/>
    <w:rsid w:val="329E6876"/>
    <w:rsid w:val="32EA0DD3"/>
    <w:rsid w:val="330357AD"/>
    <w:rsid w:val="333015F2"/>
    <w:rsid w:val="334B6320"/>
    <w:rsid w:val="33D934D4"/>
    <w:rsid w:val="33FE2F6A"/>
    <w:rsid w:val="340C5B48"/>
    <w:rsid w:val="340E07E5"/>
    <w:rsid w:val="34235BF7"/>
    <w:rsid w:val="349B490F"/>
    <w:rsid w:val="34DD38BB"/>
    <w:rsid w:val="356F09EB"/>
    <w:rsid w:val="358C5FA8"/>
    <w:rsid w:val="358D4A67"/>
    <w:rsid w:val="35A90C1C"/>
    <w:rsid w:val="35AC2158"/>
    <w:rsid w:val="35C15DF1"/>
    <w:rsid w:val="35F406D0"/>
    <w:rsid w:val="35F65D77"/>
    <w:rsid w:val="36074A7F"/>
    <w:rsid w:val="36923549"/>
    <w:rsid w:val="36B75FBF"/>
    <w:rsid w:val="36BB6379"/>
    <w:rsid w:val="36BD0C45"/>
    <w:rsid w:val="36E855FF"/>
    <w:rsid w:val="37AE7763"/>
    <w:rsid w:val="37D0431E"/>
    <w:rsid w:val="37E00298"/>
    <w:rsid w:val="37EF533A"/>
    <w:rsid w:val="38267884"/>
    <w:rsid w:val="38B302F9"/>
    <w:rsid w:val="38F12CD3"/>
    <w:rsid w:val="38F94775"/>
    <w:rsid w:val="391F4D1A"/>
    <w:rsid w:val="392971ED"/>
    <w:rsid w:val="39325651"/>
    <w:rsid w:val="396E3B09"/>
    <w:rsid w:val="3981637A"/>
    <w:rsid w:val="3A7B6D86"/>
    <w:rsid w:val="3A872856"/>
    <w:rsid w:val="3A8920C9"/>
    <w:rsid w:val="3A935004"/>
    <w:rsid w:val="3B3763D1"/>
    <w:rsid w:val="3B4232AD"/>
    <w:rsid w:val="3C095AAF"/>
    <w:rsid w:val="3C2F6E1E"/>
    <w:rsid w:val="3C4B286F"/>
    <w:rsid w:val="3C4C45AB"/>
    <w:rsid w:val="3C4F64BA"/>
    <w:rsid w:val="3C7F5147"/>
    <w:rsid w:val="3CDA245A"/>
    <w:rsid w:val="3D1E06B7"/>
    <w:rsid w:val="3D47772F"/>
    <w:rsid w:val="3D8F0A45"/>
    <w:rsid w:val="3DE242FD"/>
    <w:rsid w:val="3DFE4303"/>
    <w:rsid w:val="3E6F105B"/>
    <w:rsid w:val="3ECC07D0"/>
    <w:rsid w:val="3EDA0523"/>
    <w:rsid w:val="3F78381F"/>
    <w:rsid w:val="3F900624"/>
    <w:rsid w:val="3FB428C3"/>
    <w:rsid w:val="3FC4355D"/>
    <w:rsid w:val="40200B9E"/>
    <w:rsid w:val="407A6407"/>
    <w:rsid w:val="40F05519"/>
    <w:rsid w:val="41180544"/>
    <w:rsid w:val="41540481"/>
    <w:rsid w:val="41572A75"/>
    <w:rsid w:val="417D4C32"/>
    <w:rsid w:val="4200449D"/>
    <w:rsid w:val="422C6E3F"/>
    <w:rsid w:val="423A3BCC"/>
    <w:rsid w:val="423D21D4"/>
    <w:rsid w:val="424E57D2"/>
    <w:rsid w:val="42773A8A"/>
    <w:rsid w:val="42874489"/>
    <w:rsid w:val="42B26C49"/>
    <w:rsid w:val="433A6FE6"/>
    <w:rsid w:val="43480868"/>
    <w:rsid w:val="4350713C"/>
    <w:rsid w:val="436653E0"/>
    <w:rsid w:val="43C4431A"/>
    <w:rsid w:val="43CE376B"/>
    <w:rsid w:val="43F77E57"/>
    <w:rsid w:val="43FB4A63"/>
    <w:rsid w:val="44B951CC"/>
    <w:rsid w:val="44CD14E0"/>
    <w:rsid w:val="44F20B0B"/>
    <w:rsid w:val="45221834"/>
    <w:rsid w:val="452E5F4C"/>
    <w:rsid w:val="454B5AB7"/>
    <w:rsid w:val="45612018"/>
    <w:rsid w:val="456D23B5"/>
    <w:rsid w:val="458946E9"/>
    <w:rsid w:val="45A47C0E"/>
    <w:rsid w:val="45CE700E"/>
    <w:rsid w:val="45D60E05"/>
    <w:rsid w:val="45FD322A"/>
    <w:rsid w:val="463D389C"/>
    <w:rsid w:val="46577FD6"/>
    <w:rsid w:val="4674788A"/>
    <w:rsid w:val="46993801"/>
    <w:rsid w:val="46A3765F"/>
    <w:rsid w:val="46D76952"/>
    <w:rsid w:val="46D955A7"/>
    <w:rsid w:val="47133957"/>
    <w:rsid w:val="47A07E0C"/>
    <w:rsid w:val="47D166EC"/>
    <w:rsid w:val="486B02D5"/>
    <w:rsid w:val="4870272E"/>
    <w:rsid w:val="490A60E7"/>
    <w:rsid w:val="49DC7715"/>
    <w:rsid w:val="4A023139"/>
    <w:rsid w:val="4A1A6710"/>
    <w:rsid w:val="4A2A0B24"/>
    <w:rsid w:val="4A3D484B"/>
    <w:rsid w:val="4A4743AF"/>
    <w:rsid w:val="4A5D3C14"/>
    <w:rsid w:val="4A7B576F"/>
    <w:rsid w:val="4A811ED8"/>
    <w:rsid w:val="4AF561A9"/>
    <w:rsid w:val="4AF95B6D"/>
    <w:rsid w:val="4B03168F"/>
    <w:rsid w:val="4B444AAC"/>
    <w:rsid w:val="4B531483"/>
    <w:rsid w:val="4BFB7F2B"/>
    <w:rsid w:val="4C1C5009"/>
    <w:rsid w:val="4C4A0649"/>
    <w:rsid w:val="4C7E5ECA"/>
    <w:rsid w:val="4C876AA5"/>
    <w:rsid w:val="4C9F2A05"/>
    <w:rsid w:val="4CDB1215"/>
    <w:rsid w:val="4D007DBC"/>
    <w:rsid w:val="4D0E00FB"/>
    <w:rsid w:val="4D176606"/>
    <w:rsid w:val="4D843E33"/>
    <w:rsid w:val="4DAA2C34"/>
    <w:rsid w:val="4DEC4FB0"/>
    <w:rsid w:val="4E03068B"/>
    <w:rsid w:val="4E075D8A"/>
    <w:rsid w:val="4E1C1B49"/>
    <w:rsid w:val="4E400E38"/>
    <w:rsid w:val="4E906C1C"/>
    <w:rsid w:val="4EC00FAD"/>
    <w:rsid w:val="4EC40345"/>
    <w:rsid w:val="4ED23575"/>
    <w:rsid w:val="4EE43FA0"/>
    <w:rsid w:val="4EF43434"/>
    <w:rsid w:val="4EFB5558"/>
    <w:rsid w:val="4F6C622F"/>
    <w:rsid w:val="4F830B91"/>
    <w:rsid w:val="4F976C57"/>
    <w:rsid w:val="4F9843DC"/>
    <w:rsid w:val="4FA077DF"/>
    <w:rsid w:val="4FC62A8C"/>
    <w:rsid w:val="4FE20F0D"/>
    <w:rsid w:val="4FE51552"/>
    <w:rsid w:val="4FEF5662"/>
    <w:rsid w:val="502554EE"/>
    <w:rsid w:val="502A1C99"/>
    <w:rsid w:val="50440A72"/>
    <w:rsid w:val="50504C4B"/>
    <w:rsid w:val="509C6E7C"/>
    <w:rsid w:val="50B67F78"/>
    <w:rsid w:val="50EB4364"/>
    <w:rsid w:val="5162104E"/>
    <w:rsid w:val="52DE1B9F"/>
    <w:rsid w:val="532F41C8"/>
    <w:rsid w:val="53A039CC"/>
    <w:rsid w:val="53A1505A"/>
    <w:rsid w:val="53AA684E"/>
    <w:rsid w:val="53AB34D1"/>
    <w:rsid w:val="54063E08"/>
    <w:rsid w:val="543437E8"/>
    <w:rsid w:val="54452748"/>
    <w:rsid w:val="549E78F7"/>
    <w:rsid w:val="54F73313"/>
    <w:rsid w:val="54F80955"/>
    <w:rsid w:val="555170A7"/>
    <w:rsid w:val="55524F2D"/>
    <w:rsid w:val="555C30F7"/>
    <w:rsid w:val="557A075A"/>
    <w:rsid w:val="5587536D"/>
    <w:rsid w:val="559B174B"/>
    <w:rsid w:val="55CE0CF4"/>
    <w:rsid w:val="55E83F07"/>
    <w:rsid w:val="566D3045"/>
    <w:rsid w:val="56B22A9C"/>
    <w:rsid w:val="573C303E"/>
    <w:rsid w:val="57B72A76"/>
    <w:rsid w:val="57C3426C"/>
    <w:rsid w:val="57CE1F93"/>
    <w:rsid w:val="58227D2E"/>
    <w:rsid w:val="58574EA4"/>
    <w:rsid w:val="588743D1"/>
    <w:rsid w:val="5887701A"/>
    <w:rsid w:val="58D62A7D"/>
    <w:rsid w:val="59426F2A"/>
    <w:rsid w:val="59C0439F"/>
    <w:rsid w:val="59DF4F30"/>
    <w:rsid w:val="5A5A794E"/>
    <w:rsid w:val="5ABE2233"/>
    <w:rsid w:val="5AF17C29"/>
    <w:rsid w:val="5AF84A62"/>
    <w:rsid w:val="5B1550E8"/>
    <w:rsid w:val="5B5636AE"/>
    <w:rsid w:val="5B6978DD"/>
    <w:rsid w:val="5B8B0709"/>
    <w:rsid w:val="5B9F5D99"/>
    <w:rsid w:val="5BDF5D95"/>
    <w:rsid w:val="5BE61DE8"/>
    <w:rsid w:val="5BE72873"/>
    <w:rsid w:val="5BFE7528"/>
    <w:rsid w:val="5C0A424B"/>
    <w:rsid w:val="5C576EEC"/>
    <w:rsid w:val="5D843D22"/>
    <w:rsid w:val="5D9B7B56"/>
    <w:rsid w:val="5DC310BE"/>
    <w:rsid w:val="5DF24219"/>
    <w:rsid w:val="5E2467F1"/>
    <w:rsid w:val="5E2C252D"/>
    <w:rsid w:val="5E893766"/>
    <w:rsid w:val="5EDE50E1"/>
    <w:rsid w:val="5EE20EE4"/>
    <w:rsid w:val="5F1A2B43"/>
    <w:rsid w:val="5F421B82"/>
    <w:rsid w:val="5F492BBF"/>
    <w:rsid w:val="5F8D56F1"/>
    <w:rsid w:val="5FB837BB"/>
    <w:rsid w:val="5FE03BE7"/>
    <w:rsid w:val="600B7481"/>
    <w:rsid w:val="603A4BE1"/>
    <w:rsid w:val="605227B5"/>
    <w:rsid w:val="605B4B01"/>
    <w:rsid w:val="609317AB"/>
    <w:rsid w:val="60A54095"/>
    <w:rsid w:val="60B40208"/>
    <w:rsid w:val="60CC405A"/>
    <w:rsid w:val="611B0401"/>
    <w:rsid w:val="616C5CAD"/>
    <w:rsid w:val="61C87FAF"/>
    <w:rsid w:val="61E215D8"/>
    <w:rsid w:val="621B3775"/>
    <w:rsid w:val="62364782"/>
    <w:rsid w:val="62377EC3"/>
    <w:rsid w:val="623E75A3"/>
    <w:rsid w:val="6394356A"/>
    <w:rsid w:val="639F1C85"/>
    <w:rsid w:val="63C61B2C"/>
    <w:rsid w:val="63D40BE9"/>
    <w:rsid w:val="64102431"/>
    <w:rsid w:val="64696552"/>
    <w:rsid w:val="64772BA6"/>
    <w:rsid w:val="64A5243A"/>
    <w:rsid w:val="64D54889"/>
    <w:rsid w:val="64F531DE"/>
    <w:rsid w:val="64FD0634"/>
    <w:rsid w:val="65373578"/>
    <w:rsid w:val="657906FC"/>
    <w:rsid w:val="65A01D99"/>
    <w:rsid w:val="65C435F3"/>
    <w:rsid w:val="65C81F20"/>
    <w:rsid w:val="66753695"/>
    <w:rsid w:val="66D30C71"/>
    <w:rsid w:val="66D43E3A"/>
    <w:rsid w:val="671F124A"/>
    <w:rsid w:val="67515045"/>
    <w:rsid w:val="677A33C6"/>
    <w:rsid w:val="678D5462"/>
    <w:rsid w:val="681E586F"/>
    <w:rsid w:val="681F6961"/>
    <w:rsid w:val="68610A2F"/>
    <w:rsid w:val="68805514"/>
    <w:rsid w:val="69316E2F"/>
    <w:rsid w:val="694E2071"/>
    <w:rsid w:val="69766163"/>
    <w:rsid w:val="697A3B33"/>
    <w:rsid w:val="69814FC0"/>
    <w:rsid w:val="69C205DC"/>
    <w:rsid w:val="69CF7B00"/>
    <w:rsid w:val="69D44760"/>
    <w:rsid w:val="6A070BDB"/>
    <w:rsid w:val="6A343EBC"/>
    <w:rsid w:val="6A520EC7"/>
    <w:rsid w:val="6A7A518D"/>
    <w:rsid w:val="6AC13CC9"/>
    <w:rsid w:val="6AF87E20"/>
    <w:rsid w:val="6B322639"/>
    <w:rsid w:val="6BD85B57"/>
    <w:rsid w:val="6C636C38"/>
    <w:rsid w:val="6C90051B"/>
    <w:rsid w:val="6CAE48AA"/>
    <w:rsid w:val="6CDC158B"/>
    <w:rsid w:val="6D5908C8"/>
    <w:rsid w:val="6D5D2D9A"/>
    <w:rsid w:val="6DB34098"/>
    <w:rsid w:val="6DB545B6"/>
    <w:rsid w:val="6DE02FB4"/>
    <w:rsid w:val="6E272FA3"/>
    <w:rsid w:val="6E514CED"/>
    <w:rsid w:val="6E82545D"/>
    <w:rsid w:val="6E9D429E"/>
    <w:rsid w:val="6EB563D5"/>
    <w:rsid w:val="6ED92677"/>
    <w:rsid w:val="6F225983"/>
    <w:rsid w:val="6F525047"/>
    <w:rsid w:val="6F53586A"/>
    <w:rsid w:val="6FAA6E13"/>
    <w:rsid w:val="6FE539C6"/>
    <w:rsid w:val="6FFC5590"/>
    <w:rsid w:val="701C3E03"/>
    <w:rsid w:val="706D1DD0"/>
    <w:rsid w:val="70856B87"/>
    <w:rsid w:val="708F28C0"/>
    <w:rsid w:val="70A413B6"/>
    <w:rsid w:val="70D527EE"/>
    <w:rsid w:val="715B5300"/>
    <w:rsid w:val="7184261E"/>
    <w:rsid w:val="71C915A6"/>
    <w:rsid w:val="71D27F8A"/>
    <w:rsid w:val="72215ABF"/>
    <w:rsid w:val="72553024"/>
    <w:rsid w:val="7284513D"/>
    <w:rsid w:val="73075FA9"/>
    <w:rsid w:val="73122968"/>
    <w:rsid w:val="731F5D5E"/>
    <w:rsid w:val="73506023"/>
    <w:rsid w:val="73542F25"/>
    <w:rsid w:val="73C51AD5"/>
    <w:rsid w:val="740E25F9"/>
    <w:rsid w:val="741E793C"/>
    <w:rsid w:val="74310E95"/>
    <w:rsid w:val="745D61C4"/>
    <w:rsid w:val="745E3944"/>
    <w:rsid w:val="747F6AAB"/>
    <w:rsid w:val="754E23CF"/>
    <w:rsid w:val="75EF0622"/>
    <w:rsid w:val="7635099D"/>
    <w:rsid w:val="763C3F5B"/>
    <w:rsid w:val="770D24C7"/>
    <w:rsid w:val="77762421"/>
    <w:rsid w:val="77A85155"/>
    <w:rsid w:val="77B56B1F"/>
    <w:rsid w:val="780F09F4"/>
    <w:rsid w:val="78327D03"/>
    <w:rsid w:val="783A5D0F"/>
    <w:rsid w:val="785901FD"/>
    <w:rsid w:val="78A90480"/>
    <w:rsid w:val="78F51C05"/>
    <w:rsid w:val="78FF47A9"/>
    <w:rsid w:val="79392F72"/>
    <w:rsid w:val="793F7B57"/>
    <w:rsid w:val="7A364017"/>
    <w:rsid w:val="7A8265E1"/>
    <w:rsid w:val="7AA24727"/>
    <w:rsid w:val="7B686D42"/>
    <w:rsid w:val="7B841746"/>
    <w:rsid w:val="7C4E2798"/>
    <w:rsid w:val="7C6C5AC7"/>
    <w:rsid w:val="7CC6544B"/>
    <w:rsid w:val="7CD47394"/>
    <w:rsid w:val="7D0239FF"/>
    <w:rsid w:val="7D5E40CD"/>
    <w:rsid w:val="7DCD56F2"/>
    <w:rsid w:val="7E342E45"/>
    <w:rsid w:val="7EA43D6C"/>
    <w:rsid w:val="7EB97CF5"/>
    <w:rsid w:val="7EE96BF4"/>
    <w:rsid w:val="7F001CE7"/>
    <w:rsid w:val="7F406429"/>
    <w:rsid w:val="7F813019"/>
    <w:rsid w:val="7FE47E50"/>
    <w:rsid w:val="7FEE234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3"/>
    <w:basedOn w:val="1"/>
    <w:next w:val="1"/>
    <w:qFormat/>
    <w:locked/>
    <w:uiPriority w:val="1"/>
    <w:pPr>
      <w:ind w:left="1132"/>
      <w:outlineLvl w:val="2"/>
    </w:pPr>
    <w:rPr>
      <w:rFonts w:ascii="宋体" w:hAnsi="宋体" w:eastAsia="宋体" w:cs="宋体"/>
      <w:b/>
      <w:bCs/>
      <w:sz w:val="24"/>
      <w:szCs w:val="24"/>
      <w:lang w:val="zh-CN" w:eastAsia="zh-CN" w:bidi="zh-CN"/>
    </w:rPr>
  </w:style>
  <w:style w:type="character" w:default="1" w:styleId="23">
    <w:name w:val="Default Paragraph Font"/>
    <w:semiHidden/>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locked/>
    <w:uiPriority w:val="0"/>
    <w:pPr>
      <w:ind w:firstLine="420"/>
    </w:pPr>
  </w:style>
  <w:style w:type="paragraph" w:styleId="3">
    <w:name w:val="Body Text Indent"/>
    <w:basedOn w:val="1"/>
    <w:next w:val="2"/>
    <w:link w:val="30"/>
    <w:uiPriority w:val="0"/>
    <w:pPr>
      <w:spacing w:after="120"/>
      <w:ind w:left="420" w:leftChars="200"/>
    </w:pPr>
    <w:rPr>
      <w:kern w:val="0"/>
      <w:sz w:val="24"/>
      <w:szCs w:val="20"/>
    </w:rPr>
  </w:style>
  <w:style w:type="paragraph" w:styleId="6">
    <w:name w:val="Normal Indent"/>
    <w:basedOn w:val="1"/>
    <w:next w:val="7"/>
    <w:qFormat/>
    <w:locked/>
    <w:uiPriority w:val="0"/>
    <w:pPr>
      <w:ind w:firstLine="420" w:firstLineChars="200"/>
    </w:pPr>
    <w:rPr>
      <w:rFonts w:eastAsia="仿宋_GB2312"/>
      <w:bCs/>
      <w:sz w:val="32"/>
      <w:szCs w:val="20"/>
    </w:rPr>
  </w:style>
  <w:style w:type="paragraph" w:customStyle="1" w:styleId="7">
    <w:name w:val="Char Char Char Char Char Char Char Char Char1 Char"/>
    <w:basedOn w:val="1"/>
    <w:qFormat/>
    <w:uiPriority w:val="0"/>
    <w:pPr>
      <w:spacing w:line="360" w:lineRule="auto"/>
      <w:ind w:firstLine="200" w:firstLineChars="200"/>
    </w:pPr>
    <w:rPr>
      <w:rFonts w:hAnsi="宋体" w:cs="宋体"/>
      <w:spacing w:val="0"/>
      <w:sz w:val="24"/>
      <w:szCs w:val="24"/>
    </w:rPr>
  </w:style>
  <w:style w:type="paragraph" w:styleId="8">
    <w:name w:val="annotation text"/>
    <w:basedOn w:val="1"/>
    <w:link w:val="28"/>
    <w:semiHidden/>
    <w:uiPriority w:val="0"/>
    <w:pPr>
      <w:jc w:val="left"/>
    </w:pPr>
    <w:rPr>
      <w:kern w:val="0"/>
      <w:sz w:val="24"/>
      <w:szCs w:val="20"/>
    </w:rPr>
  </w:style>
  <w:style w:type="paragraph" w:styleId="9">
    <w:name w:val="Body Text"/>
    <w:basedOn w:val="1"/>
    <w:link w:val="29"/>
    <w:uiPriority w:val="0"/>
    <w:pPr>
      <w:widowControl/>
      <w:snapToGrid w:val="0"/>
      <w:spacing w:before="60" w:after="160" w:line="259" w:lineRule="auto"/>
      <w:ind w:right="113"/>
    </w:pPr>
    <w:rPr>
      <w:kern w:val="0"/>
      <w:sz w:val="18"/>
      <w:szCs w:val="20"/>
    </w:rPr>
  </w:style>
  <w:style w:type="paragraph" w:styleId="10">
    <w:name w:val="Plain Text"/>
    <w:basedOn w:val="1"/>
    <w:qFormat/>
    <w:locked/>
    <w:uiPriority w:val="0"/>
    <w:pPr>
      <w:spacing w:line="360" w:lineRule="auto"/>
    </w:pPr>
    <w:rPr>
      <w:spacing w:val="8"/>
      <w:sz w:val="24"/>
      <w:szCs w:val="20"/>
    </w:rPr>
  </w:style>
  <w:style w:type="paragraph" w:styleId="11">
    <w:name w:val="Date"/>
    <w:basedOn w:val="1"/>
    <w:next w:val="1"/>
    <w:link w:val="31"/>
    <w:qFormat/>
    <w:uiPriority w:val="0"/>
    <w:pPr>
      <w:ind w:left="100" w:leftChars="2500"/>
    </w:pPr>
    <w:rPr>
      <w:kern w:val="0"/>
      <w:sz w:val="24"/>
      <w:szCs w:val="20"/>
    </w:rPr>
  </w:style>
  <w:style w:type="paragraph" w:styleId="12">
    <w:name w:val="Body Text Indent 2"/>
    <w:basedOn w:val="1"/>
    <w:qFormat/>
    <w:locked/>
    <w:uiPriority w:val="0"/>
    <w:pPr>
      <w:spacing w:line="500" w:lineRule="exact"/>
      <w:ind w:firstLine="556"/>
    </w:pPr>
    <w:rPr>
      <w:bCs/>
      <w:sz w:val="28"/>
    </w:rPr>
  </w:style>
  <w:style w:type="paragraph" w:styleId="13">
    <w:name w:val="Balloon Text"/>
    <w:basedOn w:val="1"/>
    <w:link w:val="32"/>
    <w:semiHidden/>
    <w:qFormat/>
    <w:uiPriority w:val="0"/>
    <w:rPr>
      <w:kern w:val="0"/>
      <w:sz w:val="18"/>
      <w:szCs w:val="20"/>
    </w:rPr>
  </w:style>
  <w:style w:type="paragraph" w:styleId="14">
    <w:name w:val="footer"/>
    <w:basedOn w:val="1"/>
    <w:link w:val="33"/>
    <w:qFormat/>
    <w:uiPriority w:val="99"/>
    <w:pPr>
      <w:tabs>
        <w:tab w:val="center" w:pos="4153"/>
        <w:tab w:val="right" w:pos="8306"/>
      </w:tabs>
      <w:snapToGrid w:val="0"/>
      <w:jc w:val="left"/>
    </w:pPr>
    <w:rPr>
      <w:kern w:val="0"/>
      <w:sz w:val="18"/>
      <w:szCs w:val="20"/>
    </w:rPr>
  </w:style>
  <w:style w:type="paragraph" w:styleId="15">
    <w:name w:val="header"/>
    <w:basedOn w:val="1"/>
    <w:next w:val="1"/>
    <w:link w:val="34"/>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List"/>
    <w:basedOn w:val="1"/>
    <w:qFormat/>
    <w:locked/>
    <w:uiPriority w:val="0"/>
    <w:pPr>
      <w:ind w:left="200" w:hanging="200" w:hangingChars="200"/>
    </w:pPr>
    <w:rPr>
      <w:rFonts w:ascii="Times New Roman" w:hAnsi="Times New Roman" w:eastAsia="宋体" w:cs="Times New Roman"/>
      <w:szCs w:val="24"/>
    </w:rPr>
  </w:style>
  <w:style w:type="paragraph" w:styleId="17">
    <w:name w:val="Body Text Indent 3"/>
    <w:basedOn w:val="1"/>
    <w:qFormat/>
    <w:locked/>
    <w:uiPriority w:val="0"/>
    <w:pPr>
      <w:spacing w:line="560" w:lineRule="exact"/>
      <w:ind w:firstLine="560" w:firstLineChars="200"/>
    </w:pPr>
    <w:rPr>
      <w:rFonts w:ascii="宋体" w:hAnsi="宋体"/>
      <w:bCs/>
      <w:sz w:val="28"/>
      <w:szCs w:val="20"/>
    </w:rPr>
  </w:style>
  <w:style w:type="paragraph" w:styleId="18">
    <w:name w:val="Normal (Web)"/>
    <w:basedOn w:val="1"/>
    <w:link w:val="35"/>
    <w:qFormat/>
    <w:uiPriority w:val="0"/>
    <w:pPr>
      <w:widowControl/>
      <w:spacing w:before="100" w:beforeAutospacing="1" w:after="100" w:afterAutospacing="1"/>
      <w:jc w:val="left"/>
    </w:pPr>
    <w:rPr>
      <w:rFonts w:ascii="宋体" w:hAnsi="宋体"/>
      <w:kern w:val="0"/>
      <w:sz w:val="24"/>
      <w:szCs w:val="20"/>
    </w:rPr>
  </w:style>
  <w:style w:type="paragraph" w:styleId="19">
    <w:name w:val="Title"/>
    <w:basedOn w:val="1"/>
    <w:next w:val="1"/>
    <w:qFormat/>
    <w:locked/>
    <w:uiPriority w:val="0"/>
    <w:pPr>
      <w:spacing w:before="240" w:beforeLines="0" w:beforeAutospacing="0" w:after="60" w:afterLines="0" w:afterAutospacing="0"/>
      <w:jc w:val="center"/>
      <w:outlineLvl w:val="0"/>
    </w:pPr>
    <w:rPr>
      <w:rFonts w:ascii="Arial" w:hAnsi="Arial"/>
      <w:b/>
      <w:sz w:val="32"/>
    </w:rPr>
  </w:style>
  <w:style w:type="paragraph" w:styleId="20">
    <w:name w:val="annotation subject"/>
    <w:basedOn w:val="8"/>
    <w:next w:val="8"/>
    <w:link w:val="36"/>
    <w:semiHidden/>
    <w:qFormat/>
    <w:uiPriority w:val="0"/>
    <w:rPr>
      <w:b/>
      <w:kern w:val="2"/>
    </w:rPr>
  </w:style>
  <w:style w:type="table" w:styleId="22">
    <w:name w:val="Table Grid"/>
    <w:basedOn w:val="2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locked/>
    <w:uiPriority w:val="0"/>
    <w:rPr>
      <w:b/>
    </w:rPr>
  </w:style>
  <w:style w:type="character" w:styleId="25">
    <w:name w:val="page number"/>
    <w:basedOn w:val="23"/>
    <w:qFormat/>
    <w:locked/>
    <w:uiPriority w:val="0"/>
  </w:style>
  <w:style w:type="character" w:styleId="26">
    <w:name w:val="Hyperlink"/>
    <w:basedOn w:val="23"/>
    <w:qFormat/>
    <w:locked/>
    <w:uiPriority w:val="0"/>
    <w:rPr>
      <w:color w:val="0000FF"/>
      <w:u w:val="single"/>
    </w:rPr>
  </w:style>
  <w:style w:type="character" w:styleId="27">
    <w:name w:val="annotation reference"/>
    <w:basedOn w:val="23"/>
    <w:semiHidden/>
    <w:qFormat/>
    <w:uiPriority w:val="0"/>
    <w:rPr>
      <w:sz w:val="21"/>
    </w:rPr>
  </w:style>
  <w:style w:type="character" w:customStyle="1" w:styleId="28">
    <w:name w:val="批注文字 Char"/>
    <w:link w:val="8"/>
    <w:qFormat/>
    <w:locked/>
    <w:uiPriority w:val="0"/>
    <w:rPr>
      <w:rFonts w:ascii="Times New Roman" w:hAnsi="Times New Roman" w:eastAsia="宋体"/>
      <w:sz w:val="24"/>
    </w:rPr>
  </w:style>
  <w:style w:type="character" w:customStyle="1" w:styleId="29">
    <w:name w:val="正文文本 Char"/>
    <w:link w:val="9"/>
    <w:qFormat/>
    <w:locked/>
    <w:uiPriority w:val="0"/>
    <w:rPr>
      <w:sz w:val="18"/>
    </w:rPr>
  </w:style>
  <w:style w:type="character" w:customStyle="1" w:styleId="30">
    <w:name w:val="正文文本缩进 Char"/>
    <w:link w:val="3"/>
    <w:semiHidden/>
    <w:qFormat/>
    <w:locked/>
    <w:uiPriority w:val="0"/>
    <w:rPr>
      <w:rFonts w:ascii="Times New Roman" w:hAnsi="Times New Roman" w:eastAsia="宋体"/>
      <w:sz w:val="24"/>
    </w:rPr>
  </w:style>
  <w:style w:type="character" w:customStyle="1" w:styleId="31">
    <w:name w:val="日期 Char"/>
    <w:link w:val="11"/>
    <w:qFormat/>
    <w:locked/>
    <w:uiPriority w:val="0"/>
    <w:rPr>
      <w:rFonts w:ascii="Times New Roman" w:hAnsi="Times New Roman" w:eastAsia="宋体"/>
      <w:sz w:val="24"/>
    </w:rPr>
  </w:style>
  <w:style w:type="character" w:customStyle="1" w:styleId="32">
    <w:name w:val="批注框文本 Char"/>
    <w:link w:val="13"/>
    <w:semiHidden/>
    <w:qFormat/>
    <w:locked/>
    <w:uiPriority w:val="0"/>
    <w:rPr>
      <w:rFonts w:ascii="Times New Roman" w:hAnsi="Times New Roman" w:eastAsia="宋体"/>
      <w:sz w:val="18"/>
    </w:rPr>
  </w:style>
  <w:style w:type="character" w:customStyle="1" w:styleId="33">
    <w:name w:val="页脚 Char"/>
    <w:link w:val="14"/>
    <w:qFormat/>
    <w:locked/>
    <w:uiPriority w:val="99"/>
    <w:rPr>
      <w:sz w:val="18"/>
    </w:rPr>
  </w:style>
  <w:style w:type="character" w:customStyle="1" w:styleId="34">
    <w:name w:val="页眉 Char"/>
    <w:link w:val="15"/>
    <w:qFormat/>
    <w:locked/>
    <w:uiPriority w:val="0"/>
    <w:rPr>
      <w:sz w:val="18"/>
    </w:rPr>
  </w:style>
  <w:style w:type="character" w:customStyle="1" w:styleId="35">
    <w:name w:val="普通(网站) Char"/>
    <w:link w:val="18"/>
    <w:qFormat/>
    <w:locked/>
    <w:uiPriority w:val="0"/>
    <w:rPr>
      <w:rFonts w:ascii="宋体" w:hAnsi="宋体" w:eastAsia="宋体"/>
      <w:sz w:val="24"/>
    </w:rPr>
  </w:style>
  <w:style w:type="character" w:customStyle="1" w:styleId="36">
    <w:name w:val="批注主题 Char"/>
    <w:link w:val="20"/>
    <w:semiHidden/>
    <w:qFormat/>
    <w:locked/>
    <w:uiPriority w:val="0"/>
    <w:rPr>
      <w:rFonts w:ascii="Times New Roman" w:hAnsi="Times New Roman" w:eastAsia="宋体"/>
      <w:b/>
      <w:kern w:val="2"/>
      <w:sz w:val="24"/>
    </w:rPr>
  </w:style>
  <w:style w:type="character" w:customStyle="1" w:styleId="37">
    <w:name w:val="content1"/>
    <w:basedOn w:val="23"/>
    <w:qFormat/>
    <w:uiPriority w:val="0"/>
    <w:rPr>
      <w:color w:val="000000"/>
      <w:sz w:val="20"/>
      <w:szCs w:val="20"/>
    </w:rPr>
  </w:style>
  <w:style w:type="character" w:customStyle="1" w:styleId="38">
    <w:name w:val="正文文本缩进 2 Char"/>
    <w:basedOn w:val="23"/>
    <w:qFormat/>
    <w:uiPriority w:val="0"/>
    <w:rPr>
      <w:rFonts w:eastAsia="宋体"/>
      <w:kern w:val="2"/>
      <w:sz w:val="28"/>
      <w:szCs w:val="24"/>
      <w:lang w:val="en-US" w:eastAsia="zh-CN" w:bidi="ar-SA"/>
    </w:rPr>
  </w:style>
  <w:style w:type="character" w:customStyle="1" w:styleId="39">
    <w:name w:val="表格 Char"/>
    <w:link w:val="40"/>
    <w:qFormat/>
    <w:locked/>
    <w:uiPriority w:val="0"/>
    <w:rPr>
      <w:rFonts w:ascii="宋体"/>
      <w:sz w:val="21"/>
    </w:rPr>
  </w:style>
  <w:style w:type="paragraph" w:customStyle="1" w:styleId="40">
    <w:name w:val="表格"/>
    <w:basedOn w:val="6"/>
    <w:next w:val="1"/>
    <w:link w:val="39"/>
    <w:qFormat/>
    <w:uiPriority w:val="0"/>
    <w:pPr>
      <w:adjustRightInd w:val="0"/>
      <w:snapToGrid w:val="0"/>
      <w:spacing w:beforeLines="10" w:afterLines="10" w:line="259" w:lineRule="auto"/>
      <w:jc w:val="center"/>
    </w:pPr>
    <w:rPr>
      <w:rFonts w:ascii="宋体"/>
      <w:kern w:val="0"/>
      <w:szCs w:val="20"/>
    </w:rPr>
  </w:style>
  <w:style w:type="character" w:customStyle="1" w:styleId="41">
    <w:name w:val="正文文本 字符1"/>
    <w:semiHidden/>
    <w:uiPriority w:val="0"/>
    <w:rPr>
      <w:rFonts w:ascii="Times New Roman" w:hAnsi="Times New Roman" w:eastAsia="宋体"/>
      <w:sz w:val="24"/>
    </w:rPr>
  </w:style>
  <w:style w:type="character" w:customStyle="1" w:styleId="42">
    <w:name w:val="页脚 字符"/>
    <w:basedOn w:val="23"/>
    <w:uiPriority w:val="99"/>
  </w:style>
  <w:style w:type="character" w:customStyle="1" w:styleId="43">
    <w:name w:val="日期 字符"/>
    <w:semiHidden/>
    <w:uiPriority w:val="0"/>
    <w:rPr>
      <w:rFonts w:ascii="Times New Roman" w:hAnsi="Times New Roman" w:eastAsia="宋体"/>
      <w:sz w:val="24"/>
    </w:rPr>
  </w:style>
  <w:style w:type="character" w:customStyle="1" w:styleId="44">
    <w:name w:val="书籍标题"/>
    <w:basedOn w:val="23"/>
    <w:qFormat/>
    <w:uiPriority w:val="0"/>
    <w:rPr>
      <w:b/>
      <w:smallCaps/>
      <w:spacing w:val="5"/>
    </w:rPr>
  </w:style>
  <w:style w:type="character" w:customStyle="1" w:styleId="45">
    <w:name w:val="批注文字 字符1"/>
    <w:semiHidden/>
    <w:uiPriority w:val="0"/>
    <w:rPr>
      <w:rFonts w:ascii="Times New Roman" w:hAnsi="Times New Roman" w:eastAsia="宋体"/>
      <w:sz w:val="24"/>
    </w:rPr>
  </w:style>
  <w:style w:type="paragraph" w:customStyle="1" w:styleId="46">
    <w:name w:val="新表格"/>
    <w:basedOn w:val="1"/>
    <w:qFormat/>
    <w:uiPriority w:val="0"/>
    <w:pPr>
      <w:snapToGrid w:val="0"/>
      <w:spacing w:line="264" w:lineRule="auto"/>
      <w:jc w:val="center"/>
    </w:pPr>
    <w:rPr>
      <w:bCs/>
      <w:kern w:val="0"/>
      <w:szCs w:val="21"/>
    </w:rPr>
  </w:style>
  <w:style w:type="paragraph" w:customStyle="1" w:styleId="47">
    <w:name w:val="样式 样式 (中文) 楷体_GB2312 四号 行距: 固定值 26 磅 +"/>
    <w:basedOn w:val="1"/>
    <w:qFormat/>
    <w:uiPriority w:val="0"/>
    <w:pPr>
      <w:spacing w:line="360" w:lineRule="auto"/>
      <w:ind w:firstLine="480" w:firstLineChars="200"/>
    </w:pPr>
    <w:rPr>
      <w:kern w:val="0"/>
      <w:sz w:val="24"/>
    </w:rPr>
  </w:style>
  <w:style w:type="paragraph" w:customStyle="1" w:styleId="48">
    <w:name w:val="标1"/>
    <w:basedOn w:val="1"/>
    <w:qFormat/>
    <w:uiPriority w:val="0"/>
    <w:pPr>
      <w:spacing w:before="60" w:beforeLines="0" w:beforeAutospacing="0" w:line="460" w:lineRule="exact"/>
      <w:outlineLvl w:val="0"/>
    </w:pPr>
    <w:rPr>
      <w:rFonts w:ascii="Times New Roman" w:hAnsi="Times New Roman" w:eastAsia="宋体" w:cs="Times New Roman"/>
      <w:b/>
      <w:kern w:val="2"/>
      <w:sz w:val="32"/>
      <w:lang w:val="en-US" w:eastAsia="zh-CN"/>
    </w:rPr>
  </w:style>
  <w:style w:type="paragraph" w:customStyle="1" w:styleId="49">
    <w:name w:val="中文报告书样式"/>
    <w:basedOn w:val="1"/>
    <w:qFormat/>
    <w:uiPriority w:val="0"/>
    <w:pPr>
      <w:adjustRightInd w:val="0"/>
      <w:spacing w:line="480" w:lineRule="atLeast"/>
      <w:ind w:firstLine="482"/>
      <w:textAlignment w:val="baseline"/>
    </w:pPr>
    <w:rPr>
      <w:rFonts w:ascii="Times New Roman" w:hAnsi="Times New Roman" w:eastAsia="宋体" w:cs="Times New Roman"/>
      <w:kern w:val="24"/>
      <w:sz w:val="24"/>
    </w:rPr>
  </w:style>
  <w:style w:type="paragraph" w:customStyle="1" w:styleId="50">
    <w:name w:val="aa正文 Char Char"/>
    <w:basedOn w:val="1"/>
    <w:qFormat/>
    <w:uiPriority w:val="0"/>
    <w:pPr>
      <w:spacing w:line="500" w:lineRule="exact"/>
      <w:ind w:firstLine="561"/>
    </w:pPr>
    <w:rPr>
      <w:rFonts w:eastAsia="Times New Roman"/>
      <w:sz w:val="24"/>
    </w:rPr>
  </w:style>
  <w:style w:type="paragraph" w:customStyle="1" w:styleId="51">
    <w:name w:val="普通(网站)2"/>
    <w:basedOn w:val="1"/>
    <w:uiPriority w:val="0"/>
    <w:pPr>
      <w:widowControl/>
      <w:spacing w:before="100" w:beforeAutospacing="1" w:after="100" w:afterAutospacing="1"/>
      <w:jc w:val="left"/>
    </w:pPr>
    <w:rPr>
      <w:rFonts w:ascii="宋体" w:hAnsi="宋体"/>
      <w:sz w:val="24"/>
      <w:szCs w:val="20"/>
    </w:rPr>
  </w:style>
  <w:style w:type="paragraph" w:customStyle="1" w:styleId="52">
    <w:name w:val="p0"/>
    <w:basedOn w:val="1"/>
    <w:qFormat/>
    <w:uiPriority w:val="0"/>
    <w:pPr>
      <w:widowControl/>
    </w:pPr>
    <w:rPr>
      <w:rFonts w:ascii="Times New Roman" w:hAnsi="Times New Roman" w:eastAsia="宋体" w:cs="Times New Roman"/>
      <w:kern w:val="0"/>
      <w:szCs w:val="21"/>
    </w:rPr>
  </w:style>
  <w:style w:type="paragraph" w:customStyle="1" w:styleId="53">
    <w:name w:val="Default"/>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4">
    <w:name w:val="正文_10"/>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文字缩进"/>
    <w:basedOn w:val="1"/>
    <w:qFormat/>
    <w:uiPriority w:val="0"/>
    <w:pPr>
      <w:spacing w:line="440" w:lineRule="exact"/>
      <w:ind w:firstLine="425" w:firstLineChars="177"/>
    </w:pPr>
    <w:rPr>
      <w:rFonts w:ascii="Calibri" w:hAnsi="Calibri"/>
      <w:bCs/>
      <w:sz w:val="24"/>
      <w:szCs w:val="22"/>
    </w:rPr>
  </w:style>
  <w:style w:type="paragraph" w:customStyle="1" w:styleId="56">
    <w:name w:val="Table Paragraph"/>
    <w:basedOn w:val="1"/>
    <w:qFormat/>
    <w:uiPriority w:val="1"/>
    <w:rPr>
      <w:rFonts w:ascii="宋体" w:hAnsi="宋体" w:eastAsia="宋体" w:cs="宋体"/>
      <w:lang w:val="zh-CN" w:eastAsia="zh-CN" w:bidi="zh-CN"/>
    </w:rPr>
  </w:style>
  <w:style w:type="paragraph" w:customStyle="1" w:styleId="57">
    <w:name w:val="表"/>
    <w:basedOn w:val="1"/>
    <w:qFormat/>
    <w:uiPriority w:val="0"/>
    <w:pPr>
      <w:snapToGrid w:val="0"/>
      <w:jc w:val="center"/>
    </w:pPr>
    <w:rPr>
      <w:rFonts w:ascii="Times New Roman" w:hAnsi="Times New Roman" w:eastAsia="宋体" w:cs="Times New Roman"/>
      <w:spacing w:val="2"/>
    </w:rPr>
  </w:style>
  <w:style w:type="paragraph" w:customStyle="1" w:styleId="58">
    <w:name w:val="表中文字"/>
    <w:basedOn w:val="59"/>
    <w:qFormat/>
    <w:uiPriority w:val="0"/>
    <w:pPr>
      <w:jc w:val="center"/>
    </w:pPr>
    <w:rPr>
      <w:spacing w:val="-1"/>
      <w:sz w:val="24"/>
    </w:rPr>
  </w:style>
  <w:style w:type="paragraph" w:customStyle="1" w:styleId="59">
    <w:name w:val="Table Text"/>
    <w:basedOn w:val="1"/>
    <w:semiHidden/>
    <w:qFormat/>
    <w:uiPriority w:val="0"/>
    <w:pPr>
      <w:widowControl/>
      <w:kinsoku w:val="0"/>
      <w:autoSpaceDE w:val="0"/>
      <w:autoSpaceDN w:val="0"/>
      <w:spacing w:line="240" w:lineRule="auto"/>
      <w:ind w:firstLine="0" w:firstLineChars="0"/>
      <w:jc w:val="left"/>
    </w:pPr>
    <w:rPr>
      <w:rFonts w:ascii="宋体" w:hAnsi="宋体" w:cs="宋体"/>
      <w:color w:val="000000"/>
      <w:kern w:val="0"/>
      <w:sz w:val="20"/>
      <w:szCs w:val="20"/>
      <w:lang w:eastAsia="en-US"/>
    </w:rPr>
  </w:style>
  <w:style w:type="paragraph" w:customStyle="1" w:styleId="60">
    <w:name w:val="正文1"/>
    <w:basedOn w:val="1"/>
    <w:next w:val="1"/>
    <w:qFormat/>
    <w:uiPriority w:val="0"/>
    <w:pPr>
      <w:adjustRightInd w:val="0"/>
      <w:snapToGrid w:val="0"/>
      <w:spacing w:line="500" w:lineRule="atLeast"/>
      <w:ind w:firstLine="567"/>
    </w:pPr>
    <w:rPr>
      <w:sz w:val="28"/>
    </w:rPr>
  </w:style>
  <w:style w:type="paragraph" w:customStyle="1" w:styleId="61">
    <w:name w:val="无间隔1"/>
    <w:qFormat/>
    <w:uiPriority w:val="99"/>
    <w:pPr>
      <w:widowControl w:val="0"/>
    </w:pPr>
    <w:rPr>
      <w:rFonts w:ascii="Times New Roman" w:hAnsi="Times New Roman" w:eastAsia="仿宋_GB2312" w:cs="Times New Roman"/>
      <w:kern w:val="2"/>
      <w:sz w:val="28"/>
      <w:szCs w:val="21"/>
      <w:lang w:val="en-US" w:eastAsia="zh-CN" w:bidi="ar-SA"/>
    </w:rPr>
  </w:style>
  <w:style w:type="paragraph" w:customStyle="1" w:styleId="62">
    <w:name w:val="表头"/>
    <w:basedOn w:val="1"/>
    <w:next w:val="1"/>
    <w:qFormat/>
    <w:uiPriority w:val="0"/>
    <w:pPr>
      <w:widowControl/>
      <w:adjustRightInd w:val="0"/>
      <w:snapToGrid w:val="0"/>
      <w:spacing w:line="240" w:lineRule="auto"/>
      <w:jc w:val="center"/>
      <w:outlineLvl w:val="0"/>
    </w:pPr>
    <w:rPr>
      <w:rFonts w:hint="default" w:ascii="Times New Roman" w:hAnsi="Times New Roman" w:eastAsia="宋体"/>
      <w:b/>
      <w:snapToGrid w:val="0"/>
      <w:kern w:val="0"/>
      <w:sz w:val="24"/>
      <w:szCs w:val="32"/>
    </w:rPr>
  </w:style>
  <w:style w:type="paragraph" w:customStyle="1" w:styleId="63">
    <w:name w:val="Char"/>
    <w:basedOn w:val="1"/>
    <w:next w:val="1"/>
    <w:qFormat/>
    <w:uiPriority w:val="0"/>
    <w:rPr>
      <w:rFonts w:ascii="Arial" w:hAnsi="Arial" w:eastAsia="黑体"/>
      <w:b/>
      <w:kern w:val="2"/>
      <w:sz w:val="2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57</Pages>
  <Words>10893</Words>
  <Characters>11822</Characters>
  <Lines>158</Lines>
  <Paragraphs>44</Paragraphs>
  <TotalTime>20</TotalTime>
  <ScaleCrop>false</ScaleCrop>
  <LinksUpToDate>false</LinksUpToDate>
  <CharactersWithSpaces>11920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2022-03-25T04:35:00Z</cp:lastPrinted>
  <dcterms:modified xsi:type="dcterms:W3CDTF">2026-08-03T09:10:47Z</dcterms:modified>
  <dc:title>附件2</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5ED03682C8744426AE7D441AACBB30D5_13</vt:lpwstr>
  </property>
  <property fmtid="{D5CDD505-2E9C-101B-9397-08002B2CF9AE}" pid="4" name="KSOTemplateDocerSaveRecord">
    <vt:lpwstr>eyJoZGlkIjoiZjNiMjU4ZWEzZDg4MjQ2NjMyZTA2YWExZmM2YjNlNGIiLCJ1c2VySWQiOiI1OTgzODMzNTQifQ==</vt:lpwstr>
  </property>
</Properties>
</file>