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288" w:lineRule="auto"/>
        <w:jc w:val="center"/>
        <w:outlineLvl w:val="0"/>
        <w:rPr>
          <w:rFonts w:hint="eastAsia" w:ascii="Times New Roman" w:hAnsi="Times New Roman" w:eastAsia="宋体" w:cs="Times New Roman"/>
          <w:color w:val="000000" w:themeColor="text1"/>
          <w:sz w:val="36"/>
          <w:szCs w:val="36"/>
          <w:lang w:eastAsia="zh-CN"/>
          <w14:textFill>
            <w14:solidFill>
              <w14:schemeClr w14:val="tx1"/>
            </w14:solidFill>
          </w14:textFill>
        </w:rPr>
      </w:pPr>
      <w:r>
        <w:rPr>
          <w:rFonts w:hint="default" w:ascii="Times New Roman" w:hAnsi="Times New Roman" w:eastAsia="楷体_GB2312" w:cs="Times New Roman"/>
          <w:color w:val="000000" w:themeColor="text1"/>
          <w:sz w:val="36"/>
          <w:szCs w:val="36"/>
          <w:lang w:eastAsia="zh-CN"/>
          <w14:textFill>
            <w14:solidFill>
              <w14:schemeClr w14:val="tx1"/>
            </w14:solidFill>
          </w14:textFill>
        </w:rPr>
        <w:drawing>
          <wp:inline distT="0" distB="0" distL="114300" distR="114300">
            <wp:extent cx="5615305" cy="7905750"/>
            <wp:effectExtent l="0" t="0" r="4445" b="0"/>
            <wp:docPr id="1" name="图片 1" descr="微信图片_20260709194506_149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60709194506_149_282"/>
                    <pic:cNvPicPr>
                      <a:picLocks noChangeAspect="1"/>
                    </pic:cNvPicPr>
                  </pic:nvPicPr>
                  <pic:blipFill>
                    <a:blip r:embed="rId7"/>
                    <a:stretch>
                      <a:fillRect/>
                    </a:stretch>
                  </pic:blipFill>
                  <pic:spPr>
                    <a:xfrm>
                      <a:off x="0" y="0"/>
                      <a:ext cx="5615305" cy="7905750"/>
                    </a:xfrm>
                    <a:prstGeom prst="rect">
                      <a:avLst/>
                    </a:prstGeom>
                  </pic:spPr>
                </pic:pic>
              </a:graphicData>
            </a:graphic>
          </wp:inline>
        </w:drawing>
      </w:r>
      <w:r>
        <w:drawing>
          <wp:inline distT="0" distB="0" distL="114300" distR="114300">
            <wp:extent cx="5605145" cy="7927975"/>
            <wp:effectExtent l="0" t="0" r="14605" b="158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5605145" cy="7927975"/>
                    </a:xfrm>
                    <a:prstGeom prst="rect">
                      <a:avLst/>
                    </a:prstGeom>
                    <a:noFill/>
                    <a:ln>
                      <a:noFill/>
                    </a:ln>
                  </pic:spPr>
                </pic:pic>
              </a:graphicData>
            </a:graphic>
          </wp:inline>
        </w:drawing>
      </w:r>
      <w:r>
        <w:drawing>
          <wp:inline distT="0" distB="0" distL="114300" distR="114300">
            <wp:extent cx="5605145" cy="7927975"/>
            <wp:effectExtent l="0" t="0" r="14605" b="158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5605145" cy="7927975"/>
                    </a:xfrm>
                    <a:prstGeom prst="rect">
                      <a:avLst/>
                    </a:prstGeom>
                    <a:noFill/>
                    <a:ln>
                      <a:noFill/>
                    </a:ln>
                  </pic:spPr>
                </pic:pic>
              </a:graphicData>
            </a:graphic>
          </wp:inline>
        </w:drawing>
      </w:r>
      <w:r>
        <w:drawing>
          <wp:inline distT="0" distB="0" distL="114300" distR="114300">
            <wp:extent cx="5612765" cy="7628255"/>
            <wp:effectExtent l="0" t="0" r="6985" b="1079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5612765" cy="7628255"/>
                    </a:xfrm>
                    <a:prstGeom prst="rect">
                      <a:avLst/>
                    </a:prstGeom>
                    <a:noFill/>
                    <a:ln>
                      <a:noFill/>
                    </a:ln>
                  </pic:spPr>
                </pic:pic>
              </a:graphicData>
            </a:graphic>
          </wp:inline>
        </w:drawing>
      </w:r>
      <w:r>
        <w:rPr>
          <w:rFonts w:hint="eastAsia" w:ascii="Times New Roman" w:hAnsi="Times New Roman" w:eastAsia="宋体" w:cs="Times New Roman"/>
          <w:color w:val="000000" w:themeColor="text1"/>
          <w:sz w:val="36"/>
          <w:szCs w:val="36"/>
          <w:lang w:eastAsia="zh-CN"/>
          <w14:textFill>
            <w14:solidFill>
              <w14:schemeClr w14:val="tx1"/>
            </w14:solidFill>
          </w14:textFill>
        </w:rPr>
        <w:drawing>
          <wp:inline distT="0" distB="0" distL="114300" distR="114300">
            <wp:extent cx="5595620" cy="7706995"/>
            <wp:effectExtent l="0" t="0" r="5080" b="8255"/>
            <wp:docPr id="7" name="图片 7" descr="微信图片_20260709194504_147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60709194504_147_282"/>
                    <pic:cNvPicPr>
                      <a:picLocks noChangeAspect="1"/>
                    </pic:cNvPicPr>
                  </pic:nvPicPr>
                  <pic:blipFill>
                    <a:blip r:embed="rId11"/>
                    <a:stretch>
                      <a:fillRect/>
                    </a:stretch>
                  </pic:blipFill>
                  <pic:spPr>
                    <a:xfrm>
                      <a:off x="0" y="0"/>
                      <a:ext cx="5595620" cy="7706995"/>
                    </a:xfrm>
                    <a:prstGeom prst="rect">
                      <a:avLst/>
                    </a:prstGeom>
                  </pic:spPr>
                </pic:pic>
              </a:graphicData>
            </a:graphic>
          </wp:inline>
        </w:drawing>
      </w:r>
    </w:p>
    <w:p>
      <w:pPr>
        <w:rPr>
          <w:rFonts w:ascii="仿宋_GB2312" w:hAnsi="仿宋_GB2312" w:eastAsia="仿宋_GB2312" w:cs="仿宋_GB2312"/>
          <w:sz w:val="36"/>
          <w:szCs w:val="36"/>
        </w:rPr>
      </w:pPr>
    </w:p>
    <w:p>
      <w:pPr>
        <w:rPr>
          <w:rFonts w:hint="eastAsia" w:ascii="仿宋_GB2312" w:hAnsi="仿宋_GB2312" w:eastAsia="仿宋_GB2312" w:cs="仿宋_GB2312"/>
          <w:sz w:val="36"/>
          <w:szCs w:val="36"/>
        </w:rPr>
      </w:pPr>
    </w:p>
    <w:p>
      <w:pPr>
        <w:spacing w:before="0" w:beforeLines="0" w:after="0" w:afterLines="0" w:line="240" w:lineRule="auto"/>
        <w:ind w:left="0" w:leftChars="0" w:right="0" w:rightChars="0" w:firstLine="0" w:firstLineChars="0"/>
        <w:jc w:val="center"/>
        <w:rPr>
          <w:rFonts w:hint="default" w:ascii="Times New Roman" w:hAnsi="Times New Roman" w:eastAsia="黑体" w:cs="Times New Roman"/>
          <w:color w:val="000000" w:themeColor="text1"/>
          <w:sz w:val="30"/>
          <w:szCs w:val="30"/>
          <w14:textFill>
            <w14:solidFill>
              <w14:schemeClr w14:val="tx1"/>
            </w14:solidFill>
          </w14:textFill>
        </w:rPr>
      </w:pPr>
      <w:r>
        <w:rPr>
          <w:rFonts w:hint="default" w:ascii="Times New Roman" w:hAnsi="Times New Roman" w:eastAsia="黑体" w:cs="Times New Roman"/>
          <w:color w:val="000000" w:themeColor="text1"/>
          <w:sz w:val="30"/>
          <w:szCs w:val="30"/>
          <w14:textFill>
            <w14:solidFill>
              <w14:schemeClr w14:val="tx1"/>
            </w14:solidFill>
          </w14:textFill>
        </w:rPr>
        <w:t>目录</w:t>
      </w:r>
    </w:p>
    <w:p>
      <w:pPr>
        <w:pStyle w:val="66"/>
        <w:tabs>
          <w:tab w:val="right" w:leader="dot" w:pos="8844"/>
        </w:tabs>
        <w:spacing w:line="360" w:lineRule="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TOC \o "1-1" \h \u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p>
    <w:p>
      <w:pPr>
        <w:pStyle w:val="66"/>
        <w:tabs>
          <w:tab w:val="right" w:leader="dot" w:pos="8844"/>
        </w:tabs>
        <w:spacing w:line="360" w:lineRule="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HYPERLINK \l _Toc26101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snapToGrid w:val="0"/>
          <w:color w:val="000000" w:themeColor="text1"/>
          <w:sz w:val="24"/>
          <w:szCs w:val="24"/>
          <w14:textFill>
            <w14:solidFill>
              <w14:schemeClr w14:val="tx1"/>
            </w14:solidFill>
          </w14:textFill>
        </w:rPr>
        <w:t>一、建设项目基本情况</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_Toc26101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- 1 -</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14:textFill>
            <w14:solidFill>
              <w14:schemeClr w14:val="tx1"/>
            </w14:solidFill>
          </w14:textFill>
        </w:rPr>
        <w:fldChar w:fldCharType="end"/>
      </w:r>
    </w:p>
    <w:p>
      <w:pPr>
        <w:pStyle w:val="66"/>
        <w:tabs>
          <w:tab w:val="right" w:leader="dot" w:pos="8844"/>
        </w:tabs>
        <w:spacing w:line="360" w:lineRule="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HYPERLINK \l _Toc5991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snapToGrid w:val="0"/>
          <w:color w:val="000000" w:themeColor="text1"/>
          <w:sz w:val="24"/>
          <w:szCs w:val="24"/>
          <w14:textFill>
            <w14:solidFill>
              <w14:schemeClr w14:val="tx1"/>
            </w14:solidFill>
          </w14:textFill>
        </w:rPr>
        <w:t>二、建设项目工程分析</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_Toc5991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- 13 -</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14:textFill>
            <w14:solidFill>
              <w14:schemeClr w14:val="tx1"/>
            </w14:solidFill>
          </w14:textFill>
        </w:rPr>
        <w:fldChar w:fldCharType="end"/>
      </w:r>
    </w:p>
    <w:p>
      <w:pPr>
        <w:pStyle w:val="66"/>
        <w:tabs>
          <w:tab w:val="right" w:leader="dot" w:pos="8844"/>
        </w:tabs>
        <w:spacing w:line="360" w:lineRule="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HYPERLINK \l _Toc12217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snapToGrid w:val="0"/>
          <w:color w:val="000000" w:themeColor="text1"/>
          <w:sz w:val="24"/>
          <w:szCs w:val="24"/>
          <w14:textFill>
            <w14:solidFill>
              <w14:schemeClr w14:val="tx1"/>
            </w14:solidFill>
          </w14:textFill>
        </w:rPr>
        <w:t>三、区域环境质量现状、环境保护目标及评价标准</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_Toc12217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- 27 -</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14:textFill>
            <w14:solidFill>
              <w14:schemeClr w14:val="tx1"/>
            </w14:solidFill>
          </w14:textFill>
        </w:rPr>
        <w:fldChar w:fldCharType="end"/>
      </w:r>
    </w:p>
    <w:p>
      <w:pPr>
        <w:pStyle w:val="66"/>
        <w:tabs>
          <w:tab w:val="right" w:leader="dot" w:pos="8844"/>
        </w:tabs>
        <w:spacing w:line="360" w:lineRule="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HYPERLINK \l _Toc24021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snapToGrid w:val="0"/>
          <w:color w:val="000000" w:themeColor="text1"/>
          <w:sz w:val="24"/>
          <w:szCs w:val="24"/>
          <w14:textFill>
            <w14:solidFill>
              <w14:schemeClr w14:val="tx1"/>
            </w14:solidFill>
          </w14:textFill>
        </w:rPr>
        <w:t>四、主要环境影响和保护措施</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_Toc24021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- 37 -</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14:textFill>
            <w14:solidFill>
              <w14:schemeClr w14:val="tx1"/>
            </w14:solidFill>
          </w14:textFill>
        </w:rPr>
        <w:fldChar w:fldCharType="end"/>
      </w:r>
    </w:p>
    <w:p>
      <w:pPr>
        <w:pStyle w:val="66"/>
        <w:tabs>
          <w:tab w:val="right" w:leader="dot" w:pos="8844"/>
        </w:tabs>
        <w:spacing w:line="360" w:lineRule="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HYPERLINK \l _Toc7314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snapToGrid w:val="0"/>
          <w:color w:val="000000" w:themeColor="text1"/>
          <w:sz w:val="24"/>
          <w:szCs w:val="24"/>
          <w14:textFill>
            <w14:solidFill>
              <w14:schemeClr w14:val="tx1"/>
            </w14:solidFill>
          </w14:textFill>
        </w:rPr>
        <w:t>五、环境保护措施监督检查清单</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_Toc7314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- 68 -</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14:textFill>
            <w14:solidFill>
              <w14:schemeClr w14:val="tx1"/>
            </w14:solidFill>
          </w14:textFill>
        </w:rPr>
        <w:fldChar w:fldCharType="end"/>
      </w:r>
    </w:p>
    <w:p>
      <w:pPr>
        <w:pStyle w:val="66"/>
        <w:tabs>
          <w:tab w:val="right" w:leader="dot" w:pos="8844"/>
        </w:tabs>
        <w:spacing w:line="360" w:lineRule="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HYPERLINK \l _Toc7624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snapToGrid w:val="0"/>
          <w:color w:val="000000" w:themeColor="text1"/>
          <w:sz w:val="24"/>
          <w:szCs w:val="24"/>
          <w14:textFill>
            <w14:solidFill>
              <w14:schemeClr w14:val="tx1"/>
            </w14:solidFill>
          </w14:textFill>
        </w:rPr>
        <w:t>六、结论</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_Toc7624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- 70 -</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14:textFill>
            <w14:solidFill>
              <w14:schemeClr w14:val="tx1"/>
            </w14:solidFill>
          </w14:textFill>
        </w:rPr>
        <w:fldChar w:fldCharType="end"/>
      </w:r>
    </w:p>
    <w:p>
      <w:pPr>
        <w:pStyle w:val="66"/>
        <w:tabs>
          <w:tab w:val="right" w:leader="dot" w:pos="8844"/>
        </w:tabs>
        <w:spacing w:line="360" w:lineRule="auto"/>
        <w:rPr>
          <w:rFonts w:hint="default" w:ascii="Times New Roman" w:hAnsi="Times New Roman" w:eastAsia="宋体" w:cs="Times New Roman"/>
          <w:color w:val="000000" w:themeColor="text1"/>
          <w:sz w:val="24"/>
          <w:szCs w:val="24"/>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HYPERLINK \l _Toc23299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snapToGrid w:val="0"/>
          <w:color w:val="000000" w:themeColor="text1"/>
          <w:sz w:val="24"/>
          <w:szCs w:val="24"/>
          <w14:textFill>
            <w14:solidFill>
              <w14:schemeClr w14:val="tx1"/>
            </w14:solidFill>
          </w14:textFill>
        </w:rPr>
        <w:t>附表</w:t>
      </w:r>
      <w:r>
        <w:rPr>
          <w:rFonts w:hint="default" w:ascii="Times New Roman" w:hAnsi="Times New Roman" w:eastAsia="宋体" w:cs="Times New Roman"/>
          <w:color w:val="000000" w:themeColor="text1"/>
          <w:sz w:val="24"/>
          <w:szCs w:val="24"/>
          <w14:textFill>
            <w14:solidFill>
              <w14:schemeClr w14:val="tx1"/>
            </w14:solidFill>
          </w14:textFill>
        </w:rPr>
        <w:tab/>
      </w:r>
      <w:r>
        <w:rPr>
          <w:rFonts w:hint="default" w:ascii="Times New Roman" w:hAnsi="Times New Roman" w:eastAsia="宋体" w:cs="Times New Roman"/>
          <w:color w:val="000000" w:themeColor="text1"/>
          <w:sz w:val="24"/>
          <w:szCs w:val="24"/>
          <w14:textFill>
            <w14:solidFill>
              <w14:schemeClr w14:val="tx1"/>
            </w14:solidFill>
          </w14:textFill>
        </w:rPr>
        <w:fldChar w:fldCharType="begin"/>
      </w:r>
      <w:r>
        <w:rPr>
          <w:rFonts w:hint="default" w:ascii="Times New Roman" w:hAnsi="Times New Roman" w:eastAsia="宋体" w:cs="Times New Roman"/>
          <w:color w:val="000000" w:themeColor="text1"/>
          <w:sz w:val="24"/>
          <w:szCs w:val="24"/>
          <w14:textFill>
            <w14:solidFill>
              <w14:schemeClr w14:val="tx1"/>
            </w14:solidFill>
          </w14:textFill>
        </w:rPr>
        <w:instrText xml:space="preserve"> PAGEREF _Toc23299 \h </w:instrText>
      </w:r>
      <w:r>
        <w:rPr>
          <w:rFonts w:hint="default" w:ascii="Times New Roman" w:hAnsi="Times New Roman" w:eastAsia="宋体" w:cs="Times New Roman"/>
          <w:color w:val="000000" w:themeColor="text1"/>
          <w:sz w:val="24"/>
          <w:szCs w:val="24"/>
          <w14:textFill>
            <w14:solidFill>
              <w14:schemeClr w14:val="tx1"/>
            </w14:solidFill>
          </w14:textFill>
        </w:rPr>
        <w:fldChar w:fldCharType="separate"/>
      </w:r>
      <w:r>
        <w:rPr>
          <w:rFonts w:hint="default" w:ascii="Times New Roman" w:hAnsi="Times New Roman" w:eastAsia="宋体" w:cs="Times New Roman"/>
          <w:color w:val="000000" w:themeColor="text1"/>
          <w:sz w:val="24"/>
          <w:szCs w:val="24"/>
          <w14:textFill>
            <w14:solidFill>
              <w14:schemeClr w14:val="tx1"/>
            </w14:solidFill>
          </w14:textFill>
        </w:rPr>
        <w:t>- 71 -</w:t>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14:textFill>
            <w14:solidFill>
              <w14:schemeClr w14:val="tx1"/>
            </w14:solidFill>
          </w14:textFill>
        </w:rPr>
        <w:fldChar w:fldCharType="end"/>
      </w:r>
      <w:r>
        <w:rPr>
          <w:rFonts w:hint="default" w:ascii="Times New Roman" w:hAnsi="Times New Roman" w:eastAsia="宋体" w:cs="Times New Roman"/>
          <w:color w:val="000000" w:themeColor="text1"/>
          <w:sz w:val="24"/>
          <w:szCs w:val="24"/>
          <w14:textFill>
            <w14:solidFill>
              <w14:schemeClr w14:val="tx1"/>
            </w14:solidFill>
          </w14:textFill>
        </w:rPr>
        <w:fldChar w:fldCharType="end"/>
      </w:r>
    </w:p>
    <w:p>
      <w:pPr>
        <w:pStyle w:val="66"/>
        <w:tabs>
          <w:tab w:val="right" w:leader="dot" w:pos="8844"/>
        </w:tabs>
        <w:spacing w:afterAutospacing="0" w:line="360" w:lineRule="auto"/>
        <w:rPr>
          <w:rFonts w:hint="default" w:ascii="Times New Roman" w:hAnsi="Times New Roman" w:eastAsia="宋体" w:cs="Times New Roman"/>
          <w:color w:val="FF0000"/>
          <w:sz w:val="24"/>
          <w:szCs w:val="24"/>
        </w:rPr>
      </w:pPr>
    </w:p>
    <w:p>
      <w:pPr>
        <w:pStyle w:val="26"/>
        <w:spacing w:before="0" w:beforeAutospacing="0" w:after="0" w:afterAutospacing="0" w:line="360" w:lineRule="auto"/>
        <w:jc w:val="both"/>
        <w:outlineLvl w:val="9"/>
        <w:rPr>
          <w:rFonts w:hint="default" w:ascii="Times New Roman" w:hAnsi="Times New Roman" w:eastAsia="宋体" w:cs="Times New Roman"/>
          <w:b w:val="0"/>
          <w:bCs w:val="0"/>
          <w:snapToGrid w:val="0"/>
          <w:color w:val="000000" w:themeColor="text1"/>
          <w:szCs w:val="30"/>
          <w:lang w:val="en-US" w:eastAsia="zh-CN"/>
          <w14:textFill>
            <w14:solidFill>
              <w14:schemeClr w14:val="tx1"/>
            </w14:solidFill>
          </w14:textFill>
        </w:rPr>
      </w:pPr>
      <w:r>
        <w:rPr>
          <w:rFonts w:hint="default" w:ascii="Times New Roman" w:hAnsi="Times New Roman" w:eastAsia="宋体" w:cs="Times New Roman"/>
          <w:b w:val="0"/>
          <w:bCs w:val="0"/>
          <w:snapToGrid w:val="0"/>
          <w:color w:val="000000" w:themeColor="text1"/>
          <w:szCs w:val="30"/>
          <w:lang w:val="en-US" w:eastAsia="zh-CN"/>
          <w14:textFill>
            <w14:solidFill>
              <w14:schemeClr w14:val="tx1"/>
            </w14:solidFill>
          </w14:textFill>
        </w:rPr>
        <w:t>附图：</w:t>
      </w:r>
    </w:p>
    <w:p>
      <w:pPr>
        <w:pStyle w:val="26"/>
        <w:numPr>
          <w:ilvl w:val="0"/>
          <w:numId w:val="0"/>
        </w:numPr>
        <w:spacing w:before="0" w:beforeAutospacing="0" w:after="0" w:afterAutospacing="0" w:line="360" w:lineRule="auto"/>
        <w:jc w:val="left"/>
        <w:outlineLvl w:val="0"/>
        <w:rPr>
          <w:rFonts w:hint="default" w:ascii="Times New Roman" w:hAnsi="Times New Roman" w:eastAsia="宋体" w:cs="Times New Roman"/>
          <w:b w:val="0"/>
          <w:bCs w:val="0"/>
          <w:snapToGrid w:val="0"/>
          <w:color w:val="auto"/>
          <w:kern w:val="0"/>
          <w:sz w:val="24"/>
          <w:szCs w:val="24"/>
          <w:lang w:val="en-US" w:eastAsia="zh-CN" w:bidi="ar-SA"/>
        </w:rPr>
      </w:pPr>
      <w:bookmarkStart w:id="0" w:name="_Toc20949"/>
      <w:r>
        <w:rPr>
          <w:rFonts w:hint="default" w:ascii="Times New Roman" w:hAnsi="Times New Roman" w:cs="Times New Roman"/>
          <w:b w:val="0"/>
          <w:bCs w:val="0"/>
          <w:snapToGrid w:val="0"/>
          <w:color w:val="auto"/>
          <w:kern w:val="0"/>
          <w:sz w:val="24"/>
          <w:szCs w:val="24"/>
          <w:lang w:val="en-US" w:eastAsia="zh-CN" w:bidi="ar-SA"/>
        </w:rPr>
        <w:t>1、现场照片</w:t>
      </w:r>
    </w:p>
    <w:bookmarkEnd w:id="0"/>
    <w:p>
      <w:pPr>
        <w:pStyle w:val="26"/>
        <w:numPr>
          <w:ilvl w:val="0"/>
          <w:numId w:val="0"/>
        </w:numPr>
        <w:spacing w:before="0" w:beforeAutospacing="0" w:after="0" w:afterAutospacing="0" w:line="360" w:lineRule="auto"/>
        <w:jc w:val="left"/>
        <w:outlineLvl w:val="0"/>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pPr>
      <w:bookmarkStart w:id="1" w:name="_Toc21350"/>
      <w:r>
        <w:rPr>
          <w:rFonts w:hint="eastAsia" w:ascii="Times New Roman" w:hAnsi="Times New Roman" w:cs="Times New Roman"/>
          <w:snapToGrid w:val="0"/>
          <w:color w:val="000000" w:themeColor="text1"/>
          <w:kern w:val="0"/>
          <w:sz w:val="24"/>
          <w:szCs w:val="24"/>
          <w:lang w:val="en-US" w:eastAsia="zh-CN" w:bidi="ar-SA"/>
          <w14:textFill>
            <w14:solidFill>
              <w14:schemeClr w14:val="tx1"/>
            </w14:solidFill>
          </w14:textFill>
        </w:rPr>
        <w:t>2</w:t>
      </w:r>
      <w:r>
        <w:rPr>
          <w:rFonts w:hint="default" w:ascii="Times New Roman" w:hAnsi="Times New Roman" w:cs="Times New Roman"/>
          <w:snapToGrid w:val="0"/>
          <w:color w:val="000000" w:themeColor="text1"/>
          <w:kern w:val="0"/>
          <w:sz w:val="24"/>
          <w:szCs w:val="24"/>
          <w:lang w:val="en-US" w:eastAsia="zh-CN" w:bidi="ar-SA"/>
          <w14:textFill>
            <w14:solidFill>
              <w14:schemeClr w14:val="tx1"/>
            </w14:solidFill>
          </w14:textFill>
        </w:rPr>
        <w:t>、</w:t>
      </w: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附图</w:t>
      </w:r>
      <w:r>
        <w:rPr>
          <w:rFonts w:hint="eastAsia" w:ascii="Times New Roman" w:hAnsi="Times New Roman" w:cs="Times New Roman"/>
          <w:snapToGrid w:val="0"/>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 xml:space="preserve">  项目地理位置示意图</w:t>
      </w:r>
      <w:bookmarkEnd w:id="1"/>
    </w:p>
    <w:p>
      <w:pPr>
        <w:pStyle w:val="26"/>
        <w:numPr>
          <w:ilvl w:val="0"/>
          <w:numId w:val="0"/>
        </w:numPr>
        <w:spacing w:before="0" w:beforeAutospacing="0" w:after="0" w:afterAutospacing="0" w:line="360" w:lineRule="auto"/>
        <w:jc w:val="left"/>
        <w:outlineLvl w:val="0"/>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pPr>
      <w:bookmarkStart w:id="2" w:name="_Toc12952"/>
      <w:r>
        <w:rPr>
          <w:rFonts w:hint="eastAsia" w:ascii="Times New Roman" w:hAnsi="Times New Roman" w:cs="Times New Roman"/>
          <w:snapToGrid w:val="0"/>
          <w:color w:val="000000" w:themeColor="text1"/>
          <w:kern w:val="0"/>
          <w:sz w:val="24"/>
          <w:szCs w:val="24"/>
          <w:lang w:val="en-US" w:eastAsia="zh-CN" w:bidi="ar-SA"/>
          <w14:textFill>
            <w14:solidFill>
              <w14:schemeClr w14:val="tx1"/>
            </w14:solidFill>
          </w14:textFill>
        </w:rPr>
        <w:t>3</w:t>
      </w:r>
      <w:r>
        <w:rPr>
          <w:rFonts w:hint="default" w:ascii="Times New Roman" w:hAnsi="Times New Roman" w:cs="Times New Roman"/>
          <w:snapToGrid w:val="0"/>
          <w:color w:val="000000" w:themeColor="text1"/>
          <w:kern w:val="0"/>
          <w:sz w:val="24"/>
          <w:szCs w:val="24"/>
          <w:lang w:val="en-US" w:eastAsia="zh-CN" w:bidi="ar-SA"/>
          <w14:textFill>
            <w14:solidFill>
              <w14:schemeClr w14:val="tx1"/>
            </w14:solidFill>
          </w14:textFill>
        </w:rPr>
        <w:t>、</w:t>
      </w: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附图</w:t>
      </w:r>
      <w:r>
        <w:rPr>
          <w:rFonts w:hint="eastAsia" w:ascii="Times New Roman" w:hAnsi="Times New Roman" w:cs="Times New Roman"/>
          <w:snapToGrid w:val="0"/>
          <w:color w:val="000000" w:themeColor="text1"/>
          <w:sz w:val="24"/>
          <w:szCs w:val="24"/>
          <w:lang w:val="en-US" w:eastAsia="zh-CN"/>
          <w14:textFill>
            <w14:solidFill>
              <w14:schemeClr w14:val="tx1"/>
            </w14:solidFill>
          </w14:textFill>
        </w:rPr>
        <w:t>2</w:t>
      </w: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 xml:space="preserve">  项目周边关系示意图</w:t>
      </w:r>
      <w:bookmarkEnd w:id="2"/>
    </w:p>
    <w:p>
      <w:pPr>
        <w:pStyle w:val="26"/>
        <w:numPr>
          <w:ilvl w:val="0"/>
          <w:numId w:val="0"/>
        </w:numPr>
        <w:spacing w:before="0" w:beforeAutospacing="0" w:after="0" w:afterAutospacing="0" w:line="360" w:lineRule="auto"/>
        <w:jc w:val="left"/>
        <w:outlineLvl w:val="0"/>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pPr>
      <w:bookmarkStart w:id="3" w:name="_Toc29116"/>
      <w:r>
        <w:rPr>
          <w:rFonts w:hint="eastAsia" w:ascii="Times New Roman" w:hAnsi="Times New Roman" w:cs="Times New Roman"/>
          <w:snapToGrid w:val="0"/>
          <w:color w:val="000000" w:themeColor="text1"/>
          <w:kern w:val="0"/>
          <w:sz w:val="24"/>
          <w:szCs w:val="24"/>
          <w:lang w:val="en-US" w:eastAsia="zh-CN" w:bidi="ar-SA"/>
          <w14:textFill>
            <w14:solidFill>
              <w14:schemeClr w14:val="tx1"/>
            </w14:solidFill>
          </w14:textFill>
        </w:rPr>
        <w:t>4</w:t>
      </w:r>
      <w:r>
        <w:rPr>
          <w:rFonts w:hint="default" w:ascii="Times New Roman" w:hAnsi="Times New Roman" w:cs="Times New Roman"/>
          <w:snapToGrid w:val="0"/>
          <w:color w:val="000000" w:themeColor="text1"/>
          <w:kern w:val="0"/>
          <w:sz w:val="24"/>
          <w:szCs w:val="24"/>
          <w:lang w:val="en-US" w:eastAsia="zh-CN" w:bidi="ar-SA"/>
          <w14:textFill>
            <w14:solidFill>
              <w14:schemeClr w14:val="tx1"/>
            </w14:solidFill>
          </w14:textFill>
        </w:rPr>
        <w:t>、</w:t>
      </w: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附图</w:t>
      </w:r>
      <w:r>
        <w:rPr>
          <w:rFonts w:hint="eastAsia" w:ascii="Times New Roman" w:hAnsi="Times New Roman" w:cs="Times New Roman"/>
          <w:snapToGrid w:val="0"/>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 xml:space="preserve">  项目平面布置图</w:t>
      </w:r>
      <w:bookmarkEnd w:id="3"/>
    </w:p>
    <w:p>
      <w:pPr>
        <w:pStyle w:val="26"/>
        <w:numPr>
          <w:ilvl w:val="0"/>
          <w:numId w:val="0"/>
        </w:numPr>
        <w:spacing w:before="0" w:beforeAutospacing="0" w:after="0" w:afterAutospacing="0" w:line="360" w:lineRule="auto"/>
        <w:jc w:val="left"/>
        <w:outlineLvl w:val="0"/>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pPr>
      <w:bookmarkStart w:id="4" w:name="_Toc17620"/>
      <w:r>
        <w:rPr>
          <w:rFonts w:hint="eastAsia" w:ascii="Times New Roman" w:hAnsi="Times New Roman" w:cs="Times New Roman"/>
          <w:snapToGrid w:val="0"/>
          <w:color w:val="000000" w:themeColor="text1"/>
          <w:kern w:val="0"/>
          <w:sz w:val="24"/>
          <w:szCs w:val="24"/>
          <w:lang w:val="en-US" w:eastAsia="zh-CN" w:bidi="ar-SA"/>
          <w14:textFill>
            <w14:solidFill>
              <w14:schemeClr w14:val="tx1"/>
            </w14:solidFill>
          </w14:textFill>
        </w:rPr>
        <w:t>5</w:t>
      </w:r>
      <w:r>
        <w:rPr>
          <w:rFonts w:hint="default" w:ascii="Times New Roman" w:hAnsi="Times New Roman" w:cs="Times New Roman"/>
          <w:snapToGrid w:val="0"/>
          <w:color w:val="000000" w:themeColor="text1"/>
          <w:kern w:val="0"/>
          <w:sz w:val="24"/>
          <w:szCs w:val="24"/>
          <w:lang w:val="en-US" w:eastAsia="zh-CN" w:bidi="ar-SA"/>
          <w14:textFill>
            <w14:solidFill>
              <w14:schemeClr w14:val="tx1"/>
            </w14:solidFill>
          </w14:textFill>
        </w:rPr>
        <w:t>、</w:t>
      </w: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附图</w:t>
      </w:r>
      <w:r>
        <w:rPr>
          <w:rFonts w:hint="eastAsia" w:ascii="Times New Roman" w:hAnsi="Times New Roman" w:cs="Times New Roman"/>
          <w:snapToGrid w:val="0"/>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 xml:space="preserve">  项目</w:t>
      </w:r>
      <w:r>
        <w:rPr>
          <w:rFonts w:hint="eastAsia" w:ascii="Times New Roman" w:hAnsi="Times New Roman" w:cs="Times New Roman"/>
          <w:snapToGrid w:val="0"/>
          <w:color w:val="000000" w:themeColor="text1"/>
          <w:sz w:val="24"/>
          <w:szCs w:val="24"/>
          <w:lang w:val="en-US" w:eastAsia="zh-CN"/>
          <w14:textFill>
            <w14:solidFill>
              <w14:schemeClr w14:val="tx1"/>
            </w14:solidFill>
          </w14:textFill>
        </w:rPr>
        <w:t>噪声</w:t>
      </w: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监测布点图</w:t>
      </w:r>
    </w:p>
    <w:p>
      <w:pPr>
        <w:pStyle w:val="26"/>
        <w:numPr>
          <w:ilvl w:val="0"/>
          <w:numId w:val="0"/>
        </w:numPr>
        <w:spacing w:before="0" w:beforeAutospacing="0" w:after="0" w:afterAutospacing="0" w:line="360" w:lineRule="auto"/>
        <w:jc w:val="left"/>
        <w:outlineLvl w:val="0"/>
        <w:rPr>
          <w:rFonts w:hint="default" w:ascii="Times New Roman" w:hAnsi="Times New Roman" w:cs="Times New Roman"/>
          <w:snapToGrid w:val="0"/>
          <w:color w:val="000000" w:themeColor="text1"/>
          <w:sz w:val="24"/>
          <w:szCs w:val="24"/>
          <w:lang w:val="en-US" w:eastAsia="zh-CN"/>
          <w14:textFill>
            <w14:solidFill>
              <w14:schemeClr w14:val="tx1"/>
            </w14:solidFill>
          </w14:textFill>
        </w:rPr>
      </w:pPr>
      <w:r>
        <w:rPr>
          <w:rFonts w:hint="eastAsia" w:ascii="Times New Roman" w:hAnsi="Times New Roman" w:cs="Times New Roman"/>
          <w:snapToGrid w:val="0"/>
          <w:color w:val="000000" w:themeColor="text1"/>
          <w:sz w:val="24"/>
          <w:szCs w:val="24"/>
          <w:lang w:val="en-US" w:eastAsia="zh-CN"/>
          <w14:textFill>
            <w14:solidFill>
              <w14:schemeClr w14:val="tx1"/>
            </w14:solidFill>
          </w14:textFill>
        </w:rPr>
        <w:t>6</w:t>
      </w:r>
      <w:r>
        <w:rPr>
          <w:rFonts w:hint="default" w:ascii="Times New Roman" w:hAnsi="Times New Roman" w:cs="Times New Roman"/>
          <w:snapToGrid w:val="0"/>
          <w:color w:val="000000" w:themeColor="text1"/>
          <w:kern w:val="0"/>
          <w:sz w:val="24"/>
          <w:szCs w:val="24"/>
          <w:lang w:val="en-US" w:eastAsia="zh-CN" w:bidi="ar-SA"/>
          <w14:textFill>
            <w14:solidFill>
              <w14:schemeClr w14:val="tx1"/>
            </w14:solidFill>
          </w14:textFill>
        </w:rPr>
        <w:t>、</w:t>
      </w:r>
      <w:r>
        <w:rPr>
          <w:rFonts w:hint="eastAsia" w:ascii="Times New Roman" w:hAnsi="Times New Roman" w:cs="Times New Roman"/>
          <w:snapToGrid w:val="0"/>
          <w:color w:val="000000" w:themeColor="text1"/>
          <w:sz w:val="24"/>
          <w:szCs w:val="24"/>
          <w:lang w:val="en-US" w:eastAsia="zh-CN"/>
          <w14:textFill>
            <w14:solidFill>
              <w14:schemeClr w14:val="tx1"/>
            </w14:solidFill>
          </w14:textFill>
        </w:rPr>
        <w:t>附图5  项目在防沙固沙区分布图相对位置</w:t>
      </w:r>
    </w:p>
    <w:p>
      <w:pPr>
        <w:pStyle w:val="26"/>
        <w:numPr>
          <w:ilvl w:val="0"/>
          <w:numId w:val="0"/>
        </w:numPr>
        <w:spacing w:before="0" w:beforeAutospacing="0" w:after="0" w:afterAutospacing="0" w:line="360" w:lineRule="auto"/>
        <w:jc w:val="left"/>
        <w:outlineLvl w:val="0"/>
        <w:rPr>
          <w:rFonts w:hint="eastAsia" w:ascii="Times New Roman" w:hAnsi="Times New Roman" w:cs="Times New Roman"/>
          <w:snapToGrid w:val="0"/>
          <w:color w:val="000000" w:themeColor="text1"/>
          <w:sz w:val="24"/>
          <w:szCs w:val="24"/>
          <w:lang w:val="en-US" w:eastAsia="zh-CN"/>
          <w14:textFill>
            <w14:solidFill>
              <w14:schemeClr w14:val="tx1"/>
            </w14:solidFill>
          </w14:textFill>
        </w:rPr>
      </w:pPr>
      <w:r>
        <w:rPr>
          <w:rFonts w:hint="eastAsia" w:ascii="Times New Roman" w:hAnsi="Times New Roman" w:cs="Times New Roman"/>
          <w:snapToGrid w:val="0"/>
          <w:color w:val="000000" w:themeColor="text1"/>
          <w:sz w:val="24"/>
          <w:szCs w:val="24"/>
          <w:lang w:val="en-US" w:eastAsia="zh-CN"/>
          <w14:textFill>
            <w14:solidFill>
              <w14:schemeClr w14:val="tx1"/>
            </w14:solidFill>
          </w14:textFill>
        </w:rPr>
        <w:t xml:space="preserve">7、附图6  </w:t>
      </w:r>
      <w:bookmarkEnd w:id="4"/>
      <w:r>
        <w:rPr>
          <w:rFonts w:hint="eastAsia" w:ascii="Times New Roman" w:hAnsi="Times New Roman" w:cs="Times New Roman"/>
          <w:snapToGrid w:val="0"/>
          <w:color w:val="000000" w:themeColor="text1"/>
          <w:sz w:val="24"/>
          <w:szCs w:val="24"/>
          <w:lang w:val="en-US" w:eastAsia="zh-CN"/>
          <w14:textFill>
            <w14:solidFill>
              <w14:schemeClr w14:val="tx1"/>
            </w14:solidFill>
          </w14:textFill>
        </w:rPr>
        <w:t>声环境敏感点分布图</w:t>
      </w:r>
    </w:p>
    <w:p>
      <w:pPr>
        <w:pStyle w:val="26"/>
        <w:numPr>
          <w:ilvl w:val="0"/>
          <w:numId w:val="0"/>
        </w:numPr>
        <w:spacing w:before="0" w:beforeAutospacing="0" w:after="0" w:afterAutospacing="0" w:line="360" w:lineRule="auto"/>
        <w:jc w:val="left"/>
        <w:outlineLvl w:val="0"/>
        <w:rPr>
          <w:rFonts w:hint="default" w:ascii="Times New Roman" w:hAnsi="Times New Roman" w:cs="Times New Roman"/>
          <w:snapToGrid w:val="0"/>
          <w:color w:val="000000" w:themeColor="text1"/>
          <w:sz w:val="24"/>
          <w:szCs w:val="24"/>
          <w:lang w:val="en-US" w:eastAsia="zh-CN"/>
          <w14:textFill>
            <w14:solidFill>
              <w14:schemeClr w14:val="tx1"/>
            </w14:solidFill>
          </w14:textFill>
        </w:rPr>
      </w:pPr>
      <w:r>
        <w:rPr>
          <w:rFonts w:hint="eastAsia" w:ascii="Times New Roman" w:hAnsi="Times New Roman" w:cs="Times New Roman"/>
          <w:snapToGrid w:val="0"/>
          <w:color w:val="000000" w:themeColor="text1"/>
          <w:sz w:val="24"/>
          <w:szCs w:val="24"/>
          <w:lang w:val="en-US" w:eastAsia="zh-CN"/>
          <w14:textFill>
            <w14:solidFill>
              <w14:schemeClr w14:val="tx1"/>
            </w14:solidFill>
          </w14:textFill>
        </w:rPr>
        <w:t>8、附图7  大气环境敏感点分布图</w:t>
      </w:r>
    </w:p>
    <w:p>
      <w:pPr>
        <w:pStyle w:val="26"/>
        <w:widowControl/>
        <w:numPr>
          <w:ilvl w:val="0"/>
          <w:numId w:val="0"/>
        </w:numPr>
        <w:spacing w:before="0" w:beforeAutospacing="0" w:after="0" w:afterAutospacing="0" w:line="360" w:lineRule="auto"/>
        <w:jc w:val="left"/>
        <w:outlineLvl w:val="0"/>
        <w:rPr>
          <w:rFonts w:hint="default" w:ascii="Times New Roman" w:hAnsi="Times New Roman" w:eastAsia="宋体" w:cs="Times New Roman"/>
          <w:snapToGrid w:val="0"/>
          <w:color w:val="FF0000"/>
          <w:sz w:val="24"/>
          <w:szCs w:val="24"/>
          <w:lang w:val="en-US" w:eastAsia="zh-CN"/>
        </w:rPr>
      </w:pPr>
    </w:p>
    <w:p>
      <w:pPr>
        <w:pStyle w:val="26"/>
        <w:widowControl/>
        <w:numPr>
          <w:ilvl w:val="0"/>
          <w:numId w:val="0"/>
        </w:numPr>
        <w:spacing w:before="0" w:beforeAutospacing="0" w:after="0" w:afterAutospacing="0" w:line="360" w:lineRule="auto"/>
        <w:jc w:val="left"/>
        <w:outlineLvl w:val="0"/>
        <w:rPr>
          <w:rFonts w:hint="default" w:ascii="Times New Roman" w:hAnsi="Times New Roman" w:eastAsia="宋体" w:cs="Times New Roman"/>
          <w:snapToGrid w:val="0"/>
          <w:color w:val="FF0000"/>
          <w:sz w:val="24"/>
          <w:szCs w:val="24"/>
          <w:lang w:val="en-US" w:eastAsia="zh-CN"/>
        </w:rPr>
      </w:pPr>
    </w:p>
    <w:p>
      <w:pPr>
        <w:pStyle w:val="26"/>
        <w:widowControl/>
        <w:numPr>
          <w:ilvl w:val="0"/>
          <w:numId w:val="0"/>
        </w:numPr>
        <w:spacing w:before="0" w:beforeAutospacing="0" w:after="0" w:afterAutospacing="0" w:line="360" w:lineRule="auto"/>
        <w:jc w:val="left"/>
        <w:outlineLvl w:val="0"/>
        <w:rPr>
          <w:rFonts w:hint="default" w:ascii="Times New Roman" w:hAnsi="Times New Roman" w:eastAsia="宋体" w:cs="Times New Roman"/>
          <w:snapToGrid w:val="0"/>
          <w:color w:val="FF0000"/>
          <w:sz w:val="24"/>
          <w:szCs w:val="24"/>
          <w:lang w:val="en-US" w:eastAsia="zh-CN"/>
        </w:rPr>
      </w:pPr>
    </w:p>
    <w:p>
      <w:pPr>
        <w:pStyle w:val="26"/>
        <w:widowControl/>
        <w:numPr>
          <w:ilvl w:val="0"/>
          <w:numId w:val="0"/>
        </w:numPr>
        <w:spacing w:before="0" w:beforeAutospacing="0" w:after="0" w:afterAutospacing="0" w:line="360" w:lineRule="auto"/>
        <w:jc w:val="left"/>
        <w:outlineLvl w:val="0"/>
        <w:rPr>
          <w:rFonts w:hint="default" w:ascii="Times New Roman" w:hAnsi="Times New Roman" w:eastAsia="宋体" w:cs="Times New Roman"/>
          <w:snapToGrid w:val="0"/>
          <w:color w:val="FF0000"/>
          <w:sz w:val="24"/>
          <w:szCs w:val="24"/>
          <w:lang w:val="en-US" w:eastAsia="zh-CN"/>
        </w:rPr>
      </w:pPr>
    </w:p>
    <w:p>
      <w:pPr>
        <w:pStyle w:val="26"/>
        <w:widowControl/>
        <w:numPr>
          <w:ilvl w:val="0"/>
          <w:numId w:val="0"/>
        </w:numPr>
        <w:spacing w:before="0" w:beforeAutospacing="0" w:after="0" w:afterAutospacing="0" w:line="360" w:lineRule="auto"/>
        <w:jc w:val="left"/>
        <w:outlineLvl w:val="0"/>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附件：</w:t>
      </w:r>
    </w:p>
    <w:p>
      <w:pPr>
        <w:pStyle w:val="26"/>
        <w:widowControl/>
        <w:numPr>
          <w:ilvl w:val="0"/>
          <w:numId w:val="0"/>
        </w:numPr>
        <w:spacing w:before="0" w:beforeAutospacing="0" w:after="0" w:afterAutospacing="0" w:line="360" w:lineRule="auto"/>
        <w:jc w:val="left"/>
        <w:outlineLvl w:val="0"/>
        <w:rPr>
          <w:rFonts w:hint="default" w:ascii="Times New Roman" w:hAnsi="Times New Roman" w:cs="Times New Roman"/>
          <w:snapToGrid w:val="0"/>
          <w:color w:val="000000" w:themeColor="text1"/>
          <w:sz w:val="24"/>
          <w:szCs w:val="24"/>
          <w:lang w:val="en-US" w:eastAsia="zh-CN"/>
          <w14:textFill>
            <w14:solidFill>
              <w14:schemeClr w14:val="tx1"/>
            </w14:solidFill>
          </w14:textFill>
        </w:rPr>
      </w:pPr>
      <w:r>
        <w:rPr>
          <w:rFonts w:hint="default" w:ascii="Times New Roman" w:hAnsi="Times New Roman" w:cs="Times New Roman"/>
          <w:snapToGrid w:val="0"/>
          <w:color w:val="000000" w:themeColor="text1"/>
          <w:kern w:val="0"/>
          <w:sz w:val="24"/>
          <w:szCs w:val="24"/>
          <w:lang w:val="en-US" w:eastAsia="zh-CN" w:bidi="ar-SA"/>
          <w14:textFill>
            <w14:solidFill>
              <w14:schemeClr w14:val="tx1"/>
            </w14:solidFill>
          </w14:textFill>
        </w:rPr>
        <w:t>1、</w:t>
      </w: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 xml:space="preserve">附件1  </w:t>
      </w:r>
      <w:r>
        <w:rPr>
          <w:rFonts w:hint="default" w:ascii="Times New Roman" w:hAnsi="Times New Roman" w:cs="Times New Roman"/>
          <w:snapToGrid w:val="0"/>
          <w:color w:val="000000" w:themeColor="text1"/>
          <w:sz w:val="24"/>
          <w:szCs w:val="24"/>
          <w:lang w:val="en-US" w:eastAsia="zh-CN"/>
          <w14:textFill>
            <w14:solidFill>
              <w14:schemeClr w14:val="tx1"/>
            </w14:solidFill>
          </w14:textFill>
        </w:rPr>
        <w:t>委托书</w:t>
      </w:r>
    </w:p>
    <w:p>
      <w:pPr>
        <w:pStyle w:val="26"/>
        <w:widowControl/>
        <w:numPr>
          <w:ilvl w:val="0"/>
          <w:numId w:val="0"/>
        </w:numPr>
        <w:spacing w:before="0" w:beforeAutospacing="0" w:after="0" w:afterAutospacing="0" w:line="360" w:lineRule="auto"/>
        <w:jc w:val="left"/>
        <w:outlineLvl w:val="0"/>
        <w:rPr>
          <w:rFonts w:hint="default" w:ascii="Times New Roman" w:hAnsi="Times New Roman" w:cs="Times New Roman"/>
          <w:snapToGrid w:val="0"/>
          <w:color w:val="000000" w:themeColor="text1"/>
          <w:sz w:val="24"/>
          <w:szCs w:val="24"/>
          <w:lang w:val="en-US" w:eastAsia="zh-CN"/>
          <w14:textFill>
            <w14:solidFill>
              <w14:schemeClr w14:val="tx1"/>
            </w14:solidFill>
          </w14:textFill>
        </w:rPr>
      </w:pPr>
      <w:r>
        <w:rPr>
          <w:rFonts w:hint="default" w:ascii="Times New Roman" w:hAnsi="Times New Roman" w:cs="Times New Roman"/>
          <w:snapToGrid w:val="0"/>
          <w:color w:val="000000" w:themeColor="text1"/>
          <w:kern w:val="0"/>
          <w:sz w:val="24"/>
          <w:szCs w:val="24"/>
          <w:lang w:val="en-US" w:eastAsia="zh-CN" w:bidi="ar-SA"/>
          <w14:textFill>
            <w14:solidFill>
              <w14:schemeClr w14:val="tx1"/>
            </w14:solidFill>
          </w14:textFill>
        </w:rPr>
        <w:t>2、</w:t>
      </w:r>
      <w:r>
        <w:rPr>
          <w:rFonts w:hint="default" w:ascii="Times New Roman" w:hAnsi="Times New Roman" w:cs="Times New Roman"/>
          <w:snapToGrid w:val="0"/>
          <w:color w:val="000000" w:themeColor="text1"/>
          <w:sz w:val="24"/>
          <w:szCs w:val="24"/>
          <w:lang w:val="en-US" w:eastAsia="zh-CN"/>
          <w14:textFill>
            <w14:solidFill>
              <w14:schemeClr w14:val="tx1"/>
            </w14:solidFill>
          </w14:textFill>
        </w:rPr>
        <w:t>附件2  营业执照</w:t>
      </w:r>
      <w:r>
        <w:rPr>
          <w:rFonts w:hint="eastAsia" w:ascii="Times New Roman" w:hAnsi="Times New Roman" w:cs="Times New Roman"/>
          <w:snapToGrid w:val="0"/>
          <w:color w:val="000000" w:themeColor="text1"/>
          <w:sz w:val="24"/>
          <w:szCs w:val="24"/>
          <w:lang w:val="en-US" w:eastAsia="zh-CN"/>
          <w14:textFill>
            <w14:solidFill>
              <w14:schemeClr w14:val="tx1"/>
            </w14:solidFill>
          </w14:textFill>
        </w:rPr>
        <w:t>、</w:t>
      </w:r>
      <w:r>
        <w:rPr>
          <w:rFonts w:hint="default" w:ascii="Times New Roman" w:hAnsi="Times New Roman" w:cs="Times New Roman"/>
          <w:snapToGrid w:val="0"/>
          <w:color w:val="000000" w:themeColor="text1"/>
          <w:sz w:val="24"/>
          <w:szCs w:val="24"/>
          <w:lang w:val="en-US" w:eastAsia="zh-CN"/>
          <w14:textFill>
            <w14:solidFill>
              <w14:schemeClr w14:val="tx1"/>
            </w14:solidFill>
          </w14:textFill>
        </w:rPr>
        <w:t>法</w:t>
      </w:r>
      <w:r>
        <w:rPr>
          <w:rFonts w:hint="eastAsia" w:ascii="Times New Roman" w:hAnsi="Times New Roman" w:cs="Times New Roman"/>
          <w:snapToGrid w:val="0"/>
          <w:color w:val="000000" w:themeColor="text1"/>
          <w:sz w:val="24"/>
          <w:szCs w:val="24"/>
          <w:lang w:val="en-US" w:eastAsia="zh-CN"/>
          <w14:textFill>
            <w14:solidFill>
              <w14:schemeClr w14:val="tx1"/>
            </w14:solidFill>
          </w14:textFill>
        </w:rPr>
        <w:t>人身份证</w:t>
      </w:r>
    </w:p>
    <w:p>
      <w:pPr>
        <w:pStyle w:val="26"/>
        <w:widowControl/>
        <w:numPr>
          <w:ilvl w:val="0"/>
          <w:numId w:val="0"/>
        </w:numPr>
        <w:spacing w:before="0" w:beforeAutospacing="0" w:after="0" w:afterAutospacing="0" w:line="360" w:lineRule="auto"/>
        <w:ind w:left="0" w:leftChars="0" w:firstLine="0" w:firstLineChars="0"/>
        <w:jc w:val="left"/>
        <w:outlineLvl w:val="0"/>
        <w:rPr>
          <w:rFonts w:hint="default" w:ascii="Times New Roman" w:hAnsi="Times New Roman" w:cs="Times New Roman"/>
          <w:snapToGrid w:val="0"/>
          <w:color w:val="000000" w:themeColor="text1"/>
          <w:sz w:val="24"/>
          <w:szCs w:val="24"/>
          <w:lang w:val="en-US" w:eastAsia="zh-CN"/>
          <w14:textFill>
            <w14:solidFill>
              <w14:schemeClr w14:val="tx1"/>
            </w14:solidFill>
          </w14:textFill>
        </w:rPr>
      </w:pPr>
      <w:r>
        <w:rPr>
          <w:rFonts w:hint="default" w:ascii="Times New Roman" w:hAnsi="Times New Roman" w:cs="Times New Roman"/>
          <w:snapToGrid w:val="0"/>
          <w:color w:val="000000" w:themeColor="text1"/>
          <w:kern w:val="0"/>
          <w:sz w:val="24"/>
          <w:szCs w:val="24"/>
          <w:lang w:val="en-US" w:eastAsia="zh-CN" w:bidi="ar-SA"/>
          <w14:textFill>
            <w14:solidFill>
              <w14:schemeClr w14:val="tx1"/>
            </w14:solidFill>
          </w14:textFill>
        </w:rPr>
        <w:t>3、</w:t>
      </w:r>
      <w:r>
        <w:rPr>
          <w:rFonts w:hint="default" w:ascii="Times New Roman" w:hAnsi="Times New Roman" w:cs="Times New Roman"/>
          <w:snapToGrid w:val="0"/>
          <w:color w:val="000000" w:themeColor="text1"/>
          <w:sz w:val="24"/>
          <w:szCs w:val="24"/>
          <w:lang w:val="en-US" w:eastAsia="zh-CN"/>
          <w14:textFill>
            <w14:solidFill>
              <w14:schemeClr w14:val="tx1"/>
            </w14:solidFill>
          </w14:textFill>
        </w:rPr>
        <w:t>附件3 门面租赁合同</w:t>
      </w:r>
    </w:p>
    <w:p>
      <w:pPr>
        <w:pStyle w:val="26"/>
        <w:widowControl/>
        <w:numPr>
          <w:ilvl w:val="0"/>
          <w:numId w:val="0"/>
        </w:numPr>
        <w:spacing w:before="0" w:beforeAutospacing="0" w:after="0" w:afterAutospacing="0" w:line="360" w:lineRule="auto"/>
        <w:ind w:left="0" w:leftChars="0" w:firstLine="0" w:firstLineChars="0"/>
        <w:jc w:val="left"/>
        <w:outlineLvl w:val="0"/>
        <w:rPr>
          <w:rFonts w:hint="eastAsia" w:ascii="Times New Roman" w:hAnsi="Times New Roman" w:cs="Times New Roman"/>
          <w:snapToGrid w:val="0"/>
          <w:color w:val="000000" w:themeColor="text1"/>
          <w:kern w:val="0"/>
          <w:sz w:val="24"/>
          <w:szCs w:val="24"/>
          <w:lang w:val="en-US" w:eastAsia="zh-CN" w:bidi="ar-SA"/>
          <w14:textFill>
            <w14:solidFill>
              <w14:schemeClr w14:val="tx1"/>
            </w14:solidFill>
          </w14:textFill>
        </w:rPr>
      </w:pPr>
      <w:r>
        <w:rPr>
          <w:rFonts w:hint="default" w:ascii="Times New Roman" w:hAnsi="Times New Roman" w:cs="Times New Roman"/>
          <w:snapToGrid w:val="0"/>
          <w:color w:val="000000" w:themeColor="text1"/>
          <w:sz w:val="24"/>
          <w:szCs w:val="24"/>
          <w:lang w:val="en-US" w:eastAsia="zh-CN"/>
          <w14:textFill>
            <w14:solidFill>
              <w14:schemeClr w14:val="tx1"/>
            </w14:solidFill>
          </w14:textFill>
        </w:rPr>
        <w:t>4</w:t>
      </w:r>
      <w:r>
        <w:rPr>
          <w:rFonts w:hint="default" w:ascii="Times New Roman" w:hAnsi="Times New Roman" w:cs="Times New Roman"/>
          <w:snapToGrid w:val="0"/>
          <w:color w:val="000000" w:themeColor="text1"/>
          <w:kern w:val="0"/>
          <w:sz w:val="24"/>
          <w:szCs w:val="24"/>
          <w:lang w:val="en-US" w:eastAsia="zh-CN" w:bidi="ar-SA"/>
          <w14:textFill>
            <w14:solidFill>
              <w14:schemeClr w14:val="tx1"/>
            </w14:solidFill>
          </w14:textFill>
        </w:rPr>
        <w:t>、</w:t>
      </w:r>
      <w:r>
        <w:rPr>
          <w:rFonts w:hint="default" w:ascii="Times New Roman" w:hAnsi="Times New Roman" w:cs="Times New Roman"/>
          <w:snapToGrid w:val="0"/>
          <w:color w:val="000000" w:themeColor="text1"/>
          <w:sz w:val="24"/>
          <w:szCs w:val="24"/>
          <w:lang w:val="en-US" w:eastAsia="zh-CN"/>
          <w14:textFill>
            <w14:solidFill>
              <w14:schemeClr w14:val="tx1"/>
            </w14:solidFill>
          </w14:textFill>
        </w:rPr>
        <w:t xml:space="preserve">附件4 </w:t>
      </w:r>
      <w:r>
        <w:rPr>
          <w:rFonts w:hint="eastAsia" w:ascii="Times New Roman" w:hAnsi="Times New Roman" w:cs="Times New Roman"/>
          <w:snapToGrid w:val="0"/>
          <w:color w:val="000000" w:themeColor="text1"/>
          <w:kern w:val="0"/>
          <w:sz w:val="24"/>
          <w:szCs w:val="24"/>
          <w:lang w:val="en-US" w:eastAsia="zh-CN" w:bidi="ar-SA"/>
          <w14:textFill>
            <w14:solidFill>
              <w14:schemeClr w14:val="tx1"/>
            </w14:solidFill>
          </w14:textFill>
        </w:rPr>
        <w:t xml:space="preserve"> 医疗废物集中处置协议书</w:t>
      </w:r>
    </w:p>
    <w:p>
      <w:pPr>
        <w:pStyle w:val="26"/>
        <w:widowControl/>
        <w:numPr>
          <w:ilvl w:val="0"/>
          <w:numId w:val="0"/>
        </w:numPr>
        <w:spacing w:before="0" w:beforeAutospacing="0" w:after="0" w:afterAutospacing="0" w:line="360" w:lineRule="auto"/>
        <w:ind w:left="0" w:leftChars="0" w:firstLine="0" w:firstLineChars="0"/>
        <w:jc w:val="left"/>
        <w:outlineLvl w:val="0"/>
        <w:rPr>
          <w:rFonts w:hint="eastAsia" w:ascii="Times New Roman" w:hAnsi="Times New Roman" w:cs="Times New Roman"/>
          <w:snapToGrid w:val="0"/>
          <w:color w:val="000000" w:themeColor="text1"/>
          <w:sz w:val="24"/>
          <w:szCs w:val="24"/>
          <w:lang w:val="en-US" w:eastAsia="zh-CN"/>
          <w14:textFill>
            <w14:solidFill>
              <w14:schemeClr w14:val="tx1"/>
            </w14:solidFill>
          </w14:textFill>
        </w:rPr>
      </w:pPr>
      <w:r>
        <w:rPr>
          <w:rFonts w:hint="default" w:ascii="Times New Roman" w:hAnsi="Times New Roman" w:cs="Times New Roman"/>
          <w:snapToGrid w:val="0"/>
          <w:color w:val="000000" w:themeColor="text1"/>
          <w:sz w:val="24"/>
          <w:szCs w:val="24"/>
          <w:lang w:val="en-US" w:eastAsia="zh-CN"/>
          <w14:textFill>
            <w14:solidFill>
              <w14:schemeClr w14:val="tx1"/>
            </w14:solidFill>
          </w14:textFill>
        </w:rPr>
        <w:t>5</w:t>
      </w:r>
      <w:r>
        <w:rPr>
          <w:rFonts w:hint="default" w:ascii="Times New Roman" w:hAnsi="Times New Roman" w:cs="Times New Roman"/>
          <w:snapToGrid w:val="0"/>
          <w:color w:val="000000" w:themeColor="text1"/>
          <w:kern w:val="0"/>
          <w:sz w:val="24"/>
          <w:szCs w:val="24"/>
          <w:lang w:val="en-US" w:eastAsia="zh-CN" w:bidi="ar-SA"/>
          <w14:textFill>
            <w14:solidFill>
              <w14:schemeClr w14:val="tx1"/>
            </w14:solidFill>
          </w14:textFill>
        </w:rPr>
        <w:t>、</w:t>
      </w:r>
      <w:r>
        <w:rPr>
          <w:rFonts w:hint="eastAsia" w:ascii="Times New Roman" w:hAnsi="Times New Roman" w:cs="Times New Roman"/>
          <w:snapToGrid w:val="0"/>
          <w:color w:val="000000" w:themeColor="text1"/>
          <w:kern w:val="0"/>
          <w:sz w:val="24"/>
          <w:szCs w:val="24"/>
          <w:lang w:val="en-US" w:eastAsia="zh-CN" w:bidi="ar-SA"/>
          <w14:textFill>
            <w14:solidFill>
              <w14:schemeClr w14:val="tx1"/>
            </w14:solidFill>
          </w14:textFill>
        </w:rPr>
        <w:t xml:space="preserve">附件5 </w:t>
      </w:r>
      <w:r>
        <w:rPr>
          <w:rFonts w:hint="eastAsia" w:ascii="Times New Roman" w:hAnsi="Times New Roman" w:cs="Times New Roman"/>
          <w:snapToGrid w:val="0"/>
          <w:color w:val="000000" w:themeColor="text1"/>
          <w:sz w:val="24"/>
          <w:szCs w:val="24"/>
          <w:lang w:val="en-US" w:eastAsia="zh-CN"/>
          <w14:textFill>
            <w14:solidFill>
              <w14:schemeClr w14:val="tx1"/>
            </w14:solidFill>
          </w14:textFill>
        </w:rPr>
        <w:t>噪声检测报告</w:t>
      </w:r>
    </w:p>
    <w:p>
      <w:pPr>
        <w:pStyle w:val="26"/>
        <w:widowControl/>
        <w:numPr>
          <w:ilvl w:val="0"/>
          <w:numId w:val="0"/>
        </w:numPr>
        <w:spacing w:before="0" w:beforeAutospacing="0" w:after="0" w:afterAutospacing="0" w:line="360" w:lineRule="auto"/>
        <w:ind w:left="0" w:leftChars="0" w:firstLine="0" w:firstLineChars="0"/>
        <w:jc w:val="left"/>
        <w:outlineLvl w:val="0"/>
        <w:rPr>
          <w:rFonts w:hint="default" w:ascii="Times New Roman" w:hAnsi="Times New Roman" w:cs="Times New Roman"/>
          <w:snapToGrid w:val="0"/>
          <w:color w:val="000000" w:themeColor="text1"/>
          <w:sz w:val="24"/>
          <w:szCs w:val="24"/>
          <w:lang w:val="en-US" w:eastAsia="zh-CN"/>
          <w14:textFill>
            <w14:solidFill>
              <w14:schemeClr w14:val="tx1"/>
            </w14:solidFill>
          </w14:textFill>
        </w:rPr>
      </w:pPr>
    </w:p>
    <w:p>
      <w:pPr>
        <w:pStyle w:val="26"/>
        <w:spacing w:after="0" w:afterAutospacing="0" w:line="360" w:lineRule="auto"/>
        <w:jc w:val="both"/>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sectPr>
          <w:footerReference r:id="rId3" w:type="default"/>
          <w:pgSz w:w="11906" w:h="16838"/>
          <w:pgMar w:top="1701" w:right="1531" w:bottom="1701" w:left="1531" w:header="851" w:footer="1077" w:gutter="0"/>
          <w:pgBorders>
            <w:top w:val="none" w:sz="0" w:space="0"/>
            <w:left w:val="none" w:sz="0" w:space="0"/>
            <w:bottom w:val="none" w:sz="0" w:space="0"/>
            <w:right w:val="none" w:sz="0" w:space="0"/>
          </w:pgBorders>
          <w:pgNumType w:fmt="numberInDash" w:start="1"/>
          <w:cols w:space="720" w:num="1"/>
          <w:docGrid w:linePitch="312" w:charSpace="0"/>
        </w:sectPr>
      </w:pPr>
      <w:bookmarkStart w:id="5" w:name="_Toc26101"/>
      <w:bookmarkStart w:id="6" w:name="_Toc24399"/>
    </w:p>
    <w:p>
      <w:pPr>
        <w:pStyle w:val="26"/>
        <w:spacing w:after="0" w:afterAutospacing="0" w:line="360" w:lineRule="auto"/>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r>
        <w:rPr>
          <w:rFonts w:hint="default" w:ascii="Times New Roman" w:hAnsi="Times New Roman" w:eastAsia="黑体" w:cs="Times New Roman"/>
          <w:snapToGrid w:val="0"/>
          <w:color w:val="000000" w:themeColor="text1"/>
          <w:sz w:val="30"/>
          <w:szCs w:val="30"/>
          <w14:textFill>
            <w14:solidFill>
              <w14:schemeClr w14:val="tx1"/>
            </w14:solidFill>
          </w14:textFill>
        </w:rPr>
        <w:t>一、建设项目基本情况</w:t>
      </w:r>
      <w:bookmarkEnd w:id="5"/>
      <w:bookmarkEnd w:id="6"/>
    </w:p>
    <w:tbl>
      <w:tblPr>
        <w:tblStyle w:val="29"/>
        <w:tblW w:w="502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500"/>
        <w:gridCol w:w="827"/>
        <w:gridCol w:w="1609"/>
        <w:gridCol w:w="2089"/>
        <w:gridCol w:w="288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06" w:type="pct"/>
            <w:gridSpan w:val="2"/>
            <w:noWrap w:val="0"/>
            <w:tcMar>
              <w:top w:w="16" w:type="dxa"/>
              <w:left w:w="16" w:type="dxa"/>
              <w:right w:w="16" w:type="dxa"/>
            </w:tcMar>
            <w:vAlign w:val="center"/>
          </w:tcPr>
          <w:p>
            <w:pPr>
              <w:adjustRightInd w:val="0"/>
              <w:snapToGrid w:val="0"/>
              <w:spacing w:beforeAutospacing="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建设项目名称</w:t>
            </w:r>
          </w:p>
        </w:tc>
        <w:tc>
          <w:tcPr>
            <w:tcW w:w="3693" w:type="pct"/>
            <w:gridSpan w:val="3"/>
            <w:noWrap w:val="0"/>
            <w:vAlign w:val="center"/>
          </w:tcPr>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爱宠汇猫友好</w:t>
            </w:r>
            <w:r>
              <w:rPr>
                <w:rFonts w:hint="default" w:ascii="Times New Roman" w:hAnsi="Times New Roman" w:eastAsia="宋体" w:cs="Times New Roman"/>
                <w:i w:val="0"/>
                <w:iCs w:val="0"/>
                <w:color w:val="000000" w:themeColor="text1"/>
                <w:sz w:val="24"/>
                <w:szCs w:val="24"/>
                <w:lang w:val="en-US" w:eastAsia="zh-CN"/>
                <w14:textFill>
                  <w14:solidFill>
                    <w14:schemeClr w14:val="tx1"/>
                  </w14:solidFill>
                </w14:textFill>
              </w:rPr>
              <w:t>宠物</w:t>
            </w:r>
            <w:r>
              <w:rPr>
                <w:rFonts w:hint="default" w:ascii="Times New Roman" w:hAnsi="Times New Roman" w:eastAsia="宋体" w:cs="Times New Roman"/>
                <w:i w:val="0"/>
                <w:iCs w:val="0"/>
                <w:color w:val="000000" w:themeColor="text1"/>
                <w:sz w:val="24"/>
                <w:szCs w:val="24"/>
                <w14:textFill>
                  <w14:solidFill>
                    <w14:schemeClr w14:val="tx1"/>
                  </w14:solidFill>
                </w14:textFill>
              </w:rPr>
              <w:t>医院建设项目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06" w:type="pct"/>
            <w:gridSpan w:val="2"/>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项目代码</w:t>
            </w:r>
          </w:p>
        </w:tc>
        <w:tc>
          <w:tcPr>
            <w:tcW w:w="3693" w:type="pct"/>
            <w:gridSpan w:val="3"/>
            <w:noWrap w:val="0"/>
            <w:vAlign w:val="center"/>
          </w:tcPr>
          <w:p>
            <w:pPr>
              <w:adjustRightInd w:val="0"/>
              <w:snapToGrid w:val="0"/>
              <w:jc w:val="center"/>
              <w:rPr>
                <w:rFonts w:hint="default" w:ascii="Times New Roman" w:hAnsi="Times New Roman" w:eastAsia="宋体" w:cs="Times New Roman"/>
                <w:i w:val="0"/>
                <w:iCs w:val="0"/>
                <w:color w:val="000000" w:themeColor="text1"/>
                <w:sz w:val="24"/>
                <w:szCs w:val="24"/>
                <w:lang w:val="en-US" w:eastAsia="zh-CN"/>
                <w14:textFill>
                  <w14:solidFill>
                    <w14:schemeClr w14:val="tx1"/>
                  </w14:solidFill>
                </w14:textFill>
              </w:rPr>
            </w:pPr>
            <w:bookmarkStart w:id="36" w:name="_GoBack"/>
            <w:bookmarkEnd w:id="36"/>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06" w:type="pct"/>
            <w:gridSpan w:val="2"/>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建设单位联系人</w:t>
            </w:r>
          </w:p>
        </w:tc>
        <w:tc>
          <w:tcPr>
            <w:tcW w:w="903" w:type="pct"/>
            <w:noWrap w:val="0"/>
            <w:vAlign w:val="center"/>
          </w:tcPr>
          <w:p>
            <w:pPr>
              <w:adjustRightInd w:val="0"/>
              <w:snapToGrid w:val="0"/>
              <w:jc w:val="center"/>
              <w:rPr>
                <w:rFonts w:hint="default" w:ascii="Times New Roman" w:hAnsi="Times New Roman" w:eastAsia="宋体" w:cs="Times New Roman"/>
                <w:i w:val="0"/>
                <w:iCs w:val="0"/>
                <w:color w:val="000000" w:themeColor="text1"/>
                <w:sz w:val="24"/>
                <w:szCs w:val="24"/>
                <w:lang w:val="en-US" w:eastAsia="zh-CN"/>
                <w14:textFill>
                  <w14:solidFill>
                    <w14:schemeClr w14:val="tx1"/>
                  </w14:solidFill>
                </w14:textFill>
              </w:rPr>
            </w:pPr>
          </w:p>
        </w:tc>
        <w:tc>
          <w:tcPr>
            <w:tcW w:w="1172" w:type="pct"/>
            <w:noWrap w:val="0"/>
            <w:vAlign w:val="center"/>
          </w:tcPr>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p>
        </w:tc>
        <w:tc>
          <w:tcPr>
            <w:tcW w:w="1617" w:type="pct"/>
            <w:noWrap w:val="0"/>
            <w:vAlign w:val="center"/>
          </w:tcPr>
          <w:p>
            <w:pPr>
              <w:adjustRightInd w:val="0"/>
              <w:snapToGrid w:val="0"/>
              <w:jc w:val="center"/>
              <w:rPr>
                <w:rFonts w:hint="default" w:ascii="Times New Roman" w:hAnsi="Times New Roman" w:eastAsia="宋体" w:cs="Times New Roman"/>
                <w:i w:val="0"/>
                <w:iCs w:val="0"/>
                <w:color w:val="000000" w:themeColor="text1"/>
                <w:sz w:val="24"/>
                <w:szCs w:val="24"/>
                <w:lang w:val="en-US" w:eastAsia="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34" w:hRule="atLeast"/>
          <w:jc w:val="center"/>
        </w:trPr>
        <w:tc>
          <w:tcPr>
            <w:tcW w:w="1306" w:type="pct"/>
            <w:gridSpan w:val="2"/>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建设地点</w:t>
            </w:r>
          </w:p>
        </w:tc>
        <w:tc>
          <w:tcPr>
            <w:tcW w:w="3693" w:type="pct"/>
            <w:gridSpan w:val="3"/>
            <w:noWrap w:val="0"/>
            <w:vAlign w:val="center"/>
          </w:tcPr>
          <w:p>
            <w:pPr>
              <w:adjustRightInd w:val="0"/>
              <w:snapToGrid w:val="0"/>
              <w:jc w:val="center"/>
              <w:rPr>
                <w:rFonts w:hint="default" w:ascii="Times New Roman" w:hAnsi="Times New Roman" w:eastAsia="宋体" w:cs="Times New Roman"/>
                <w:i w:val="0"/>
                <w:iCs w:val="0"/>
                <w:color w:val="000000" w:themeColor="text1"/>
                <w:sz w:val="24"/>
                <w:szCs w:val="24"/>
                <w:lang w:val="en-US" w:eastAsia="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53" w:hRule="atLeast"/>
          <w:jc w:val="center"/>
        </w:trPr>
        <w:tc>
          <w:tcPr>
            <w:tcW w:w="1306" w:type="pct"/>
            <w:gridSpan w:val="2"/>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地理坐标</w:t>
            </w:r>
          </w:p>
        </w:tc>
        <w:tc>
          <w:tcPr>
            <w:tcW w:w="3693" w:type="pct"/>
            <w:gridSpan w:val="3"/>
            <w:noWrap w:val="0"/>
            <w:vAlign w:val="center"/>
          </w:tcPr>
          <w:p>
            <w:pPr>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306" w:type="pct"/>
            <w:gridSpan w:val="2"/>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国民经济</w:t>
            </w:r>
          </w:p>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行业类别</w:t>
            </w:r>
          </w:p>
        </w:tc>
        <w:tc>
          <w:tcPr>
            <w:tcW w:w="903" w:type="pct"/>
            <w:noWrap w:val="0"/>
            <w:vAlign w:val="center"/>
          </w:tcPr>
          <w:p>
            <w:pPr>
              <w:adjustRightInd w:val="0"/>
              <w:snapToGrid w:val="0"/>
              <w:jc w:val="center"/>
              <w:rPr>
                <w:rFonts w:hint="default" w:ascii="Times New Roman" w:hAnsi="Times New Roman" w:cs="Times New Roman"/>
                <w:i w:val="0"/>
                <w:iCs w:val="0"/>
                <w:color w:val="000000" w:themeColor="text1"/>
                <w:sz w:val="24"/>
                <w:szCs w:val="24"/>
                <w:lang w:val="en-US" w:eastAsia="zh-CN"/>
                <w14:textFill>
                  <w14:solidFill>
                    <w14:schemeClr w14:val="tx1"/>
                  </w14:solidFill>
                </w14:textFill>
              </w:rPr>
            </w:pP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O8222 宠物医院服务</w:t>
            </w:r>
          </w:p>
        </w:tc>
        <w:tc>
          <w:tcPr>
            <w:tcW w:w="1172" w:type="pct"/>
            <w:noWrap w:val="0"/>
            <w:vAlign w:val="center"/>
          </w:tcPr>
          <w:p>
            <w:pPr>
              <w:adjustRightInd w:val="0"/>
              <w:snapToGrid w:val="0"/>
              <w:jc w:val="center"/>
              <w:rPr>
                <w:rFonts w:hint="default" w:ascii="Times New Roman" w:hAnsi="Times New Roman" w:eastAsia="宋体" w:cs="Times New Roman"/>
                <w:i w:val="0"/>
                <w:iCs w:val="0"/>
                <w:color w:val="000000" w:themeColor="text1"/>
                <w:sz w:val="24"/>
                <w:szCs w:val="24"/>
                <w:highlight w:val="none"/>
                <w14:textFill>
                  <w14:solidFill>
                    <w14:schemeClr w14:val="tx1"/>
                  </w14:solidFill>
                </w14:textFill>
              </w:rPr>
            </w:pPr>
            <w:r>
              <w:rPr>
                <w:rFonts w:hint="default" w:ascii="Times New Roman" w:hAnsi="Times New Roman" w:eastAsia="宋体" w:cs="Times New Roman"/>
                <w:i w:val="0"/>
                <w:iCs w:val="0"/>
                <w:color w:val="000000" w:themeColor="text1"/>
                <w:sz w:val="24"/>
                <w:szCs w:val="24"/>
                <w:highlight w:val="none"/>
                <w14:textFill>
                  <w14:solidFill>
                    <w14:schemeClr w14:val="tx1"/>
                  </w14:solidFill>
                </w14:textFill>
              </w:rPr>
              <w:t>建设项目</w:t>
            </w:r>
          </w:p>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highlight w:val="none"/>
                <w14:textFill>
                  <w14:solidFill>
                    <w14:schemeClr w14:val="tx1"/>
                  </w14:solidFill>
                </w14:textFill>
              </w:rPr>
              <w:t>行业类别</w:t>
            </w:r>
          </w:p>
        </w:tc>
        <w:tc>
          <w:tcPr>
            <w:tcW w:w="1617" w:type="pct"/>
            <w:noWrap w:val="0"/>
            <w:vAlign w:val="center"/>
          </w:tcPr>
          <w:p>
            <w:pPr>
              <w:adjustRightInd w:val="0"/>
              <w:snapToGrid w:val="0"/>
              <w:jc w:val="center"/>
              <w:rPr>
                <w:rFonts w:hint="default" w:ascii="Times New Roman" w:hAnsi="Times New Roman" w:eastAsia="宋体" w:cs="Times New Roman"/>
                <w:i w:val="0"/>
                <w:iCs w:val="0"/>
                <w:color w:val="000000" w:themeColor="text1"/>
                <w:sz w:val="24"/>
                <w:szCs w:val="24"/>
                <w:lang w:val="en-US"/>
                <w14:textFill>
                  <w14:solidFill>
                    <w14:schemeClr w14:val="tx1"/>
                  </w14:solidFill>
                </w14:textFill>
              </w:rPr>
            </w:pPr>
            <w:r>
              <w:rPr>
                <w:rFonts w:hint="default" w:ascii="Times New Roman" w:hAnsi="Times New Roman" w:eastAsia="宋体" w:cs="Times New Roman"/>
                <w:i w:val="0"/>
                <w:iCs w:val="0"/>
                <w:color w:val="000000" w:themeColor="text1"/>
                <w:sz w:val="24"/>
                <w:szCs w:val="24"/>
                <w:lang w:val="en-US"/>
                <w14:textFill>
                  <w14:solidFill>
                    <w14:schemeClr w14:val="tx1"/>
                  </w14:solidFill>
                </w14:textFill>
              </w:rPr>
              <w:t>五十、社会事业与服务业--123动物医院--设有动物颅腔、胸腔或腹腔手术设施的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12" w:hRule="atLeast"/>
          <w:jc w:val="center"/>
        </w:trPr>
        <w:tc>
          <w:tcPr>
            <w:tcW w:w="1306" w:type="pct"/>
            <w:gridSpan w:val="2"/>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建设性质</w:t>
            </w:r>
          </w:p>
        </w:tc>
        <w:tc>
          <w:tcPr>
            <w:tcW w:w="903" w:type="pct"/>
            <w:noWrap w:val="0"/>
            <w:vAlign w:val="center"/>
          </w:tcPr>
          <w:p>
            <w:pPr>
              <w:jc w:val="left"/>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eastAsia" w:cs="Times New Roman"/>
                <w:i w:val="0"/>
                <w:i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i w:val="0"/>
                <w:iCs w:val="0"/>
                <w:color w:val="000000" w:themeColor="text1"/>
                <w:sz w:val="24"/>
                <w:szCs w:val="24"/>
                <w14:textFill>
                  <w14:solidFill>
                    <w14:schemeClr w14:val="tx1"/>
                  </w14:solidFill>
                </w14:textFill>
              </w:rPr>
              <w:t>新建（迁建）</w:t>
            </w:r>
          </w:p>
          <w:p>
            <w:pPr>
              <w:jc w:val="left"/>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eastAsia" w:cs="Times New Roman"/>
                <w:i w:val="0"/>
                <w:i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i w:val="0"/>
                <w:iCs w:val="0"/>
                <w:color w:val="000000" w:themeColor="text1"/>
                <w:sz w:val="24"/>
                <w:szCs w:val="24"/>
                <w14:textFill>
                  <w14:solidFill>
                    <w14:schemeClr w14:val="tx1"/>
                  </w14:solidFill>
                </w14:textFill>
              </w:rPr>
              <w:t>改建</w:t>
            </w:r>
          </w:p>
          <w:p>
            <w:pPr>
              <w:jc w:val="left"/>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eastAsia" w:cs="Times New Roman"/>
                <w:i w:val="0"/>
                <w:i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i w:val="0"/>
                <w:iCs w:val="0"/>
                <w:color w:val="000000" w:themeColor="text1"/>
                <w:sz w:val="24"/>
                <w:szCs w:val="24"/>
                <w14:textFill>
                  <w14:solidFill>
                    <w14:schemeClr w14:val="tx1"/>
                  </w14:solidFill>
                </w14:textFill>
              </w:rPr>
              <w:t>扩建</w:t>
            </w:r>
          </w:p>
          <w:p>
            <w:pPr>
              <w:jc w:val="left"/>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eastAsia" w:cs="Times New Roman"/>
                <w:i w:val="0"/>
                <w:i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i w:val="0"/>
                <w:iCs w:val="0"/>
                <w:color w:val="000000" w:themeColor="text1"/>
                <w:sz w:val="24"/>
                <w:szCs w:val="24"/>
                <w14:textFill>
                  <w14:solidFill>
                    <w14:schemeClr w14:val="tx1"/>
                  </w14:solidFill>
                </w14:textFill>
              </w:rPr>
              <w:t>技术改造</w:t>
            </w:r>
          </w:p>
        </w:tc>
        <w:tc>
          <w:tcPr>
            <w:tcW w:w="1172" w:type="pct"/>
            <w:noWrap w:val="0"/>
            <w:vAlign w:val="center"/>
          </w:tcPr>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建设项目</w:t>
            </w:r>
          </w:p>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申报情形</w:t>
            </w:r>
          </w:p>
        </w:tc>
        <w:tc>
          <w:tcPr>
            <w:tcW w:w="1617" w:type="pct"/>
            <w:noWrap w:val="0"/>
            <w:vAlign w:val="center"/>
          </w:tcPr>
          <w:p>
            <w:pPr>
              <w:jc w:val="left"/>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sym w:font="Wingdings 2" w:char="0052"/>
            </w:r>
            <w:r>
              <w:rPr>
                <w:rFonts w:hint="default" w:ascii="Times New Roman" w:hAnsi="Times New Roman" w:eastAsia="宋体" w:cs="Times New Roman"/>
                <w:i w:val="0"/>
                <w:iCs w:val="0"/>
                <w:color w:val="000000" w:themeColor="text1"/>
                <w:sz w:val="24"/>
                <w:szCs w:val="24"/>
                <w14:textFill>
                  <w14:solidFill>
                    <w14:schemeClr w14:val="tx1"/>
                  </w14:solidFill>
                </w14:textFill>
              </w:rPr>
              <w:t xml:space="preserve">首次申报项目             </w:t>
            </w:r>
          </w:p>
          <w:p>
            <w:pPr>
              <w:jc w:val="left"/>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cs="Times New Roman"/>
                <w:i w:val="0"/>
                <w:i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i w:val="0"/>
                <w:iCs w:val="0"/>
                <w:color w:val="000000" w:themeColor="text1"/>
                <w:sz w:val="24"/>
                <w:szCs w:val="24"/>
                <w14:textFill>
                  <w14:solidFill>
                    <w14:schemeClr w14:val="tx1"/>
                  </w14:solidFill>
                </w14:textFill>
              </w:rPr>
              <w:t>不予批准后再次申报项目</w:t>
            </w:r>
          </w:p>
          <w:p>
            <w:pPr>
              <w:jc w:val="left"/>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sym w:font="Wingdings 2" w:char="00A3"/>
            </w:r>
            <w:r>
              <w:rPr>
                <w:rFonts w:hint="default" w:ascii="Times New Roman" w:hAnsi="Times New Roman" w:eastAsia="宋体" w:cs="Times New Roman"/>
                <w:i w:val="0"/>
                <w:iCs w:val="0"/>
                <w:color w:val="000000" w:themeColor="text1"/>
                <w:sz w:val="24"/>
                <w:szCs w:val="24"/>
                <w14:textFill>
                  <w14:solidFill>
                    <w14:schemeClr w14:val="tx1"/>
                  </w14:solidFill>
                </w14:textFill>
              </w:rPr>
              <w:t xml:space="preserve">超五年重新审核项目     </w:t>
            </w:r>
          </w:p>
          <w:p>
            <w:pPr>
              <w:jc w:val="left"/>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cs="Times New Roman"/>
                <w:i w:val="0"/>
                <w:i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i w:val="0"/>
                <w:iCs w:val="0"/>
                <w:color w:val="000000" w:themeColor="text1"/>
                <w:sz w:val="24"/>
                <w:szCs w:val="24"/>
                <w14:textFill>
                  <w14:solidFill>
                    <w14:schemeClr w14:val="tx1"/>
                  </w14:solidFill>
                </w14:textFill>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306" w:type="pct"/>
            <w:gridSpan w:val="2"/>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项目审批（核准/</w:t>
            </w:r>
          </w:p>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备案）部门（选填）</w:t>
            </w:r>
          </w:p>
        </w:tc>
        <w:tc>
          <w:tcPr>
            <w:tcW w:w="903" w:type="pct"/>
            <w:noWrap w:val="0"/>
            <w:vAlign w:val="center"/>
          </w:tcPr>
          <w:p>
            <w:pPr>
              <w:adjustRightInd w:val="0"/>
              <w:snapToGrid w:val="0"/>
              <w:jc w:val="center"/>
              <w:rPr>
                <w:rFonts w:hint="eastAsia" w:ascii="Times New Roman" w:hAnsi="Times New Roman" w:eastAsia="宋体" w:cs="Times New Roman"/>
                <w:i w:val="0"/>
                <w:iCs w:val="0"/>
                <w:color w:val="000000" w:themeColor="text1"/>
                <w:sz w:val="24"/>
                <w:szCs w:val="24"/>
                <w:lang w:val="en-US" w:eastAsia="zh-CN"/>
                <w14:textFill>
                  <w14:solidFill>
                    <w14:schemeClr w14:val="tx1"/>
                  </w14:solidFill>
                </w14:textFill>
              </w:rPr>
            </w:pPr>
            <w:r>
              <w:rPr>
                <w:rFonts w:hint="eastAsia" w:cs="Times New Roman"/>
                <w:i w:val="0"/>
                <w:iCs w:val="0"/>
                <w:color w:val="000000" w:themeColor="text1"/>
                <w:sz w:val="24"/>
                <w:szCs w:val="24"/>
                <w:lang w:val="en-US" w:eastAsia="zh-CN"/>
                <w14:textFill>
                  <w14:solidFill>
                    <w14:schemeClr w14:val="tx1"/>
                  </w14:solidFill>
                </w14:textFill>
              </w:rPr>
              <w:t>/</w:t>
            </w:r>
          </w:p>
        </w:tc>
        <w:tc>
          <w:tcPr>
            <w:tcW w:w="1172" w:type="pct"/>
            <w:noWrap w:val="0"/>
            <w:vAlign w:val="center"/>
          </w:tcPr>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项目审批（核准/</w:t>
            </w:r>
          </w:p>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备案）文号（选填）</w:t>
            </w:r>
          </w:p>
        </w:tc>
        <w:tc>
          <w:tcPr>
            <w:tcW w:w="1617" w:type="pct"/>
            <w:noWrap w:val="0"/>
            <w:vAlign w:val="center"/>
          </w:tcPr>
          <w:p>
            <w:pPr>
              <w:adjustRightInd w:val="0"/>
              <w:snapToGrid w:val="0"/>
              <w:jc w:val="center"/>
              <w:rPr>
                <w:rFonts w:hint="default" w:ascii="Times New Roman" w:hAnsi="Times New Roman" w:eastAsia="宋体" w:cs="Times New Roman"/>
                <w:i w:val="0"/>
                <w:iCs w:val="0"/>
                <w:color w:val="000000" w:themeColor="text1"/>
                <w:sz w:val="24"/>
                <w:szCs w:val="24"/>
                <w:lang w:val="en-US" w:eastAsia="zh-CN"/>
                <w14:textFill>
                  <w14:solidFill>
                    <w14:schemeClr w14:val="tx1"/>
                  </w14:solidFill>
                </w14:textFill>
              </w:rPr>
            </w:pPr>
            <w:r>
              <w:rPr>
                <w:rFonts w:hint="eastAsia" w:cs="Times New Roman"/>
                <w:i w:val="0"/>
                <w:iCs w:val="0"/>
                <w:color w:val="000000" w:themeColor="text1"/>
                <w:sz w:val="24"/>
                <w:szCs w:val="24"/>
                <w:lang w:val="en-US"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06" w:type="pct"/>
            <w:gridSpan w:val="2"/>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总投资（万元）</w:t>
            </w:r>
          </w:p>
        </w:tc>
        <w:tc>
          <w:tcPr>
            <w:tcW w:w="903" w:type="pct"/>
            <w:noWrap w:val="0"/>
            <w:vAlign w:val="center"/>
          </w:tcPr>
          <w:p>
            <w:pPr>
              <w:adjustRightInd w:val="0"/>
              <w:snapToGrid w:val="0"/>
              <w:jc w:val="center"/>
              <w:rPr>
                <w:rFonts w:hint="default" w:ascii="Times New Roman" w:hAnsi="Times New Roman" w:eastAsia="宋体" w:cs="Times New Roman"/>
                <w:i w:val="0"/>
                <w:iCs w:val="0"/>
                <w:color w:val="000000" w:themeColor="text1"/>
                <w:sz w:val="24"/>
                <w:szCs w:val="24"/>
                <w:lang w:val="en-US" w:eastAsia="zh-CN"/>
                <w14:textFill>
                  <w14:solidFill>
                    <w14:schemeClr w14:val="tx1"/>
                  </w14:solidFill>
                </w14:textFill>
              </w:rPr>
            </w:pPr>
            <w:r>
              <w:rPr>
                <w:rFonts w:hint="eastAsia" w:cs="Times New Roman"/>
                <w:i w:val="0"/>
                <w:iCs w:val="0"/>
                <w:color w:val="000000" w:themeColor="text1"/>
                <w:sz w:val="24"/>
                <w:szCs w:val="24"/>
                <w:lang w:val="en-US" w:eastAsia="zh-CN"/>
                <w14:textFill>
                  <w14:solidFill>
                    <w14:schemeClr w14:val="tx1"/>
                  </w14:solidFill>
                </w14:textFill>
              </w:rPr>
              <w:t>50</w:t>
            </w:r>
          </w:p>
        </w:tc>
        <w:tc>
          <w:tcPr>
            <w:tcW w:w="1172"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环保投资（万元）</w:t>
            </w:r>
          </w:p>
        </w:tc>
        <w:tc>
          <w:tcPr>
            <w:tcW w:w="1617" w:type="pct"/>
            <w:noWrap w:val="0"/>
            <w:vAlign w:val="center"/>
          </w:tcPr>
          <w:p>
            <w:pPr>
              <w:adjustRightInd w:val="0"/>
              <w:snapToGrid w:val="0"/>
              <w:jc w:val="center"/>
              <w:rPr>
                <w:rFonts w:hint="default" w:ascii="Times New Roman" w:hAnsi="Times New Roman" w:eastAsia="宋体" w:cs="Times New Roman"/>
                <w:i w:val="0"/>
                <w:iCs w:val="0"/>
                <w:color w:val="000000" w:themeColor="text1"/>
                <w:sz w:val="24"/>
                <w:szCs w:val="24"/>
                <w:lang w:val="en-US" w:eastAsia="zh-CN"/>
                <w14:textFill>
                  <w14:solidFill>
                    <w14:schemeClr w14:val="tx1"/>
                  </w14:solidFill>
                </w14:textFill>
              </w:rPr>
            </w:pPr>
            <w:r>
              <w:rPr>
                <w:rFonts w:hint="eastAsia" w:cs="Times New Roman"/>
                <w:i w:val="0"/>
                <w:iCs w:val="0"/>
                <w:color w:val="000000" w:themeColor="text1"/>
                <w:sz w:val="24"/>
                <w:szCs w:val="24"/>
                <w:lang w:val="en-US" w:eastAsia="zh-CN"/>
                <w14:textFill>
                  <w14:solidFill>
                    <w14:schemeClr w14:val="tx1"/>
                  </w14:solidFill>
                </w14:textFill>
              </w:rPr>
              <w:t>2.8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06" w:type="pct"/>
            <w:gridSpan w:val="2"/>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环保投资占比（%）</w:t>
            </w:r>
          </w:p>
        </w:tc>
        <w:tc>
          <w:tcPr>
            <w:tcW w:w="903" w:type="pct"/>
            <w:noWrap w:val="0"/>
            <w:vAlign w:val="center"/>
          </w:tcPr>
          <w:p>
            <w:pPr>
              <w:adjustRightInd w:val="0"/>
              <w:snapToGrid w:val="0"/>
              <w:jc w:val="center"/>
              <w:rPr>
                <w:rFonts w:hint="default" w:ascii="Times New Roman" w:hAnsi="Times New Roman" w:eastAsia="宋体" w:cs="Times New Roman"/>
                <w:i w:val="0"/>
                <w:iCs w:val="0"/>
                <w:color w:val="000000" w:themeColor="text1"/>
                <w:sz w:val="24"/>
                <w:szCs w:val="24"/>
                <w:lang w:val="en-US" w:eastAsia="zh-CN"/>
                <w14:textFill>
                  <w14:solidFill>
                    <w14:schemeClr w14:val="tx1"/>
                  </w14:solidFill>
                </w14:textFill>
              </w:rPr>
            </w:pPr>
            <w:r>
              <w:rPr>
                <w:rFonts w:hint="eastAsia" w:cs="Times New Roman"/>
                <w:i w:val="0"/>
                <w:iCs w:val="0"/>
                <w:color w:val="000000" w:themeColor="text1"/>
                <w:sz w:val="24"/>
                <w:szCs w:val="24"/>
                <w:lang w:val="en-US" w:eastAsia="zh-CN"/>
                <w14:textFill>
                  <w14:solidFill>
                    <w14:schemeClr w14:val="tx1"/>
                  </w14:solidFill>
                </w14:textFill>
              </w:rPr>
              <w:t>5.6</w:t>
            </w:r>
          </w:p>
        </w:tc>
        <w:tc>
          <w:tcPr>
            <w:tcW w:w="1172"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施工工期</w:t>
            </w:r>
          </w:p>
        </w:tc>
        <w:tc>
          <w:tcPr>
            <w:tcW w:w="1617" w:type="pct"/>
            <w:noWrap w:val="0"/>
            <w:vAlign w:val="center"/>
          </w:tcPr>
          <w:p>
            <w:pPr>
              <w:adjustRightInd w:val="0"/>
              <w:snapToGrid w:val="0"/>
              <w:jc w:val="center"/>
              <w:rPr>
                <w:rFonts w:hint="default" w:ascii="Times New Roman" w:hAnsi="Times New Roman" w:eastAsia="宋体" w:cs="Times New Roman"/>
                <w:i w:val="0"/>
                <w:iCs w:val="0"/>
                <w:color w:val="000000" w:themeColor="text1"/>
                <w:sz w:val="24"/>
                <w:szCs w:val="24"/>
                <w:lang w:val="en-US" w:eastAsia="zh-CN"/>
                <w14:textFill>
                  <w14:solidFill>
                    <w14:schemeClr w14:val="tx1"/>
                  </w14:solidFill>
                </w14:textFill>
              </w:rPr>
            </w:pPr>
            <w:r>
              <w:rPr>
                <w:rFonts w:hint="eastAsia" w:cs="Times New Roman"/>
                <w:i w:val="0"/>
                <w:iCs w:val="0"/>
                <w:color w:val="000000" w:themeColor="text1"/>
                <w:sz w:val="24"/>
                <w:szCs w:val="24"/>
                <w:lang w:val="en-US"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38" w:hRule="atLeast"/>
          <w:jc w:val="center"/>
        </w:trPr>
        <w:tc>
          <w:tcPr>
            <w:tcW w:w="1306" w:type="pct"/>
            <w:gridSpan w:val="2"/>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是否开工建设</w:t>
            </w:r>
          </w:p>
        </w:tc>
        <w:tc>
          <w:tcPr>
            <w:tcW w:w="903" w:type="pct"/>
            <w:noWrap w:val="0"/>
            <w:vAlign w:val="center"/>
          </w:tcPr>
          <w:p>
            <w:pPr>
              <w:adjustRightInd w:val="0"/>
              <w:snapToGrid w:val="0"/>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sym w:font="Wingdings 2" w:char="0052"/>
            </w:r>
            <w:r>
              <w:rPr>
                <w:rFonts w:hint="default" w:ascii="Times New Roman" w:hAnsi="Times New Roman" w:eastAsia="宋体" w:cs="Times New Roman"/>
                <w:i w:val="0"/>
                <w:iCs w:val="0"/>
                <w:color w:val="000000" w:themeColor="text1"/>
                <w:sz w:val="24"/>
                <w:szCs w:val="24"/>
                <w14:textFill>
                  <w14:solidFill>
                    <w14:schemeClr w14:val="tx1"/>
                  </w14:solidFill>
                </w14:textFill>
              </w:rPr>
              <w:t>否</w:t>
            </w:r>
          </w:p>
          <w:p>
            <w:pPr>
              <w:adjustRightInd w:val="0"/>
              <w:snapToGrid w:val="0"/>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sym w:font="Wingdings 2" w:char="00A3"/>
            </w:r>
            <w:r>
              <w:rPr>
                <w:rFonts w:hint="default" w:ascii="Times New Roman" w:hAnsi="Times New Roman" w:eastAsia="宋体" w:cs="Times New Roman"/>
                <w:i w:val="0"/>
                <w:iCs w:val="0"/>
                <w:color w:val="000000" w:themeColor="text1"/>
                <w:sz w:val="24"/>
                <w:szCs w:val="24"/>
                <w14:textFill>
                  <w14:solidFill>
                    <w14:schemeClr w14:val="tx1"/>
                  </w14:solidFill>
                </w14:textFill>
              </w:rPr>
              <w:t>是</w:t>
            </w:r>
            <w:r>
              <w:rPr>
                <w:rFonts w:hint="eastAsia" w:cs="Times New Roman"/>
                <w:i w:val="0"/>
                <w:i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i w:val="0"/>
                <w:iCs w:val="0"/>
                <w:color w:val="000000" w:themeColor="text1"/>
                <w:sz w:val="24"/>
                <w:szCs w:val="24"/>
                <w:u w:val="single"/>
                <w14:textFill>
                  <w14:solidFill>
                    <w14:schemeClr w14:val="tx1"/>
                  </w14:solidFill>
                </w14:textFill>
              </w:rPr>
              <w:t xml:space="preserve">    </w:t>
            </w:r>
          </w:p>
        </w:tc>
        <w:tc>
          <w:tcPr>
            <w:tcW w:w="1172" w:type="pct"/>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i w:val="0"/>
                <w:iCs w:val="0"/>
                <w:color w:val="000000" w:themeColor="text1"/>
                <w:spacing w:val="-6"/>
                <w:sz w:val="24"/>
                <w:szCs w:val="24"/>
                <w14:textFill>
                  <w14:solidFill>
                    <w14:schemeClr w14:val="tx1"/>
                  </w14:solidFill>
                </w14:textFill>
              </w:rPr>
            </w:pPr>
            <w:r>
              <w:rPr>
                <w:rFonts w:hint="default" w:ascii="Times New Roman" w:hAnsi="Times New Roman" w:eastAsia="宋体" w:cs="Times New Roman"/>
                <w:i w:val="0"/>
                <w:iCs w:val="0"/>
                <w:color w:val="000000" w:themeColor="text1"/>
                <w:spacing w:val="-6"/>
                <w:sz w:val="24"/>
                <w:szCs w:val="24"/>
                <w14:textFill>
                  <w14:solidFill>
                    <w14:schemeClr w14:val="tx1"/>
                  </w14:solidFill>
                </w14:textFill>
              </w:rPr>
              <w:t>用地（用海）</w:t>
            </w:r>
          </w:p>
          <w:p>
            <w:pPr>
              <w:adjustRightInd w:val="0"/>
              <w:snapToGrid w:val="0"/>
              <w:jc w:val="center"/>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i w:val="0"/>
                <w:iCs w:val="0"/>
                <w:color w:val="000000" w:themeColor="text1"/>
                <w:spacing w:val="-6"/>
                <w:sz w:val="24"/>
                <w:szCs w:val="24"/>
                <w14:textFill>
                  <w14:solidFill>
                    <w14:schemeClr w14:val="tx1"/>
                  </w14:solidFill>
                </w14:textFill>
              </w:rPr>
              <w:t>面积（m</w:t>
            </w:r>
            <w:r>
              <w:rPr>
                <w:rFonts w:hint="default" w:ascii="Times New Roman" w:hAnsi="Times New Roman" w:eastAsia="宋体" w:cs="Times New Roman"/>
                <w:i w:val="0"/>
                <w:iCs w:val="0"/>
                <w:color w:val="000000" w:themeColor="text1"/>
                <w:spacing w:val="-6"/>
                <w:sz w:val="24"/>
                <w:szCs w:val="24"/>
                <w:vertAlign w:val="superscript"/>
                <w14:textFill>
                  <w14:solidFill>
                    <w14:schemeClr w14:val="tx1"/>
                  </w14:solidFill>
                </w14:textFill>
              </w:rPr>
              <w:t>2</w:t>
            </w:r>
            <w:r>
              <w:rPr>
                <w:rFonts w:hint="default" w:ascii="Times New Roman" w:hAnsi="Times New Roman" w:eastAsia="宋体" w:cs="Times New Roman"/>
                <w:i w:val="0"/>
                <w:iCs w:val="0"/>
                <w:color w:val="000000" w:themeColor="text1"/>
                <w:spacing w:val="-6"/>
                <w:sz w:val="24"/>
                <w:szCs w:val="24"/>
                <w14:textFill>
                  <w14:solidFill>
                    <w14:schemeClr w14:val="tx1"/>
                  </w14:solidFill>
                </w14:textFill>
              </w:rPr>
              <w:t>）</w:t>
            </w:r>
          </w:p>
        </w:tc>
        <w:tc>
          <w:tcPr>
            <w:tcW w:w="1617" w:type="pct"/>
            <w:noWrap w:val="0"/>
            <w:vAlign w:val="center"/>
          </w:tcPr>
          <w:p>
            <w:pPr>
              <w:adjustRightInd w:val="0"/>
              <w:snapToGrid w:val="0"/>
              <w:jc w:val="center"/>
              <w:rPr>
                <w:rFonts w:hint="default" w:ascii="Times New Roman" w:hAnsi="Times New Roman" w:eastAsia="宋体" w:cs="Times New Roman"/>
                <w:i w:val="0"/>
                <w:iCs w:val="0"/>
                <w:color w:val="000000" w:themeColor="text1"/>
                <w:sz w:val="24"/>
                <w:szCs w:val="24"/>
                <w:lang w:val="en-US"/>
                <w14:textFill>
                  <w14:solidFill>
                    <w14:schemeClr w14:val="tx1"/>
                  </w14:solidFill>
                </w14:textFill>
              </w:rPr>
            </w:pPr>
            <w:r>
              <w:rPr>
                <w:rFonts w:hint="eastAsia" w:cs="Times New Roman"/>
                <w:i w:val="0"/>
                <w:iCs w:val="0"/>
                <w:color w:val="000000" w:themeColor="text1"/>
                <w:sz w:val="24"/>
                <w:szCs w:val="24"/>
                <w:lang w:val="en-US" w:eastAsia="zh-CN"/>
                <w14:textFill>
                  <w14:solidFill>
                    <w14:schemeClr w14:val="tx1"/>
                  </w14:solidFill>
                </w14:textFill>
              </w:rPr>
              <w:t>109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306" w:type="pct"/>
            <w:gridSpan w:val="2"/>
            <w:noWrap w:val="0"/>
            <w:vAlign w:val="center"/>
          </w:tcPr>
          <w:p>
            <w:pPr>
              <w:autoSpaceDE w:val="0"/>
              <w:autoSpaceDN w:val="0"/>
              <w:adjustRightInd w:val="0"/>
              <w:snapToGrid w:val="0"/>
              <w:jc w:val="center"/>
              <w:rPr>
                <w:rFonts w:hint="default" w:ascii="Times New Roman" w:hAnsi="Times New Roman" w:eastAsia="宋体" w:cs="Times New Roman"/>
                <w:i w:val="0"/>
                <w:iCs w:val="0"/>
                <w:color w:val="000000" w:themeColor="text1"/>
                <w:kern w:val="0"/>
                <w:sz w:val="24"/>
                <w:szCs w:val="24"/>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14:textFill>
                  <w14:solidFill>
                    <w14:schemeClr w14:val="tx1"/>
                  </w14:solidFill>
                </w14:textFill>
              </w:rPr>
              <w:t>专项评价设置情况</w:t>
            </w:r>
          </w:p>
        </w:tc>
        <w:tc>
          <w:tcPr>
            <w:tcW w:w="3693" w:type="pct"/>
            <w:gridSpan w:val="3"/>
            <w:noWrap w:val="0"/>
            <w:vAlign w:val="center"/>
          </w:tcPr>
          <w:p>
            <w:pPr>
              <w:autoSpaceDE w:val="0"/>
              <w:autoSpaceDN w:val="0"/>
              <w:adjustRightInd w:val="0"/>
              <w:snapToGrid w:val="0"/>
              <w:jc w:val="center"/>
              <w:rPr>
                <w:rFonts w:hint="default"/>
                <w:lang w:val="en-US" w:eastAsia="zh-CN"/>
              </w:rPr>
            </w:pPr>
            <w:r>
              <w:rPr>
                <w:rFonts w:hint="default" w:ascii="Times New Roman" w:hAnsi="Times New Roman" w:eastAsia="宋体" w:cs="Times New Roman"/>
                <w:i w:val="0"/>
                <w:iCs w:val="0"/>
                <w:color w:val="000000" w:themeColor="text1"/>
                <w:kern w:val="0"/>
                <w:sz w:val="24"/>
                <w:szCs w:val="24"/>
                <w:lang w:val="en-US" w:eastAsia="zh-CN"/>
                <w14:textFill>
                  <w14:solidFill>
                    <w14:schemeClr w14:val="tx1"/>
                  </w14:solidFill>
                </w14:textFill>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842" w:type="pct"/>
            <w:noWrap w:val="0"/>
            <w:vAlign w:val="center"/>
          </w:tcPr>
          <w:p>
            <w:pPr>
              <w:autoSpaceDE w:val="0"/>
              <w:autoSpaceDN w:val="0"/>
              <w:adjustRightInd w:val="0"/>
              <w:snapToGrid w:val="0"/>
              <w:jc w:val="center"/>
              <w:rPr>
                <w:rFonts w:hint="default" w:ascii="Times New Roman" w:hAnsi="Times New Roman" w:eastAsia="宋体" w:cs="Times New Roman"/>
                <w:i w:val="0"/>
                <w:iCs w:val="0"/>
                <w:color w:val="000000" w:themeColor="text1"/>
                <w:kern w:val="0"/>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规划情况</w:t>
            </w:r>
          </w:p>
        </w:tc>
        <w:tc>
          <w:tcPr>
            <w:tcW w:w="4157" w:type="pct"/>
            <w:gridSpan w:val="4"/>
            <w:noWrap w:val="0"/>
            <w:vAlign w:val="center"/>
          </w:tcPr>
          <w:p>
            <w:pPr>
              <w:pStyle w:val="3"/>
              <w:spacing w:after="0" w:afterAutospacing="0" w:line="360" w:lineRule="auto"/>
              <w:ind w:left="0" w:leftChars="0" w:firstLine="0" w:firstLineChars="0"/>
              <w:jc w:val="center"/>
              <w:rPr>
                <w:rFonts w:hint="default" w:ascii="Times New Roman" w:hAnsi="Times New Roman" w:eastAsia="宋体" w:cs="Times New Roman"/>
                <w:i w:val="0"/>
                <w:iCs w:val="0"/>
                <w:color w:val="000000" w:themeColor="text1"/>
                <w:kern w:val="0"/>
                <w:sz w:val="24"/>
                <w:szCs w:val="24"/>
                <w:lang w:val="en-US" w:eastAsia="zh-CN"/>
                <w14:textFill>
                  <w14:solidFill>
                    <w14:schemeClr w14:val="tx1"/>
                  </w14:solidFill>
                </w14:textFill>
              </w:rPr>
            </w:pP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842" w:type="pct"/>
            <w:noWrap w:val="0"/>
            <w:vAlign w:val="center"/>
          </w:tcPr>
          <w:p>
            <w:pPr>
              <w:adjustRightInd w:val="0"/>
              <w:snapToGrid w:val="0"/>
              <w:jc w:val="center"/>
              <w:rPr>
                <w:rFonts w:hint="default" w:ascii="Times New Roman" w:hAnsi="Times New Roman" w:eastAsia="宋体" w:cs="Times New Roman"/>
                <w:i w:val="0"/>
                <w:iCs w:val="0"/>
                <w:color w:val="000000" w:themeColor="text1"/>
                <w:kern w:val="0"/>
                <w:sz w:val="24"/>
                <w:szCs w:val="24"/>
                <w14:textFill>
                  <w14:solidFill>
                    <w14:schemeClr w14:val="tx1"/>
                  </w14:solidFill>
                </w14:textFill>
              </w:rPr>
            </w:pPr>
            <w:r>
              <w:rPr>
                <w:rFonts w:hint="default" w:ascii="Times New Roman" w:hAnsi="Times New Roman" w:eastAsia="宋体" w:cs="Times New Roman"/>
                <w:i w:val="0"/>
                <w:iCs w:val="0"/>
                <w:color w:val="000000" w:themeColor="text1"/>
                <w:sz w:val="24"/>
                <w:szCs w:val="24"/>
                <w14:textFill>
                  <w14:solidFill>
                    <w14:schemeClr w14:val="tx1"/>
                  </w14:solidFill>
                </w14:textFill>
              </w:rPr>
              <w:t>规划环境影响评价情况</w:t>
            </w:r>
          </w:p>
        </w:tc>
        <w:tc>
          <w:tcPr>
            <w:tcW w:w="4157" w:type="pct"/>
            <w:gridSpan w:val="4"/>
            <w:noWrap w:val="0"/>
            <w:vAlign w:val="center"/>
          </w:tcPr>
          <w:p>
            <w:pPr>
              <w:pStyle w:val="3"/>
              <w:spacing w:after="0" w:afterAutospacing="0" w:line="360" w:lineRule="auto"/>
              <w:ind w:left="0" w:leftChars="0" w:firstLine="0" w:firstLineChars="0"/>
              <w:jc w:val="cente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842" w:type="pct"/>
            <w:noWrap w:val="0"/>
            <w:vAlign w:val="center"/>
          </w:tcPr>
          <w:p>
            <w:pPr>
              <w:autoSpaceDE w:val="0"/>
              <w:autoSpaceDN w:val="0"/>
              <w:adjustRightInd w:val="0"/>
              <w:snapToGrid w:val="0"/>
              <w:jc w:val="center"/>
              <w:rPr>
                <w:rFonts w:hint="default" w:ascii="Times New Roman" w:hAnsi="Times New Roman" w:eastAsia="宋体" w:cs="Times New Roman"/>
                <w:i w:val="0"/>
                <w:iCs w:val="0"/>
                <w:color w:val="000000" w:themeColor="text1"/>
                <w:kern w:val="0"/>
                <w:sz w:val="24"/>
                <w:szCs w:val="24"/>
                <w14:textFill>
                  <w14:solidFill>
                    <w14:schemeClr w14:val="tx1"/>
                  </w14:solidFill>
                </w14:textFill>
              </w:rPr>
            </w:pPr>
            <w:r>
              <w:rPr>
                <w:rFonts w:hint="default" w:ascii="Times New Roman" w:hAnsi="Times New Roman" w:eastAsia="宋体" w:cs="Times New Roman"/>
                <w:i w:val="0"/>
                <w:iCs w:val="0"/>
                <w:color w:val="000000" w:themeColor="text1"/>
                <w:kern w:val="0"/>
                <w:sz w:val="24"/>
                <w:szCs w:val="24"/>
                <w14:textFill>
                  <w14:solidFill>
                    <w14:schemeClr w14:val="tx1"/>
                  </w14:solidFill>
                </w14:textFill>
              </w:rPr>
              <w:t>规划及规划环境</w:t>
            </w:r>
          </w:p>
          <w:p>
            <w:pPr>
              <w:autoSpaceDE w:val="0"/>
              <w:autoSpaceDN w:val="0"/>
              <w:adjustRightInd w:val="0"/>
              <w:snapToGrid w:val="0"/>
              <w:jc w:val="center"/>
              <w:rPr>
                <w:rFonts w:hint="default" w:ascii="Times New Roman" w:hAnsi="Times New Roman" w:eastAsia="宋体" w:cs="Times New Roman"/>
                <w:i w:val="0"/>
                <w:iCs w:val="0"/>
                <w:color w:val="FF0000"/>
                <w:kern w:val="0"/>
                <w:sz w:val="24"/>
                <w:szCs w:val="24"/>
              </w:rPr>
            </w:pPr>
            <w:r>
              <w:rPr>
                <w:rFonts w:hint="default" w:ascii="Times New Roman" w:hAnsi="Times New Roman" w:eastAsia="宋体" w:cs="Times New Roman"/>
                <w:i w:val="0"/>
                <w:iCs w:val="0"/>
                <w:color w:val="000000" w:themeColor="text1"/>
                <w:kern w:val="0"/>
                <w:sz w:val="24"/>
                <w:szCs w:val="24"/>
                <w14:textFill>
                  <w14:solidFill>
                    <w14:schemeClr w14:val="tx1"/>
                  </w14:solidFill>
                </w14:textFill>
              </w:rPr>
              <w:t>影响评价符合性分析</w:t>
            </w:r>
          </w:p>
        </w:tc>
        <w:tc>
          <w:tcPr>
            <w:tcW w:w="4157" w:type="pct"/>
            <w:gridSpan w:val="4"/>
            <w:noWrap w:val="0"/>
            <w:vAlign w:val="center"/>
          </w:tcPr>
          <w:p>
            <w:pPr>
              <w:pStyle w:val="40"/>
              <w:rPr>
                <w:rFonts w:hint="default"/>
                <w:lang w:val="en-US" w:eastAsia="zh-CN"/>
              </w:rPr>
            </w:pPr>
          </w:p>
          <w:p>
            <w:pPr>
              <w:pStyle w:val="40"/>
              <w:jc w:val="center"/>
              <w:rPr>
                <w:rFonts w:hint="default"/>
                <w:lang w:val="en-US" w:eastAsia="zh-CN"/>
              </w:rPr>
            </w:pPr>
            <w:r>
              <w:rPr>
                <w:rFonts w:hint="default" w:ascii="Times New Roman" w:hAnsi="Times New Roman" w:cs="Times New Roman"/>
                <w:b w:val="0"/>
                <w:bCs/>
                <w:i w:val="0"/>
                <w:iCs w:val="0"/>
                <w:color w:val="000000" w:themeColor="text1"/>
                <w:sz w:val="24"/>
                <w:szCs w:val="24"/>
                <w:lang w:val="en-US" w:eastAsia="zh-CN"/>
                <w14:textFill>
                  <w14:solidFill>
                    <w14:schemeClr w14:val="tx1"/>
                  </w14:solidFill>
                </w14:textFill>
              </w:rPr>
              <w:t>无</w:t>
            </w:r>
          </w:p>
          <w:p>
            <w:pPr>
              <w:pStyle w:val="40"/>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71" w:hRule="atLeast"/>
          <w:jc w:val="center"/>
        </w:trPr>
        <w:tc>
          <w:tcPr>
            <w:tcW w:w="842" w:type="pct"/>
            <w:noWrap w:val="0"/>
            <w:vAlign w:val="center"/>
          </w:tcPr>
          <w:p>
            <w:pPr>
              <w:autoSpaceDE w:val="0"/>
              <w:autoSpaceDN w:val="0"/>
              <w:adjustRightInd w:val="0"/>
              <w:snapToGrid w:val="0"/>
              <w:jc w:val="center"/>
              <w:rPr>
                <w:rFonts w:hint="default" w:ascii="Times New Roman" w:hAnsi="Times New Roman" w:eastAsia="宋体" w:cs="Times New Roman"/>
                <w:i w:val="0"/>
                <w:iCs w:val="0"/>
                <w:color w:val="FF0000"/>
                <w:kern w:val="0"/>
                <w:sz w:val="24"/>
                <w:szCs w:val="24"/>
              </w:rPr>
            </w:pPr>
            <w:r>
              <w:rPr>
                <w:rFonts w:hint="default" w:ascii="Times New Roman" w:hAnsi="Times New Roman" w:eastAsia="宋体" w:cs="Times New Roman"/>
                <w:i w:val="0"/>
                <w:iCs w:val="0"/>
                <w:color w:val="000000" w:themeColor="text1"/>
                <w:kern w:val="0"/>
                <w:sz w:val="24"/>
                <w:szCs w:val="24"/>
                <w14:textFill>
                  <w14:solidFill>
                    <w14:schemeClr w14:val="tx1"/>
                  </w14:solidFill>
                </w14:textFill>
              </w:rPr>
              <w:t>其他符合性分析</w:t>
            </w:r>
          </w:p>
        </w:tc>
        <w:tc>
          <w:tcPr>
            <w:tcW w:w="4157" w:type="pct"/>
            <w:gridSpan w:val="4"/>
            <w:noWrap w:val="0"/>
            <w:vAlign w:val="center"/>
          </w:tcPr>
          <w:p>
            <w:pPr>
              <w:numPr>
                <w:ilvl w:val="0"/>
                <w:numId w:val="0"/>
              </w:numPr>
              <w:spacing w:before="120" w:beforeLines="50" w:afterAutospacing="0" w:line="360" w:lineRule="auto"/>
              <w:rPr>
                <w:rFonts w:hint="default" w:ascii="Times New Roman" w:hAnsi="Times New Roman" w:eastAsia="宋体" w:cs="Times New Roman"/>
                <w:b/>
                <w:bCs/>
                <w:i w:val="0"/>
                <w:i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i w:val="0"/>
                <w:iCs w:val="0"/>
                <w:color w:val="000000" w:themeColor="text1"/>
                <w:kern w:val="2"/>
                <w:sz w:val="24"/>
                <w:szCs w:val="24"/>
                <w:lang w:val="en-US" w:eastAsia="zh-CN" w:bidi="ar-SA"/>
                <w14:textFill>
                  <w14:solidFill>
                    <w14:schemeClr w14:val="tx1"/>
                  </w14:solidFill>
                </w14:textFill>
              </w:rPr>
              <w:t>1.1产业政策符合性</w:t>
            </w:r>
          </w:p>
          <w:p>
            <w:pPr>
              <w:bidi w:val="0"/>
              <w:spacing w:afterAutospacing="0" w:line="360" w:lineRule="auto"/>
              <w:ind w:left="0" w:leftChars="0" w:firstLine="480" w:firstLineChars="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不属于《产业结构调整指导目录（2024年本）》中的鼓励类、限制类及淘汰类项目。根据《产业结构调整指导目录（2024年本）》鼓励类、限制类和淘汰类之外的，且符合国家有关法律法规和政策规定的属于允许类。因此本项目属于允许类。</w:t>
            </w:r>
          </w:p>
          <w:p>
            <w:pPr>
              <w:numPr>
                <w:ilvl w:val="0"/>
                <w:numId w:val="0"/>
              </w:numPr>
              <w:spacing w:before="120" w:beforeLines="50" w:afterAutospacing="0" w:line="360" w:lineRule="auto"/>
              <w:rPr>
                <w:rFonts w:hint="default" w:ascii="Times New Roman" w:hAnsi="Times New Roman" w:cs="Times New Roman"/>
                <w:b/>
                <w:bCs/>
                <w:color w:val="000000" w:themeColor="text1"/>
                <w:sz w:val="24"/>
                <w:szCs w:val="24"/>
                <w:highlight w:val="none"/>
                <w14:textFill>
                  <w14:solidFill>
                    <w14:schemeClr w14:val="tx1"/>
                  </w14:solidFill>
                </w14:textFill>
              </w:rPr>
            </w:pPr>
            <w:r>
              <w:rPr>
                <w:rFonts w:hint="default" w:ascii="Times New Roman" w:hAnsi="Times New Roman" w:eastAsia="宋体" w:cs="Times New Roman"/>
                <w:b/>
                <w:bCs/>
                <w:i w:val="0"/>
                <w:iCs w:val="0"/>
                <w:color w:val="000000" w:themeColor="text1"/>
                <w:kern w:val="2"/>
                <w:sz w:val="24"/>
                <w:szCs w:val="24"/>
                <w:lang w:val="en-US" w:eastAsia="zh-CN" w:bidi="ar-SA"/>
                <w14:textFill>
                  <w14:solidFill>
                    <w14:schemeClr w14:val="tx1"/>
                  </w14:solidFill>
                </w14:textFill>
              </w:rPr>
              <w:t>1.2</w:t>
            </w:r>
            <w:r>
              <w:rPr>
                <w:rFonts w:hint="default" w:ascii="Times New Roman" w:hAnsi="Times New Roman" w:cs="Times New Roman"/>
                <w:b/>
                <w:bCs/>
                <w:color w:val="000000" w:themeColor="text1"/>
                <w:sz w:val="24"/>
                <w:szCs w:val="24"/>
                <w:highlight w:val="none"/>
                <w14:textFill>
                  <w14:solidFill>
                    <w14:schemeClr w14:val="tx1"/>
                  </w14:solidFill>
                </w14:textFill>
              </w:rPr>
              <w:t>选址合理性分析</w:t>
            </w:r>
          </w:p>
          <w:p>
            <w:pPr>
              <w:bidi w:val="0"/>
              <w:spacing w:afterAutospacing="0" w:line="360" w:lineRule="auto"/>
              <w:ind w:left="0" w:leftChars="0" w:firstLine="480" w:firstLineChars="0"/>
              <w:rPr>
                <w:rFonts w:ascii="宋体" w:hAnsi="宋体" w:eastAsia="宋体" w:cs="宋体"/>
                <w:spacing w:val="-1"/>
                <w:sz w:val="24"/>
                <w:szCs w:val="24"/>
              </w:rPr>
            </w:pPr>
            <w:r>
              <w:rPr>
                <w:rFonts w:hint="eastAsia" w:ascii="宋体" w:hAnsi="宋体" w:eastAsia="宋体" w:cs="Times New Roman"/>
                <w:bCs/>
                <w:sz w:val="24"/>
                <w:szCs w:val="24"/>
                <w:lang w:val="en-US" w:eastAsia="zh-CN"/>
              </w:rPr>
              <w:t>本项目位于</w:t>
            </w:r>
            <w:r>
              <w:rPr>
                <w:rFonts w:hint="default" w:ascii="Times New Roman" w:hAnsi="Times New Roman" w:eastAsia="宋体" w:cs="Times New Roman"/>
                <w:snapToGrid w:val="0"/>
                <w:color w:val="000000"/>
                <w:spacing w:val="0"/>
                <w:kern w:val="0"/>
                <w:sz w:val="24"/>
                <w:szCs w:val="24"/>
                <w:lang w:val="en-US" w:eastAsia="zh-CN"/>
              </w:rPr>
              <w:t>新疆</w:t>
            </w:r>
            <w:r>
              <w:rPr>
                <w:rFonts w:hint="eastAsia" w:cs="Times New Roman"/>
                <w:snapToGrid w:val="0"/>
                <w:color w:val="000000"/>
                <w:spacing w:val="0"/>
                <w:kern w:val="0"/>
                <w:sz w:val="24"/>
                <w:szCs w:val="24"/>
                <w:lang w:val="en-US" w:eastAsia="zh-CN"/>
              </w:rPr>
              <w:t>巴音郭楞蒙古自治州</w:t>
            </w:r>
            <w:r>
              <w:rPr>
                <w:rFonts w:hint="default" w:ascii="Times New Roman" w:hAnsi="Times New Roman" w:eastAsia="宋体" w:cs="Times New Roman"/>
                <w:snapToGrid w:val="0"/>
                <w:color w:val="000000"/>
                <w:spacing w:val="0"/>
                <w:kern w:val="0"/>
                <w:sz w:val="24"/>
                <w:szCs w:val="24"/>
                <w:lang w:val="en-US" w:eastAsia="zh-CN"/>
              </w:rPr>
              <w:t>库尔勒市铁克其乡</w:t>
            </w:r>
            <w:r>
              <w:rPr>
                <w:rFonts w:hint="eastAsia" w:cs="Times New Roman"/>
                <w:i w:val="0"/>
                <w:iCs w:val="0"/>
                <w:color w:val="000000" w:themeColor="text1"/>
                <w:sz w:val="24"/>
                <w:szCs w:val="24"/>
                <w:lang w:val="en-US" w:eastAsia="zh-CN"/>
                <w14:textFill>
                  <w14:solidFill>
                    <w14:schemeClr w14:val="tx1"/>
                  </w14:solidFill>
                </w14:textFill>
              </w:rPr>
              <w:t>民生路天福名庭商铺55-24号</w:t>
            </w:r>
            <w:r>
              <w:rPr>
                <w:rFonts w:hint="eastAsia" w:ascii="Times New Roman" w:hAnsi="Times New Roman" w:eastAsia="宋体" w:cs="Times New Roman"/>
                <w:snapToGrid w:val="0"/>
                <w:color w:val="000000"/>
                <w:spacing w:val="0"/>
                <w:kern w:val="0"/>
                <w:sz w:val="24"/>
                <w:szCs w:val="24"/>
                <w:lang w:val="en-US" w:eastAsia="zh-CN"/>
              </w:rPr>
              <w:t>，</w:t>
            </w:r>
            <w:r>
              <w:rPr>
                <w:rFonts w:hint="eastAsia" w:ascii="宋体" w:hAnsi="宋体" w:eastAsia="宋体" w:cs="Times New Roman"/>
                <w:bCs/>
                <w:sz w:val="24"/>
                <w:szCs w:val="24"/>
                <w:lang w:val="en-US" w:eastAsia="zh-CN"/>
              </w:rPr>
              <w:t>交通方便，利用城市基础设施，远离污染源，运营产生的各类污染物在采取相应的环保措施后均可达标排放、不会影响城市的其他区域</w:t>
            </w:r>
            <w:r>
              <w:rPr>
                <w:rFonts w:hint="eastAsia" w:ascii="宋体" w:hAnsi="宋体" w:cs="Times New Roman"/>
                <w:bCs/>
                <w:sz w:val="24"/>
                <w:szCs w:val="24"/>
                <w:lang w:val="en-US" w:eastAsia="zh-CN"/>
              </w:rPr>
              <w:t>。本项目选址符</w:t>
            </w:r>
            <w:r>
              <w:rPr>
                <w:rFonts w:hint="default" w:ascii="Times New Roman" w:hAnsi="Times New Roman" w:eastAsia="宋体" w:cs="Times New Roman"/>
                <w:bCs/>
                <w:sz w:val="24"/>
                <w:szCs w:val="24"/>
                <w:lang w:val="en-US" w:eastAsia="zh-CN"/>
              </w:rPr>
              <w:t>合</w:t>
            </w:r>
            <w:r>
              <w:rPr>
                <w:rFonts w:hint="eastAsia" w:ascii="Times New Roman" w:hAnsi="Times New Roman" w:eastAsia="宋体" w:cs="Times New Roman"/>
                <w:bCs/>
                <w:sz w:val="24"/>
                <w:szCs w:val="24"/>
                <w:lang w:val="en-US" w:eastAsia="zh-CN"/>
              </w:rPr>
              <w:t>“</w:t>
            </w:r>
            <w:r>
              <w:rPr>
                <w:rFonts w:hint="default" w:ascii="Times New Roman" w:hAnsi="Times New Roman" w:eastAsia="宋体" w:cs="Times New Roman"/>
                <w:b w:val="0"/>
                <w:bCs/>
                <w:color w:val="000000"/>
                <w:kern w:val="0"/>
                <w:sz w:val="24"/>
                <w:szCs w:val="32"/>
                <w:highlight w:val="none"/>
                <w:lang w:val="en-US" w:eastAsia="zh-CN"/>
              </w:rPr>
              <w:t>生态环境分区管控</w:t>
            </w:r>
            <w:r>
              <w:rPr>
                <w:rFonts w:hint="eastAsia" w:ascii="Times New Roman" w:hAnsi="Times New Roman" w:eastAsia="宋体" w:cs="Times New Roman"/>
                <w:bCs/>
                <w:sz w:val="24"/>
                <w:szCs w:val="24"/>
                <w:lang w:val="en-US" w:eastAsia="zh-CN"/>
              </w:rPr>
              <w:t>”</w:t>
            </w:r>
            <w:r>
              <w:rPr>
                <w:rFonts w:hint="eastAsia" w:ascii="宋体" w:hAnsi="宋体" w:cs="Times New Roman"/>
                <w:bCs/>
                <w:sz w:val="24"/>
                <w:szCs w:val="24"/>
                <w:lang w:val="en-US" w:eastAsia="zh-CN"/>
              </w:rPr>
              <w:t>的要求，本项目建设交通、能源方面均有保障，项目内部、外部条件均能满足建设要求。综上所述，从环境保护角度考虑，本项目选址较合理。</w:t>
            </w:r>
            <w:r>
              <w:rPr>
                <w:rFonts w:hint="eastAsia" w:ascii="宋体" w:hAnsi="宋体" w:eastAsia="宋体" w:cs="宋体"/>
                <w:spacing w:val="-1"/>
                <w:sz w:val="24"/>
                <w:szCs w:val="24"/>
                <w:lang w:val="en-US" w:eastAsia="zh-CN"/>
              </w:rPr>
              <w:t xml:space="preserve">       </w:t>
            </w:r>
          </w:p>
          <w:p>
            <w:pPr>
              <w:spacing w:beforeAutospacing="0" w:line="360" w:lineRule="auto"/>
              <w:rPr>
                <w:rFonts w:hint="default" w:ascii="Times New Roman" w:hAnsi="Times New Roman" w:eastAsia="宋体" w:cs="Times New Roman"/>
                <w:b/>
                <w:bCs/>
                <w:i w:val="0"/>
                <w:iCs w:val="0"/>
                <w:color w:val="000000" w:themeColor="text1"/>
                <w:sz w:val="24"/>
                <w:szCs w:val="24"/>
                <w:highlight w:val="none"/>
                <w14:textFill>
                  <w14:solidFill>
                    <w14:schemeClr w14:val="tx1"/>
                  </w14:solidFill>
                </w14:textFill>
              </w:rPr>
            </w:pPr>
            <w:r>
              <w:rPr>
                <w:rFonts w:hint="default" w:ascii="Times New Roman" w:hAnsi="Times New Roman" w:cs="Times New Roman"/>
                <w:b/>
                <w:bCs/>
                <w:i w:val="0"/>
                <w:iCs w:val="0"/>
                <w:color w:val="000000" w:themeColor="text1"/>
                <w:sz w:val="24"/>
                <w:szCs w:val="24"/>
                <w:highlight w:val="none"/>
                <w:lang w:val="en-US" w:eastAsia="zh-CN"/>
                <w14:textFill>
                  <w14:solidFill>
                    <w14:schemeClr w14:val="tx1"/>
                  </w14:solidFill>
                </w14:textFill>
              </w:rPr>
              <w:t>1.3生态环境分区管控</w:t>
            </w:r>
            <w:r>
              <w:rPr>
                <w:rFonts w:hint="eastAsia" w:cs="Times New Roman"/>
                <w:b/>
                <w:bCs/>
                <w:i w:val="0"/>
                <w:iCs w:val="0"/>
                <w:color w:val="000000" w:themeColor="text1"/>
                <w:sz w:val="24"/>
                <w:szCs w:val="24"/>
                <w:highlight w:val="none"/>
                <w:lang w:val="en-US" w:eastAsia="zh-CN"/>
                <w14:textFill>
                  <w14:solidFill>
                    <w14:schemeClr w14:val="tx1"/>
                  </w14:solidFill>
                </w14:textFill>
              </w:rPr>
              <w:t>符合性</w:t>
            </w:r>
            <w:r>
              <w:rPr>
                <w:rFonts w:hint="default" w:ascii="Times New Roman" w:hAnsi="Times New Roman" w:cs="Times New Roman"/>
                <w:b/>
                <w:bCs/>
                <w:i w:val="0"/>
                <w:iCs w:val="0"/>
                <w:color w:val="000000" w:themeColor="text1"/>
                <w:sz w:val="24"/>
                <w:szCs w:val="24"/>
                <w:highlight w:val="none"/>
                <w:lang w:val="en-US" w:eastAsia="zh-CN"/>
                <w14:textFill>
                  <w14:solidFill>
                    <w14:schemeClr w14:val="tx1"/>
                  </w14:solidFill>
                </w14:textFill>
              </w:rPr>
              <w:t>分析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cs="Times New Roman"/>
                <w:b/>
                <w:bCs/>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1</w:t>
            </w:r>
            <w:r>
              <w:rPr>
                <w:rFonts w:hint="eastAsia" w:ascii="Times New Roman" w:hAnsi="Times New Roman" w:cs="Times New Roman"/>
                <w:b/>
                <w:bCs/>
                <w:color w:val="000000" w:themeColor="text1"/>
                <w:kern w:val="2"/>
                <w:sz w:val="24"/>
                <w:szCs w:val="24"/>
                <w:lang w:val="en-US" w:eastAsia="zh-CN" w:bidi="ar-SA"/>
                <w14:textFill>
                  <w14:solidFill>
                    <w14:schemeClr w14:val="tx1"/>
                  </w14:solidFill>
                </w14:textFill>
              </w:rPr>
              <w:t>）</w:t>
            </w:r>
            <w:r>
              <w:rPr>
                <w:rFonts w:hint="default" w:ascii="Times New Roman" w:hAnsi="Times New Roman" w:eastAsia="宋体" w:cs="Times New Roman"/>
                <w:b/>
                <w:bCs/>
                <w:sz w:val="24"/>
                <w:szCs w:val="24"/>
                <w:lang w:val="en-US" w:eastAsia="zh-CN"/>
              </w:rPr>
              <w:t>《关于印发&lt;新疆维吾尔自治区生态环境分区管控动态更新成果&gt;的通知》（新政发〔2024〕157号）的符合性分析。</w:t>
            </w:r>
          </w:p>
          <w:p>
            <w:pPr>
              <w:spacing w:before="1" w:line="223" w:lineRule="auto"/>
              <w:jc w:val="center"/>
              <w:rPr>
                <w:rFonts w:ascii="宋体" w:hAnsi="宋体" w:eastAsia="宋体" w:cs="宋体"/>
                <w:b/>
                <w:bCs/>
                <w:spacing w:val="4"/>
                <w:sz w:val="21"/>
                <w:szCs w:val="21"/>
              </w:rPr>
            </w:pPr>
            <w:r>
              <w:rPr>
                <w:rFonts w:hint="eastAsia" w:ascii="Times New Roman" w:hAnsi="Times New Roman" w:eastAsia="Times New Roman" w:cs="Times New Roman"/>
                <w:b/>
                <w:bCs/>
                <w:spacing w:val="4"/>
                <w:sz w:val="21"/>
                <w:szCs w:val="21"/>
                <w:lang w:val="en-US" w:eastAsia="zh-CN"/>
              </w:rPr>
              <w:t>表1-1与《关于印发&lt;新疆维吾尔自治区生态环境分区管控动态更新成果&gt;的通知》（新政发〔2024〕157号）的符合性表</w:t>
            </w:r>
          </w:p>
          <w:tbl>
            <w:tblPr>
              <w:tblStyle w:val="68"/>
              <w:tblW w:w="4999"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374"/>
              <w:gridCol w:w="662"/>
              <w:gridCol w:w="2868"/>
              <w:gridCol w:w="3288"/>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720" w:type="pct"/>
                  <w:gridSpan w:val="2"/>
                  <w:tcBorders>
                    <w:bottom w:val="single" w:color="000000" w:sz="12"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管控维度</w:t>
                  </w:r>
                </w:p>
              </w:tc>
              <w:tc>
                <w:tcPr>
                  <w:tcW w:w="1993" w:type="pct"/>
                  <w:tcBorders>
                    <w:bottom w:val="single" w:color="000000" w:sz="12"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管控要求</w:t>
                  </w:r>
                </w:p>
              </w:tc>
              <w:tc>
                <w:tcPr>
                  <w:tcW w:w="2285" w:type="pct"/>
                  <w:tcBorders>
                    <w:bottom w:val="single" w:color="000000" w:sz="12" w:space="0"/>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符合性分析</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60" w:type="pct"/>
                  <w:vMerge w:val="restart"/>
                  <w:tcBorders>
                    <w:top w:val="single" w:color="000000" w:sz="12"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A1空间布局约束</w:t>
                  </w:r>
                </w:p>
              </w:tc>
              <w:tc>
                <w:tcPr>
                  <w:tcW w:w="460" w:type="pct"/>
                  <w:tcBorders>
                    <w:top w:val="single" w:color="000000" w:sz="12"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A1.1禁止开发建设的活动</w:t>
                  </w:r>
                </w:p>
              </w:tc>
              <w:tc>
                <w:tcPr>
                  <w:tcW w:w="1993" w:type="pct"/>
                  <w:tcBorders>
                    <w:top w:val="single" w:color="000000" w:sz="12"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〔A1.1-1〕禁止新建、扩建《产业结构调整指导目录（2024年本）》中淘汰类项目。禁止引入《市场准入负面清单（2022年版）》禁止准入类事项。</w:t>
                  </w:r>
                </w:p>
              </w:tc>
              <w:tc>
                <w:tcPr>
                  <w:tcW w:w="2285" w:type="pct"/>
                  <w:tcBorders>
                    <w:top w:val="single" w:color="000000" w:sz="12" w:space="0"/>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符合，根据《产业结构调整指导目录（2024年本）》本项目属于允许类，不属于《市场准入负面清单（2022年版）》禁止准入事项。</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6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sz w:val="21"/>
                      <w:szCs w:val="21"/>
                      <w:lang w:val="en-US" w:eastAsia="zh-CN"/>
                    </w:rPr>
                  </w:pPr>
                </w:p>
              </w:tc>
              <w:tc>
                <w:tcPr>
                  <w:tcW w:w="460"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A1.2限制开发建设的活动</w:t>
                  </w:r>
                </w:p>
              </w:tc>
              <w:tc>
                <w:tcPr>
                  <w:tcW w:w="199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1.2-2〕建设项目用地原则上不得占用永久基本农田，确需占用永久基本农田的建设项目须符合《中华人民共和国基本农田保护条例》中相关要求，占用耕地、林地或草地的建设项目须按照国家、自治区相关补偿要求进行补偿。</w:t>
                  </w:r>
                </w:p>
              </w:tc>
              <w:tc>
                <w:tcPr>
                  <w:tcW w:w="228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highlight w:val="none"/>
                      <w:lang w:val="en-US" w:eastAsia="zh-CN"/>
                    </w:rPr>
                    <w:t>符合，本项目</w:t>
                  </w:r>
                  <w:r>
                    <w:rPr>
                      <w:rFonts w:hint="eastAsia" w:cs="Times New Roman"/>
                      <w:sz w:val="21"/>
                      <w:szCs w:val="21"/>
                      <w:highlight w:val="none"/>
                      <w:lang w:val="en-US" w:eastAsia="zh-CN"/>
                    </w:rPr>
                    <w:t>不涉及</w:t>
                  </w:r>
                  <w:r>
                    <w:rPr>
                      <w:rFonts w:hint="default" w:ascii="Times New Roman" w:hAnsi="Times New Roman" w:eastAsia="宋体" w:cs="Times New Roman"/>
                      <w:sz w:val="21"/>
                      <w:szCs w:val="21"/>
                      <w:highlight w:val="none"/>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6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sz w:val="21"/>
                      <w:szCs w:val="21"/>
                      <w:lang w:val="en-US" w:eastAsia="zh-CN"/>
                    </w:rPr>
                  </w:pPr>
                </w:p>
              </w:tc>
              <w:tc>
                <w:tcPr>
                  <w:tcW w:w="46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199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〔A1.2-3〕以用途变更为住宅、公共管理与公共服务用地的地块为重点，严格建设用地准入管理和风险管控，未依法完成土壤污染状况调查或风险评估的地块，不得开工建设与风险管控和修复无关的项目。</w:t>
                  </w:r>
                </w:p>
              </w:tc>
              <w:tc>
                <w:tcPr>
                  <w:tcW w:w="228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highlight w:val="none"/>
                      <w:lang w:val="en-US" w:eastAsia="zh-CN"/>
                    </w:rPr>
                    <w:t>符合，本项目</w:t>
                  </w:r>
                  <w:r>
                    <w:rPr>
                      <w:rFonts w:hint="eastAsia" w:cs="Times New Roman"/>
                      <w:sz w:val="21"/>
                      <w:szCs w:val="21"/>
                      <w:highlight w:val="none"/>
                      <w:lang w:val="en-US" w:eastAsia="zh-CN"/>
                    </w:rPr>
                    <w:t>不涉及</w:t>
                  </w:r>
                  <w:r>
                    <w:rPr>
                      <w:rFonts w:hint="default" w:ascii="Times New Roman" w:hAnsi="Times New Roman" w:eastAsia="宋体" w:cs="Times New Roman"/>
                      <w:sz w:val="21"/>
                      <w:szCs w:val="21"/>
                      <w:highlight w:val="none"/>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6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sz w:val="21"/>
                      <w:szCs w:val="21"/>
                      <w:lang w:val="en-US" w:eastAsia="zh-CN"/>
                    </w:rPr>
                  </w:pPr>
                </w:p>
              </w:tc>
              <w:tc>
                <w:tcPr>
                  <w:tcW w:w="46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A1.3不符合空间布局要求活动的退出要求</w:t>
                  </w:r>
                </w:p>
              </w:tc>
              <w:tc>
                <w:tcPr>
                  <w:tcW w:w="199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〔A1.3-1〕任何单位和个人不得在水源涵养区、饮用水水源保护区内和河流、湖泊、水库周围建设重化工、涉重金属等工业污染项目；对已建成的工业污染项目，当地人民政府应当组织限期搬迁。</w:t>
                  </w:r>
                </w:p>
              </w:tc>
              <w:tc>
                <w:tcPr>
                  <w:tcW w:w="228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符合，本项目不属于重化工、涉重金属等工业污染项目。</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60"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A2污染物排放管控</w:t>
                  </w:r>
                </w:p>
              </w:tc>
              <w:tc>
                <w:tcPr>
                  <w:tcW w:w="46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A2.1污染物削减/替代要求</w:t>
                  </w:r>
                </w:p>
              </w:tc>
              <w:tc>
                <w:tcPr>
                  <w:tcW w:w="199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〔A2.1-1〕新、改、扩建重点行业建设项目应符合</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三线一单</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、产业政策、区域环评、规划环评和行业环境准入管控要求。重点区域的新、改、扩建重点行业建设项目应遵循重点重金属污染物排放</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减量替代</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原则。</w:t>
                  </w:r>
                </w:p>
              </w:tc>
              <w:tc>
                <w:tcPr>
                  <w:tcW w:w="228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符合，本项目不排放重金属污染物。</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6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46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A2.2污染控制措施要求</w:t>
                  </w:r>
                </w:p>
              </w:tc>
              <w:tc>
                <w:tcPr>
                  <w:tcW w:w="199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2.2-1〕推动能源、钢铁、建材、有色、电力、化工等重点领域技术升级，控制工业过程温室气体排放，推动工业领域绿色低碳发展。积极鼓励发展二氧化碳捕集利用与封存等低碳技术。促进大气污染物与温室气体协同控制。实施污染物和温室气体协同控制，实现减污降碳协同效应。强化污水、垃圾等集中处置设施环境管理，协同控制氢氟碳化物、甲烷、氧化亚氮等温室气体。加强节约能源与大气污染防治协同有效衔接，促进大气污染防治协同增效。</w:t>
                  </w:r>
                </w:p>
              </w:tc>
              <w:tc>
                <w:tcPr>
                  <w:tcW w:w="228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符合，本项目不涉及。</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60"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A3环境风险防控</w:t>
                  </w:r>
                </w:p>
              </w:tc>
              <w:tc>
                <w:tcPr>
                  <w:tcW w:w="46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A3.1人居环境要求</w:t>
                  </w:r>
                </w:p>
              </w:tc>
              <w:tc>
                <w:tcPr>
                  <w:tcW w:w="199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〔A3.1-1〕建立和完善重污染天气兵地联合应急预案、预报预警应急机制和会商联动机制。</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一昌一石</w:t>
                  </w:r>
                  <w:r>
                    <w:rPr>
                      <w:rFonts w:hint="eastAsia" w:cs="Times New Roman"/>
                      <w:sz w:val="21"/>
                      <w:szCs w:val="21"/>
                      <w:lang w:val="en-US" w:eastAsia="zh-CN"/>
                    </w:rPr>
                    <w:t>”</w:t>
                  </w:r>
                  <w:r>
                    <w:rPr>
                      <w:rFonts w:hint="default" w:ascii="Times New Roman" w:hAnsi="Times New Roman" w:eastAsia="宋体" w:cs="Times New Roman"/>
                      <w:sz w:val="21"/>
                      <w:szCs w:val="21"/>
                      <w:lang w:val="en-US" w:eastAsia="zh-CN"/>
                    </w:rPr>
                    <w:t>区域内可能影响相邻行政区域大气环境的项目，兵地间、城市间必须相互征求意见。</w:t>
                  </w:r>
                </w:p>
              </w:tc>
              <w:tc>
                <w:tcPr>
                  <w:tcW w:w="228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b w:val="0"/>
                      <w:bCs/>
                      <w:color w:val="000000"/>
                      <w:spacing w:val="0"/>
                      <w:kern w:val="0"/>
                      <w:position w:val="0"/>
                      <w:sz w:val="21"/>
                      <w:szCs w:val="21"/>
                      <w:lang w:val="en-US" w:bidi="zh-CN"/>
                    </w:rPr>
                    <w:t>符合，本项目积极响应重污染天气应急预案。</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6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sz w:val="21"/>
                      <w:szCs w:val="21"/>
                      <w:lang w:val="en-US" w:eastAsia="zh-CN"/>
                    </w:rPr>
                  </w:pPr>
                </w:p>
              </w:tc>
              <w:tc>
                <w:tcPr>
                  <w:tcW w:w="460"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199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3.2-3〕加强新污染物多环境介质协同治理。排放重点管控新污染物的企事业单位应采取污染控制措施，达到相关污染物排放标准及环境质量目标要求；按照排污许可管理有关要求，依法申领排污许可证或填写排污登记表，并在其中载明执行的污染控制标准要求及采取的污染控制措施。排放重点管控新污染物的企事业单位和其他生产经营者应按照相关法律法规要求，对排放（污）口及其周边环境定期开展环境监测，评估环境风险，排查整治环境安全隐患，依法公开新污染物信息，采取措施防范环境风险。土壤污染重点监管单位应严格控制有毒有害物质排放，建立土壤污染隐患排查制度，防止有毒有害物质渗漏、流失、扬散。</w:t>
                  </w:r>
                </w:p>
              </w:tc>
              <w:tc>
                <w:tcPr>
                  <w:tcW w:w="228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符合</w:t>
                  </w:r>
                  <w:r>
                    <w:rPr>
                      <w:rFonts w:hint="eastAsia" w:cs="Times New Roman"/>
                      <w:sz w:val="21"/>
                      <w:szCs w:val="21"/>
                      <w:lang w:val="en-US" w:eastAsia="zh-CN"/>
                    </w:rPr>
                    <w:t>，根</w:t>
                  </w:r>
                  <w:r>
                    <w:rPr>
                      <w:rFonts w:hint="default" w:ascii="Times New Roman" w:hAnsi="Times New Roman" w:eastAsia="宋体" w:cs="Times New Roman"/>
                      <w:sz w:val="21"/>
                      <w:szCs w:val="21"/>
                      <w:lang w:val="en-US" w:eastAsia="zh-CN"/>
                    </w:rPr>
                    <w:t>据《固定污染源排污许可分类管理名录》（2019年版），本名录未对项目作规定，排污单位可不纳入排污许可管理要求。</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6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sz w:val="21"/>
                      <w:szCs w:val="21"/>
                      <w:lang w:val="en-US" w:eastAsia="zh-CN"/>
                    </w:rPr>
                  </w:pPr>
                </w:p>
              </w:tc>
              <w:tc>
                <w:tcPr>
                  <w:tcW w:w="46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sz w:val="21"/>
                      <w:szCs w:val="21"/>
                      <w:lang w:val="en-US" w:eastAsia="zh-CN"/>
                    </w:rPr>
                  </w:pPr>
                </w:p>
              </w:tc>
              <w:tc>
                <w:tcPr>
                  <w:tcW w:w="199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3.2-6〕强化兵地联防联控联治，落实兵地统一规划、统一政策、统一标准、统一要求、统一推进的防治管理措施，完善重大项目环境影响评价区域会商、重污染天气兵地联合应急联动机制。建立兵地生态环境联合执法和联合监测长效机制。</w:t>
                  </w:r>
                </w:p>
              </w:tc>
              <w:tc>
                <w:tcPr>
                  <w:tcW w:w="228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highlight w:val="none"/>
                      <w:lang w:val="en-US" w:eastAsia="zh-CN"/>
                    </w:rPr>
                    <w:t>符合，</w:t>
                  </w:r>
                  <w:r>
                    <w:rPr>
                      <w:rFonts w:hint="default" w:ascii="Times New Roman" w:hAnsi="Times New Roman" w:eastAsia="宋体" w:cs="Times New Roman"/>
                      <w:b w:val="0"/>
                      <w:bCs/>
                      <w:color w:val="000000"/>
                      <w:spacing w:val="0"/>
                      <w:kern w:val="0"/>
                      <w:position w:val="0"/>
                      <w:sz w:val="21"/>
                      <w:szCs w:val="21"/>
                      <w:lang w:val="en-US" w:bidi="zh-CN"/>
                    </w:rPr>
                    <w:t>本项目积极响应重污染天气应急预案</w:t>
                  </w:r>
                  <w:r>
                    <w:rPr>
                      <w:rFonts w:hint="default" w:ascii="Times New Roman" w:hAnsi="Times New Roman" w:eastAsia="宋体" w:cs="Times New Roman"/>
                      <w:sz w:val="21"/>
                      <w:szCs w:val="21"/>
                      <w:highlight w:val="none"/>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60"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A4资源利用要求</w:t>
                  </w:r>
                </w:p>
              </w:tc>
              <w:tc>
                <w:tcPr>
                  <w:tcW w:w="46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A4.1水资源</w:t>
                  </w:r>
                </w:p>
              </w:tc>
              <w:tc>
                <w:tcPr>
                  <w:tcW w:w="199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4.1-2〕加大城镇污水再生利用工程建设力度，推进区域再生水循环利用，到2025年，城市生活污水再生利用率力争达到60%。〔A4.1-3〕加强农村水利基础设施建设，推进农村供水保障工程，农村自来水普及率、集中供水率分别达到99.3%、99.7%。</w:t>
                  </w:r>
                </w:p>
              </w:tc>
              <w:tc>
                <w:tcPr>
                  <w:tcW w:w="228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highlight w:val="none"/>
                      <w:lang w:val="en-US" w:eastAsia="zh-CN"/>
                    </w:rPr>
                    <w:t>符合，本项目产生的</w:t>
                  </w:r>
                  <w:r>
                    <w:rPr>
                      <w:rFonts w:hint="eastAsia" w:cs="Times New Roman"/>
                      <w:sz w:val="21"/>
                      <w:szCs w:val="21"/>
                      <w:highlight w:val="none"/>
                      <w:lang w:val="en-US" w:eastAsia="zh-CN"/>
                    </w:rPr>
                    <w:t>动物诊疗废水</w:t>
                  </w:r>
                  <w:r>
                    <w:rPr>
                      <w:rFonts w:hint="default" w:ascii="Times New Roman" w:hAnsi="Times New Roman" w:eastAsia="宋体" w:cs="Times New Roman"/>
                      <w:sz w:val="21"/>
                      <w:szCs w:val="21"/>
                      <w:highlight w:val="none"/>
                      <w:lang w:val="en-US" w:eastAsia="zh-CN"/>
                    </w:rPr>
                    <w:t>和</w:t>
                  </w:r>
                  <w:r>
                    <w:rPr>
                      <w:rFonts w:hint="eastAsia" w:ascii="Times New Roman" w:hAnsi="Times New Roman" w:eastAsia="宋体" w:cs="Times New Roman"/>
                      <w:sz w:val="21"/>
                      <w:szCs w:val="21"/>
                      <w:highlight w:val="none"/>
                      <w:lang w:val="en-US" w:eastAsia="zh-CN"/>
                    </w:rPr>
                    <w:t>宠物</w:t>
                  </w:r>
                  <w:r>
                    <w:rPr>
                      <w:rFonts w:hint="default" w:ascii="Times New Roman" w:hAnsi="Times New Roman" w:eastAsia="宋体" w:cs="Times New Roman"/>
                      <w:sz w:val="21"/>
                      <w:szCs w:val="21"/>
                      <w:highlight w:val="none"/>
                      <w:lang w:val="en-US" w:eastAsia="zh-CN"/>
                    </w:rPr>
                    <w:t>清洗废水</w:t>
                  </w:r>
                  <w:r>
                    <w:rPr>
                      <w:rFonts w:hint="eastAsia" w:cs="Times New Roman"/>
                      <w:sz w:val="21"/>
                      <w:szCs w:val="21"/>
                      <w:highlight w:val="none"/>
                      <w:lang w:val="en-US" w:eastAsia="zh-CN"/>
                    </w:rPr>
                    <w:t>经小型废水治理设施消毒处理后和</w:t>
                  </w:r>
                  <w:r>
                    <w:rPr>
                      <w:rFonts w:hint="default" w:ascii="Times New Roman" w:hAnsi="Times New Roman" w:eastAsia="宋体" w:cs="Times New Roman"/>
                      <w:sz w:val="21"/>
                      <w:szCs w:val="21"/>
                      <w:highlight w:val="none"/>
                      <w:lang w:val="en-US" w:eastAsia="zh-CN"/>
                    </w:rPr>
                    <w:t>生活污水</w:t>
                  </w:r>
                  <w:r>
                    <w:rPr>
                      <w:rFonts w:hint="eastAsia" w:cs="Times New Roman"/>
                      <w:sz w:val="21"/>
                      <w:szCs w:val="21"/>
                      <w:highlight w:val="none"/>
                      <w:lang w:val="en-US" w:eastAsia="zh-CN"/>
                    </w:rPr>
                    <w:t>一同</w:t>
                  </w:r>
                  <w:r>
                    <w:rPr>
                      <w:rFonts w:hint="default" w:ascii="Times New Roman" w:hAnsi="Times New Roman" w:eastAsia="宋体" w:cs="Times New Roman"/>
                      <w:sz w:val="21"/>
                      <w:szCs w:val="21"/>
                      <w:highlight w:val="none"/>
                      <w:lang w:val="en-US" w:eastAsia="zh-CN"/>
                    </w:rPr>
                    <w:t>进入</w:t>
                  </w:r>
                  <w:r>
                    <w:rPr>
                      <w:rFonts w:hint="eastAsia" w:ascii="Times New Roman" w:hAnsi="Times New Roman" w:eastAsia="宋体" w:cs="Times New Roman"/>
                      <w:sz w:val="21"/>
                      <w:szCs w:val="21"/>
                      <w:highlight w:val="none"/>
                      <w:lang w:val="en-US" w:eastAsia="zh-CN"/>
                    </w:rPr>
                    <w:t>小区</w:t>
                  </w:r>
                  <w:r>
                    <w:rPr>
                      <w:rFonts w:hint="default" w:ascii="Times New Roman" w:hAnsi="Times New Roman" w:eastAsia="宋体" w:cs="Times New Roman"/>
                      <w:sz w:val="21"/>
                      <w:szCs w:val="21"/>
                      <w:highlight w:val="none"/>
                      <w:lang w:val="en-US" w:eastAsia="zh-CN"/>
                    </w:rPr>
                    <w:t>化粪池处理，最终纳入市政污水管网，进入库尔勒市南市区污水处理厂集中处理</w:t>
                  </w:r>
                  <w:r>
                    <w:rPr>
                      <w:rFonts w:hint="eastAsia" w:cs="Times New Roman"/>
                      <w:sz w:val="21"/>
                      <w:szCs w:val="21"/>
                      <w:highlight w:val="none"/>
                      <w:lang w:val="en-US" w:eastAsia="zh-CN"/>
                    </w:rPr>
                    <w: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6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46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A4.2土地资源</w:t>
                  </w:r>
                </w:p>
              </w:tc>
              <w:tc>
                <w:tcPr>
                  <w:tcW w:w="199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〔A4.2-1〕土地资源上线指标控制在最终批复的国土空间规划控制指标内。</w:t>
                  </w:r>
                </w:p>
              </w:tc>
              <w:tc>
                <w:tcPr>
                  <w:tcW w:w="228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符合，本项目已取得不动产权证。</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6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46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A4.4禁燃区要求</w:t>
                  </w:r>
                </w:p>
              </w:tc>
              <w:tc>
                <w:tcPr>
                  <w:tcW w:w="199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〔A4.4-1〕在禁燃区内，禁止销售、燃用高污染燃料；禁止新建、扩建燃用高污染燃料的设施。已建成的，应当在规定期限内改用清洁能源。</w:t>
                  </w:r>
                </w:p>
              </w:tc>
              <w:tc>
                <w:tcPr>
                  <w:tcW w:w="228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符合，本项目不涉及。</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26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p>
              </w:tc>
              <w:tc>
                <w:tcPr>
                  <w:tcW w:w="46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A4.5资源综合利用</w:t>
                  </w:r>
                </w:p>
              </w:tc>
              <w:tc>
                <w:tcPr>
                  <w:tcW w:w="199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A4.5-1〕加强固体废物源头减量、资源化利用和无害化处置，最大限度减少填埋量。推进工业固体废物精细化、名录化环境管理，促进大宗工业固废综合利用、主要农业废弃物全量利用。加快构建废旧物资回收和循环利用体系，健全强制报废制度和废旧家电、消费电子等耐用消费品回收处理体系，推行生产企业</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逆向回收</w:t>
                  </w:r>
                  <w:r>
                    <w:rPr>
                      <w:rFonts w:hint="eastAsia" w:ascii="Times New Roman" w:hAnsi="Times New Roman" w:eastAsia="宋体" w:cs="Times New Roman"/>
                      <w:sz w:val="21"/>
                      <w:szCs w:val="21"/>
                      <w:lang w:val="en-US" w:eastAsia="zh-CN"/>
                    </w:rPr>
                    <w:t>”</w:t>
                  </w:r>
                  <w:r>
                    <w:rPr>
                      <w:rFonts w:hint="default" w:ascii="Times New Roman" w:hAnsi="Times New Roman" w:eastAsia="宋体" w:cs="Times New Roman"/>
                      <w:sz w:val="21"/>
                      <w:szCs w:val="21"/>
                      <w:lang w:val="en-US" w:eastAsia="zh-CN"/>
                    </w:rPr>
                    <w:t>等模式。以尾矿和共伴生矿、煤矸石、炉渣、粉煤灰、脱硫石膏、冶炼渣、建筑垃圾等为重点，持续推进固体废物综合利用和环境整治，不断提高大宗固体废物资源化利用水平。推行生活垃圾分类，加快建设县（市）生活垃圾处理设施，到2025年，全疆城市生活垃圾无害化处理率达到99%以上。</w:t>
                  </w:r>
                </w:p>
              </w:tc>
              <w:tc>
                <w:tcPr>
                  <w:tcW w:w="228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符合，生活垃圾由环卫部门统一拉运处置，</w:t>
                  </w:r>
                  <w:r>
                    <w:rPr>
                      <w:rFonts w:hint="eastAsia" w:cs="Times New Roman"/>
                      <w:sz w:val="21"/>
                      <w:szCs w:val="21"/>
                      <w:lang w:val="en-US" w:eastAsia="zh-CN"/>
                    </w:rPr>
                    <w:t>动物诊疗废物</w:t>
                  </w:r>
                  <w:r>
                    <w:rPr>
                      <w:rFonts w:hint="default" w:ascii="Times New Roman" w:hAnsi="Times New Roman" w:eastAsia="宋体" w:cs="Times New Roman"/>
                      <w:sz w:val="21"/>
                      <w:szCs w:val="21"/>
                      <w:lang w:val="en-US" w:eastAsia="zh-CN"/>
                    </w:rPr>
                    <w:t>委托库尔勒天达环卫有限责任公司处置</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sz w:val="21"/>
                      <w:szCs w:val="21"/>
                      <w:lang w:val="en-US" w:eastAsia="zh-CN"/>
                    </w:rPr>
                  </w:pPr>
                </w:p>
              </w:tc>
            </w:tr>
          </w:tbl>
          <w:p>
            <w:pPr>
              <w:pStyle w:val="2"/>
              <w:numPr>
                <w:ilvl w:val="0"/>
                <w:numId w:val="0"/>
              </w:numPr>
              <w:spacing w:after="0" w:afterLines="0" w:afterAutospacing="0" w:line="360" w:lineRule="auto"/>
              <w:ind w:left="0" w:leftChars="0" w:firstLine="480" w:firstLineChars="200"/>
              <w:jc w:val="both"/>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val="0"/>
                <w:snapToGrid w:val="0"/>
                <w:color w:val="000000"/>
                <w:kern w:val="0"/>
                <w:sz w:val="24"/>
                <w:highlight w:val="none"/>
                <w:lang w:val="en-US" w:eastAsia="zh-CN"/>
              </w:rPr>
              <w:t>综上所述，本项目符合《关于印发&lt;新疆维吾尔自治区生态环境分区管控动态更新成果&gt;的通知》（新政发〔2024〕157号）管控要求</w:t>
            </w:r>
            <w:r>
              <w:rPr>
                <w:rFonts w:hint="default" w:ascii="Times New Roman" w:hAnsi="Times New Roman" w:eastAsia="宋体" w:cs="Times New Roman"/>
                <w:b w:val="0"/>
                <w:snapToGrid w:val="0"/>
                <w:color w:val="000000"/>
                <w:kern w:val="0"/>
                <w:sz w:val="24"/>
                <w:highlight w:val="none"/>
                <w:lang w:eastAsia="zh-CN"/>
              </w:rPr>
              <w:t>。</w:t>
            </w:r>
          </w:p>
          <w:p>
            <w:pPr>
              <w:numPr>
                <w:ilvl w:val="0"/>
                <w:numId w:val="2"/>
              </w:numPr>
              <w:bidi w:val="0"/>
              <w:spacing w:afterAutospacing="0" w:line="360" w:lineRule="auto"/>
              <w:ind w:left="0" w:leftChars="0" w:firstLine="480" w:firstLineChars="0"/>
              <w:rPr>
                <w:rFonts w:hint="default" w:ascii="Times New Roman" w:hAnsi="Times New Roman" w:eastAsia="宋体" w:cs="Times New Roman"/>
                <w:b/>
                <w:bCs/>
                <w:color w:val="000000" w:themeColor="text1"/>
                <w:kern w:val="0"/>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4"/>
                <w:szCs w:val="24"/>
                <w:lang w:val="en-US" w:eastAsia="zh-CN" w:bidi="ar-SA"/>
                <w14:textFill>
                  <w14:solidFill>
                    <w14:schemeClr w14:val="tx1"/>
                  </w14:solidFill>
                </w14:textFill>
              </w:rPr>
              <w:t>与《巴音郭楞蒙古自治州生态环境准入清单》的符合性</w:t>
            </w:r>
          </w:p>
          <w:p>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360" w:lineRule="auto"/>
              <w:ind w:left="0" w:leftChars="0" w:right="0" w:firstLine="400"/>
              <w:jc w:val="both"/>
              <w:textAlignment w:val="auto"/>
              <w:rPr>
                <w:rFonts w:hint="default" w:ascii="Times New Roman" w:hAnsi="Times New Roman" w:eastAsia="宋体" w:cs="Times New Roman"/>
                <w:b w:val="0"/>
                <w:color w:val="000000"/>
                <w:kern w:val="0"/>
                <w:sz w:val="24"/>
                <w:szCs w:val="22"/>
                <w:highlight w:val="none"/>
              </w:rPr>
            </w:pPr>
            <w:r>
              <w:rPr>
                <w:rFonts w:hint="default" w:ascii="Times New Roman" w:hAnsi="Times New Roman" w:eastAsia="宋体" w:cs="Times New Roman"/>
                <w:b w:val="0"/>
                <w:snapToGrid w:val="0"/>
                <w:color w:val="000000"/>
                <w:spacing w:val="0"/>
                <w:kern w:val="0"/>
                <w:sz w:val="24"/>
                <w:szCs w:val="24"/>
                <w:highlight w:val="none"/>
                <w:lang w:val="en-US" w:eastAsia="zh-CN"/>
              </w:rPr>
              <w:t>本项目位于新疆</w:t>
            </w:r>
            <w:r>
              <w:rPr>
                <w:rFonts w:hint="default" w:ascii="Times New Roman" w:hAnsi="Times New Roman" w:eastAsia="宋体" w:cs="Times New Roman"/>
                <w:b w:val="0"/>
                <w:bCs/>
                <w:snapToGrid w:val="0"/>
                <w:color w:val="000000"/>
                <w:kern w:val="0"/>
                <w:sz w:val="24"/>
                <w:szCs w:val="24"/>
                <w:highlight w:val="none"/>
                <w:lang w:eastAsia="zh-CN"/>
              </w:rPr>
              <w:t>巴音郭楞蒙古自治州</w:t>
            </w:r>
            <w:r>
              <w:rPr>
                <w:rFonts w:hint="default" w:ascii="Times New Roman" w:hAnsi="Times New Roman" w:eastAsia="宋体" w:cs="Times New Roman"/>
                <w:b w:val="0"/>
                <w:snapToGrid w:val="0"/>
                <w:color w:val="000000"/>
                <w:spacing w:val="0"/>
                <w:kern w:val="0"/>
                <w:sz w:val="24"/>
                <w:szCs w:val="24"/>
                <w:highlight w:val="none"/>
                <w:lang w:val="en-US" w:eastAsia="zh-CN"/>
              </w:rPr>
              <w:t>库尔勒市铁克其乡民生路天福名庭商铺55-24号，根据</w:t>
            </w:r>
            <w:r>
              <w:rPr>
                <w:rFonts w:hint="default" w:ascii="Times New Roman" w:hAnsi="Times New Roman" w:eastAsia="宋体" w:cs="Times New Roman"/>
                <w:b w:val="0"/>
                <w:bCs/>
                <w:snapToGrid w:val="0"/>
                <w:color w:val="000000"/>
                <w:kern w:val="0"/>
                <w:sz w:val="24"/>
                <w:szCs w:val="24"/>
                <w:highlight w:val="none"/>
                <w:lang w:eastAsia="zh-CN"/>
              </w:rPr>
              <w:t>《巴音郭楞蒙古自治州生态环境准入清单（</w:t>
            </w:r>
            <w:r>
              <w:rPr>
                <w:rFonts w:hint="default" w:ascii="Times New Roman" w:hAnsi="Times New Roman" w:eastAsia="宋体" w:cs="Times New Roman"/>
                <w:b w:val="0"/>
                <w:bCs/>
                <w:snapToGrid w:val="0"/>
                <w:color w:val="000000"/>
                <w:kern w:val="0"/>
                <w:sz w:val="24"/>
                <w:szCs w:val="24"/>
                <w:highlight w:val="none"/>
                <w:lang w:val="en-US" w:eastAsia="zh-CN"/>
              </w:rPr>
              <w:t>2023年</w:t>
            </w:r>
            <w:r>
              <w:rPr>
                <w:rFonts w:hint="default" w:ascii="Times New Roman" w:hAnsi="Times New Roman" w:eastAsia="宋体" w:cs="Times New Roman"/>
                <w:b w:val="0"/>
                <w:bCs/>
                <w:snapToGrid w:val="0"/>
                <w:color w:val="000000"/>
                <w:kern w:val="0"/>
                <w:sz w:val="24"/>
                <w:szCs w:val="24"/>
                <w:highlight w:val="none"/>
                <w:lang w:eastAsia="zh-CN"/>
              </w:rPr>
              <w:t>）》可知，</w:t>
            </w:r>
            <w:r>
              <w:rPr>
                <w:rFonts w:hint="eastAsia" w:ascii="Times New Roman" w:hAnsi="Times New Roman" w:eastAsia="宋体" w:cs="Times New Roman"/>
                <w:b w:val="0"/>
                <w:bCs/>
                <w:snapToGrid w:val="0"/>
                <w:color w:val="000000"/>
                <w:kern w:val="0"/>
                <w:sz w:val="24"/>
                <w:szCs w:val="24"/>
                <w:highlight w:val="none"/>
                <w:lang w:eastAsia="zh-CN"/>
              </w:rPr>
              <w:t>本项目所在区域为</w:t>
            </w:r>
            <w:r>
              <w:rPr>
                <w:rFonts w:hint="eastAsia" w:ascii="Times New Roman" w:hAnsi="Times New Roman" w:eastAsia="宋体" w:cs="Times New Roman"/>
                <w:b w:val="0"/>
                <w:color w:val="000000"/>
                <w:kern w:val="0"/>
                <w:sz w:val="24"/>
                <w:szCs w:val="24"/>
                <w:highlight w:val="none"/>
                <w:lang w:val="en-US" w:eastAsia="zh-CN"/>
              </w:rPr>
              <w:t>库尔勒市城建区</w:t>
            </w:r>
            <w:r>
              <w:rPr>
                <w:rFonts w:hint="eastAsia" w:ascii="Times New Roman" w:hAnsi="Times New Roman" w:eastAsia="宋体" w:cs="Times New Roman"/>
                <w:b w:val="0"/>
                <w:bCs/>
                <w:snapToGrid w:val="0"/>
                <w:color w:val="000000"/>
                <w:kern w:val="0"/>
                <w:sz w:val="24"/>
                <w:szCs w:val="24"/>
                <w:highlight w:val="none"/>
                <w:lang w:eastAsia="zh-CN"/>
              </w:rPr>
              <w:t>重点管控单元，</w:t>
            </w:r>
            <w:r>
              <w:rPr>
                <w:rFonts w:hint="eastAsia" w:ascii="Times New Roman" w:hAnsi="Times New Roman" w:eastAsia="宋体" w:cs="Times New Roman"/>
                <w:b w:val="0"/>
                <w:bCs/>
                <w:snapToGrid w:val="0"/>
                <w:color w:val="000000"/>
                <w:kern w:val="0"/>
                <w:sz w:val="24"/>
                <w:szCs w:val="24"/>
                <w:highlight w:val="none"/>
                <w:lang w:val="en-US" w:eastAsia="zh-CN"/>
              </w:rPr>
              <w:t>管控单元编码：ZH65280120015</w:t>
            </w:r>
            <w:r>
              <w:rPr>
                <w:rFonts w:hint="default" w:ascii="Times New Roman" w:hAnsi="Times New Roman" w:eastAsia="宋体" w:cs="Times New Roman"/>
                <w:b w:val="0"/>
                <w:bCs/>
                <w:snapToGrid w:val="0"/>
                <w:color w:val="000000"/>
                <w:kern w:val="0"/>
                <w:sz w:val="24"/>
                <w:szCs w:val="24"/>
                <w:highlight w:val="none"/>
                <w:lang w:val="en-US" w:eastAsia="zh-CN"/>
              </w:rPr>
              <w:t>，</w:t>
            </w:r>
            <w:r>
              <w:rPr>
                <w:rFonts w:hint="default" w:ascii="Times New Roman" w:hAnsi="Times New Roman" w:eastAsia="宋体" w:cs="Times New Roman"/>
                <w:b w:val="0"/>
                <w:bCs/>
                <w:snapToGrid w:val="0"/>
                <w:color w:val="000000"/>
                <w:kern w:val="0"/>
                <w:sz w:val="24"/>
                <w:szCs w:val="24"/>
                <w:highlight w:val="none"/>
                <w:lang w:eastAsia="zh-CN"/>
              </w:rPr>
              <w:t>与《巴音郭楞蒙古自治州生态环境准入清单》的符合性见下表。</w:t>
            </w:r>
          </w:p>
          <w:p>
            <w:pPr>
              <w:spacing w:line="223" w:lineRule="auto"/>
              <w:jc w:val="center"/>
              <w:rPr>
                <w:rFonts w:ascii="宋体" w:hAnsi="宋体" w:eastAsia="宋体" w:cs="宋体"/>
                <w:sz w:val="21"/>
                <w:szCs w:val="21"/>
              </w:rPr>
            </w:pPr>
            <w:r>
              <w:rPr>
                <w:rFonts w:ascii="宋体" w:hAnsi="宋体" w:eastAsia="宋体" w:cs="宋体"/>
                <w:b/>
                <w:bCs/>
                <w:spacing w:val="5"/>
                <w:sz w:val="21"/>
                <w:szCs w:val="21"/>
              </w:rPr>
              <w:t>表</w:t>
            </w:r>
            <w:r>
              <w:rPr>
                <w:rFonts w:ascii="宋体" w:hAnsi="宋体" w:eastAsia="宋体" w:cs="宋体"/>
                <w:spacing w:val="-20"/>
                <w:sz w:val="21"/>
                <w:szCs w:val="21"/>
              </w:rPr>
              <w:t xml:space="preserve"> </w:t>
            </w:r>
            <w:r>
              <w:rPr>
                <w:rFonts w:ascii="Times New Roman" w:hAnsi="Times New Roman" w:eastAsia="Times New Roman" w:cs="Times New Roman"/>
                <w:b/>
                <w:bCs/>
                <w:spacing w:val="5"/>
                <w:sz w:val="21"/>
                <w:szCs w:val="21"/>
              </w:rPr>
              <w:t>1</w:t>
            </w:r>
            <w:r>
              <w:rPr>
                <w:rFonts w:hint="eastAsia" w:eastAsia="宋体" w:cs="Times New Roman"/>
                <w:b/>
                <w:bCs/>
                <w:spacing w:val="5"/>
                <w:sz w:val="21"/>
                <w:szCs w:val="21"/>
                <w:lang w:val="en-US" w:eastAsia="zh-CN"/>
              </w:rPr>
              <w:t>-</w:t>
            </w:r>
            <w:r>
              <w:rPr>
                <w:rFonts w:hint="eastAsia" w:cs="Times New Roman"/>
                <w:b/>
                <w:bCs/>
                <w:spacing w:val="5"/>
                <w:sz w:val="21"/>
                <w:szCs w:val="21"/>
                <w:lang w:val="en-US" w:eastAsia="zh-CN"/>
              </w:rPr>
              <w:t>2</w:t>
            </w:r>
            <w:r>
              <w:rPr>
                <w:rFonts w:ascii="Times New Roman" w:hAnsi="Times New Roman" w:eastAsia="Times New Roman" w:cs="Times New Roman"/>
                <w:b/>
                <w:bCs/>
                <w:spacing w:val="5"/>
                <w:sz w:val="21"/>
                <w:szCs w:val="21"/>
              </w:rPr>
              <w:t xml:space="preserve">    </w:t>
            </w:r>
            <w:r>
              <w:rPr>
                <w:rFonts w:hint="default" w:ascii="Times New Roman" w:hAnsi="Times New Roman" w:eastAsia="Times New Roman" w:cs="Times New Roman"/>
                <w:b/>
                <w:bCs/>
                <w:spacing w:val="5"/>
                <w:sz w:val="21"/>
                <w:szCs w:val="21"/>
                <w:lang w:val="en-US" w:eastAsia="zh-CN"/>
              </w:rPr>
              <w:t>与《巴音郭楞蒙古自治州生态环境准入清单》</w:t>
            </w:r>
            <w:r>
              <w:rPr>
                <w:rFonts w:hint="eastAsia" w:eastAsia="Times New Roman" w:cs="Times New Roman"/>
                <w:b/>
                <w:bCs/>
                <w:spacing w:val="5"/>
                <w:sz w:val="21"/>
                <w:szCs w:val="21"/>
                <w:lang w:val="en-US" w:eastAsia="zh-CN"/>
              </w:rPr>
              <w:t>的</w:t>
            </w:r>
            <w:r>
              <w:rPr>
                <w:rFonts w:hint="default" w:ascii="Times New Roman" w:hAnsi="Times New Roman" w:eastAsia="Times New Roman" w:cs="Times New Roman"/>
                <w:b/>
                <w:bCs/>
                <w:spacing w:val="5"/>
                <w:sz w:val="21"/>
                <w:szCs w:val="21"/>
                <w:lang w:val="en-US" w:eastAsia="zh-CN"/>
              </w:rPr>
              <w:t>符合性分析</w:t>
            </w:r>
          </w:p>
          <w:tbl>
            <w:tblPr>
              <w:tblStyle w:val="30"/>
              <w:tblW w:w="4998"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695"/>
              <w:gridCol w:w="705"/>
              <w:gridCol w:w="3099"/>
              <w:gridCol w:w="2691"/>
            </w:tblGrid>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83" w:type="pct"/>
                  <w:tcBorders>
                    <w:bottom w:val="single" w:color="auto"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z w:val="21"/>
                      <w:szCs w:val="21"/>
                      <w:highlight w:val="none"/>
                      <w:lang w:val="en-US" w:eastAsia="zh-CN" w:bidi="ar-SA"/>
                    </w:rPr>
                  </w:pPr>
                </w:p>
              </w:tc>
              <w:tc>
                <w:tcPr>
                  <w:tcW w:w="490" w:type="pct"/>
                  <w:tcBorders>
                    <w:bottom w:val="single" w:color="auto"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z w:val="21"/>
                      <w:szCs w:val="21"/>
                      <w:highlight w:val="none"/>
                      <w:lang w:val="en-US" w:eastAsia="zh-CN" w:bidi="ar-SA"/>
                    </w:rPr>
                  </w:pPr>
                  <w:r>
                    <w:rPr>
                      <w:rFonts w:hint="default" w:ascii="Times New Roman" w:hAnsi="Times New Roman" w:eastAsia="宋体" w:cs="Times New Roman"/>
                      <w:b/>
                      <w:bCs/>
                      <w:color w:val="000000"/>
                      <w:sz w:val="21"/>
                      <w:szCs w:val="21"/>
                      <w:highlight w:val="none"/>
                      <w:lang w:val="en-US" w:eastAsia="zh-CN" w:bidi="ar-SA"/>
                    </w:rPr>
                    <w:t>管控类别</w:t>
                  </w:r>
                </w:p>
              </w:tc>
              <w:tc>
                <w:tcPr>
                  <w:tcW w:w="2155" w:type="pct"/>
                  <w:tcBorders>
                    <w:bottom w:val="single" w:color="auto"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z w:val="21"/>
                      <w:szCs w:val="21"/>
                      <w:highlight w:val="none"/>
                      <w:lang w:val="en-US" w:eastAsia="zh-CN" w:bidi="ar-SA"/>
                    </w:rPr>
                  </w:pPr>
                  <w:r>
                    <w:rPr>
                      <w:rFonts w:hint="default" w:ascii="Times New Roman" w:hAnsi="Times New Roman" w:eastAsia="宋体" w:cs="Times New Roman"/>
                      <w:b/>
                      <w:bCs/>
                      <w:color w:val="000000"/>
                      <w:sz w:val="21"/>
                      <w:szCs w:val="21"/>
                      <w:highlight w:val="none"/>
                      <w:lang w:val="en-US" w:eastAsia="zh-CN" w:bidi="ar-SA"/>
                    </w:rPr>
                    <w:t>管控要求</w:t>
                  </w:r>
                </w:p>
              </w:tc>
              <w:tc>
                <w:tcPr>
                  <w:tcW w:w="1871" w:type="pct"/>
                  <w:tcBorders>
                    <w:bottom w:val="single" w:color="auto"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sz w:val="21"/>
                      <w:szCs w:val="21"/>
                      <w:highlight w:val="none"/>
                      <w:lang w:val="en-US" w:eastAsia="zh-CN" w:bidi="ar-SA"/>
                    </w:rPr>
                  </w:pPr>
                  <w:r>
                    <w:rPr>
                      <w:rFonts w:hint="default" w:ascii="Times New Roman" w:hAnsi="Times New Roman" w:eastAsia="宋体" w:cs="Times New Roman"/>
                      <w:b/>
                      <w:bCs/>
                      <w:color w:val="000000"/>
                      <w:sz w:val="21"/>
                      <w:szCs w:val="21"/>
                      <w:highlight w:val="none"/>
                      <w:lang w:val="en-US" w:eastAsia="zh-CN" w:bidi="ar-SA"/>
                    </w:rPr>
                    <w:t>符合性分析</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83" w:type="pct"/>
                  <w:vMerge w:val="restart"/>
                  <w:tcBorders>
                    <w:top w:val="single" w:color="auto" w:sz="12" w:space="0"/>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bidi="ar-SA"/>
                    </w:rPr>
                    <w:t>生态环境分区管控</w:t>
                  </w:r>
                </w:p>
              </w:tc>
              <w:tc>
                <w:tcPr>
                  <w:tcW w:w="490" w:type="pct"/>
                  <w:vMerge w:val="restart"/>
                  <w:tcBorders>
                    <w:top w:val="single" w:color="auto" w:sz="12" w:space="0"/>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bidi="ar-SA"/>
                    </w:rPr>
                    <w:t>空间布局约束</w:t>
                  </w:r>
                </w:p>
              </w:tc>
              <w:tc>
                <w:tcPr>
                  <w:tcW w:w="2155" w:type="pct"/>
                  <w:tcBorders>
                    <w:top w:val="single" w:color="auto" w:sz="12" w:space="0"/>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bidi="ar-SA"/>
                    </w:rPr>
                    <w:t>1、加强生态防护体系建设。加快城市及周边绿化和防风防沙林建设。在行政区域用水指标内，积极推进用水结构调整，合理配置生活、生产和生态用水，扩大城市建成区绿化规模，继续推进道路绿化、居住区绿化、立体空间绿化。城市周边禁止开荒，降低风起扬尘。加大城市周边绿化建设力度。</w:t>
                  </w:r>
                </w:p>
              </w:tc>
              <w:tc>
                <w:tcPr>
                  <w:tcW w:w="1871" w:type="pct"/>
                  <w:tcBorders>
                    <w:top w:val="single" w:color="auto" w:sz="12" w:space="0"/>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r>
                    <w:rPr>
                      <w:rFonts w:hint="default" w:ascii="Times New Roman" w:hAnsi="Times New Roman" w:eastAsia="宋体" w:cs="Times New Roman"/>
                      <w:color w:val="000000"/>
                      <w:spacing w:val="-6"/>
                      <w:sz w:val="21"/>
                      <w:szCs w:val="21"/>
                      <w:highlight w:val="none"/>
                      <w:lang w:val="en-US" w:eastAsia="zh-CN" w:bidi="ar-SA"/>
                    </w:rPr>
                    <w:t>符合，</w:t>
                  </w:r>
                  <w:r>
                    <w:rPr>
                      <w:rFonts w:hint="eastAsia" w:ascii="宋体" w:hAnsi="宋体" w:eastAsia="宋体" w:cs="Times New Roman"/>
                      <w:bCs/>
                      <w:sz w:val="21"/>
                      <w:szCs w:val="21"/>
                      <w:lang w:val="en-US" w:eastAsia="zh-CN"/>
                    </w:rPr>
                    <w:t>本项目位于</w:t>
                  </w:r>
                  <w:r>
                    <w:rPr>
                      <w:rFonts w:hint="default" w:ascii="Times New Roman" w:hAnsi="Times New Roman" w:eastAsia="宋体" w:cs="Times New Roman"/>
                      <w:snapToGrid w:val="0"/>
                      <w:color w:val="000000"/>
                      <w:spacing w:val="0"/>
                      <w:kern w:val="0"/>
                      <w:sz w:val="21"/>
                      <w:szCs w:val="21"/>
                      <w:lang w:val="en-US" w:eastAsia="zh-CN"/>
                    </w:rPr>
                    <w:t>新疆巴音郭楞蒙古自治州库尔勒市铁克其乡</w:t>
                  </w:r>
                  <w:r>
                    <w:rPr>
                      <w:rFonts w:hint="eastAsia" w:cs="Times New Roman"/>
                      <w:i w:val="0"/>
                      <w:iCs w:val="0"/>
                      <w:color w:val="000000" w:themeColor="text1"/>
                      <w:sz w:val="21"/>
                      <w:szCs w:val="21"/>
                      <w:lang w:val="en-US" w:eastAsia="zh-CN"/>
                      <w14:textFill>
                        <w14:solidFill>
                          <w14:schemeClr w14:val="tx1"/>
                        </w14:solidFill>
                      </w14:textFill>
                    </w:rPr>
                    <w:t>民生路天福名庭商铺55-24号</w:t>
                  </w:r>
                  <w:r>
                    <w:rPr>
                      <w:rFonts w:hint="eastAsia" w:cs="Times New Roman"/>
                      <w:color w:val="000000"/>
                      <w:spacing w:val="-6"/>
                      <w:sz w:val="21"/>
                      <w:szCs w:val="21"/>
                      <w:highlight w:val="none"/>
                      <w:lang w:val="en-US" w:eastAsia="zh-CN" w:bidi="ar-SA"/>
                    </w:rPr>
                    <w:t>，项目周边城区绿化已建成。</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8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p>
              </w:tc>
              <w:tc>
                <w:tcPr>
                  <w:tcW w:w="490"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p>
              </w:tc>
              <w:tc>
                <w:tcPr>
                  <w:tcW w:w="2155"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r>
                    <w:rPr>
                      <w:rFonts w:hint="eastAsia" w:ascii="Times New Roman" w:hAnsi="Times New Roman" w:eastAsia="宋体" w:cs="Times New Roman"/>
                      <w:color w:val="000000"/>
                      <w:kern w:val="0"/>
                      <w:sz w:val="21"/>
                      <w:szCs w:val="21"/>
                      <w:lang w:val="en-US" w:eastAsia="zh-CN" w:bidi="ar"/>
                    </w:rPr>
                    <w:t>2、</w:t>
                  </w:r>
                  <w:r>
                    <w:rPr>
                      <w:rFonts w:hint="default" w:ascii="Times New Roman" w:hAnsi="Times New Roman" w:eastAsia="宋体" w:cs="Times New Roman"/>
                      <w:color w:val="000000"/>
                      <w:kern w:val="0"/>
                      <w:sz w:val="21"/>
                      <w:szCs w:val="21"/>
                      <w:lang w:val="en-US" w:eastAsia="zh-CN" w:bidi="ar"/>
                    </w:rPr>
                    <w:t>建成区原则上禁止新建每小时35蒸吨以下燃煤锅炉，其他地区原则上不再新建每小时10蒸吨以下的燃煤锅炉。新建燃气锅炉氮氧化物排放浓度均应不高于50mg/m</w:t>
                  </w:r>
                  <w:r>
                    <w:rPr>
                      <w:rFonts w:hint="default" w:ascii="Times New Roman" w:hAnsi="Times New Roman" w:eastAsia="宋体" w:cs="Times New Roman"/>
                      <w:color w:val="000000"/>
                      <w:kern w:val="0"/>
                      <w:sz w:val="21"/>
                      <w:szCs w:val="21"/>
                      <w:vertAlign w:val="superscript"/>
                      <w:lang w:val="en-US" w:eastAsia="zh-CN" w:bidi="ar"/>
                    </w:rPr>
                    <w:t>3</w:t>
                  </w:r>
                  <w:r>
                    <w:rPr>
                      <w:rFonts w:hint="default" w:ascii="Times New Roman" w:hAnsi="Times New Roman" w:eastAsia="宋体" w:cs="Times New Roman"/>
                      <w:color w:val="000000"/>
                      <w:kern w:val="0"/>
                      <w:sz w:val="21"/>
                      <w:szCs w:val="21"/>
                      <w:lang w:val="en-US" w:eastAsia="zh-CN" w:bidi="ar"/>
                    </w:rPr>
                    <w:t>。</w:t>
                  </w:r>
                </w:p>
              </w:tc>
              <w:tc>
                <w:tcPr>
                  <w:tcW w:w="1871"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pacing w:val="-6"/>
                      <w:sz w:val="21"/>
                      <w:szCs w:val="21"/>
                      <w:highlight w:val="none"/>
                      <w:lang w:val="en-US" w:eastAsia="zh-CN" w:bidi="ar-SA"/>
                    </w:rPr>
                  </w:pPr>
                  <w:r>
                    <w:rPr>
                      <w:rFonts w:hint="eastAsia" w:ascii="Times New Roman" w:hAnsi="Times New Roman" w:eastAsia="宋体" w:cs="Times New Roman"/>
                      <w:color w:val="000000"/>
                      <w:spacing w:val="0"/>
                      <w:kern w:val="0"/>
                      <w:sz w:val="21"/>
                      <w:szCs w:val="21"/>
                      <w:lang w:val="en-US" w:eastAsia="zh-CN" w:bidi="ar"/>
                    </w:rPr>
                    <w:t>符合，本项目不涉及新建</w:t>
                  </w:r>
                  <w:r>
                    <w:rPr>
                      <w:rFonts w:hint="default" w:ascii="Times New Roman" w:hAnsi="Times New Roman" w:eastAsia="宋体" w:cs="Times New Roman"/>
                      <w:color w:val="000000"/>
                      <w:kern w:val="0"/>
                      <w:sz w:val="21"/>
                      <w:szCs w:val="21"/>
                      <w:lang w:val="en-US" w:eastAsia="zh-CN" w:bidi="ar"/>
                    </w:rPr>
                    <w:t>燃煤锅炉</w:t>
                  </w:r>
                  <w:r>
                    <w:rPr>
                      <w:rFonts w:hint="eastAsia" w:cs="Times New Roman"/>
                      <w:color w:val="000000"/>
                      <w:spacing w:val="0"/>
                      <w:kern w:val="0"/>
                      <w:sz w:val="21"/>
                      <w:szCs w:val="21"/>
                      <w:lang w:val="en-US" w:eastAsia="zh-CN" w:bidi="ar"/>
                    </w:rPr>
                    <w:t>。</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8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p>
              </w:tc>
              <w:tc>
                <w:tcPr>
                  <w:tcW w:w="49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bidi="ar-SA"/>
                    </w:rPr>
                    <w:t>污染物排放管控</w:t>
                  </w:r>
                </w:p>
              </w:tc>
              <w:tc>
                <w:tcPr>
                  <w:tcW w:w="2155"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bidi="ar-SA"/>
                    </w:rPr>
                    <w:t>1、控制扬尘污染。加大城市扬尘综合整治力度。加强施工扬尘监管，积极推进绿色施工。各类建筑施工、道路施工、市政工程等工地和构筑物拆除场地施工现场应满足全封闭设置围挡墙、湿法作业、物料覆盖、道路硬化、进出车辆冲洗、物料密闭运输等“六个百分之百”措施，施工面积大于住建部门要求的应安装扬尘和噪声监测系统并联网。渣土运输车辆采取密闭措施，逐步安装卫星定位系统；大型煤堆、料堆实行全封闭存储。提高城市道路机械化湿法清扫率，及时修复破损路面，加强道路两侧绿化。库尔勒市区道路适时开展道路 洒水抑尘。</w:t>
                  </w:r>
                </w:p>
              </w:tc>
              <w:tc>
                <w:tcPr>
                  <w:tcW w:w="1871"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bidi="ar-SA"/>
                    </w:rPr>
                    <w:t>符合，本项目</w:t>
                  </w:r>
                  <w:r>
                    <w:rPr>
                      <w:rFonts w:hint="eastAsia" w:ascii="Times New Roman" w:hAnsi="Times New Roman" w:eastAsia="宋体" w:cs="Times New Roman"/>
                      <w:color w:val="000000"/>
                      <w:sz w:val="21"/>
                      <w:szCs w:val="21"/>
                      <w:highlight w:val="none"/>
                      <w:lang w:val="en-US" w:eastAsia="zh-CN" w:bidi="ar-SA"/>
                    </w:rPr>
                    <w:t>不涉及</w:t>
                  </w:r>
                  <w:r>
                    <w:rPr>
                      <w:rFonts w:hint="default" w:ascii="Times New Roman" w:hAnsi="Times New Roman" w:eastAsia="宋体" w:cs="Times New Roman"/>
                      <w:sz w:val="21"/>
                      <w:szCs w:val="21"/>
                    </w:rPr>
                    <w:t>。</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8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p>
              </w:tc>
              <w:tc>
                <w:tcPr>
                  <w:tcW w:w="490" w:type="pct"/>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bidi="ar-SA"/>
                    </w:rPr>
                    <w:t>环境风险防控</w:t>
                  </w:r>
                </w:p>
              </w:tc>
              <w:tc>
                <w:tcPr>
                  <w:tcW w:w="2155"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宋体" w:cs="Times New Roman"/>
                      <w:color w:val="000000"/>
                      <w:sz w:val="21"/>
                      <w:szCs w:val="21"/>
                      <w:highlight w:val="none"/>
                      <w:lang w:val="en-US" w:eastAsia="zh-CN" w:bidi="ar-SA"/>
                    </w:rPr>
                  </w:pPr>
                  <w:r>
                    <w:rPr>
                      <w:rFonts w:hint="default" w:ascii="Times New Roman" w:hAnsi="Times New Roman" w:eastAsia="宋体" w:cs="Times New Roman"/>
                      <w:b w:val="0"/>
                      <w:color w:val="000000"/>
                      <w:kern w:val="0"/>
                      <w:sz w:val="21"/>
                      <w:szCs w:val="21"/>
                      <w:highlight w:val="none"/>
                      <w:lang w:val="en-US" w:eastAsia="zh-CN" w:bidi="ar"/>
                    </w:rPr>
                    <w:t>1.提高监管能力。建设区域空气质量监测网络，完善监测站点，统一监测指标，统一质量管理，统一信息发布；完善重点污染源在线监控能力建设。全面加强国控、区控重点污染源SO</w:t>
                  </w:r>
                  <w:r>
                    <w:rPr>
                      <w:rFonts w:hint="default" w:ascii="Times New Roman" w:hAnsi="Times New Roman" w:eastAsia="宋体" w:cs="Times New Roman"/>
                      <w:b w:val="0"/>
                      <w:color w:val="000000"/>
                      <w:kern w:val="0"/>
                      <w:sz w:val="21"/>
                      <w:szCs w:val="21"/>
                      <w:highlight w:val="none"/>
                      <w:vertAlign w:val="subscript"/>
                      <w:lang w:val="en-US" w:eastAsia="zh-CN" w:bidi="ar"/>
                    </w:rPr>
                    <w:t>2</w:t>
                  </w:r>
                  <w:r>
                    <w:rPr>
                      <w:rFonts w:hint="default" w:ascii="Times New Roman" w:hAnsi="Times New Roman" w:eastAsia="宋体" w:cs="Times New Roman"/>
                      <w:b w:val="0"/>
                      <w:color w:val="000000"/>
                      <w:kern w:val="0"/>
                      <w:sz w:val="21"/>
                      <w:szCs w:val="21"/>
                      <w:highlight w:val="none"/>
                      <w:lang w:val="en-US" w:eastAsia="zh-CN" w:bidi="ar"/>
                    </w:rPr>
                    <w:t>、NOx、烟粉尘在线监测能力建设；推进机动车排污监控能力建设。建立和完善库尔勒区域机动车排污监控中心和污染监控平台，实现机动车环保检验机构在线联网监控，建立新车、在用车环保信息共享数据库</w:t>
                  </w:r>
                  <w:r>
                    <w:rPr>
                      <w:rFonts w:hint="eastAsia" w:cs="Times New Roman"/>
                      <w:b w:val="0"/>
                      <w:color w:val="000000"/>
                      <w:kern w:val="0"/>
                      <w:sz w:val="21"/>
                      <w:szCs w:val="21"/>
                      <w:highlight w:val="none"/>
                      <w:lang w:val="en-US" w:eastAsia="zh-CN" w:bidi="ar"/>
                    </w:rPr>
                    <w:t>。</w:t>
                  </w:r>
                </w:p>
              </w:tc>
              <w:tc>
                <w:tcPr>
                  <w:tcW w:w="1871"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bidi="ar-SA"/>
                    </w:rPr>
                    <w:t>符合，本项目不涉及。</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8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p>
              </w:tc>
              <w:tc>
                <w:tcPr>
                  <w:tcW w:w="490"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p>
              </w:tc>
              <w:tc>
                <w:tcPr>
                  <w:tcW w:w="2155"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宋体" w:cs="Times New Roman"/>
                      <w:b w:val="0"/>
                      <w:color w:val="000000"/>
                      <w:kern w:val="0"/>
                      <w:sz w:val="21"/>
                      <w:szCs w:val="21"/>
                      <w:highlight w:val="none"/>
                      <w:lang w:val="en-US" w:eastAsia="zh-CN"/>
                    </w:rPr>
                  </w:pPr>
                  <w:r>
                    <w:rPr>
                      <w:rFonts w:hint="default" w:ascii="Times New Roman" w:hAnsi="Times New Roman" w:eastAsia="宋体" w:cs="Times New Roman"/>
                      <w:b w:val="0"/>
                      <w:color w:val="000000"/>
                      <w:kern w:val="0"/>
                      <w:sz w:val="21"/>
                      <w:szCs w:val="21"/>
                      <w:highlight w:val="none"/>
                      <w:lang w:val="en-US" w:eastAsia="zh-CN" w:bidi="ar"/>
                    </w:rPr>
                    <w:t>2.建立区域大气污染预警应急机制。加强重点控制区域极端不利气象条件下大气污染预警体系和区域大气环境质量预报系统建设，建立区域重污染事件应急预案，构建区域联动一体的应急响应体系。</w:t>
                  </w:r>
                </w:p>
              </w:tc>
              <w:tc>
                <w:tcPr>
                  <w:tcW w:w="1871"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r>
                    <w:rPr>
                      <w:rFonts w:hint="eastAsia" w:cs="Times New Roman"/>
                      <w:color w:val="000000" w:themeColor="text1"/>
                      <w:sz w:val="21"/>
                      <w:szCs w:val="21"/>
                      <w:highlight w:val="none"/>
                      <w:lang w:val="en-US" w:eastAsia="zh-CN"/>
                      <w14:textFill>
                        <w14:solidFill>
                          <w14:schemeClr w14:val="tx1"/>
                        </w14:solidFill>
                      </w14:textFill>
                    </w:rPr>
                    <w:t>符合，本项目不涉及</w:t>
                  </w:r>
                  <w:r>
                    <w:rPr>
                      <w:rFonts w:hint="default" w:ascii="Times New Roman" w:hAnsi="Times New Roman" w:eastAsia="宋体" w:cs="Times New Roman"/>
                      <w:b w:val="0"/>
                      <w:color w:val="000000"/>
                      <w:kern w:val="0"/>
                      <w:sz w:val="21"/>
                      <w:szCs w:val="21"/>
                      <w:highlight w:val="none"/>
                      <w:lang w:val="en-US" w:eastAsia="zh-CN" w:bidi="ar"/>
                    </w:rPr>
                    <w:t>联动一体的应急响应体系</w:t>
                  </w:r>
                  <w:r>
                    <w:rPr>
                      <w:rFonts w:hint="eastAsia" w:cs="Times New Roman"/>
                      <w:color w:val="000000" w:themeColor="text1"/>
                      <w:sz w:val="21"/>
                      <w:szCs w:val="21"/>
                      <w:highlight w:val="none"/>
                      <w:lang w:val="en-US" w:eastAsia="zh-CN"/>
                      <w14:textFill>
                        <w14:solidFill>
                          <w14:schemeClr w14:val="tx1"/>
                        </w14:solidFill>
                      </w14:textFill>
                    </w:rPr>
                    <w:t>。</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8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p>
              </w:tc>
              <w:tc>
                <w:tcPr>
                  <w:tcW w:w="490"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p>
              </w:tc>
              <w:tc>
                <w:tcPr>
                  <w:tcW w:w="2155"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宋体" w:cs="Times New Roman"/>
                      <w:b w:val="0"/>
                      <w:color w:val="000000"/>
                      <w:kern w:val="0"/>
                      <w:sz w:val="21"/>
                      <w:szCs w:val="21"/>
                      <w:highlight w:val="none"/>
                      <w:lang w:val="en-US" w:eastAsia="zh-CN"/>
                    </w:rPr>
                  </w:pPr>
                  <w:r>
                    <w:rPr>
                      <w:rFonts w:hint="default" w:ascii="Times New Roman" w:hAnsi="Times New Roman" w:eastAsia="宋体" w:cs="Times New Roman"/>
                      <w:b w:val="0"/>
                      <w:color w:val="000000"/>
                      <w:kern w:val="0"/>
                      <w:sz w:val="21"/>
                      <w:szCs w:val="21"/>
                      <w:highlight w:val="none"/>
                      <w:lang w:val="en-US" w:eastAsia="zh-CN" w:bidi="ar"/>
                    </w:rPr>
                    <w:t>3.医疗、教育、交通、应急管理等重点部门按照部门分预案开展应急管理工作，对发生或者可能发生危害人体健康和安全的重污染天气，应当启动应急方案。</w:t>
                  </w:r>
                </w:p>
              </w:tc>
              <w:tc>
                <w:tcPr>
                  <w:tcW w:w="1871"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bidi="ar-SA"/>
                    </w:rPr>
                    <w:t>符合，本项目</w:t>
                  </w:r>
                  <w:r>
                    <w:rPr>
                      <w:rFonts w:hint="eastAsia" w:ascii="Times New Roman" w:hAnsi="Times New Roman" w:eastAsia="宋体" w:cs="Times New Roman"/>
                      <w:color w:val="000000"/>
                      <w:sz w:val="21"/>
                      <w:szCs w:val="21"/>
                      <w:highlight w:val="none"/>
                      <w:lang w:val="en-US" w:eastAsia="zh-CN" w:bidi="ar-SA"/>
                    </w:rPr>
                    <w:t>不涉及</w:t>
                  </w:r>
                  <w:r>
                    <w:rPr>
                      <w:rFonts w:hint="default" w:ascii="Times New Roman" w:hAnsi="Times New Roman" w:eastAsia="宋体" w:cs="Times New Roman"/>
                      <w:sz w:val="21"/>
                      <w:szCs w:val="21"/>
                    </w:rPr>
                    <w:t>。</w:t>
                  </w:r>
                </w:p>
              </w:tc>
            </w:tr>
            <w:tr>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0" w:hRule="atLeast"/>
                <w:jc w:val="center"/>
              </w:trPr>
              <w:tc>
                <w:tcPr>
                  <w:tcW w:w="48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p>
              </w:tc>
              <w:tc>
                <w:tcPr>
                  <w:tcW w:w="49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bidi="ar-SA"/>
                    </w:rPr>
                    <w:t>资源利用效率</w:t>
                  </w:r>
                </w:p>
              </w:tc>
              <w:tc>
                <w:tcPr>
                  <w:tcW w:w="2155" w:type="pct"/>
                  <w:tcBorders>
                    <w:tl2br w:val="nil"/>
                    <w:tr2bl w:val="nil"/>
                  </w:tcBorders>
                  <w:noWrap w:val="0"/>
                  <w:vAlign w:val="center"/>
                </w:tcPr>
                <w:p>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left"/>
                    <w:textAlignment w:val="auto"/>
                    <w:rPr>
                      <w:rFonts w:hint="default" w:ascii="Times New Roman" w:hAnsi="Times New Roman" w:eastAsia="宋体" w:cs="Times New Roman"/>
                      <w:b w:val="0"/>
                      <w:color w:val="000000"/>
                      <w:kern w:val="0"/>
                      <w:sz w:val="21"/>
                      <w:szCs w:val="21"/>
                      <w:highlight w:val="none"/>
                      <w:lang w:val="en-US" w:eastAsia="zh-CN"/>
                    </w:rPr>
                  </w:pPr>
                  <w:r>
                    <w:rPr>
                      <w:rFonts w:hint="default" w:ascii="Times New Roman" w:hAnsi="Times New Roman" w:eastAsia="宋体" w:cs="Times New Roman"/>
                      <w:b w:val="0"/>
                      <w:color w:val="000000"/>
                      <w:kern w:val="0"/>
                      <w:sz w:val="21"/>
                      <w:szCs w:val="21"/>
                      <w:highlight w:val="none"/>
                      <w:lang w:val="en-US" w:eastAsia="zh-CN" w:bidi="ar"/>
                    </w:rPr>
                    <w:t>1.改善重点控制区能源结构。重点控制区实施燃煤总量控制。结合库尔勒市实际划定和扩大高污染燃煤禁燃区范围，逐步由城市建成区扩展到近郊。通过政策补偿等措施，逐步推行以天然气或电替代煤炭。</w:t>
                  </w:r>
                </w:p>
              </w:tc>
              <w:tc>
                <w:tcPr>
                  <w:tcW w:w="1871"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bidi="ar-SA"/>
                    </w:rPr>
                    <w:t>符合，本项目</w:t>
                  </w:r>
                  <w:r>
                    <w:rPr>
                      <w:rFonts w:hint="eastAsia" w:ascii="Times New Roman" w:hAnsi="Times New Roman" w:eastAsia="宋体" w:cs="Times New Roman"/>
                      <w:color w:val="000000"/>
                      <w:sz w:val="21"/>
                      <w:szCs w:val="21"/>
                      <w:highlight w:val="none"/>
                      <w:lang w:val="en-US" w:eastAsia="zh-CN" w:bidi="ar-SA"/>
                    </w:rPr>
                    <w:t>不涉及</w:t>
                  </w:r>
                  <w:r>
                    <w:rPr>
                      <w:rFonts w:hint="default" w:ascii="Times New Roman" w:hAnsi="Times New Roman" w:eastAsia="宋体" w:cs="Times New Roman"/>
                      <w:sz w:val="21"/>
                      <w:szCs w:val="21"/>
                    </w:rPr>
                    <w:t>。</w:t>
                  </w:r>
                </w:p>
              </w:tc>
            </w:tr>
          </w:tbl>
          <w:p>
            <w:pPr>
              <w:pStyle w:val="13"/>
              <w:keepNext w:val="0"/>
              <w:keepLines w:val="0"/>
              <w:suppressLineNumbers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综上可知，本项目建设符合《巴音郭楞蒙古自治州生态环境准入清单（2023年）》中的</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空间布局约束、污染物排放管控、环境风险防控、资源开发效率要求</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相关要求。</w:t>
            </w:r>
          </w:p>
          <w:p>
            <w:pPr>
              <w:keepNext w:val="0"/>
              <w:keepLines w:val="0"/>
              <w:pageBreakBefore w:val="0"/>
              <w:numPr>
                <w:ilvl w:val="0"/>
                <w:numId w:val="0"/>
              </w:numPr>
              <w:suppressLineNumbers w:val="0"/>
              <w:kinsoku/>
              <w:wordWrap/>
              <w:topLinePunct w:val="0"/>
              <w:bidi w:val="0"/>
              <w:adjustRightInd w:val="0"/>
              <w:snapToGrid w:val="0"/>
              <w:spacing w:before="0" w:beforeAutospacing="0" w:after="0" w:afterAutospacing="0" w:line="360" w:lineRule="auto"/>
              <w:ind w:leftChars="0" w:right="0" w:rightChars="0"/>
              <w:rPr>
                <w:rFonts w:hint="default" w:ascii="Times New Roman" w:hAnsi="Times New Roman" w:eastAsia="宋体" w:cs="Times New Roman"/>
                <w:b/>
                <w:bCs/>
                <w:color w:val="000000" w:themeColor="text1"/>
                <w:kern w:val="0"/>
                <w:sz w:val="24"/>
                <w:szCs w:val="20"/>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0"/>
                <w:sz w:val="24"/>
                <w:szCs w:val="20"/>
                <w:highlight w:val="none"/>
                <w:lang w:val="en-US" w:eastAsia="zh-CN" w:bidi="ar-SA"/>
                <w14:textFill>
                  <w14:solidFill>
                    <w14:schemeClr w14:val="tx1"/>
                  </w14:solidFill>
                </w14:textFill>
              </w:rPr>
              <w:t>1.4与《自治区生态环境分区管控方案和七大片区管控要求》的符合性分析</w:t>
            </w:r>
          </w:p>
          <w:p>
            <w:pPr>
              <w:pStyle w:val="9"/>
              <w:suppressLineNumbers w:val="0"/>
              <w:bidi w:val="0"/>
              <w:spacing w:before="0" w:beforeAutospacing="0" w:after="0" w:afterAutospacing="0"/>
              <w:ind w:right="0" w:firstLine="199" w:firstLineChars="100"/>
              <w:rPr>
                <w:rFonts w:hint="default"/>
                <w:b/>
                <w:bCs/>
                <w:spacing w:val="-6"/>
                <w:sz w:val="21"/>
                <w:lang w:val="en-US" w:eastAsia="zh-CN"/>
              </w:rPr>
            </w:pPr>
            <w:r>
              <w:rPr>
                <w:rFonts w:hint="eastAsia"/>
                <w:b/>
                <w:bCs/>
                <w:spacing w:val="-6"/>
                <w:sz w:val="21"/>
                <w:lang w:val="en-US" w:eastAsia="zh-CN"/>
              </w:rPr>
              <w:t>表  1-3《自治区生态环境分区管控方案和七大片区管控要求》的符合性分析</w:t>
            </w:r>
          </w:p>
          <w:tbl>
            <w:tblPr>
              <w:tblStyle w:val="30"/>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50"/>
              <w:gridCol w:w="4149"/>
              <w:gridCol w:w="249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382" w:type="pct"/>
                  <w:tcBorders>
                    <w:bottom w:val="single" w:color="auto" w:sz="12" w:space="0"/>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textAlignment w:val="center"/>
                    <w:rPr>
                      <w:rFonts w:hint="default" w:ascii="Times New Roman" w:hAnsi="Times New Roman" w:eastAsia="宋体" w:cs="Times New Roman"/>
                      <w:b/>
                      <w:bCs/>
                      <w:spacing w:val="0"/>
                      <w:lang w:val="en-US" w:eastAsia="zh-CN"/>
                    </w:rPr>
                  </w:pPr>
                  <w:r>
                    <w:rPr>
                      <w:rFonts w:hint="default" w:ascii="Times New Roman" w:hAnsi="Times New Roman" w:eastAsia="宋体" w:cs="Times New Roman"/>
                      <w:b/>
                      <w:bCs/>
                      <w:spacing w:val="0"/>
                      <w:lang w:val="en-US" w:eastAsia="zh-CN"/>
                    </w:rPr>
                    <w:t>管控类别</w:t>
                  </w:r>
                </w:p>
              </w:tc>
              <w:tc>
                <w:tcPr>
                  <w:tcW w:w="2884" w:type="pct"/>
                  <w:tcBorders>
                    <w:bottom w:val="single" w:color="auto" w:sz="12" w:space="0"/>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textAlignment w:val="center"/>
                    <w:rPr>
                      <w:rFonts w:hint="default" w:ascii="Times New Roman" w:hAnsi="Times New Roman" w:eastAsia="宋体" w:cs="Times New Roman"/>
                      <w:b/>
                      <w:bCs/>
                      <w:spacing w:val="0"/>
                      <w:lang w:val="en-US" w:eastAsia="zh-CN"/>
                    </w:rPr>
                  </w:pPr>
                  <w:r>
                    <w:rPr>
                      <w:rFonts w:hint="default" w:ascii="Times New Roman" w:hAnsi="Times New Roman" w:eastAsia="宋体" w:cs="Times New Roman"/>
                      <w:b/>
                      <w:bCs/>
                      <w:spacing w:val="0"/>
                      <w:lang w:val="en-US" w:eastAsia="zh-CN"/>
                    </w:rPr>
                    <w:t>管控要求</w:t>
                  </w:r>
                </w:p>
              </w:tc>
              <w:tc>
                <w:tcPr>
                  <w:tcW w:w="1733" w:type="pct"/>
                  <w:tcBorders>
                    <w:bottom w:val="single" w:color="auto" w:sz="12" w:space="0"/>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textAlignment w:val="center"/>
                    <w:rPr>
                      <w:rFonts w:hint="default" w:ascii="Times New Roman" w:hAnsi="Times New Roman" w:eastAsia="宋体" w:cs="Times New Roman"/>
                      <w:b/>
                      <w:bCs/>
                      <w:spacing w:val="0"/>
                      <w:lang w:val="en-US" w:eastAsia="zh-CN"/>
                    </w:rPr>
                  </w:pPr>
                  <w:r>
                    <w:rPr>
                      <w:rFonts w:hint="default" w:ascii="Times New Roman" w:hAnsi="Times New Roman" w:eastAsia="宋体" w:cs="Times New Roman"/>
                      <w:b/>
                      <w:bCs/>
                      <w:spacing w:val="0"/>
                      <w:lang w:val="en-US" w:eastAsia="zh-CN"/>
                    </w:rPr>
                    <w:t>符合性分析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82" w:type="pct"/>
                  <w:vMerge w:val="restart"/>
                  <w:tcBorders>
                    <w:top w:val="single" w:color="auto" w:sz="12" w:space="0"/>
                    <w:tl2br w:val="nil"/>
                    <w:tr2bl w:val="nil"/>
                  </w:tcBorders>
                  <w:noWrap w:val="0"/>
                  <w:vAlign w:val="center"/>
                </w:tcPr>
                <w:p>
                  <w:pPr>
                    <w:pStyle w:val="36"/>
                    <w:keepNext w:val="0"/>
                    <w:keepLines w:val="0"/>
                    <w:pageBreakBefore w:val="0"/>
                    <w:widowControl w:val="0"/>
                    <w:kinsoku/>
                    <w:wordWrap/>
                    <w:overflowPunct/>
                    <w:topLinePunct w:val="0"/>
                    <w:autoSpaceDE w:val="0"/>
                    <w:autoSpaceDN w:val="0"/>
                    <w:bidi w:val="0"/>
                    <w:adjustRightInd w:val="0"/>
                    <w:snapToGrid w:val="0"/>
                    <w:spacing w:before="0"/>
                    <w:ind w:left="0" w:leftChars="0" w:right="0" w:rightChars="0" w:firstLine="0" w:firstLineChars="0"/>
                    <w:jc w:val="center"/>
                    <w:textAlignment w:val="auto"/>
                    <w:rPr>
                      <w:rFonts w:hint="default" w:ascii="Times New Roman" w:hAnsi="Times New Roman" w:eastAsia="宋体" w:cs="Times New Roman"/>
                      <w:b w:val="0"/>
                      <w:color w:val="auto"/>
                      <w:spacing w:val="0"/>
                      <w:lang w:val="en-US" w:eastAsia="zh-CN"/>
                    </w:rPr>
                  </w:pPr>
                  <w:r>
                    <w:rPr>
                      <w:rFonts w:hint="default" w:ascii="Times New Roman" w:hAnsi="Times New Roman" w:eastAsia="宋体" w:cs="Times New Roman"/>
                      <w:b w:val="0"/>
                      <w:bCs/>
                      <w:color w:val="auto"/>
                      <w:spacing w:val="0"/>
                      <w:sz w:val="21"/>
                      <w:szCs w:val="21"/>
                      <w:highlight w:val="none"/>
                      <w:vertAlign w:val="baseline"/>
                      <w:lang w:val="en-US" w:eastAsia="zh-CN"/>
                    </w:rPr>
                    <w:t>空间布局约束</w:t>
                  </w:r>
                </w:p>
              </w:tc>
              <w:tc>
                <w:tcPr>
                  <w:tcW w:w="2884" w:type="pct"/>
                  <w:tcBorders>
                    <w:top w:val="single" w:color="auto" w:sz="12" w:space="0"/>
                    <w:tl2br w:val="nil"/>
                    <w:tr2bl w:val="nil"/>
                  </w:tcBorders>
                  <w:noWrap w:val="0"/>
                  <w:vAlign w:val="center"/>
                </w:tcPr>
                <w:p>
                  <w:pPr>
                    <w:pStyle w:val="36"/>
                    <w:keepNext w:val="0"/>
                    <w:keepLines w:val="0"/>
                    <w:pageBreakBefore w:val="0"/>
                    <w:widowControl w:val="0"/>
                    <w:kinsoku/>
                    <w:wordWrap/>
                    <w:overflowPunct/>
                    <w:topLinePunct w:val="0"/>
                    <w:autoSpaceDE w:val="0"/>
                    <w:autoSpaceDN w:val="0"/>
                    <w:bidi w:val="0"/>
                    <w:adjustRightInd w:val="0"/>
                    <w:snapToGrid w:val="0"/>
                    <w:spacing w:before="0"/>
                    <w:ind w:left="0" w:leftChars="0" w:right="0" w:rightChars="0" w:firstLine="0" w:firstLineChars="0"/>
                    <w:jc w:val="center"/>
                    <w:textAlignment w:val="auto"/>
                    <w:rPr>
                      <w:rFonts w:hint="default" w:ascii="Times New Roman" w:hAnsi="Times New Roman" w:eastAsia="宋体" w:cs="Times New Roman"/>
                      <w:b w:val="0"/>
                      <w:bCs/>
                      <w:color w:val="auto"/>
                      <w:spacing w:val="0"/>
                      <w:kern w:val="2"/>
                      <w:sz w:val="21"/>
                      <w:szCs w:val="21"/>
                      <w:highlight w:val="none"/>
                      <w:vertAlign w:val="baseline"/>
                      <w:lang w:val="en-US" w:eastAsia="zh-CN" w:bidi="ar-SA"/>
                    </w:rPr>
                  </w:pPr>
                  <w:r>
                    <w:rPr>
                      <w:rFonts w:hint="default" w:ascii="Times New Roman" w:hAnsi="Times New Roman" w:eastAsia="宋体" w:cs="Times New Roman"/>
                      <w:b w:val="0"/>
                      <w:bCs/>
                      <w:color w:val="auto"/>
                      <w:spacing w:val="0"/>
                      <w:sz w:val="21"/>
                      <w:szCs w:val="21"/>
                      <w:highlight w:val="none"/>
                      <w:vertAlign w:val="baseline"/>
                      <w:lang w:val="en-US" w:eastAsia="zh-CN"/>
                    </w:rPr>
                    <w:t>严格执行国家、自治区产业政策和环境准入要求，严禁</w:t>
                  </w:r>
                  <w:r>
                    <w:rPr>
                      <w:rFonts w:hint="eastAsia" w:ascii="Times New Roman" w:hAnsi="Times New Roman" w:eastAsia="宋体" w:cs="Times New Roman"/>
                      <w:b w:val="0"/>
                      <w:bCs/>
                      <w:color w:val="auto"/>
                      <w:spacing w:val="0"/>
                      <w:sz w:val="21"/>
                      <w:szCs w:val="21"/>
                      <w:highlight w:val="none"/>
                      <w:vertAlign w:val="baseline"/>
                      <w:lang w:val="en-US" w:eastAsia="zh-CN"/>
                    </w:rPr>
                    <w:t>“</w:t>
                  </w:r>
                  <w:r>
                    <w:rPr>
                      <w:rFonts w:hint="default" w:ascii="Times New Roman" w:hAnsi="Times New Roman" w:eastAsia="宋体" w:cs="Times New Roman"/>
                      <w:b w:val="0"/>
                      <w:bCs/>
                      <w:color w:val="auto"/>
                      <w:spacing w:val="0"/>
                      <w:sz w:val="21"/>
                      <w:szCs w:val="21"/>
                      <w:highlight w:val="none"/>
                      <w:vertAlign w:val="baseline"/>
                      <w:lang w:val="en-US" w:eastAsia="zh-CN"/>
                    </w:rPr>
                    <w:t>三高</w:t>
                  </w:r>
                  <w:r>
                    <w:rPr>
                      <w:rFonts w:hint="eastAsia" w:ascii="Times New Roman" w:hAnsi="Times New Roman" w:eastAsia="宋体" w:cs="Times New Roman"/>
                      <w:b w:val="0"/>
                      <w:bCs/>
                      <w:color w:val="auto"/>
                      <w:spacing w:val="0"/>
                      <w:sz w:val="21"/>
                      <w:szCs w:val="21"/>
                      <w:highlight w:val="none"/>
                      <w:vertAlign w:val="baseline"/>
                      <w:lang w:val="en-US" w:eastAsia="zh-CN"/>
                    </w:rPr>
                    <w:t>”</w:t>
                  </w:r>
                  <w:r>
                    <w:rPr>
                      <w:rFonts w:hint="default" w:ascii="Times New Roman" w:hAnsi="Times New Roman" w:eastAsia="宋体" w:cs="Times New Roman"/>
                      <w:b w:val="0"/>
                      <w:bCs/>
                      <w:color w:val="auto"/>
                      <w:spacing w:val="0"/>
                      <w:sz w:val="21"/>
                      <w:szCs w:val="21"/>
                      <w:highlight w:val="none"/>
                      <w:vertAlign w:val="baseline"/>
                      <w:lang w:val="en-US" w:eastAsia="zh-CN"/>
                    </w:rPr>
                    <w:t>项目进新疆，坚决遏制“两高”项目盲目发展。</w:t>
                  </w:r>
                </w:p>
              </w:tc>
              <w:tc>
                <w:tcPr>
                  <w:tcW w:w="1733" w:type="pct"/>
                  <w:tcBorders>
                    <w:top w:val="single" w:color="auto" w:sz="12" w:space="0"/>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both"/>
                    <w:textAlignment w:val="center"/>
                    <w:rPr>
                      <w:rFonts w:hint="default" w:ascii="Times New Roman" w:hAnsi="Times New Roman" w:eastAsia="宋体" w:cs="Times New Roman"/>
                      <w:b w:val="0"/>
                      <w:color w:val="auto"/>
                      <w:spacing w:val="0"/>
                      <w:lang w:val="en-US" w:eastAsia="zh-CN"/>
                    </w:rPr>
                  </w:pPr>
                  <w:r>
                    <w:rPr>
                      <w:rFonts w:hint="default" w:ascii="Times New Roman" w:hAnsi="Times New Roman" w:eastAsia="宋体" w:cs="Times New Roman"/>
                      <w:b w:val="0"/>
                      <w:color w:val="auto"/>
                      <w:spacing w:val="0"/>
                      <w:lang w:val="en-US" w:eastAsia="zh-CN"/>
                    </w:rPr>
                    <w:t>符合，本项目属于《产业结构调整指导目录（2024年本）》中允许类；不属于《市场准入负面清单（2022年版）》禁止准入事项，不属于</w:t>
                  </w:r>
                  <w:r>
                    <w:rPr>
                      <w:rFonts w:hint="eastAsia" w:ascii="Times New Roman" w:hAnsi="Times New Roman" w:eastAsia="宋体" w:cs="Times New Roman"/>
                      <w:b w:val="0"/>
                      <w:color w:val="auto"/>
                      <w:spacing w:val="0"/>
                      <w:lang w:val="en-US" w:eastAsia="zh-CN"/>
                    </w:rPr>
                    <w:t>“</w:t>
                  </w:r>
                  <w:r>
                    <w:rPr>
                      <w:rFonts w:hint="default" w:ascii="Times New Roman" w:hAnsi="Times New Roman" w:eastAsia="宋体" w:cs="Times New Roman"/>
                      <w:b w:val="0"/>
                      <w:color w:val="auto"/>
                      <w:spacing w:val="0"/>
                      <w:lang w:val="en-US" w:eastAsia="zh-CN"/>
                    </w:rPr>
                    <w:t>三高</w:t>
                  </w:r>
                  <w:r>
                    <w:rPr>
                      <w:rFonts w:hint="eastAsia" w:ascii="Times New Roman" w:hAnsi="Times New Roman" w:eastAsia="宋体" w:cs="Times New Roman"/>
                      <w:b w:val="0"/>
                      <w:color w:val="auto"/>
                      <w:spacing w:val="0"/>
                      <w:lang w:val="en-US" w:eastAsia="zh-CN"/>
                    </w:rPr>
                    <w:t>”</w:t>
                  </w:r>
                  <w:r>
                    <w:rPr>
                      <w:rFonts w:hint="default" w:ascii="Times New Roman" w:hAnsi="Times New Roman" w:eastAsia="宋体" w:cs="Times New Roman"/>
                      <w:b w:val="0"/>
                      <w:color w:val="auto"/>
                      <w:spacing w:val="0"/>
                      <w:lang w:val="en-US" w:eastAsia="zh-CN"/>
                    </w:rPr>
                    <w:t>项目。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82" w:type="pct"/>
                  <w:vMerge w:val="continue"/>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textAlignment w:val="center"/>
                    <w:rPr>
                      <w:rFonts w:hint="default" w:ascii="Times New Roman" w:hAnsi="Times New Roman" w:eastAsia="宋体" w:cs="Times New Roman"/>
                      <w:b w:val="0"/>
                      <w:color w:val="auto"/>
                      <w:spacing w:val="0"/>
                      <w:lang w:val="en-US" w:eastAsia="zh-CN"/>
                    </w:rPr>
                  </w:pPr>
                </w:p>
              </w:tc>
              <w:tc>
                <w:tcPr>
                  <w:tcW w:w="2884" w:type="pct"/>
                  <w:tcBorders>
                    <w:tl2br w:val="nil"/>
                    <w:tr2bl w:val="nil"/>
                  </w:tcBorders>
                  <w:noWrap w:val="0"/>
                  <w:vAlign w:val="center"/>
                </w:tcPr>
                <w:p>
                  <w:pPr>
                    <w:pStyle w:val="36"/>
                    <w:keepNext w:val="0"/>
                    <w:keepLines w:val="0"/>
                    <w:pageBreakBefore w:val="0"/>
                    <w:widowControl w:val="0"/>
                    <w:kinsoku/>
                    <w:wordWrap/>
                    <w:overflowPunct/>
                    <w:topLinePunct w:val="0"/>
                    <w:autoSpaceDE w:val="0"/>
                    <w:autoSpaceDN w:val="0"/>
                    <w:bidi w:val="0"/>
                    <w:adjustRightInd w:val="0"/>
                    <w:snapToGrid w:val="0"/>
                    <w:spacing w:before="0"/>
                    <w:ind w:left="0" w:leftChars="0" w:right="0" w:rightChars="0" w:firstLine="0" w:firstLineChars="0"/>
                    <w:jc w:val="center"/>
                    <w:textAlignment w:val="auto"/>
                    <w:rPr>
                      <w:rFonts w:hint="default" w:ascii="Times New Roman" w:hAnsi="Times New Roman" w:eastAsia="宋体" w:cs="Times New Roman"/>
                      <w:b w:val="0"/>
                      <w:bCs/>
                      <w:color w:val="auto"/>
                      <w:spacing w:val="0"/>
                      <w:kern w:val="0"/>
                      <w:sz w:val="21"/>
                      <w:szCs w:val="21"/>
                      <w:highlight w:val="none"/>
                      <w:vertAlign w:val="baseline"/>
                      <w:lang w:val="en-US" w:eastAsia="zh-CN" w:bidi="ar"/>
                    </w:rPr>
                  </w:pPr>
                  <w:r>
                    <w:rPr>
                      <w:rFonts w:hint="default" w:ascii="Times New Roman" w:hAnsi="Times New Roman" w:eastAsia="宋体" w:cs="Times New Roman"/>
                      <w:b w:val="0"/>
                      <w:bCs/>
                      <w:color w:val="auto"/>
                      <w:spacing w:val="0"/>
                      <w:sz w:val="21"/>
                      <w:szCs w:val="21"/>
                      <w:highlight w:val="none"/>
                      <w:vertAlign w:val="baseline"/>
                      <w:lang w:val="en-US" w:eastAsia="zh-CN"/>
                    </w:rPr>
                    <w:t>不得在水源涵养区、饮用水水源保护区内和河流、湖泊、水库周围建设重化工、涉重金属等工业污染项目。</w:t>
                  </w:r>
                </w:p>
              </w:tc>
              <w:tc>
                <w:tcPr>
                  <w:tcW w:w="1733" w:type="pct"/>
                  <w:tcBorders>
                    <w:tl2br w:val="nil"/>
                    <w:tr2bl w:val="nil"/>
                  </w:tcBorders>
                  <w:noWrap w:val="0"/>
                  <w:vAlign w:val="center"/>
                </w:tcPr>
                <w:p>
                  <w:pPr>
                    <w:pStyle w:val="1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val="0"/>
                      <w:color w:val="auto"/>
                      <w:spacing w:val="0"/>
                      <w:lang w:val="en-US" w:eastAsia="zh-CN"/>
                    </w:rPr>
                  </w:pPr>
                  <w:r>
                    <w:rPr>
                      <w:rFonts w:hint="default" w:ascii="Times New Roman" w:hAnsi="Times New Roman" w:eastAsia="宋体" w:cs="Times New Roman"/>
                      <w:spacing w:val="0"/>
                      <w:sz w:val="21"/>
                      <w:szCs w:val="21"/>
                      <w:lang w:val="en-US" w:eastAsia="zh-CN"/>
                    </w:rPr>
                    <w:t>符合，本项目不属于化工、涉重金属等工业污染项目。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82" w:type="pct"/>
                  <w:vMerge w:val="continue"/>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textAlignment w:val="center"/>
                    <w:rPr>
                      <w:rFonts w:hint="default" w:ascii="Times New Roman" w:hAnsi="Times New Roman" w:eastAsia="宋体" w:cs="Times New Roman"/>
                      <w:b w:val="0"/>
                      <w:color w:val="auto"/>
                      <w:spacing w:val="0"/>
                      <w:lang w:val="en-US" w:eastAsia="zh-CN"/>
                    </w:rPr>
                  </w:pPr>
                </w:p>
              </w:tc>
              <w:tc>
                <w:tcPr>
                  <w:tcW w:w="2884" w:type="pct"/>
                  <w:tcBorders>
                    <w:tl2br w:val="nil"/>
                    <w:tr2bl w:val="nil"/>
                  </w:tcBorders>
                  <w:noWrap w:val="0"/>
                  <w:vAlign w:val="center"/>
                </w:tcPr>
                <w:p>
                  <w:pPr>
                    <w:pStyle w:val="36"/>
                    <w:keepNext w:val="0"/>
                    <w:keepLines w:val="0"/>
                    <w:pageBreakBefore w:val="0"/>
                    <w:widowControl w:val="0"/>
                    <w:kinsoku/>
                    <w:wordWrap/>
                    <w:overflowPunct/>
                    <w:topLinePunct w:val="0"/>
                    <w:autoSpaceDE w:val="0"/>
                    <w:autoSpaceDN w:val="0"/>
                    <w:bidi w:val="0"/>
                    <w:adjustRightInd w:val="0"/>
                    <w:snapToGrid w:val="0"/>
                    <w:spacing w:before="0"/>
                    <w:ind w:left="0" w:leftChars="0" w:right="0" w:rightChars="0" w:firstLine="0" w:firstLineChars="0"/>
                    <w:jc w:val="center"/>
                    <w:textAlignment w:val="auto"/>
                    <w:rPr>
                      <w:rFonts w:hint="default" w:ascii="Times New Roman" w:hAnsi="Times New Roman" w:eastAsia="宋体" w:cs="Times New Roman"/>
                      <w:b w:val="0"/>
                      <w:bCs/>
                      <w:color w:val="auto"/>
                      <w:spacing w:val="0"/>
                      <w:sz w:val="21"/>
                      <w:szCs w:val="21"/>
                      <w:highlight w:val="none"/>
                      <w:vertAlign w:val="baseline"/>
                      <w:lang w:val="en-US" w:eastAsia="zh-CN"/>
                    </w:rPr>
                  </w:pPr>
                  <w:r>
                    <w:rPr>
                      <w:rFonts w:hint="default" w:ascii="Times New Roman" w:hAnsi="Times New Roman" w:eastAsia="宋体" w:cs="Times New Roman"/>
                      <w:b w:val="0"/>
                      <w:bCs/>
                      <w:color w:val="auto"/>
                      <w:sz w:val="21"/>
                      <w:szCs w:val="21"/>
                      <w:highlight w:val="none"/>
                      <w:vertAlign w:val="baseline"/>
                      <w:lang w:val="en-US" w:eastAsia="zh-CN"/>
                    </w:rPr>
                    <w:t>推动项目集聚发展，新建、改建、扩建工业项目原则上应布置由县级及以上人民政府批准建立、环境保护基础设施完善的产业园区、工业聚集区或规划矿区，并且符合相关规划和规划环评要求。</w:t>
                  </w:r>
                </w:p>
              </w:tc>
              <w:tc>
                <w:tcPr>
                  <w:tcW w:w="1733" w:type="pct"/>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b w:val="0"/>
                      <w:color w:val="auto"/>
                      <w:lang w:val="en-US" w:eastAsia="zh-CN"/>
                    </w:rPr>
                    <w:t>符合，本项目</w:t>
                  </w:r>
                  <w:r>
                    <w:rPr>
                      <w:rFonts w:hint="eastAsia" w:cs="Times New Roman"/>
                      <w:b w:val="0"/>
                      <w:color w:val="auto"/>
                      <w:lang w:val="en-US" w:eastAsia="zh-CN"/>
                    </w:rPr>
                    <w:t>不涉及</w:t>
                  </w:r>
                  <w:r>
                    <w:rPr>
                      <w:rFonts w:hint="default" w:ascii="Times New Roman" w:hAnsi="Times New Roman" w:eastAsia="宋体" w:cs="Times New Roman"/>
                      <w:b w:val="0"/>
                      <w:color w:val="auto"/>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82" w:type="pct"/>
                  <w:vMerge w:val="restart"/>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textAlignment w:val="center"/>
                    <w:rPr>
                      <w:rFonts w:hint="default" w:ascii="Times New Roman" w:hAnsi="Times New Roman" w:eastAsia="宋体" w:cs="Times New Roman"/>
                      <w:b w:val="0"/>
                      <w:color w:val="auto"/>
                      <w:spacing w:val="0"/>
                      <w:lang w:val="en-US" w:eastAsia="zh-CN"/>
                    </w:rPr>
                  </w:pPr>
                  <w:r>
                    <w:rPr>
                      <w:rFonts w:hint="default" w:ascii="Times New Roman" w:hAnsi="Times New Roman" w:eastAsia="宋体" w:cs="Times New Roman"/>
                      <w:b w:val="0"/>
                      <w:bCs/>
                      <w:color w:val="auto"/>
                      <w:spacing w:val="0"/>
                      <w:sz w:val="21"/>
                      <w:szCs w:val="21"/>
                      <w:highlight w:val="none"/>
                      <w:vertAlign w:val="baseline"/>
                      <w:lang w:val="en-US" w:eastAsia="zh-CN"/>
                    </w:rPr>
                    <w:t>污染物排放管控</w:t>
                  </w:r>
                </w:p>
              </w:tc>
              <w:tc>
                <w:tcPr>
                  <w:tcW w:w="2884" w:type="pct"/>
                  <w:tcBorders>
                    <w:tl2br w:val="nil"/>
                    <w:tr2bl w:val="nil"/>
                  </w:tcBorders>
                  <w:noWrap w:val="0"/>
                  <w:vAlign w:val="center"/>
                </w:tcPr>
                <w:p>
                  <w:pPr>
                    <w:pStyle w:val="36"/>
                    <w:keepNext w:val="0"/>
                    <w:keepLines w:val="0"/>
                    <w:pageBreakBefore w:val="0"/>
                    <w:widowControl w:val="0"/>
                    <w:kinsoku/>
                    <w:wordWrap/>
                    <w:overflowPunct/>
                    <w:topLinePunct w:val="0"/>
                    <w:autoSpaceDE w:val="0"/>
                    <w:autoSpaceDN w:val="0"/>
                    <w:bidi w:val="0"/>
                    <w:adjustRightInd w:val="0"/>
                    <w:snapToGrid w:val="0"/>
                    <w:spacing w:before="0"/>
                    <w:ind w:left="0" w:leftChars="0" w:right="0" w:rightChars="0" w:firstLine="0" w:firstLineChars="0"/>
                    <w:jc w:val="both"/>
                    <w:textAlignment w:val="auto"/>
                    <w:rPr>
                      <w:rFonts w:hint="default" w:ascii="Times New Roman" w:hAnsi="Times New Roman" w:eastAsia="宋体" w:cs="Times New Roman"/>
                      <w:b w:val="0"/>
                      <w:bCs/>
                      <w:color w:val="auto"/>
                      <w:spacing w:val="0"/>
                      <w:kern w:val="0"/>
                      <w:sz w:val="21"/>
                      <w:szCs w:val="21"/>
                      <w:highlight w:val="none"/>
                      <w:vertAlign w:val="baseline"/>
                      <w:lang w:val="en-US" w:eastAsia="zh-CN" w:bidi="ar"/>
                    </w:rPr>
                  </w:pPr>
                  <w:r>
                    <w:rPr>
                      <w:rFonts w:hint="default" w:ascii="Times New Roman" w:hAnsi="Times New Roman" w:eastAsia="宋体" w:cs="Times New Roman"/>
                      <w:b w:val="0"/>
                      <w:bCs/>
                      <w:color w:val="auto"/>
                      <w:spacing w:val="0"/>
                      <w:sz w:val="21"/>
                      <w:szCs w:val="21"/>
                      <w:highlight w:val="none"/>
                      <w:vertAlign w:val="baseline"/>
                      <w:lang w:val="en-US" w:eastAsia="zh-CN"/>
                    </w:rPr>
                    <w:t>深化行业污染源头治理，深入开展火电行业减排，全力推进钢铁行业超低排放改造，有序推进石化行业</w:t>
                  </w:r>
                  <w:r>
                    <w:rPr>
                      <w:rFonts w:hint="eastAsia" w:ascii="Times New Roman" w:eastAsia="宋体" w:cs="Times New Roman"/>
                      <w:b w:val="0"/>
                      <w:bCs/>
                      <w:color w:val="auto"/>
                      <w:spacing w:val="0"/>
                      <w:sz w:val="21"/>
                      <w:szCs w:val="21"/>
                      <w:highlight w:val="none"/>
                      <w:vertAlign w:val="baseline"/>
                      <w:lang w:val="en-US" w:eastAsia="zh-CN"/>
                    </w:rPr>
                    <w:t>“</w:t>
                  </w:r>
                  <w:r>
                    <w:rPr>
                      <w:rFonts w:hint="default" w:ascii="Times New Roman" w:hAnsi="Times New Roman" w:eastAsia="宋体" w:cs="Times New Roman"/>
                      <w:b w:val="0"/>
                      <w:bCs/>
                      <w:color w:val="auto"/>
                      <w:spacing w:val="0"/>
                      <w:sz w:val="21"/>
                      <w:szCs w:val="21"/>
                      <w:highlight w:val="none"/>
                      <w:vertAlign w:val="baseline"/>
                      <w:lang w:val="en-US" w:eastAsia="zh-CN"/>
                    </w:rPr>
                    <w:t>泄漏检测与修复</w:t>
                  </w:r>
                  <w:r>
                    <w:rPr>
                      <w:rFonts w:hint="eastAsia" w:ascii="Times New Roman" w:eastAsia="宋体" w:cs="Times New Roman"/>
                      <w:b w:val="0"/>
                      <w:bCs/>
                      <w:color w:val="auto"/>
                      <w:spacing w:val="0"/>
                      <w:sz w:val="21"/>
                      <w:szCs w:val="21"/>
                      <w:highlight w:val="none"/>
                      <w:vertAlign w:val="baseline"/>
                      <w:lang w:val="en-US" w:eastAsia="zh-CN"/>
                    </w:rPr>
                    <w:t>”</w:t>
                  </w:r>
                  <w:r>
                    <w:rPr>
                      <w:rFonts w:hint="default" w:ascii="Times New Roman" w:hAnsi="Times New Roman" w:eastAsia="宋体" w:cs="Times New Roman"/>
                      <w:b w:val="0"/>
                      <w:bCs/>
                      <w:color w:val="auto"/>
                      <w:spacing w:val="0"/>
                      <w:sz w:val="21"/>
                      <w:szCs w:val="21"/>
                      <w:highlight w:val="none"/>
                      <w:vertAlign w:val="baseline"/>
                      <w:lang w:val="en-US" w:eastAsia="zh-CN"/>
                    </w:rPr>
                    <w:t>技术改造。强化煤化工、石化、有机化工、表面涂装、包装印刷等重点行业挥发性有机物控制。深入开展燃煤锅炉污染综合整治，深化工业炉窑综合治理。加强</w:t>
                  </w:r>
                  <w:r>
                    <w:rPr>
                      <w:rFonts w:hint="eastAsia" w:ascii="Times New Roman" w:eastAsia="宋体" w:cs="Times New Roman"/>
                      <w:b w:val="0"/>
                      <w:bCs/>
                      <w:color w:val="auto"/>
                      <w:spacing w:val="0"/>
                      <w:sz w:val="21"/>
                      <w:szCs w:val="21"/>
                      <w:highlight w:val="none"/>
                      <w:vertAlign w:val="baseline"/>
                      <w:lang w:val="en-US" w:eastAsia="zh-CN"/>
                    </w:rPr>
                    <w:t>“</w:t>
                  </w:r>
                  <w:r>
                    <w:rPr>
                      <w:rFonts w:hint="default" w:ascii="Times New Roman" w:hAnsi="Times New Roman" w:eastAsia="宋体" w:cs="Times New Roman"/>
                      <w:b w:val="0"/>
                      <w:bCs/>
                      <w:color w:val="auto"/>
                      <w:spacing w:val="0"/>
                      <w:sz w:val="21"/>
                      <w:szCs w:val="21"/>
                      <w:highlight w:val="none"/>
                      <w:vertAlign w:val="baseline"/>
                      <w:lang w:val="en-US" w:eastAsia="zh-CN"/>
                    </w:rPr>
                    <w:t>散乱污</w:t>
                  </w:r>
                  <w:r>
                    <w:rPr>
                      <w:rFonts w:hint="eastAsia" w:ascii="Times New Roman" w:eastAsia="宋体" w:cs="Times New Roman"/>
                      <w:b w:val="0"/>
                      <w:bCs/>
                      <w:color w:val="auto"/>
                      <w:spacing w:val="0"/>
                      <w:sz w:val="21"/>
                      <w:szCs w:val="21"/>
                      <w:highlight w:val="none"/>
                      <w:vertAlign w:val="baseline"/>
                      <w:lang w:val="en-US" w:eastAsia="zh-CN"/>
                    </w:rPr>
                    <w:t>”</w:t>
                  </w:r>
                  <w:r>
                    <w:rPr>
                      <w:rFonts w:hint="default" w:ascii="Times New Roman" w:hAnsi="Times New Roman" w:eastAsia="宋体" w:cs="Times New Roman"/>
                      <w:b w:val="0"/>
                      <w:bCs/>
                      <w:color w:val="auto"/>
                      <w:spacing w:val="0"/>
                      <w:sz w:val="21"/>
                      <w:szCs w:val="21"/>
                      <w:highlight w:val="none"/>
                      <w:vertAlign w:val="baseline"/>
                      <w:lang w:val="en-US" w:eastAsia="zh-CN"/>
                    </w:rPr>
                    <w:t>企业综合整治。优化区域交通运输结构，加快货物运输绿色转型，做好车油联合管控。</w:t>
                  </w:r>
                </w:p>
              </w:tc>
              <w:tc>
                <w:tcPr>
                  <w:tcW w:w="1733" w:type="pct"/>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both"/>
                    <w:textAlignment w:val="center"/>
                    <w:rPr>
                      <w:rFonts w:hint="eastAsia" w:ascii="Times New Roman" w:hAnsi="Times New Roman" w:eastAsia="宋体" w:cs="Times New Roman"/>
                      <w:b w:val="0"/>
                      <w:color w:val="auto"/>
                      <w:spacing w:val="0"/>
                      <w:lang w:val="en-US" w:eastAsia="zh-CN"/>
                    </w:rPr>
                  </w:pPr>
                  <w:r>
                    <w:rPr>
                      <w:rFonts w:hint="default" w:ascii="Times New Roman" w:hAnsi="Times New Roman" w:eastAsia="宋体" w:cs="Times New Roman"/>
                      <w:b w:val="0"/>
                      <w:color w:val="auto"/>
                      <w:spacing w:val="0"/>
                      <w:highlight w:val="none"/>
                      <w:lang w:val="en-US" w:eastAsia="zh-CN"/>
                    </w:rPr>
                    <w:t>符合，</w:t>
                  </w:r>
                  <w:r>
                    <w:rPr>
                      <w:rFonts w:hint="eastAsia" w:cs="Times New Roman"/>
                      <w:b w:val="0"/>
                      <w:color w:val="auto"/>
                      <w:spacing w:val="0"/>
                      <w:highlight w:val="none"/>
                      <w:lang w:val="en-US" w:eastAsia="zh-CN"/>
                    </w:rPr>
                    <w:t>本</w:t>
                  </w:r>
                  <w:r>
                    <w:rPr>
                      <w:rFonts w:hint="eastAsia" w:cs="Times New Roman"/>
                      <w:snapToGrid w:val="0"/>
                      <w:kern w:val="0"/>
                      <w:highlight w:val="none"/>
                      <w:lang w:val="en-US" w:eastAsia="zh-CN"/>
                    </w:rPr>
                    <w:t>项目不涉及。</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82" w:type="pct"/>
                  <w:vMerge w:val="continue"/>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textAlignment w:val="center"/>
                    <w:rPr>
                      <w:rFonts w:hint="default" w:ascii="Times New Roman" w:hAnsi="Times New Roman" w:eastAsia="宋体" w:cs="Times New Roman"/>
                      <w:b w:val="0"/>
                      <w:color w:val="auto"/>
                      <w:spacing w:val="0"/>
                      <w:lang w:val="en-US" w:eastAsia="zh-CN"/>
                    </w:rPr>
                  </w:pPr>
                </w:p>
              </w:tc>
              <w:tc>
                <w:tcPr>
                  <w:tcW w:w="2884" w:type="pct"/>
                  <w:tcBorders>
                    <w:tl2br w:val="nil"/>
                    <w:tr2bl w:val="nil"/>
                  </w:tcBorders>
                  <w:noWrap w:val="0"/>
                  <w:vAlign w:val="center"/>
                </w:tcPr>
                <w:p>
                  <w:pPr>
                    <w:pStyle w:val="36"/>
                    <w:keepNext w:val="0"/>
                    <w:keepLines w:val="0"/>
                    <w:pageBreakBefore w:val="0"/>
                    <w:widowControl w:val="0"/>
                    <w:kinsoku/>
                    <w:wordWrap/>
                    <w:overflowPunct/>
                    <w:topLinePunct w:val="0"/>
                    <w:autoSpaceDE w:val="0"/>
                    <w:autoSpaceDN w:val="0"/>
                    <w:bidi w:val="0"/>
                    <w:adjustRightInd w:val="0"/>
                    <w:snapToGrid w:val="0"/>
                    <w:spacing w:before="0"/>
                    <w:ind w:left="0" w:leftChars="0" w:right="0" w:rightChars="0" w:firstLine="0" w:firstLineChars="0"/>
                    <w:jc w:val="center"/>
                    <w:textAlignment w:val="auto"/>
                    <w:rPr>
                      <w:rFonts w:hint="default" w:ascii="Times New Roman" w:hAnsi="Times New Roman" w:eastAsia="宋体" w:cs="Times New Roman"/>
                      <w:b w:val="0"/>
                      <w:bCs/>
                      <w:color w:val="auto"/>
                      <w:spacing w:val="0"/>
                      <w:kern w:val="0"/>
                      <w:sz w:val="21"/>
                      <w:szCs w:val="21"/>
                      <w:highlight w:val="none"/>
                      <w:vertAlign w:val="baseline"/>
                      <w:lang w:val="en-US" w:eastAsia="zh-CN" w:bidi="ar"/>
                    </w:rPr>
                  </w:pPr>
                  <w:r>
                    <w:rPr>
                      <w:rFonts w:hint="default" w:ascii="Times New Roman" w:hAnsi="Times New Roman" w:eastAsia="宋体" w:cs="Times New Roman"/>
                      <w:b w:val="0"/>
                      <w:bCs/>
                      <w:color w:val="auto"/>
                      <w:spacing w:val="0"/>
                      <w:sz w:val="21"/>
                      <w:szCs w:val="21"/>
                      <w:highlight w:val="none"/>
                      <w:vertAlign w:val="baseline"/>
                      <w:lang w:val="en-US" w:eastAsia="zh-CN"/>
                    </w:rPr>
                    <w:t>以改善流域水环境质量为核心，强化源头控制，</w:t>
                  </w:r>
                  <w:r>
                    <w:rPr>
                      <w:rFonts w:hint="eastAsia" w:ascii="Times New Roman" w:hAnsi="Times New Roman" w:eastAsia="宋体" w:cs="Times New Roman"/>
                      <w:b w:val="0"/>
                      <w:bCs/>
                      <w:color w:val="auto"/>
                      <w:spacing w:val="0"/>
                      <w:sz w:val="21"/>
                      <w:szCs w:val="21"/>
                      <w:highlight w:val="none"/>
                      <w:vertAlign w:val="baseline"/>
                      <w:lang w:val="en-US" w:eastAsia="zh-CN"/>
                    </w:rPr>
                    <w:t>“</w:t>
                  </w:r>
                  <w:r>
                    <w:rPr>
                      <w:rFonts w:hint="default" w:ascii="Times New Roman" w:hAnsi="Times New Roman" w:eastAsia="宋体" w:cs="Times New Roman"/>
                      <w:b w:val="0"/>
                      <w:bCs/>
                      <w:color w:val="auto"/>
                      <w:spacing w:val="0"/>
                      <w:sz w:val="21"/>
                      <w:szCs w:val="21"/>
                      <w:highlight w:val="none"/>
                      <w:vertAlign w:val="baseline"/>
                      <w:lang w:val="en-US" w:eastAsia="zh-CN"/>
                    </w:rPr>
                    <w:t>一河（湖）一策</w:t>
                  </w:r>
                  <w:r>
                    <w:rPr>
                      <w:rFonts w:hint="eastAsia" w:ascii="Times New Roman" w:hAnsi="Times New Roman" w:eastAsia="宋体" w:cs="Times New Roman"/>
                      <w:b w:val="0"/>
                      <w:bCs/>
                      <w:color w:val="auto"/>
                      <w:spacing w:val="0"/>
                      <w:sz w:val="21"/>
                      <w:szCs w:val="21"/>
                      <w:highlight w:val="none"/>
                      <w:vertAlign w:val="baseline"/>
                      <w:lang w:val="en-US" w:eastAsia="zh-CN"/>
                    </w:rPr>
                    <w:t>”</w:t>
                  </w:r>
                  <w:r>
                    <w:rPr>
                      <w:rFonts w:hint="default" w:ascii="Times New Roman" w:hAnsi="Times New Roman" w:eastAsia="宋体" w:cs="Times New Roman"/>
                      <w:b w:val="0"/>
                      <w:bCs/>
                      <w:color w:val="auto"/>
                      <w:spacing w:val="0"/>
                      <w:sz w:val="21"/>
                      <w:szCs w:val="21"/>
                      <w:highlight w:val="none"/>
                      <w:vertAlign w:val="baseline"/>
                      <w:lang w:val="en-US" w:eastAsia="zh-CN"/>
                    </w:rPr>
                    <w:t>精准施治，减少水污染物排放，持续改善水环境质量。强化园区（工业集聚区）水污染防治，不断提高工业用水重复利用率。加快实施城镇污水处理设施提质增效，补齐生活污水收集和处理设施短板，提高再生水回用比例。持续推进农业农村污染防治。</w:t>
                  </w:r>
                </w:p>
              </w:tc>
              <w:tc>
                <w:tcPr>
                  <w:tcW w:w="1733" w:type="pct"/>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both"/>
                    <w:textAlignment w:val="center"/>
                    <w:rPr>
                      <w:rFonts w:hint="default" w:ascii="Times New Roman" w:hAnsi="Times New Roman" w:eastAsia="宋体" w:cs="Times New Roman"/>
                      <w:b w:val="0"/>
                      <w:color w:val="auto"/>
                      <w:spacing w:val="0"/>
                      <w:lang w:val="en-US" w:eastAsia="zh-CN"/>
                    </w:rPr>
                  </w:pPr>
                  <w:r>
                    <w:rPr>
                      <w:rFonts w:hint="default" w:ascii="Times New Roman" w:hAnsi="Times New Roman" w:eastAsia="宋体" w:cs="Times New Roman"/>
                      <w:b w:val="0"/>
                      <w:color w:val="auto"/>
                      <w:spacing w:val="0"/>
                      <w:highlight w:val="none"/>
                      <w:lang w:val="en-US" w:eastAsia="zh-CN"/>
                    </w:rPr>
                    <w:t>符合，本</w:t>
                  </w:r>
                  <w:r>
                    <w:rPr>
                      <w:rFonts w:hint="default" w:ascii="Times New Roman" w:hAnsi="Times New Roman" w:eastAsia="宋体" w:cs="Times New Roman"/>
                      <w:spacing w:val="0"/>
                      <w:sz w:val="21"/>
                      <w:szCs w:val="21"/>
                      <w:highlight w:val="none"/>
                      <w:lang w:val="en-US" w:eastAsia="zh-CN"/>
                    </w:rPr>
                    <w:t>项目不涉及饮用水源等环境敏感区域，</w:t>
                  </w:r>
                  <w:r>
                    <w:rPr>
                      <w:rFonts w:hint="default" w:ascii="Times New Roman" w:hAnsi="Times New Roman" w:eastAsia="宋体" w:cs="Times New Roman"/>
                      <w:sz w:val="21"/>
                      <w:szCs w:val="21"/>
                      <w:highlight w:val="none"/>
                      <w:lang w:val="en-US" w:eastAsia="zh-CN"/>
                    </w:rPr>
                    <w:t>符合，本项目产生的</w:t>
                  </w:r>
                  <w:r>
                    <w:rPr>
                      <w:rFonts w:hint="eastAsia" w:cs="Times New Roman"/>
                      <w:sz w:val="21"/>
                      <w:szCs w:val="21"/>
                      <w:highlight w:val="none"/>
                      <w:lang w:val="en-US" w:eastAsia="zh-CN"/>
                    </w:rPr>
                    <w:t>动物诊疗废水</w:t>
                  </w:r>
                  <w:r>
                    <w:rPr>
                      <w:rFonts w:hint="default" w:ascii="Times New Roman" w:hAnsi="Times New Roman" w:eastAsia="宋体" w:cs="Times New Roman"/>
                      <w:sz w:val="21"/>
                      <w:szCs w:val="21"/>
                      <w:highlight w:val="none"/>
                      <w:lang w:val="en-US" w:eastAsia="zh-CN"/>
                    </w:rPr>
                    <w:t>和</w:t>
                  </w:r>
                  <w:r>
                    <w:rPr>
                      <w:rFonts w:hint="eastAsia" w:ascii="Times New Roman" w:hAnsi="Times New Roman" w:eastAsia="宋体" w:cs="Times New Roman"/>
                      <w:sz w:val="21"/>
                      <w:szCs w:val="21"/>
                      <w:highlight w:val="none"/>
                      <w:lang w:val="en-US" w:eastAsia="zh-CN"/>
                    </w:rPr>
                    <w:t>宠物</w:t>
                  </w:r>
                  <w:r>
                    <w:rPr>
                      <w:rFonts w:hint="default" w:ascii="Times New Roman" w:hAnsi="Times New Roman" w:eastAsia="宋体" w:cs="Times New Roman"/>
                      <w:sz w:val="21"/>
                      <w:szCs w:val="21"/>
                      <w:highlight w:val="none"/>
                      <w:lang w:val="en-US" w:eastAsia="zh-CN"/>
                    </w:rPr>
                    <w:t>清洗废水</w:t>
                  </w:r>
                  <w:r>
                    <w:rPr>
                      <w:rFonts w:hint="eastAsia" w:cs="Times New Roman"/>
                      <w:sz w:val="21"/>
                      <w:szCs w:val="21"/>
                      <w:highlight w:val="none"/>
                      <w:lang w:val="en-US" w:eastAsia="zh-CN"/>
                    </w:rPr>
                    <w:t>经小型废水治理设施消毒处理后和</w:t>
                  </w:r>
                  <w:r>
                    <w:rPr>
                      <w:rFonts w:hint="default" w:ascii="Times New Roman" w:hAnsi="Times New Roman" w:eastAsia="宋体" w:cs="Times New Roman"/>
                      <w:sz w:val="21"/>
                      <w:szCs w:val="21"/>
                      <w:highlight w:val="none"/>
                      <w:lang w:val="en-US" w:eastAsia="zh-CN"/>
                    </w:rPr>
                    <w:t>生活污水</w:t>
                  </w:r>
                  <w:r>
                    <w:rPr>
                      <w:rFonts w:hint="eastAsia" w:cs="Times New Roman"/>
                      <w:sz w:val="21"/>
                      <w:szCs w:val="21"/>
                      <w:highlight w:val="none"/>
                      <w:lang w:val="en-US" w:eastAsia="zh-CN"/>
                    </w:rPr>
                    <w:t>一同</w:t>
                  </w:r>
                  <w:r>
                    <w:rPr>
                      <w:rFonts w:hint="default" w:ascii="Times New Roman" w:hAnsi="Times New Roman" w:eastAsia="宋体" w:cs="Times New Roman"/>
                      <w:sz w:val="21"/>
                      <w:szCs w:val="21"/>
                      <w:highlight w:val="none"/>
                      <w:lang w:val="en-US" w:eastAsia="zh-CN"/>
                    </w:rPr>
                    <w:t>进入</w:t>
                  </w:r>
                  <w:r>
                    <w:rPr>
                      <w:rFonts w:hint="eastAsia" w:ascii="Times New Roman" w:hAnsi="Times New Roman" w:eastAsia="宋体" w:cs="Times New Roman"/>
                      <w:sz w:val="21"/>
                      <w:szCs w:val="21"/>
                      <w:highlight w:val="none"/>
                      <w:lang w:val="en-US" w:eastAsia="zh-CN"/>
                    </w:rPr>
                    <w:t>小区</w:t>
                  </w:r>
                  <w:r>
                    <w:rPr>
                      <w:rFonts w:hint="default" w:ascii="Times New Roman" w:hAnsi="Times New Roman" w:eastAsia="宋体" w:cs="Times New Roman"/>
                      <w:sz w:val="21"/>
                      <w:szCs w:val="21"/>
                      <w:highlight w:val="none"/>
                      <w:lang w:val="en-US" w:eastAsia="zh-CN"/>
                    </w:rPr>
                    <w:t>化粪池处理，最终纳入市政污水管网，进入库尔勒市南市区污水处理厂集中处理</w:t>
                  </w:r>
                  <w:r>
                    <w:rPr>
                      <w:rFonts w:hint="eastAsia" w:cs="Times New Roman"/>
                      <w:sz w:val="21"/>
                      <w:szCs w:val="21"/>
                      <w:highlight w:val="none"/>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82" w:type="pct"/>
                  <w:vMerge w:val="restart"/>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textAlignment w:val="center"/>
                    <w:rPr>
                      <w:rFonts w:hint="default" w:ascii="Times New Roman" w:hAnsi="Times New Roman" w:eastAsia="宋体" w:cs="Times New Roman"/>
                      <w:b w:val="0"/>
                      <w:color w:val="auto"/>
                      <w:spacing w:val="0"/>
                      <w:lang w:val="en-US" w:eastAsia="zh-CN"/>
                    </w:rPr>
                  </w:pPr>
                  <w:r>
                    <w:rPr>
                      <w:rFonts w:hint="default" w:ascii="Times New Roman" w:hAnsi="Times New Roman" w:eastAsia="宋体" w:cs="Times New Roman"/>
                      <w:b w:val="0"/>
                      <w:bCs/>
                      <w:color w:val="auto"/>
                      <w:spacing w:val="0"/>
                      <w:sz w:val="21"/>
                      <w:szCs w:val="21"/>
                      <w:highlight w:val="none"/>
                      <w:vertAlign w:val="baseline"/>
                      <w:lang w:val="en-US" w:eastAsia="zh-CN"/>
                    </w:rPr>
                    <w:t>环境风险防控</w:t>
                  </w:r>
                </w:p>
              </w:tc>
              <w:tc>
                <w:tcPr>
                  <w:tcW w:w="2884" w:type="pct"/>
                  <w:tcBorders>
                    <w:tl2br w:val="nil"/>
                    <w:tr2bl w:val="nil"/>
                  </w:tcBorders>
                  <w:noWrap w:val="0"/>
                  <w:vAlign w:val="center"/>
                </w:tcPr>
                <w:p>
                  <w:pPr>
                    <w:pStyle w:val="36"/>
                    <w:keepNext w:val="0"/>
                    <w:keepLines w:val="0"/>
                    <w:pageBreakBefore w:val="0"/>
                    <w:widowControl w:val="0"/>
                    <w:kinsoku/>
                    <w:wordWrap/>
                    <w:overflowPunct/>
                    <w:topLinePunct w:val="0"/>
                    <w:autoSpaceDE w:val="0"/>
                    <w:autoSpaceDN w:val="0"/>
                    <w:bidi w:val="0"/>
                    <w:adjustRightInd w:val="0"/>
                    <w:snapToGrid w:val="0"/>
                    <w:spacing w:before="0"/>
                    <w:ind w:left="0" w:leftChars="0" w:right="0" w:rightChars="0" w:firstLine="0" w:firstLineChars="0"/>
                    <w:jc w:val="both"/>
                    <w:textAlignment w:val="auto"/>
                    <w:rPr>
                      <w:rFonts w:hint="default" w:ascii="Times New Roman" w:hAnsi="Times New Roman" w:eastAsia="宋体" w:cs="Times New Roman"/>
                      <w:b w:val="0"/>
                      <w:bCs/>
                      <w:color w:val="auto"/>
                      <w:spacing w:val="0"/>
                      <w:kern w:val="0"/>
                      <w:sz w:val="21"/>
                      <w:szCs w:val="21"/>
                      <w:highlight w:val="none"/>
                      <w:vertAlign w:val="baseline"/>
                      <w:lang w:val="en-US" w:eastAsia="zh-CN" w:bidi="ar"/>
                    </w:rPr>
                  </w:pPr>
                  <w:r>
                    <w:rPr>
                      <w:rFonts w:hint="default" w:ascii="Times New Roman" w:hAnsi="Times New Roman" w:eastAsia="宋体" w:cs="Times New Roman"/>
                      <w:b w:val="0"/>
                      <w:bCs/>
                      <w:color w:val="auto"/>
                      <w:spacing w:val="0"/>
                      <w:sz w:val="21"/>
                      <w:szCs w:val="21"/>
                      <w:highlight w:val="none"/>
                      <w:vertAlign w:val="baseline"/>
                      <w:lang w:val="en-US" w:eastAsia="zh-CN"/>
                    </w:rPr>
                    <w:t>提升土壤环境监管能力，加强污染地块安全利用监管。强化工矿用地管理，严格建设用地土壤环境风险管控。加强农用地土壤污染源头控制，科学施用化肥农药，提高农膜回收率。</w:t>
                  </w:r>
                </w:p>
              </w:tc>
              <w:tc>
                <w:tcPr>
                  <w:tcW w:w="1733" w:type="pct"/>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right="0" w:rightChars="0" w:firstLine="0" w:firstLineChars="0"/>
                    <w:jc w:val="both"/>
                    <w:textAlignment w:val="center"/>
                    <w:rPr>
                      <w:rFonts w:hint="default" w:ascii="Times New Roman" w:hAnsi="Times New Roman" w:eastAsia="宋体" w:cs="Times New Roman"/>
                      <w:b w:val="0"/>
                      <w:color w:val="auto"/>
                      <w:spacing w:val="0"/>
                      <w:kern w:val="0"/>
                      <w:sz w:val="21"/>
                      <w:szCs w:val="18"/>
                      <w:lang w:val="en-US" w:eastAsia="zh-CN" w:bidi="ar-SA"/>
                    </w:rPr>
                  </w:pPr>
                  <w:r>
                    <w:rPr>
                      <w:rFonts w:hint="default" w:ascii="Times New Roman" w:hAnsi="Times New Roman" w:eastAsia="宋体" w:cs="Times New Roman"/>
                      <w:b w:val="0"/>
                      <w:color w:val="auto"/>
                      <w:spacing w:val="0"/>
                      <w:highlight w:val="none"/>
                      <w:lang w:val="en-US" w:eastAsia="zh-CN"/>
                    </w:rPr>
                    <w:t>符合，本项目不涉及</w:t>
                  </w:r>
                  <w:r>
                    <w:rPr>
                      <w:rFonts w:hint="default" w:ascii="Times New Roman" w:hAnsi="Times New Roman" w:eastAsia="宋体" w:cs="Times New Roman"/>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82" w:type="pct"/>
                  <w:vMerge w:val="continue"/>
                  <w:tcBorders>
                    <w:tl2br w:val="nil"/>
                    <w:tr2bl w:val="nil"/>
                  </w:tcBorders>
                  <w:noWrap w:val="0"/>
                  <w:vAlign w:val="center"/>
                </w:tcPr>
                <w:p>
                  <w:pPr>
                    <w:pStyle w:val="36"/>
                    <w:keepNext w:val="0"/>
                    <w:keepLines w:val="0"/>
                    <w:pageBreakBefore w:val="0"/>
                    <w:widowControl w:val="0"/>
                    <w:kinsoku/>
                    <w:wordWrap/>
                    <w:overflowPunct/>
                    <w:topLinePunct w:val="0"/>
                    <w:autoSpaceDE w:val="0"/>
                    <w:autoSpaceDN w:val="0"/>
                    <w:bidi w:val="0"/>
                    <w:adjustRightInd w:val="0"/>
                    <w:snapToGrid w:val="0"/>
                    <w:spacing w:before="0"/>
                    <w:ind w:left="0" w:leftChars="0" w:right="0" w:rightChars="0" w:firstLine="0" w:firstLineChars="0"/>
                    <w:jc w:val="center"/>
                    <w:textAlignment w:val="auto"/>
                    <w:rPr>
                      <w:rFonts w:hint="default" w:ascii="Times New Roman" w:hAnsi="Times New Roman" w:eastAsia="宋体" w:cs="Times New Roman"/>
                      <w:b w:val="0"/>
                      <w:bCs/>
                      <w:color w:val="auto"/>
                      <w:spacing w:val="0"/>
                      <w:kern w:val="0"/>
                      <w:sz w:val="21"/>
                      <w:szCs w:val="21"/>
                      <w:highlight w:val="none"/>
                      <w:vertAlign w:val="baseline"/>
                      <w:lang w:val="en-US" w:eastAsia="zh-CN" w:bidi="ar"/>
                    </w:rPr>
                  </w:pPr>
                </w:p>
              </w:tc>
              <w:tc>
                <w:tcPr>
                  <w:tcW w:w="2884" w:type="pct"/>
                  <w:tcBorders>
                    <w:tl2br w:val="nil"/>
                    <w:tr2bl w:val="nil"/>
                  </w:tcBorders>
                  <w:noWrap w:val="0"/>
                  <w:vAlign w:val="center"/>
                </w:tcPr>
                <w:p>
                  <w:pPr>
                    <w:pStyle w:val="36"/>
                    <w:keepNext w:val="0"/>
                    <w:keepLines w:val="0"/>
                    <w:pageBreakBefore w:val="0"/>
                    <w:widowControl w:val="0"/>
                    <w:kinsoku/>
                    <w:wordWrap/>
                    <w:overflowPunct/>
                    <w:topLinePunct w:val="0"/>
                    <w:autoSpaceDE w:val="0"/>
                    <w:autoSpaceDN w:val="0"/>
                    <w:bidi w:val="0"/>
                    <w:adjustRightInd w:val="0"/>
                    <w:snapToGrid w:val="0"/>
                    <w:spacing w:before="0"/>
                    <w:ind w:left="0" w:leftChars="0" w:right="0" w:rightChars="0" w:firstLine="0" w:firstLineChars="0"/>
                    <w:jc w:val="center"/>
                    <w:textAlignment w:val="auto"/>
                    <w:rPr>
                      <w:rFonts w:hint="default" w:ascii="Times New Roman" w:hAnsi="Times New Roman" w:eastAsia="宋体" w:cs="Times New Roman"/>
                      <w:b w:val="0"/>
                      <w:bCs/>
                      <w:color w:val="auto"/>
                      <w:spacing w:val="0"/>
                      <w:kern w:val="0"/>
                      <w:sz w:val="21"/>
                      <w:szCs w:val="21"/>
                      <w:highlight w:val="none"/>
                      <w:vertAlign w:val="baseline"/>
                      <w:lang w:val="en-US" w:eastAsia="zh-CN" w:bidi="ar"/>
                    </w:rPr>
                  </w:pPr>
                  <w:r>
                    <w:rPr>
                      <w:rFonts w:hint="default" w:ascii="Times New Roman" w:hAnsi="Times New Roman" w:eastAsia="宋体" w:cs="Times New Roman"/>
                      <w:b w:val="0"/>
                      <w:bCs/>
                      <w:color w:val="auto"/>
                      <w:spacing w:val="0"/>
                      <w:sz w:val="21"/>
                      <w:szCs w:val="21"/>
                      <w:highlight w:val="none"/>
                      <w:vertAlign w:val="baseline"/>
                      <w:lang w:val="en-US" w:eastAsia="zh-CN"/>
                    </w:rPr>
                    <w:t>禁止在化工园区外新建、扩建危险化学品生产项目。严格落实危险废物处置相关要求。加强重点流域水环境风险管控，保障水环境安全。</w:t>
                  </w:r>
                </w:p>
              </w:tc>
              <w:tc>
                <w:tcPr>
                  <w:tcW w:w="1733" w:type="pct"/>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both"/>
                    <w:textAlignment w:val="center"/>
                    <w:rPr>
                      <w:rFonts w:hint="default" w:ascii="Times New Roman" w:hAnsi="Times New Roman" w:eastAsia="宋体" w:cs="Times New Roman"/>
                      <w:b w:val="0"/>
                      <w:color w:val="auto"/>
                      <w:spacing w:val="0"/>
                      <w:lang w:val="en-US" w:eastAsia="zh-CN"/>
                    </w:rPr>
                  </w:pPr>
                  <w:r>
                    <w:rPr>
                      <w:rFonts w:hint="default" w:ascii="Times New Roman" w:hAnsi="Times New Roman" w:eastAsia="宋体" w:cs="Times New Roman"/>
                      <w:b w:val="0"/>
                      <w:color w:val="auto"/>
                      <w:spacing w:val="0"/>
                      <w:lang w:val="en-US" w:eastAsia="zh-CN"/>
                    </w:rPr>
                    <w:t>符合，</w:t>
                  </w:r>
                  <w:r>
                    <w:rPr>
                      <w:rFonts w:hint="default" w:ascii="Times New Roman" w:hAnsi="Times New Roman" w:eastAsia="宋体" w:cs="Times New Roman"/>
                      <w:spacing w:val="0"/>
                      <w:sz w:val="21"/>
                      <w:szCs w:val="21"/>
                      <w:lang w:val="en-US" w:eastAsia="zh-CN"/>
                    </w:rPr>
                    <w:t>本项目不属于危险化学品生产项目。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82" w:type="pct"/>
                  <w:tcBorders>
                    <w:tl2br w:val="nil"/>
                    <w:tr2bl w:val="nil"/>
                  </w:tcBorders>
                  <w:noWrap w:val="0"/>
                  <w:vAlign w:val="center"/>
                </w:tcPr>
                <w:p>
                  <w:pPr>
                    <w:pStyle w:val="36"/>
                    <w:keepNext w:val="0"/>
                    <w:keepLines w:val="0"/>
                    <w:pageBreakBefore w:val="0"/>
                    <w:widowControl w:val="0"/>
                    <w:kinsoku/>
                    <w:wordWrap/>
                    <w:overflowPunct/>
                    <w:topLinePunct w:val="0"/>
                    <w:autoSpaceDE w:val="0"/>
                    <w:autoSpaceDN w:val="0"/>
                    <w:bidi w:val="0"/>
                    <w:adjustRightInd w:val="0"/>
                    <w:snapToGrid w:val="0"/>
                    <w:spacing w:before="0"/>
                    <w:ind w:left="0" w:leftChars="0" w:right="0" w:rightChars="0" w:firstLine="0" w:firstLineChars="0"/>
                    <w:jc w:val="center"/>
                    <w:textAlignment w:val="auto"/>
                    <w:rPr>
                      <w:rFonts w:hint="default" w:ascii="Times New Roman" w:hAnsi="Times New Roman" w:eastAsia="宋体" w:cs="Times New Roman"/>
                      <w:b w:val="0"/>
                      <w:bCs/>
                      <w:color w:val="auto"/>
                      <w:spacing w:val="0"/>
                      <w:kern w:val="0"/>
                      <w:sz w:val="21"/>
                      <w:szCs w:val="21"/>
                      <w:highlight w:val="none"/>
                      <w:vertAlign w:val="baseline"/>
                      <w:lang w:val="en-US" w:eastAsia="zh-CN" w:bidi="ar"/>
                    </w:rPr>
                  </w:pPr>
                  <w:r>
                    <w:rPr>
                      <w:rFonts w:hint="default" w:ascii="Times New Roman" w:hAnsi="Times New Roman" w:eastAsia="宋体" w:cs="Times New Roman"/>
                      <w:b w:val="0"/>
                      <w:bCs/>
                      <w:color w:val="auto"/>
                      <w:spacing w:val="0"/>
                      <w:sz w:val="21"/>
                      <w:szCs w:val="21"/>
                      <w:highlight w:val="none"/>
                      <w:vertAlign w:val="baseline"/>
                      <w:lang w:val="en-US" w:eastAsia="zh-CN"/>
                    </w:rPr>
                    <w:t>资源利用效率</w:t>
                  </w:r>
                </w:p>
              </w:tc>
              <w:tc>
                <w:tcPr>
                  <w:tcW w:w="2884" w:type="pct"/>
                  <w:tcBorders>
                    <w:tl2br w:val="nil"/>
                    <w:tr2bl w:val="nil"/>
                  </w:tcBorders>
                  <w:noWrap w:val="0"/>
                  <w:vAlign w:val="center"/>
                </w:tcPr>
                <w:p>
                  <w:pPr>
                    <w:pStyle w:val="36"/>
                    <w:keepNext w:val="0"/>
                    <w:keepLines w:val="0"/>
                    <w:pageBreakBefore w:val="0"/>
                    <w:widowControl w:val="0"/>
                    <w:kinsoku/>
                    <w:wordWrap/>
                    <w:overflowPunct/>
                    <w:topLinePunct w:val="0"/>
                    <w:autoSpaceDE w:val="0"/>
                    <w:autoSpaceDN w:val="0"/>
                    <w:bidi w:val="0"/>
                    <w:adjustRightInd w:val="0"/>
                    <w:snapToGrid w:val="0"/>
                    <w:spacing w:before="0"/>
                    <w:ind w:left="0" w:leftChars="0" w:right="0" w:rightChars="0" w:firstLine="0" w:firstLineChars="0"/>
                    <w:jc w:val="center"/>
                    <w:textAlignment w:val="auto"/>
                    <w:rPr>
                      <w:rFonts w:hint="default" w:ascii="Times New Roman" w:hAnsi="Times New Roman" w:eastAsia="宋体" w:cs="Times New Roman"/>
                      <w:b w:val="0"/>
                      <w:bCs/>
                      <w:color w:val="auto"/>
                      <w:spacing w:val="0"/>
                      <w:kern w:val="0"/>
                      <w:sz w:val="21"/>
                      <w:szCs w:val="21"/>
                      <w:highlight w:val="none"/>
                      <w:vertAlign w:val="baseline"/>
                      <w:lang w:val="en-US" w:eastAsia="zh-CN" w:bidi="ar"/>
                    </w:rPr>
                  </w:pPr>
                  <w:r>
                    <w:rPr>
                      <w:rFonts w:hint="default" w:ascii="Times New Roman" w:hAnsi="Times New Roman" w:eastAsia="宋体" w:cs="Times New Roman"/>
                      <w:b w:val="0"/>
                      <w:bCs/>
                      <w:color w:val="auto"/>
                      <w:spacing w:val="0"/>
                      <w:sz w:val="21"/>
                      <w:szCs w:val="21"/>
                      <w:highlight w:val="none"/>
                      <w:vertAlign w:val="baseline"/>
                      <w:lang w:val="en-US" w:eastAsia="zh-CN"/>
                    </w:rPr>
                    <w:t>优化能源结构，控制煤炭等化石能源使用量，鼓励使用清洁能源，协同推进减污降碳。全面实施节水工程，合理开发利用水资源，提升水资源利用效率，保障生态用水，严防地下水超采。</w:t>
                  </w:r>
                </w:p>
              </w:tc>
              <w:tc>
                <w:tcPr>
                  <w:tcW w:w="1733" w:type="pct"/>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right="0" w:rightChars="0" w:firstLine="0" w:firstLineChars="0"/>
                    <w:jc w:val="both"/>
                    <w:textAlignment w:val="center"/>
                    <w:rPr>
                      <w:rFonts w:hint="default" w:ascii="Times New Roman" w:hAnsi="Times New Roman" w:eastAsia="宋体" w:cs="Times New Roman"/>
                      <w:b w:val="0"/>
                      <w:color w:val="auto"/>
                      <w:spacing w:val="0"/>
                      <w:kern w:val="0"/>
                      <w:sz w:val="21"/>
                      <w:szCs w:val="18"/>
                      <w:lang w:val="en-US" w:eastAsia="zh-CN" w:bidi="ar-SA"/>
                    </w:rPr>
                  </w:pPr>
                  <w:r>
                    <w:rPr>
                      <w:rFonts w:hint="default" w:ascii="Times New Roman" w:hAnsi="Times New Roman" w:eastAsia="宋体" w:cs="Times New Roman"/>
                      <w:b w:val="0"/>
                      <w:color w:val="auto"/>
                      <w:spacing w:val="0"/>
                      <w:kern w:val="0"/>
                      <w:sz w:val="21"/>
                      <w:szCs w:val="18"/>
                      <w:lang w:val="en-US" w:eastAsia="zh-CN" w:bidi="ar-SA"/>
                    </w:rPr>
                    <w:t>符合，本项目用水采取城镇供水管网，不开采地下水。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82" w:type="pct"/>
                  <w:vMerge w:val="restart"/>
                  <w:tcBorders>
                    <w:tl2br w:val="nil"/>
                    <w:tr2bl w:val="nil"/>
                  </w:tcBorders>
                  <w:noWrap w:val="0"/>
                  <w:vAlign w:val="center"/>
                </w:tcPr>
                <w:p>
                  <w:pPr>
                    <w:pStyle w:val="36"/>
                    <w:keepNext w:val="0"/>
                    <w:keepLines w:val="0"/>
                    <w:pageBreakBefore w:val="0"/>
                    <w:widowControl w:val="0"/>
                    <w:kinsoku/>
                    <w:wordWrap/>
                    <w:overflowPunct/>
                    <w:topLinePunct w:val="0"/>
                    <w:autoSpaceDE w:val="0"/>
                    <w:autoSpaceDN w:val="0"/>
                    <w:bidi w:val="0"/>
                    <w:adjustRightInd w:val="0"/>
                    <w:snapToGrid w:val="0"/>
                    <w:spacing w:before="0"/>
                    <w:ind w:left="0" w:leftChars="0" w:right="0" w:rightChars="0" w:firstLine="0" w:firstLineChars="0"/>
                    <w:jc w:val="center"/>
                    <w:textAlignment w:val="auto"/>
                    <w:rPr>
                      <w:rFonts w:hint="default" w:ascii="Times New Roman" w:hAnsi="Times New Roman" w:eastAsia="宋体" w:cs="Times New Roman"/>
                      <w:b w:val="0"/>
                      <w:bCs/>
                      <w:color w:val="auto"/>
                      <w:spacing w:val="0"/>
                      <w:kern w:val="0"/>
                      <w:sz w:val="21"/>
                      <w:szCs w:val="21"/>
                      <w:highlight w:val="none"/>
                      <w:vertAlign w:val="baseline"/>
                      <w:lang w:val="en-US" w:eastAsia="zh-CN" w:bidi="ar"/>
                    </w:rPr>
                  </w:pPr>
                  <w:r>
                    <w:rPr>
                      <w:rFonts w:hint="default" w:ascii="Times New Roman" w:hAnsi="Times New Roman" w:eastAsia="宋体" w:cs="Times New Roman"/>
                      <w:b w:val="0"/>
                      <w:bCs/>
                      <w:color w:val="auto"/>
                      <w:spacing w:val="0"/>
                      <w:sz w:val="21"/>
                      <w:szCs w:val="21"/>
                      <w:highlight w:val="none"/>
                      <w:vertAlign w:val="baseline"/>
                      <w:lang w:val="en-US" w:eastAsia="zh-CN"/>
                    </w:rPr>
                    <w:t>天山南坡片区</w:t>
                  </w:r>
                </w:p>
              </w:tc>
              <w:tc>
                <w:tcPr>
                  <w:tcW w:w="2884" w:type="pct"/>
                  <w:tcBorders>
                    <w:tl2br w:val="nil"/>
                    <w:tr2bl w:val="nil"/>
                  </w:tcBorders>
                  <w:noWrap w:val="0"/>
                  <w:vAlign w:val="center"/>
                </w:tcPr>
                <w:p>
                  <w:pPr>
                    <w:pStyle w:val="36"/>
                    <w:keepNext w:val="0"/>
                    <w:keepLines w:val="0"/>
                    <w:pageBreakBefore w:val="0"/>
                    <w:widowControl w:val="0"/>
                    <w:kinsoku/>
                    <w:wordWrap/>
                    <w:overflowPunct/>
                    <w:topLinePunct w:val="0"/>
                    <w:autoSpaceDE w:val="0"/>
                    <w:autoSpaceDN w:val="0"/>
                    <w:bidi w:val="0"/>
                    <w:adjustRightInd w:val="0"/>
                    <w:snapToGrid w:val="0"/>
                    <w:spacing w:before="0"/>
                    <w:ind w:left="0" w:leftChars="0" w:right="0" w:rightChars="0" w:firstLine="0" w:firstLineChars="0"/>
                    <w:jc w:val="center"/>
                    <w:textAlignment w:val="auto"/>
                    <w:rPr>
                      <w:rFonts w:hint="default" w:ascii="Times New Roman" w:hAnsi="Times New Roman" w:eastAsia="宋体" w:cs="Times New Roman"/>
                      <w:b w:val="0"/>
                      <w:bCs/>
                      <w:color w:val="auto"/>
                      <w:spacing w:val="0"/>
                      <w:kern w:val="0"/>
                      <w:sz w:val="21"/>
                      <w:szCs w:val="21"/>
                      <w:highlight w:val="none"/>
                      <w:vertAlign w:val="baseline"/>
                      <w:lang w:val="en-US" w:eastAsia="zh-CN" w:bidi="ar"/>
                    </w:rPr>
                  </w:pPr>
                  <w:r>
                    <w:rPr>
                      <w:rFonts w:hint="default" w:ascii="Times New Roman" w:hAnsi="Times New Roman" w:eastAsia="宋体" w:cs="Times New Roman"/>
                      <w:b w:val="0"/>
                      <w:bCs/>
                      <w:color w:val="auto"/>
                      <w:spacing w:val="0"/>
                      <w:sz w:val="21"/>
                      <w:szCs w:val="21"/>
                      <w:highlight w:val="none"/>
                      <w:vertAlign w:val="baseline"/>
                      <w:lang w:val="en-US" w:eastAsia="zh-CN"/>
                    </w:rPr>
                    <w:t>切实保护托木尔峰和天山南坡中段冰雪水源及生物多样性保护生态功能区内的托木尔峰自然景观、高山冰川、野生动物、森林和草原，合理利用天然草地，稳步推进草原减牧，加强保护区管理，维护自然景观和生物多样性。</w:t>
                  </w:r>
                </w:p>
              </w:tc>
              <w:tc>
                <w:tcPr>
                  <w:tcW w:w="1733" w:type="pct"/>
                  <w:tcBorders>
                    <w:tl2br w:val="nil"/>
                    <w:tr2bl w:val="nil"/>
                  </w:tcBorders>
                  <w:noWrap w:val="0"/>
                  <w:vAlign w:val="center"/>
                </w:tcPr>
                <w:p>
                  <w:pPr>
                    <w:pStyle w:val="36"/>
                    <w:keepNext w:val="0"/>
                    <w:keepLines w:val="0"/>
                    <w:pageBreakBefore w:val="0"/>
                    <w:widowControl w:val="0"/>
                    <w:kinsoku/>
                    <w:wordWrap/>
                    <w:overflowPunct/>
                    <w:topLinePunct w:val="0"/>
                    <w:autoSpaceDE w:val="0"/>
                    <w:autoSpaceDN w:val="0"/>
                    <w:bidi w:val="0"/>
                    <w:adjustRightInd w:val="0"/>
                    <w:snapToGrid w:val="0"/>
                    <w:spacing w:before="0"/>
                    <w:ind w:left="0" w:leftChars="0" w:right="0" w:rightChars="0" w:firstLine="0" w:firstLineChars="0"/>
                    <w:jc w:val="center"/>
                    <w:textAlignment w:val="auto"/>
                    <w:rPr>
                      <w:rFonts w:hint="default" w:ascii="Times New Roman" w:hAnsi="Times New Roman" w:eastAsia="宋体" w:cs="Times New Roman"/>
                      <w:b w:val="0"/>
                      <w:bCs/>
                      <w:color w:val="auto"/>
                      <w:spacing w:val="0"/>
                      <w:kern w:val="0"/>
                      <w:sz w:val="21"/>
                      <w:szCs w:val="21"/>
                      <w:highlight w:val="none"/>
                      <w:vertAlign w:val="baseline"/>
                      <w:lang w:val="en-US" w:eastAsia="zh-CN" w:bidi="ar"/>
                    </w:rPr>
                  </w:pPr>
                  <w:r>
                    <w:rPr>
                      <w:rFonts w:hint="default" w:ascii="Times New Roman" w:hAnsi="Times New Roman" w:eastAsia="宋体" w:cs="Times New Roman"/>
                      <w:b w:val="0"/>
                      <w:bCs/>
                      <w:color w:val="auto"/>
                      <w:spacing w:val="0"/>
                      <w:sz w:val="21"/>
                      <w:szCs w:val="21"/>
                      <w:highlight w:val="none"/>
                      <w:vertAlign w:val="baseline"/>
                      <w:lang w:val="en-US" w:eastAsia="zh-CN"/>
                    </w:rPr>
                    <w:t>符合，不涉及生态保护区、天然草地。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82" w:type="pct"/>
                  <w:vMerge w:val="continue"/>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textAlignment w:val="center"/>
                    <w:rPr>
                      <w:rFonts w:hint="default" w:ascii="Times New Roman" w:hAnsi="Times New Roman" w:eastAsia="宋体" w:cs="Times New Roman"/>
                      <w:b w:val="0"/>
                      <w:color w:val="auto"/>
                      <w:spacing w:val="0"/>
                      <w:lang w:val="en-US" w:eastAsia="zh-CN"/>
                    </w:rPr>
                  </w:pPr>
                </w:p>
              </w:tc>
              <w:tc>
                <w:tcPr>
                  <w:tcW w:w="2884" w:type="pct"/>
                  <w:tcBorders>
                    <w:tl2br w:val="nil"/>
                    <w:tr2bl w:val="nil"/>
                  </w:tcBorders>
                  <w:noWrap w:val="0"/>
                  <w:vAlign w:val="center"/>
                </w:tcPr>
                <w:p>
                  <w:pPr>
                    <w:pStyle w:val="36"/>
                    <w:keepNext w:val="0"/>
                    <w:keepLines w:val="0"/>
                    <w:pageBreakBefore w:val="0"/>
                    <w:widowControl w:val="0"/>
                    <w:kinsoku/>
                    <w:wordWrap/>
                    <w:overflowPunct/>
                    <w:topLinePunct w:val="0"/>
                    <w:autoSpaceDE w:val="0"/>
                    <w:autoSpaceDN w:val="0"/>
                    <w:bidi w:val="0"/>
                    <w:adjustRightInd w:val="0"/>
                    <w:snapToGrid w:val="0"/>
                    <w:spacing w:before="0"/>
                    <w:ind w:left="0" w:leftChars="0" w:right="0" w:rightChars="0" w:firstLine="0" w:firstLineChars="0"/>
                    <w:jc w:val="center"/>
                    <w:textAlignment w:val="auto"/>
                    <w:rPr>
                      <w:rFonts w:hint="default" w:ascii="Times New Roman" w:hAnsi="Times New Roman" w:eastAsia="宋体" w:cs="Times New Roman"/>
                      <w:b w:val="0"/>
                      <w:bCs/>
                      <w:color w:val="auto"/>
                      <w:spacing w:val="0"/>
                      <w:kern w:val="0"/>
                      <w:sz w:val="21"/>
                      <w:szCs w:val="21"/>
                      <w:highlight w:val="none"/>
                      <w:vertAlign w:val="baseline"/>
                      <w:lang w:val="en-US" w:eastAsia="zh-CN" w:bidi="ar"/>
                    </w:rPr>
                  </w:pPr>
                  <w:r>
                    <w:rPr>
                      <w:rFonts w:hint="default" w:ascii="Times New Roman" w:hAnsi="Times New Roman" w:eastAsia="宋体" w:cs="Times New Roman"/>
                      <w:b w:val="0"/>
                      <w:bCs/>
                      <w:color w:val="auto"/>
                      <w:spacing w:val="0"/>
                      <w:sz w:val="21"/>
                      <w:szCs w:val="21"/>
                      <w:highlight w:val="none"/>
                      <w:vertAlign w:val="baseline"/>
                      <w:lang w:val="en-US" w:eastAsia="zh-CN"/>
                    </w:rPr>
                    <w:t>重点做好塔里木盆地北缘荒漠化防治。加强荒漠植被及河岸荒漠林保护，规范油气勘探开发作业，建立油田和公路扰动区域工程与生物相结合的防风固沙体系，逐步形成生态屏障。</w:t>
                  </w:r>
                </w:p>
              </w:tc>
              <w:tc>
                <w:tcPr>
                  <w:tcW w:w="1733" w:type="pct"/>
                  <w:tcBorders>
                    <w:tl2br w:val="nil"/>
                    <w:tr2bl w:val="nil"/>
                  </w:tcBorders>
                  <w:noWrap w:val="0"/>
                  <w:vAlign w:val="center"/>
                </w:tcPr>
                <w:p>
                  <w:pPr>
                    <w:pStyle w:val="36"/>
                    <w:keepNext w:val="0"/>
                    <w:keepLines w:val="0"/>
                    <w:pageBreakBefore w:val="0"/>
                    <w:widowControl w:val="0"/>
                    <w:kinsoku/>
                    <w:wordWrap/>
                    <w:overflowPunct/>
                    <w:topLinePunct w:val="0"/>
                    <w:autoSpaceDE w:val="0"/>
                    <w:autoSpaceDN w:val="0"/>
                    <w:bidi w:val="0"/>
                    <w:adjustRightInd w:val="0"/>
                    <w:snapToGrid w:val="0"/>
                    <w:spacing w:before="0"/>
                    <w:ind w:left="0" w:leftChars="0" w:right="0" w:rightChars="0" w:firstLine="0" w:firstLineChars="0"/>
                    <w:jc w:val="center"/>
                    <w:textAlignment w:val="auto"/>
                    <w:rPr>
                      <w:rFonts w:hint="default" w:ascii="Times New Roman" w:hAnsi="Times New Roman" w:eastAsia="宋体" w:cs="Times New Roman"/>
                      <w:b w:val="0"/>
                      <w:bCs/>
                      <w:color w:val="auto"/>
                      <w:spacing w:val="0"/>
                      <w:kern w:val="0"/>
                      <w:sz w:val="21"/>
                      <w:szCs w:val="21"/>
                      <w:highlight w:val="none"/>
                      <w:vertAlign w:val="baseline"/>
                      <w:lang w:val="en-US" w:eastAsia="zh-CN" w:bidi="ar"/>
                    </w:rPr>
                  </w:pPr>
                  <w:r>
                    <w:rPr>
                      <w:rFonts w:hint="default" w:ascii="Times New Roman" w:hAnsi="Times New Roman" w:eastAsia="宋体" w:cs="Times New Roman"/>
                      <w:b w:val="0"/>
                      <w:bCs/>
                      <w:color w:val="auto"/>
                      <w:spacing w:val="0"/>
                      <w:sz w:val="21"/>
                      <w:szCs w:val="21"/>
                      <w:highlight w:val="none"/>
                      <w:vertAlign w:val="baseline"/>
                      <w:lang w:val="en-US" w:eastAsia="zh-CN"/>
                    </w:rPr>
                    <w:t>符合，</w:t>
                  </w:r>
                  <w:r>
                    <w:rPr>
                      <w:rFonts w:hint="eastAsia" w:ascii="Times New Roman" w:eastAsia="宋体" w:cs="Times New Roman"/>
                      <w:b w:val="0"/>
                      <w:bCs/>
                      <w:color w:val="auto"/>
                      <w:spacing w:val="0"/>
                      <w:sz w:val="21"/>
                      <w:szCs w:val="21"/>
                      <w:highlight w:val="none"/>
                      <w:vertAlign w:val="baseline"/>
                      <w:lang w:val="en-US" w:eastAsia="zh-CN"/>
                    </w:rPr>
                    <w:t>本</w:t>
                  </w:r>
                  <w:r>
                    <w:rPr>
                      <w:rFonts w:hint="eastAsia" w:ascii="Times New Roman" w:cs="Times New Roman"/>
                      <w:b w:val="0"/>
                      <w:bCs/>
                      <w:color w:val="auto"/>
                      <w:spacing w:val="0"/>
                      <w:sz w:val="21"/>
                      <w:szCs w:val="21"/>
                      <w:highlight w:val="none"/>
                      <w:vertAlign w:val="baseline"/>
                      <w:lang w:val="en-US" w:eastAsia="zh-CN"/>
                    </w:rPr>
                    <w:t>项目不涉及</w:t>
                  </w:r>
                  <w:r>
                    <w:rPr>
                      <w:rFonts w:hint="default" w:ascii="Times New Roman" w:hAnsi="Times New Roman" w:eastAsia="宋体" w:cs="Times New Roman"/>
                      <w:b w:val="0"/>
                      <w:bCs/>
                      <w:color w:val="auto"/>
                      <w:spacing w:val="0"/>
                      <w:kern w:val="0"/>
                      <w:sz w:val="21"/>
                      <w:szCs w:val="21"/>
                      <w:highlight w:val="none"/>
                      <w:lang w:val="en-US" w:eastAsia="zh-CN" w:bidi="ar"/>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382" w:type="pct"/>
                  <w:vMerge w:val="continue"/>
                  <w:noWrap w:val="0"/>
                  <w:vAlign w:val="top"/>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textAlignment w:val="center"/>
                    <w:rPr>
                      <w:rFonts w:hint="default" w:ascii="Times New Roman" w:hAnsi="Times New Roman" w:eastAsia="宋体" w:cs="Times New Roman"/>
                      <w:b w:val="0"/>
                      <w:color w:val="auto"/>
                      <w:spacing w:val="0"/>
                      <w:lang w:val="en-US" w:eastAsia="zh-CN"/>
                    </w:rPr>
                  </w:pPr>
                </w:p>
              </w:tc>
              <w:tc>
                <w:tcPr>
                  <w:tcW w:w="2884" w:type="pct"/>
                  <w:noWrap w:val="0"/>
                  <w:vAlign w:val="center"/>
                </w:tcPr>
                <w:p>
                  <w:pPr>
                    <w:pStyle w:val="36"/>
                    <w:keepNext w:val="0"/>
                    <w:keepLines w:val="0"/>
                    <w:pageBreakBefore w:val="0"/>
                    <w:widowControl w:val="0"/>
                    <w:kinsoku/>
                    <w:wordWrap/>
                    <w:overflowPunct/>
                    <w:topLinePunct w:val="0"/>
                    <w:autoSpaceDE w:val="0"/>
                    <w:autoSpaceDN w:val="0"/>
                    <w:bidi w:val="0"/>
                    <w:adjustRightInd w:val="0"/>
                    <w:snapToGrid w:val="0"/>
                    <w:spacing w:before="0"/>
                    <w:ind w:left="0" w:leftChars="0" w:right="0" w:rightChars="0" w:firstLine="0" w:firstLineChars="0"/>
                    <w:jc w:val="center"/>
                    <w:textAlignment w:val="auto"/>
                    <w:rPr>
                      <w:rFonts w:hint="default" w:ascii="Times New Roman" w:hAnsi="Times New Roman" w:eastAsia="宋体" w:cs="Times New Roman"/>
                      <w:b w:val="0"/>
                      <w:bCs/>
                      <w:color w:val="auto"/>
                      <w:spacing w:val="0"/>
                      <w:kern w:val="0"/>
                      <w:sz w:val="21"/>
                      <w:szCs w:val="21"/>
                      <w:highlight w:val="none"/>
                      <w:vertAlign w:val="baseline"/>
                      <w:lang w:val="en-US" w:eastAsia="zh-CN" w:bidi="ar"/>
                    </w:rPr>
                  </w:pPr>
                  <w:r>
                    <w:rPr>
                      <w:rFonts w:hint="default" w:ascii="Times New Roman" w:hAnsi="Times New Roman" w:eastAsia="宋体" w:cs="Times New Roman"/>
                      <w:b w:val="0"/>
                      <w:bCs/>
                      <w:color w:val="auto"/>
                      <w:spacing w:val="0"/>
                      <w:sz w:val="21"/>
                      <w:szCs w:val="21"/>
                      <w:highlight w:val="none"/>
                      <w:vertAlign w:val="baseline"/>
                      <w:lang w:val="en-US" w:eastAsia="zh-CN"/>
                    </w:rPr>
                    <w:t>推进塔里木河流域用水结构调整，维护塔里木河、博斯腾湖基本生态用水。加强塔里木河流域水环境风险管控。加大博斯腾湖污染源头达标排放治理和监督力度，实施博斯腾湖综合治理。</w:t>
                  </w:r>
                </w:p>
              </w:tc>
              <w:tc>
                <w:tcPr>
                  <w:tcW w:w="1733" w:type="pct"/>
                  <w:noWrap w:val="0"/>
                  <w:vAlign w:val="center"/>
                </w:tcPr>
                <w:p>
                  <w:pPr>
                    <w:pStyle w:val="36"/>
                    <w:keepNext w:val="0"/>
                    <w:keepLines w:val="0"/>
                    <w:pageBreakBefore w:val="0"/>
                    <w:widowControl w:val="0"/>
                    <w:kinsoku/>
                    <w:wordWrap/>
                    <w:overflowPunct/>
                    <w:topLinePunct w:val="0"/>
                    <w:autoSpaceDE w:val="0"/>
                    <w:autoSpaceDN w:val="0"/>
                    <w:bidi w:val="0"/>
                    <w:adjustRightInd w:val="0"/>
                    <w:snapToGrid w:val="0"/>
                    <w:spacing w:before="0"/>
                    <w:ind w:left="0" w:leftChars="0" w:right="0" w:rightChars="0" w:firstLine="0" w:firstLineChars="0"/>
                    <w:jc w:val="center"/>
                    <w:textAlignment w:val="auto"/>
                    <w:rPr>
                      <w:rFonts w:hint="default" w:ascii="Times New Roman" w:hAnsi="Times New Roman" w:eastAsia="宋体" w:cs="Times New Roman"/>
                      <w:b w:val="0"/>
                      <w:bCs/>
                      <w:color w:val="auto"/>
                      <w:spacing w:val="0"/>
                      <w:kern w:val="0"/>
                      <w:sz w:val="21"/>
                      <w:szCs w:val="21"/>
                      <w:highlight w:val="none"/>
                      <w:vertAlign w:val="baseline"/>
                      <w:lang w:val="en-US" w:eastAsia="zh-CN" w:bidi="ar"/>
                    </w:rPr>
                  </w:pPr>
                  <w:r>
                    <w:rPr>
                      <w:rFonts w:hint="default" w:ascii="Times New Roman" w:hAnsi="Times New Roman" w:eastAsia="宋体" w:cs="Times New Roman"/>
                      <w:b w:val="0"/>
                      <w:bCs/>
                      <w:color w:val="auto"/>
                      <w:spacing w:val="0"/>
                      <w:sz w:val="21"/>
                      <w:szCs w:val="21"/>
                      <w:highlight w:val="none"/>
                      <w:vertAlign w:val="baseline"/>
                      <w:lang w:val="en-US" w:eastAsia="zh-CN"/>
                    </w:rPr>
                    <w:t>符合，本项目不涉及地表水环境污染。</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382" w:type="pct"/>
                  <w:vMerge w:val="continue"/>
                  <w:noWrap w:val="0"/>
                  <w:vAlign w:val="top"/>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textAlignment w:val="center"/>
                    <w:rPr>
                      <w:rFonts w:hint="default" w:ascii="Times New Roman" w:hAnsi="Times New Roman" w:eastAsia="宋体" w:cs="Times New Roman"/>
                      <w:b w:val="0"/>
                      <w:color w:val="auto"/>
                      <w:spacing w:val="0"/>
                      <w:lang w:val="en-US" w:eastAsia="zh-CN"/>
                    </w:rPr>
                  </w:pPr>
                </w:p>
              </w:tc>
              <w:tc>
                <w:tcPr>
                  <w:tcW w:w="2884" w:type="pct"/>
                  <w:noWrap w:val="0"/>
                  <w:vAlign w:val="center"/>
                </w:tcPr>
                <w:p>
                  <w:pPr>
                    <w:pStyle w:val="36"/>
                    <w:keepNext w:val="0"/>
                    <w:keepLines w:val="0"/>
                    <w:pageBreakBefore w:val="0"/>
                    <w:widowControl w:val="0"/>
                    <w:kinsoku/>
                    <w:wordWrap/>
                    <w:overflowPunct/>
                    <w:topLinePunct w:val="0"/>
                    <w:autoSpaceDE w:val="0"/>
                    <w:autoSpaceDN w:val="0"/>
                    <w:bidi w:val="0"/>
                    <w:adjustRightInd w:val="0"/>
                    <w:snapToGrid w:val="0"/>
                    <w:spacing w:before="0"/>
                    <w:ind w:left="0" w:leftChars="0" w:right="0" w:rightChars="0" w:firstLine="0" w:firstLineChars="0"/>
                    <w:jc w:val="center"/>
                    <w:textAlignment w:val="auto"/>
                    <w:rPr>
                      <w:rFonts w:hint="default" w:ascii="Times New Roman" w:hAnsi="Times New Roman" w:eastAsia="宋体" w:cs="Times New Roman"/>
                      <w:b w:val="0"/>
                      <w:bCs/>
                      <w:color w:val="auto"/>
                      <w:spacing w:val="0"/>
                      <w:kern w:val="0"/>
                      <w:sz w:val="21"/>
                      <w:szCs w:val="21"/>
                      <w:highlight w:val="none"/>
                      <w:vertAlign w:val="baseline"/>
                      <w:lang w:val="en-US" w:eastAsia="zh-CN" w:bidi="ar"/>
                    </w:rPr>
                  </w:pPr>
                  <w:r>
                    <w:rPr>
                      <w:rFonts w:hint="default" w:ascii="Times New Roman" w:hAnsi="Times New Roman" w:eastAsia="宋体" w:cs="Times New Roman"/>
                      <w:b w:val="0"/>
                      <w:bCs/>
                      <w:color w:val="auto"/>
                      <w:spacing w:val="0"/>
                      <w:sz w:val="21"/>
                      <w:szCs w:val="21"/>
                      <w:highlight w:val="none"/>
                      <w:vertAlign w:val="baseline"/>
                      <w:lang w:val="en-US" w:eastAsia="zh-CN"/>
                    </w:rPr>
                    <w:t>加强油（气）资源开发区土壤环境污染综合整治。强化涉重金属行业污染防控与工业废物处理处置。</w:t>
                  </w:r>
                </w:p>
              </w:tc>
              <w:tc>
                <w:tcPr>
                  <w:tcW w:w="1733" w:type="pct"/>
                  <w:noWrap w:val="0"/>
                  <w:vAlign w:val="center"/>
                </w:tcPr>
                <w:p>
                  <w:pPr>
                    <w:pStyle w:val="36"/>
                    <w:keepNext w:val="0"/>
                    <w:keepLines w:val="0"/>
                    <w:pageBreakBefore w:val="0"/>
                    <w:widowControl w:val="0"/>
                    <w:kinsoku/>
                    <w:wordWrap/>
                    <w:overflowPunct/>
                    <w:topLinePunct w:val="0"/>
                    <w:autoSpaceDE w:val="0"/>
                    <w:autoSpaceDN w:val="0"/>
                    <w:bidi w:val="0"/>
                    <w:adjustRightInd w:val="0"/>
                    <w:snapToGrid w:val="0"/>
                    <w:spacing w:before="0"/>
                    <w:ind w:left="0" w:leftChars="0" w:right="0" w:rightChars="0" w:firstLine="0" w:firstLineChars="0"/>
                    <w:jc w:val="center"/>
                    <w:textAlignment w:val="auto"/>
                    <w:rPr>
                      <w:rFonts w:hint="default" w:ascii="Times New Roman" w:hAnsi="Times New Roman" w:eastAsia="宋体" w:cs="Times New Roman"/>
                      <w:b w:val="0"/>
                      <w:bCs/>
                      <w:color w:val="auto"/>
                      <w:spacing w:val="0"/>
                      <w:kern w:val="0"/>
                      <w:sz w:val="21"/>
                      <w:szCs w:val="21"/>
                      <w:highlight w:val="none"/>
                      <w:vertAlign w:val="baseline"/>
                      <w:lang w:val="en-US" w:eastAsia="zh-CN" w:bidi="ar"/>
                    </w:rPr>
                  </w:pPr>
                  <w:r>
                    <w:rPr>
                      <w:rFonts w:hint="default" w:ascii="Times New Roman" w:hAnsi="Times New Roman" w:eastAsia="宋体" w:cs="Times New Roman"/>
                      <w:b w:val="0"/>
                      <w:bCs/>
                      <w:color w:val="auto"/>
                      <w:spacing w:val="0"/>
                      <w:sz w:val="21"/>
                      <w:szCs w:val="21"/>
                      <w:highlight w:val="none"/>
                      <w:vertAlign w:val="baseline"/>
                      <w:lang w:val="en-US" w:eastAsia="zh-CN"/>
                    </w:rPr>
                    <w:t>符合，本项目不涉及。</w:t>
                  </w:r>
                </w:p>
              </w:tc>
            </w:tr>
          </w:tbl>
          <w:p>
            <w:pPr>
              <w:bidi w:val="0"/>
              <w:spacing w:afterAutospacing="0" w:line="360" w:lineRule="auto"/>
              <w:rPr>
                <w:rFonts w:hint="default" w:ascii="Times New Roman" w:hAnsi="Times New Roman" w:cs="Times New Roman"/>
                <w:color w:val="FF0000"/>
                <w:sz w:val="24"/>
                <w:lang w:val="en-US" w:eastAsia="zh-CN"/>
              </w:rPr>
            </w:pPr>
            <w:r>
              <w:rPr>
                <w:rFonts w:hint="eastAsia" w:ascii="Times New Roman" w:hAnsi="Times New Roman" w:eastAsia="宋体" w:cs="Times New Roman"/>
                <w:b/>
                <w:bCs/>
                <w:i w:val="0"/>
                <w:iCs w:val="0"/>
                <w:color w:val="000000" w:themeColor="text1"/>
                <w:sz w:val="24"/>
                <w:szCs w:val="24"/>
                <w:highlight w:val="none"/>
                <w:lang w:val="en-US" w:eastAsia="zh-CN"/>
                <w14:textFill>
                  <w14:solidFill>
                    <w14:schemeClr w14:val="tx1"/>
                  </w14:solidFill>
                </w14:textFill>
              </w:rPr>
              <w:t>1.5与《新疆生态环境保护“十四五”规划》符合性分析</w:t>
            </w:r>
          </w:p>
          <w:p>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Times New Roman"/>
                <w:snapToGrid w:val="0"/>
                <w:kern w:val="0"/>
                <w:sz w:val="24"/>
                <w:szCs w:val="24"/>
                <w:highlight w:val="none"/>
                <w:lang w:val="en-US" w:eastAsia="zh-CN"/>
              </w:rPr>
            </w:pPr>
            <w:r>
              <w:rPr>
                <w:rFonts w:hint="default" w:ascii="Times New Roman" w:hAnsi="Times New Roman" w:eastAsia="宋体" w:cs="Times New Roman"/>
                <w:snapToGrid w:val="0"/>
                <w:kern w:val="0"/>
                <w:sz w:val="24"/>
                <w:szCs w:val="24"/>
                <w:highlight w:val="none"/>
                <w:lang w:val="en-US" w:eastAsia="zh-CN"/>
              </w:rPr>
              <w:t>《新疆生态环境保护</w:t>
            </w:r>
            <w:r>
              <w:rPr>
                <w:rFonts w:hint="eastAsia" w:cs="Times New Roman"/>
                <w:snapToGrid w:val="0"/>
                <w:kern w:val="0"/>
                <w:sz w:val="24"/>
                <w:szCs w:val="24"/>
                <w:highlight w:val="none"/>
                <w:lang w:val="en-US" w:eastAsia="zh-CN"/>
              </w:rPr>
              <w:t>“</w:t>
            </w:r>
            <w:r>
              <w:rPr>
                <w:rFonts w:hint="default" w:ascii="Times New Roman" w:hAnsi="Times New Roman" w:eastAsia="宋体" w:cs="Times New Roman"/>
                <w:snapToGrid w:val="0"/>
                <w:kern w:val="0"/>
                <w:sz w:val="24"/>
                <w:szCs w:val="24"/>
                <w:highlight w:val="none"/>
                <w:lang w:val="en-US" w:eastAsia="zh-CN"/>
              </w:rPr>
              <w:t>十四五</w:t>
            </w:r>
            <w:r>
              <w:rPr>
                <w:rFonts w:hint="eastAsia" w:cs="Times New Roman"/>
                <w:snapToGrid w:val="0"/>
                <w:kern w:val="0"/>
                <w:sz w:val="24"/>
                <w:szCs w:val="24"/>
                <w:highlight w:val="none"/>
                <w:lang w:val="en-US" w:eastAsia="zh-CN"/>
              </w:rPr>
              <w:t>”</w:t>
            </w:r>
            <w:r>
              <w:rPr>
                <w:rFonts w:hint="default" w:ascii="Times New Roman" w:hAnsi="Times New Roman" w:eastAsia="宋体" w:cs="Times New Roman"/>
                <w:snapToGrid w:val="0"/>
                <w:kern w:val="0"/>
                <w:sz w:val="24"/>
                <w:szCs w:val="24"/>
                <w:highlight w:val="none"/>
                <w:lang w:val="en-US" w:eastAsia="zh-CN"/>
              </w:rPr>
              <w:t>规划》第十章第一节加强危险废物医疗废物收集处理：</w:t>
            </w:r>
            <w:r>
              <w:rPr>
                <w:rFonts w:hint="eastAsia" w:cs="Times New Roman"/>
                <w:snapToGrid w:val="0"/>
                <w:kern w:val="0"/>
                <w:sz w:val="24"/>
                <w:szCs w:val="24"/>
                <w:highlight w:val="none"/>
                <w:lang w:val="en-US" w:eastAsia="zh-CN"/>
              </w:rPr>
              <w:t>“</w:t>
            </w:r>
            <w:r>
              <w:rPr>
                <w:rFonts w:hint="default" w:ascii="Times New Roman" w:hAnsi="Times New Roman" w:eastAsia="宋体" w:cs="Times New Roman"/>
                <w:snapToGrid w:val="0"/>
                <w:kern w:val="0"/>
                <w:sz w:val="24"/>
                <w:szCs w:val="24"/>
                <w:highlight w:val="none"/>
                <w:lang w:val="en-US" w:eastAsia="zh-CN"/>
              </w:rPr>
              <w:t>补齐医疗废物处置与应急能力短板。协调推动各地州市（师市）医疗废物收集转运体系和集中处置设施项目建设，补齐处置类型和处置能力不足的短板，实现各地州市（师市）医疗废物收集转运和处置能力本辖区内自足。统筹新建、在建和现有危险废物焚烧设施、协同处置固体废物的水泥窑、生活垃圾焚烧设施以及其他工业窑炉等协同处置设施资源，建立各地医疗废物协同应急处置设施清单，完善处置物资储备体系，完善各地州市医疗废物处置应急预案（方案），保障重大疫情医疗废物应急处置能力。各县（市、区）完善医疗废物收集转运处置体系并覆盖农村地区，补齐偏远地区及乡村医疗废物收集运输体系覆盖不足的短板。加强医疗废物分类管理，做好源头分类和收集转运处置全过程监管，确保医疗废物及时规范收集转运和安全处置。</w:t>
            </w:r>
            <w:r>
              <w:rPr>
                <w:rFonts w:hint="eastAsia" w:cs="Times New Roman"/>
                <w:snapToGrid w:val="0"/>
                <w:kern w:val="0"/>
                <w:sz w:val="24"/>
                <w:szCs w:val="24"/>
                <w:highlight w:val="none"/>
                <w:lang w:val="en-US" w:eastAsia="zh-CN"/>
              </w:rPr>
              <w:t>”</w:t>
            </w:r>
          </w:p>
          <w:p>
            <w:pPr>
              <w:keepNext w:val="0"/>
              <w:keepLines w:val="0"/>
              <w:widowControl/>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highlight w:val="none"/>
                <w:lang w:val="en-US" w:eastAsia="zh-CN"/>
              </w:rPr>
            </w:pPr>
            <w:r>
              <w:rPr>
                <w:rFonts w:hint="eastAsia" w:cs="Times New Roman"/>
                <w:snapToGrid w:val="0"/>
                <w:kern w:val="0"/>
                <w:sz w:val="24"/>
                <w:szCs w:val="24"/>
                <w:highlight w:val="none"/>
                <w:lang w:val="en-US" w:eastAsia="zh-CN"/>
              </w:rPr>
              <w:t>本项目为宠物医院建设项目，本项目产生的动物诊疗废物按照医疗废物进行管理，分类装入专用垃圾包装袋、利器盒内。保证废物包装完好及封口紧密，防止所盛装的废物泄漏污染环境，需如实填写动物诊疗废物转运台账，保证委托处理的动物诊疗废物与填写的内容保持一致。项目产生的动物诊疗废物收集至医疗</w:t>
            </w:r>
            <w:r>
              <w:rPr>
                <w:rFonts w:hint="default" w:ascii="Times New Roman" w:hAnsi="Times New Roman" w:eastAsia="宋体" w:cs="Times New Roman"/>
                <w:snapToGrid w:val="0"/>
                <w:kern w:val="0"/>
                <w:sz w:val="24"/>
                <w:szCs w:val="24"/>
                <w:highlight w:val="none"/>
                <w:lang w:val="en-US" w:eastAsia="zh-CN"/>
              </w:rPr>
              <w:t>废物暂时贮存</w:t>
            </w:r>
            <w:r>
              <w:rPr>
                <w:rFonts w:hint="eastAsia" w:cs="Times New Roman"/>
                <w:snapToGrid w:val="0"/>
                <w:kern w:val="0"/>
                <w:sz w:val="24"/>
                <w:szCs w:val="24"/>
                <w:highlight w:val="none"/>
                <w:lang w:val="en-US" w:eastAsia="zh-CN"/>
              </w:rPr>
              <w:t>库房</w:t>
            </w:r>
            <w:r>
              <w:rPr>
                <w:rFonts w:hint="default" w:ascii="Times New Roman" w:hAnsi="Times New Roman" w:eastAsia="宋体" w:cs="Times New Roman"/>
                <w:snapToGrid w:val="0"/>
                <w:kern w:val="0"/>
                <w:sz w:val="24"/>
                <w:szCs w:val="24"/>
                <w:highlight w:val="none"/>
                <w:lang w:val="en-US" w:eastAsia="zh-CN"/>
              </w:rPr>
              <w:t>，委托库尔勒天达环卫有限责任公司集中处置，日产日清</w:t>
            </w:r>
            <w:r>
              <w:rPr>
                <w:rFonts w:hint="default" w:ascii="Times New Roman" w:hAnsi="Times New Roman" w:eastAsia="宋体" w:cs="Times New Roman"/>
                <w:snapToGrid w:val="0"/>
                <w:kern w:val="0"/>
                <w:sz w:val="24"/>
                <w:szCs w:val="24"/>
                <w:highlight w:val="none"/>
                <w:lang w:eastAsia="zh-CN"/>
              </w:rPr>
              <w:t>，</w:t>
            </w:r>
            <w:r>
              <w:rPr>
                <w:rFonts w:hint="default" w:ascii="Times New Roman" w:hAnsi="Times New Roman" w:eastAsia="宋体" w:cs="Times New Roman"/>
                <w:snapToGrid w:val="0"/>
                <w:kern w:val="0"/>
                <w:sz w:val="24"/>
                <w:szCs w:val="24"/>
                <w:highlight w:val="none"/>
              </w:rPr>
              <w:t>故本项目符合《新疆生态环境保护</w:t>
            </w:r>
            <w:r>
              <w:rPr>
                <w:rFonts w:hint="eastAsia" w:cs="Times New Roman"/>
                <w:snapToGrid w:val="0"/>
                <w:kern w:val="0"/>
                <w:sz w:val="24"/>
                <w:szCs w:val="24"/>
                <w:highlight w:val="none"/>
                <w:lang w:eastAsia="zh-CN"/>
              </w:rPr>
              <w:t>“</w:t>
            </w:r>
            <w:r>
              <w:rPr>
                <w:rFonts w:hint="default" w:ascii="Times New Roman" w:hAnsi="Times New Roman" w:eastAsia="宋体" w:cs="Times New Roman"/>
                <w:snapToGrid w:val="0"/>
                <w:kern w:val="0"/>
                <w:sz w:val="24"/>
                <w:szCs w:val="24"/>
                <w:highlight w:val="none"/>
              </w:rPr>
              <w:t>十四五</w:t>
            </w:r>
            <w:r>
              <w:rPr>
                <w:rFonts w:hint="eastAsia" w:cs="Times New Roman"/>
                <w:snapToGrid w:val="0"/>
                <w:kern w:val="0"/>
                <w:sz w:val="24"/>
                <w:szCs w:val="24"/>
                <w:highlight w:val="none"/>
                <w:lang w:eastAsia="zh-CN"/>
              </w:rPr>
              <w:t>”</w:t>
            </w:r>
            <w:r>
              <w:rPr>
                <w:rFonts w:hint="default" w:ascii="Times New Roman" w:hAnsi="Times New Roman" w:eastAsia="宋体" w:cs="Times New Roman"/>
                <w:snapToGrid w:val="0"/>
                <w:kern w:val="0"/>
                <w:sz w:val="24"/>
                <w:szCs w:val="24"/>
                <w:highlight w:val="none"/>
              </w:rPr>
              <w:t>规划》中的要求。</w:t>
            </w:r>
          </w:p>
          <w:p>
            <w:pPr>
              <w:bidi w:val="0"/>
              <w:spacing w:afterAutospacing="0" w:line="360" w:lineRule="auto"/>
              <w:rPr>
                <w:rFonts w:hint="default" w:ascii="Times New Roman" w:hAnsi="Times New Roman" w:eastAsia="宋体" w:cs="Times New Roman"/>
                <w:b/>
                <w:bCs/>
                <w:i w:val="0"/>
                <w:iCs w:val="0"/>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b/>
                <w:bCs/>
                <w:i w:val="0"/>
                <w:iCs w:val="0"/>
                <w:color w:val="000000" w:themeColor="text1"/>
                <w:sz w:val="24"/>
                <w:szCs w:val="24"/>
                <w:highlight w:val="none"/>
                <w:lang w:val="en-US" w:eastAsia="zh-CN"/>
                <w14:textFill>
                  <w14:solidFill>
                    <w14:schemeClr w14:val="tx1"/>
                  </w14:solidFill>
                </w14:textFill>
              </w:rPr>
              <w:t>1.6</w:t>
            </w:r>
            <w:r>
              <w:rPr>
                <w:rFonts w:hint="default" w:ascii="Times New Roman" w:hAnsi="Times New Roman" w:eastAsia="宋体" w:cs="Times New Roman"/>
                <w:b/>
                <w:bCs/>
                <w:i w:val="0"/>
                <w:iCs w:val="0"/>
                <w:color w:val="000000" w:themeColor="text1"/>
                <w:sz w:val="24"/>
                <w:szCs w:val="24"/>
                <w:highlight w:val="none"/>
                <w:lang w:val="en-US" w:eastAsia="zh-CN"/>
                <w14:textFill>
                  <w14:solidFill>
                    <w14:schemeClr w14:val="tx1"/>
                  </w14:solidFill>
                </w14:textFill>
              </w:rPr>
              <w:t>与《巴州生态环境保护</w:t>
            </w:r>
            <w:r>
              <w:rPr>
                <w:rFonts w:hint="eastAsia" w:ascii="Times New Roman" w:hAnsi="Times New Roman" w:eastAsia="宋体" w:cs="Times New Roman"/>
                <w:b/>
                <w:bCs/>
                <w:i w:val="0"/>
                <w:i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bCs/>
                <w:i w:val="0"/>
                <w:iCs w:val="0"/>
                <w:color w:val="000000" w:themeColor="text1"/>
                <w:sz w:val="24"/>
                <w:szCs w:val="24"/>
                <w:highlight w:val="none"/>
                <w:lang w:val="en-US" w:eastAsia="zh-CN"/>
                <w14:textFill>
                  <w14:solidFill>
                    <w14:schemeClr w14:val="tx1"/>
                  </w14:solidFill>
                </w14:textFill>
              </w:rPr>
              <w:t>十四五</w:t>
            </w:r>
            <w:r>
              <w:rPr>
                <w:rFonts w:hint="eastAsia" w:ascii="Times New Roman" w:hAnsi="Times New Roman" w:eastAsia="宋体" w:cs="Times New Roman"/>
                <w:b/>
                <w:bCs/>
                <w:i w:val="0"/>
                <w:iCs w:val="0"/>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b/>
                <w:bCs/>
                <w:i w:val="0"/>
                <w:iCs w:val="0"/>
                <w:color w:val="000000" w:themeColor="text1"/>
                <w:sz w:val="24"/>
                <w:szCs w:val="24"/>
                <w:highlight w:val="none"/>
                <w:lang w:val="en-US" w:eastAsia="zh-CN"/>
                <w14:textFill>
                  <w14:solidFill>
                    <w14:schemeClr w14:val="tx1"/>
                  </w14:solidFill>
                </w14:textFill>
              </w:rPr>
              <w:t>规划》符合性分析</w:t>
            </w:r>
          </w:p>
          <w:p>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default" w:ascii="Times New Roman" w:hAnsi="Times New Roman" w:eastAsia="宋体" w:cs="Times New Roman"/>
                <w:snapToGrid w:val="0"/>
                <w:kern w:val="0"/>
                <w:sz w:val="24"/>
                <w:szCs w:val="24"/>
              </w:rPr>
            </w:pPr>
            <w:r>
              <w:rPr>
                <w:rFonts w:hint="default" w:ascii="Times New Roman" w:hAnsi="Times New Roman" w:eastAsia="宋体" w:cs="Times New Roman"/>
                <w:snapToGrid w:val="0"/>
                <w:kern w:val="0"/>
                <w:sz w:val="24"/>
                <w:szCs w:val="24"/>
              </w:rPr>
              <w:t>第十章 强化风险防控，严守环境安全底线</w:t>
            </w:r>
            <w:r>
              <w:rPr>
                <w:rFonts w:hint="eastAsia" w:ascii="Times New Roman" w:hAnsi="Times New Roman" w:eastAsia="宋体" w:cs="Times New Roman"/>
                <w:snapToGrid w:val="0"/>
                <w:kern w:val="0"/>
                <w:sz w:val="24"/>
                <w:szCs w:val="24"/>
                <w:lang w:eastAsia="zh-CN"/>
              </w:rPr>
              <w:t>－</w:t>
            </w:r>
            <w:r>
              <w:rPr>
                <w:rFonts w:hint="default" w:ascii="Times New Roman" w:hAnsi="Times New Roman" w:eastAsia="宋体" w:cs="Times New Roman"/>
                <w:snapToGrid w:val="0"/>
                <w:kern w:val="0"/>
                <w:sz w:val="24"/>
                <w:szCs w:val="24"/>
              </w:rPr>
              <w:t>第三节 加强危险废物医疗废物收集处理强化危险废物环境监管能力。建立完善危险废物环境重点监管单位清单，开展危险废物规范化环境管理排查整治，强化重点行业企业事中事后监管，严厉打击危险废物环境违法行为，强化部门之间联动。加强危废经营许可审批，严格新建项目准入，持续推进危险废物规范化环境管理。继续加强危险废物管理督查考核和环境执法检查监督企业落实相关法律制度和标准规范要求。</w:t>
            </w:r>
          </w:p>
          <w:p>
            <w:pPr>
              <w:keepNext w:val="0"/>
              <w:keepLines w:val="0"/>
              <w:widowControl/>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FF0000"/>
                <w:sz w:val="24"/>
                <w:szCs w:val="24"/>
                <w:vertAlign w:val="baseline"/>
                <w:lang w:val="en-US" w:eastAsia="zh-CN"/>
              </w:rPr>
            </w:pPr>
            <w:r>
              <w:rPr>
                <w:rFonts w:hint="eastAsia" w:cs="Times New Roman"/>
                <w:snapToGrid w:val="0"/>
                <w:kern w:val="0"/>
                <w:sz w:val="24"/>
                <w:szCs w:val="24"/>
                <w:highlight w:val="none"/>
                <w:lang w:val="en-US" w:eastAsia="zh-CN"/>
              </w:rPr>
              <w:t>项目为宠物医院建设项目，本项目产生的动物诊疗废物按照医疗废物进行管理，分类装入专用垃圾包装袋、利器盒内。保证废物包装完好及封口紧密，防止所盛装的废物泄漏污染环境，需如实填写动物诊疗废物转运台账，保证委托处理的动物诊疗废物与填写的内容保持一致。项目产生的动物诊疗废物收集至医疗</w:t>
            </w:r>
            <w:r>
              <w:rPr>
                <w:rFonts w:hint="default" w:ascii="Times New Roman" w:hAnsi="Times New Roman" w:eastAsia="宋体" w:cs="Times New Roman"/>
                <w:snapToGrid w:val="0"/>
                <w:kern w:val="0"/>
                <w:sz w:val="24"/>
                <w:szCs w:val="24"/>
                <w:highlight w:val="none"/>
                <w:lang w:val="en-US" w:eastAsia="zh-CN"/>
              </w:rPr>
              <w:t>废物暂时贮存</w:t>
            </w:r>
            <w:r>
              <w:rPr>
                <w:rFonts w:hint="eastAsia" w:cs="Times New Roman"/>
                <w:snapToGrid w:val="0"/>
                <w:kern w:val="0"/>
                <w:sz w:val="24"/>
                <w:szCs w:val="24"/>
                <w:highlight w:val="none"/>
                <w:lang w:val="en-US" w:eastAsia="zh-CN"/>
              </w:rPr>
              <w:t>库房</w:t>
            </w:r>
            <w:r>
              <w:rPr>
                <w:rFonts w:hint="default" w:ascii="Times New Roman" w:hAnsi="Times New Roman" w:eastAsia="宋体" w:cs="Times New Roman"/>
                <w:snapToGrid w:val="0"/>
                <w:kern w:val="0"/>
                <w:sz w:val="24"/>
                <w:szCs w:val="24"/>
                <w:highlight w:val="none"/>
                <w:lang w:val="en-US" w:eastAsia="zh-CN"/>
              </w:rPr>
              <w:t>，委托库尔勒天达环卫有限责任公司集中处置，日产日清</w:t>
            </w:r>
            <w:r>
              <w:rPr>
                <w:rFonts w:hint="eastAsia" w:ascii="Times New Roman" w:hAnsi="Times New Roman" w:eastAsia="宋体" w:cs="Times New Roman"/>
                <w:snapToGrid w:val="0"/>
                <w:kern w:val="0"/>
                <w:sz w:val="24"/>
                <w:szCs w:val="24"/>
                <w:highlight w:val="none"/>
                <w:lang w:val="en-US" w:eastAsia="zh-CN"/>
              </w:rPr>
              <w:t>，</w:t>
            </w:r>
            <w:r>
              <w:rPr>
                <w:rFonts w:hint="default" w:ascii="Times New Roman" w:hAnsi="Times New Roman" w:eastAsia="宋体" w:cs="Times New Roman"/>
                <w:snapToGrid w:val="0"/>
                <w:kern w:val="0"/>
                <w:sz w:val="24"/>
                <w:szCs w:val="24"/>
                <w:highlight w:val="none"/>
              </w:rPr>
              <w:t>故本项目符合《巴音郭楞蒙古自治州生态环境</w:t>
            </w:r>
            <w:r>
              <w:rPr>
                <w:rFonts w:hint="eastAsia" w:cs="Times New Roman"/>
                <w:snapToGrid w:val="0"/>
                <w:kern w:val="0"/>
                <w:sz w:val="24"/>
                <w:szCs w:val="24"/>
                <w:highlight w:val="none"/>
                <w:lang w:eastAsia="zh-CN"/>
              </w:rPr>
              <w:t>“</w:t>
            </w:r>
            <w:r>
              <w:rPr>
                <w:rFonts w:hint="default" w:ascii="Times New Roman" w:hAnsi="Times New Roman" w:eastAsia="宋体" w:cs="Times New Roman"/>
                <w:snapToGrid w:val="0"/>
                <w:kern w:val="0"/>
                <w:sz w:val="24"/>
                <w:szCs w:val="24"/>
                <w:highlight w:val="none"/>
              </w:rPr>
              <w:t>十四五</w:t>
            </w:r>
            <w:r>
              <w:rPr>
                <w:rFonts w:hint="eastAsia" w:cs="Times New Roman"/>
                <w:snapToGrid w:val="0"/>
                <w:kern w:val="0"/>
                <w:sz w:val="24"/>
                <w:szCs w:val="24"/>
                <w:highlight w:val="none"/>
                <w:lang w:eastAsia="zh-CN"/>
              </w:rPr>
              <w:t>”</w:t>
            </w:r>
            <w:r>
              <w:rPr>
                <w:rFonts w:hint="default" w:ascii="Times New Roman" w:hAnsi="Times New Roman" w:eastAsia="宋体" w:cs="Times New Roman"/>
                <w:snapToGrid w:val="0"/>
                <w:kern w:val="0"/>
                <w:sz w:val="24"/>
                <w:szCs w:val="24"/>
                <w:highlight w:val="none"/>
              </w:rPr>
              <w:t>规划》（巴党发〔2022〕4号）中的要求。</w:t>
            </w:r>
          </w:p>
        </w:tc>
      </w:tr>
    </w:tbl>
    <w:p>
      <w:pPr>
        <w:spacing w:line="360" w:lineRule="auto"/>
        <w:outlineLvl w:val="9"/>
        <w:rPr>
          <w:rFonts w:hint="default" w:ascii="Times New Roman" w:hAnsi="Times New Roman" w:eastAsia="黑体" w:cs="Times New Roman"/>
          <w:color w:val="FF0000"/>
          <w:sz w:val="30"/>
        </w:rPr>
        <w:sectPr>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fmt="numberInDash" w:start="1"/>
          <w:cols w:space="720" w:num="1"/>
          <w:docGrid w:linePitch="312" w:charSpace="0"/>
        </w:sectPr>
      </w:pPr>
    </w:p>
    <w:p>
      <w:pPr>
        <w:pStyle w:val="26"/>
        <w:spacing w:before="0" w:beforeAutospacing="0" w:after="0" w:afterAutospacing="0" w:line="360" w:lineRule="auto"/>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bookmarkStart w:id="7" w:name="_Toc5991"/>
      <w:bookmarkStart w:id="8" w:name="_Toc8581"/>
      <w:r>
        <w:rPr>
          <w:rFonts w:hint="default" w:ascii="Times New Roman" w:hAnsi="Times New Roman" w:eastAsia="黑体" w:cs="Times New Roman"/>
          <w:snapToGrid w:val="0"/>
          <w:color w:val="000000" w:themeColor="text1"/>
          <w:sz w:val="30"/>
          <w:szCs w:val="30"/>
          <w14:textFill>
            <w14:solidFill>
              <w14:schemeClr w14:val="tx1"/>
            </w14:solidFill>
          </w14:textFill>
        </w:rPr>
        <w:t>二、建设项目工程分析</w:t>
      </w:r>
      <w:bookmarkEnd w:id="7"/>
      <w:bookmarkEnd w:id="8"/>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01"/>
        <w:gridCol w:w="802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51" w:hRule="atLeast"/>
          <w:jc w:val="center"/>
        </w:trPr>
        <w:tc>
          <w:tcPr>
            <w:tcW w:w="294" w:type="pct"/>
            <w:noWrap w:val="0"/>
            <w:vAlign w:val="center"/>
          </w:tcPr>
          <w:p>
            <w:pPr>
              <w:pStyle w:val="26"/>
              <w:adjustRightInd w:val="0"/>
              <w:snapToGrid w:val="0"/>
              <w:spacing w:before="0" w:beforeAutospacing="0" w:after="0" w:afterAutospacing="0"/>
              <w:jc w:val="center"/>
              <w:rPr>
                <w:rFonts w:hint="default" w:ascii="Times New Roman" w:hAnsi="Times New Roman" w:cs="Times New Roman"/>
                <w:color w:val="FF0000"/>
                <w:sz w:val="21"/>
                <w:szCs w:val="21"/>
              </w:rPr>
            </w:pPr>
            <w:r>
              <w:rPr>
                <w:rFonts w:hint="default" w:ascii="Times New Roman" w:hAnsi="Times New Roman" w:cs="Times New Roman"/>
                <w:color w:val="000000" w:themeColor="text1"/>
                <w:sz w:val="24"/>
                <w:szCs w:val="24"/>
                <w14:textFill>
                  <w14:solidFill>
                    <w14:schemeClr w14:val="tx1"/>
                  </w14:solidFill>
                </w14:textFill>
              </w:rPr>
              <w:t>建设内容</w:t>
            </w:r>
          </w:p>
        </w:tc>
        <w:tc>
          <w:tcPr>
            <w:tcW w:w="4705" w:type="pct"/>
            <w:noWrap w:val="0"/>
            <w:vAlign w:val="top"/>
          </w:tcPr>
          <w:p>
            <w:pPr>
              <w:numPr>
                <w:ilvl w:val="0"/>
                <w:numId w:val="0"/>
              </w:numPr>
              <w:adjustRightInd w:val="0"/>
              <w:snapToGrid w:val="0"/>
              <w:spacing w:afterAutospacing="0" w:line="360" w:lineRule="auto"/>
              <w:jc w:val="both"/>
              <w:rPr>
                <w:rFonts w:hint="default" w:ascii="Times New Roman" w:hAnsi="Times New Roman" w:cs="Times New Roman"/>
                <w:b/>
                <w:bCs w:val="0"/>
                <w:color w:val="000000" w:themeColor="text1"/>
                <w:sz w:val="24"/>
                <w:szCs w:val="24"/>
                <w:lang w:val="en-US" w:eastAsia="zh-CN"/>
                <w14:textFill>
                  <w14:solidFill>
                    <w14:schemeClr w14:val="tx1"/>
                  </w14:solidFill>
                </w14:textFill>
              </w:rPr>
            </w:pPr>
            <w:r>
              <w:rPr>
                <w:rFonts w:hint="default" w:ascii="Times New Roman" w:hAnsi="Times New Roman" w:cs="Times New Roman"/>
                <w:b/>
                <w:bCs w:val="0"/>
                <w:color w:val="000000" w:themeColor="text1"/>
                <w:kern w:val="2"/>
                <w:sz w:val="24"/>
                <w:szCs w:val="24"/>
                <w:lang w:val="en-US" w:eastAsia="zh-CN" w:bidi="ar-SA"/>
                <w14:textFill>
                  <w14:solidFill>
                    <w14:schemeClr w14:val="tx1"/>
                  </w14:solidFill>
                </w14:textFill>
              </w:rPr>
              <w:t>2.1</w:t>
            </w:r>
            <w:r>
              <w:rPr>
                <w:rFonts w:hint="eastAsia" w:cs="Times New Roman"/>
                <w:b/>
                <w:bCs w:val="0"/>
                <w:color w:val="000000" w:themeColor="text1"/>
                <w:kern w:val="2"/>
                <w:sz w:val="24"/>
                <w:szCs w:val="24"/>
                <w:lang w:val="en-US" w:eastAsia="zh-CN" w:bidi="ar-SA"/>
                <w14:textFill>
                  <w14:solidFill>
                    <w14:schemeClr w14:val="tx1"/>
                  </w14:solidFill>
                </w14:textFill>
              </w:rPr>
              <w:t>建设内容</w:t>
            </w:r>
          </w:p>
          <w:p>
            <w:pPr>
              <w:pStyle w:val="82"/>
              <w:spacing w:before="1" w:line="376" w:lineRule="auto"/>
              <w:ind w:left="109" w:firstLine="477"/>
              <w:jc w:val="both"/>
              <w:rPr>
                <w:rFonts w:hint="default" w:ascii="Times New Roman" w:hAnsi="Times New Roman" w:eastAsia="宋体" w:cs="Times New Roman"/>
                <w:bCs/>
                <w:color w:val="auto"/>
                <w:highlight w:val="none"/>
                <w:lang w:val="en-US" w:eastAsia="zh-CN"/>
              </w:rPr>
            </w:pPr>
            <w:r>
              <w:rPr>
                <w:rFonts w:hint="default" w:ascii="Times New Roman" w:hAnsi="Times New Roman" w:eastAsia="宋体" w:cs="Times New Roman"/>
                <w:color w:val="auto"/>
                <w:sz w:val="24"/>
                <w:szCs w:val="24"/>
                <w:lang w:val="en-US" w:eastAsia="zh-CN"/>
              </w:rPr>
              <w:t>本项目位于新疆巴音郭楞蒙古自治州库尔勒市铁克其乡民生路天福名庭商铺55-24号，</w:t>
            </w:r>
            <w:r>
              <w:rPr>
                <w:rFonts w:hint="default" w:ascii="Times New Roman" w:hAnsi="Times New Roman" w:eastAsia="宋体" w:cs="Times New Roman"/>
                <w:color w:val="auto"/>
                <w:sz w:val="24"/>
                <w:szCs w:val="24"/>
              </w:rPr>
              <w:t>中心地理坐标为</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i w:val="0"/>
                <w:iCs w:val="0"/>
                <w:color w:val="000000" w:themeColor="text1"/>
                <w:sz w:val="24"/>
                <w:szCs w:val="24"/>
                <w14:textFill>
                  <w14:solidFill>
                    <w14:schemeClr w14:val="tx1"/>
                  </w14:solidFill>
                </w14:textFill>
              </w:rPr>
              <w:t>东经86°10′51.54950″</w:t>
            </w:r>
            <w:r>
              <w:rPr>
                <w:rFonts w:hint="eastAsia" w:cs="Times New Roman"/>
                <w:i w:val="0"/>
                <w:i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i w:val="0"/>
                <w:iCs w:val="0"/>
                <w:color w:val="000000" w:themeColor="text1"/>
                <w:sz w:val="24"/>
                <w:szCs w:val="24"/>
                <w14:textFill>
                  <w14:solidFill>
                    <w14:schemeClr w14:val="tx1"/>
                  </w14:solidFill>
                </w14:textFill>
              </w:rPr>
              <w:t>北纬41°43′49.86773″</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bCs/>
                <w:color w:val="auto"/>
                <w:highlight w:val="none"/>
                <w:lang w:val="en-US" w:eastAsia="zh-CN"/>
              </w:rPr>
              <w:t>项目区</w:t>
            </w:r>
            <w:r>
              <w:rPr>
                <w:rFonts w:hint="eastAsia" w:ascii="Times New Roman" w:hAnsi="Times New Roman" w:cs="Times New Roman"/>
                <w:bCs/>
                <w:color w:val="auto"/>
                <w:highlight w:val="none"/>
                <w:lang w:val="en-US" w:eastAsia="zh-CN"/>
              </w:rPr>
              <w:t>北</w:t>
            </w:r>
            <w:r>
              <w:rPr>
                <w:rFonts w:hint="default" w:ascii="Times New Roman" w:hAnsi="Times New Roman" w:eastAsia="宋体" w:cs="Times New Roman"/>
                <w:bCs/>
                <w:color w:val="auto"/>
                <w:highlight w:val="none"/>
                <w:lang w:val="en-US" w:eastAsia="zh-CN"/>
              </w:rPr>
              <w:t>侧为</w:t>
            </w:r>
            <w:r>
              <w:rPr>
                <w:rFonts w:hint="eastAsia" w:ascii="Times New Roman" w:hAnsi="Times New Roman" w:cs="Times New Roman"/>
                <w:bCs/>
                <w:color w:val="auto"/>
                <w:highlight w:val="none"/>
                <w:lang w:val="en-US" w:eastAsia="zh-CN"/>
              </w:rPr>
              <w:t>民生</w:t>
            </w:r>
            <w:r>
              <w:rPr>
                <w:rFonts w:hint="default" w:ascii="Times New Roman" w:hAnsi="Times New Roman" w:cs="Times New Roman"/>
                <w:bCs/>
                <w:color w:val="auto"/>
                <w:highlight w:val="none"/>
                <w:lang w:val="en-US" w:eastAsia="zh-CN"/>
              </w:rPr>
              <w:t>路</w:t>
            </w:r>
            <w:r>
              <w:rPr>
                <w:rFonts w:hint="default" w:ascii="Times New Roman" w:hAnsi="Times New Roman" w:eastAsia="宋体" w:cs="Times New Roman"/>
                <w:bCs/>
                <w:color w:val="auto"/>
                <w:highlight w:val="none"/>
                <w:lang w:val="en-US" w:eastAsia="zh-CN"/>
              </w:rPr>
              <w:t>；</w:t>
            </w:r>
            <w:r>
              <w:rPr>
                <w:rFonts w:hint="default" w:ascii="Times New Roman" w:hAnsi="Times New Roman" w:cs="Times New Roman"/>
                <w:bCs/>
                <w:color w:val="auto"/>
                <w:highlight w:val="none"/>
                <w:lang w:val="en-US" w:eastAsia="zh-CN"/>
              </w:rPr>
              <w:t>南</w:t>
            </w:r>
            <w:r>
              <w:rPr>
                <w:rFonts w:hint="default" w:ascii="Times New Roman" w:hAnsi="Times New Roman" w:eastAsia="宋体" w:cs="Times New Roman"/>
                <w:bCs/>
                <w:color w:val="auto"/>
                <w:highlight w:val="none"/>
                <w:lang w:val="en-US" w:eastAsia="zh-CN"/>
              </w:rPr>
              <w:t>侧为</w:t>
            </w:r>
            <w:r>
              <w:rPr>
                <w:rFonts w:hint="eastAsia" w:ascii="Times New Roman" w:hAnsi="Times New Roman" w:cs="Times New Roman"/>
                <w:bCs/>
                <w:color w:val="auto"/>
                <w:highlight w:val="none"/>
                <w:lang w:val="en-US" w:eastAsia="zh-CN"/>
              </w:rPr>
              <w:t>天福名庭小区住宅区</w:t>
            </w:r>
            <w:r>
              <w:rPr>
                <w:rFonts w:hint="default" w:ascii="Times New Roman" w:hAnsi="Times New Roman" w:eastAsia="宋体" w:cs="Times New Roman"/>
                <w:bCs/>
                <w:color w:val="auto"/>
                <w:highlight w:val="none"/>
                <w:lang w:val="en-US" w:eastAsia="zh-CN"/>
              </w:rPr>
              <w:t>；</w:t>
            </w:r>
            <w:r>
              <w:rPr>
                <w:rFonts w:hint="eastAsia" w:ascii="Times New Roman" w:hAnsi="Times New Roman" w:eastAsia="宋体" w:cs="Times New Roman"/>
                <w:bCs/>
                <w:color w:val="auto"/>
                <w:highlight w:val="none"/>
                <w:lang w:val="en-US" w:eastAsia="zh-CN"/>
              </w:rPr>
              <w:t>西侧为凤印茶叶、如家酒店</w:t>
            </w:r>
            <w:r>
              <w:rPr>
                <w:rFonts w:hint="default" w:ascii="Times New Roman" w:hAnsi="Times New Roman" w:eastAsia="宋体" w:cs="Times New Roman"/>
                <w:bCs/>
                <w:color w:val="auto"/>
                <w:highlight w:val="none"/>
                <w:lang w:val="en-US" w:eastAsia="zh-CN"/>
              </w:rPr>
              <w:t>；</w:t>
            </w:r>
            <w:r>
              <w:rPr>
                <w:rFonts w:hint="eastAsia" w:ascii="Times New Roman" w:hAnsi="Times New Roman" w:eastAsia="宋体" w:cs="Times New Roman"/>
                <w:bCs/>
                <w:color w:val="auto"/>
                <w:highlight w:val="none"/>
                <w:lang w:val="en-US" w:eastAsia="zh-CN"/>
              </w:rPr>
              <w:t>东</w:t>
            </w:r>
            <w:r>
              <w:rPr>
                <w:rFonts w:hint="eastAsia" w:ascii="Times New Roman" w:hAnsi="Times New Roman" w:cs="Times New Roman"/>
                <w:bCs/>
                <w:color w:val="auto"/>
                <w:highlight w:val="none"/>
                <w:lang w:val="en-US" w:eastAsia="zh-CN"/>
              </w:rPr>
              <w:t>侧为</w:t>
            </w:r>
            <w:r>
              <w:rPr>
                <w:rFonts w:hint="eastAsia" w:ascii="Times New Roman" w:hAnsi="Times New Roman" w:eastAsia="宋体" w:cs="Times New Roman"/>
                <w:bCs/>
                <w:color w:val="auto"/>
                <w:highlight w:val="none"/>
                <w:lang w:val="en-US" w:eastAsia="zh-CN"/>
              </w:rPr>
              <w:t>天福名庭雅郡销售中心</w:t>
            </w:r>
            <w:r>
              <w:rPr>
                <w:rFonts w:hint="default" w:ascii="Times New Roman" w:hAnsi="Times New Roman" w:eastAsia="宋体" w:cs="Times New Roman"/>
                <w:bCs/>
                <w:color w:val="auto"/>
                <w:highlight w:val="none"/>
                <w:lang w:val="en-US" w:eastAsia="zh-CN"/>
              </w:rPr>
              <w:t>。</w:t>
            </w:r>
          </w:p>
          <w:p>
            <w:pPr>
              <w:adjustRightInd w:val="0"/>
              <w:snapToGrid w:val="0"/>
              <w:spacing w:line="360" w:lineRule="auto"/>
              <w:ind w:firstLine="480" w:firstLineChars="200"/>
              <w:textAlignment w:val="baseline"/>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本项目租赁新疆巴音郭楞蒙古自治州</w:t>
            </w:r>
            <w:r>
              <w:rPr>
                <w:rFonts w:hint="default" w:ascii="Times New Roman" w:hAnsi="Times New Roman" w:eastAsia="宋体" w:cs="Times New Roman"/>
                <w:color w:val="auto"/>
                <w:sz w:val="24"/>
                <w:highlight w:val="none"/>
                <w:lang w:val="en-US" w:eastAsia="zh-CN"/>
              </w:rPr>
              <w:t>库尔勒市</w:t>
            </w:r>
            <w:r>
              <w:rPr>
                <w:rFonts w:hint="default" w:ascii="Times New Roman" w:hAnsi="Times New Roman" w:eastAsia="宋体" w:cs="Times New Roman"/>
                <w:color w:val="auto"/>
                <w:sz w:val="24"/>
                <w:szCs w:val="24"/>
                <w:lang w:val="en-US" w:eastAsia="zh-CN"/>
              </w:rPr>
              <w:t>铁克其乡民生路天福名庭商铺55-24号</w:t>
            </w:r>
            <w:r>
              <w:rPr>
                <w:rFonts w:hint="eastAsia" w:ascii="Times New Roman" w:hAnsi="Times New Roman" w:eastAsia="宋体" w:cs="Times New Roman"/>
                <w:color w:val="auto"/>
                <w:sz w:val="24"/>
                <w:highlight w:val="none"/>
                <w:lang w:val="en-US" w:eastAsia="zh-CN"/>
              </w:rPr>
              <w:t>，建筑面积158m</w:t>
            </w:r>
            <w:r>
              <w:rPr>
                <w:rFonts w:hint="eastAsia" w:ascii="Times New Roman" w:hAnsi="Times New Roman" w:eastAsia="宋体" w:cs="Times New Roman"/>
                <w:color w:val="auto"/>
                <w:sz w:val="24"/>
                <w:highlight w:val="none"/>
                <w:vertAlign w:val="superscript"/>
                <w:lang w:val="en-US" w:eastAsia="zh-CN"/>
              </w:rPr>
              <w:t>2</w:t>
            </w:r>
            <w:r>
              <w:rPr>
                <w:rFonts w:hint="eastAsia" w:ascii="Times New Roman" w:hAnsi="Times New Roman" w:eastAsia="宋体" w:cs="Times New Roman"/>
                <w:color w:val="auto"/>
                <w:sz w:val="24"/>
                <w:highlight w:val="none"/>
                <w:lang w:val="en-US" w:eastAsia="zh-CN"/>
              </w:rPr>
              <w:t>，主要从事动物疫苗接种（含犬证办理服务）、诊疗</w:t>
            </w:r>
            <w:r>
              <w:rPr>
                <w:rFonts w:hint="eastAsia"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含颅腔手术、胸腔手术、腹腔手术、绝育手术等</w:t>
            </w:r>
            <w:r>
              <w:rPr>
                <w:rFonts w:hint="eastAsia"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服务，</w:t>
            </w:r>
            <w:r>
              <w:rPr>
                <w:rFonts w:hint="default" w:ascii="Times New Roman" w:hAnsi="Times New Roman" w:eastAsia="宋体" w:cs="Times New Roman"/>
                <w:color w:val="auto"/>
                <w:sz w:val="24"/>
                <w:highlight w:val="none"/>
                <w:lang w:val="en-US" w:eastAsia="zh-CN"/>
              </w:rPr>
              <w:t>项目建成后</w:t>
            </w:r>
            <w:r>
              <w:rPr>
                <w:rFonts w:hint="eastAsia" w:ascii="Times New Roman" w:hAnsi="Times New Roman" w:eastAsia="宋体" w:cs="Times New Roman"/>
                <w:color w:val="auto"/>
                <w:sz w:val="24"/>
                <w:highlight w:val="none"/>
                <w:lang w:val="en-US" w:eastAsia="zh-CN"/>
              </w:rPr>
              <w:t>年接待宠物1000例。</w:t>
            </w:r>
          </w:p>
          <w:p>
            <w:pPr>
              <w:adjustRightInd w:val="0"/>
              <w:snapToGrid w:val="0"/>
              <w:spacing w:line="360" w:lineRule="auto"/>
              <w:ind w:firstLine="480" w:firstLineChars="200"/>
              <w:textAlignment w:val="baseline"/>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本项目DR室配备一台</w:t>
            </w:r>
            <w:r>
              <w:rPr>
                <w:rFonts w:hint="eastAsia" w:ascii="Times New Roman" w:hAnsi="Times New Roman" w:eastAsia="宋体" w:cs="Times New Roman"/>
                <w:color w:val="auto"/>
                <w:sz w:val="24"/>
                <w:highlight w:val="none"/>
                <w:lang w:val="en-US" w:eastAsia="zh-CN"/>
              </w:rPr>
              <w:t>X射线装置</w:t>
            </w:r>
            <w:r>
              <w:rPr>
                <w:rFonts w:hint="default" w:ascii="Times New Roman" w:hAnsi="Times New Roman" w:eastAsia="宋体" w:cs="Times New Roman"/>
                <w:color w:val="auto"/>
                <w:sz w:val="24"/>
                <w:highlight w:val="none"/>
                <w:lang w:val="en-US" w:eastAsia="zh-CN"/>
              </w:rPr>
              <w:t>，属于Ш类射线装置，根据《放射性同位素与射线装置安全许可管理办法》</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部令第20号</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2</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，该设备已按要求填报登记表</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备案号</w:t>
            </w:r>
            <w:r>
              <w:rPr>
                <w:rFonts w:hint="eastAsia" w:ascii="Times New Roman" w:hAnsi="Times New Roman" w:eastAsia="宋体" w:cs="Times New Roman"/>
                <w:color w:val="auto"/>
                <w:sz w:val="24"/>
                <w:highlight w:val="none"/>
                <w:lang w:val="en-US" w:eastAsia="zh-CN"/>
              </w:rPr>
              <w:t>：202565280100000068</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，本次评价不包含辐射内容。</w:t>
            </w:r>
          </w:p>
          <w:p>
            <w:pPr>
              <w:numPr>
                <w:ilvl w:val="0"/>
                <w:numId w:val="0"/>
              </w:numPr>
              <w:adjustRightInd w:val="0"/>
              <w:snapToGrid w:val="0"/>
              <w:spacing w:line="360" w:lineRule="auto"/>
              <w:ind w:left="0" w:leftChars="0" w:firstLine="0" w:firstLineChars="0"/>
              <w:jc w:val="both"/>
              <w:rPr>
                <w:rFonts w:hint="default" w:ascii="Times New Roman" w:hAnsi="Times New Roman" w:cs="Times New Roman"/>
                <w:b/>
                <w:bCs w:val="0"/>
                <w:color w:val="000000" w:themeColor="text1"/>
                <w:sz w:val="24"/>
                <w:szCs w:val="24"/>
                <w:lang w:val="en-US" w:eastAsia="zh-CN"/>
                <w14:textFill>
                  <w14:solidFill>
                    <w14:schemeClr w14:val="tx1"/>
                  </w14:solidFill>
                </w14:textFill>
              </w:rPr>
            </w:pPr>
            <w:r>
              <w:rPr>
                <w:rFonts w:hint="default" w:ascii="Times New Roman" w:hAnsi="Times New Roman" w:cs="Times New Roman"/>
                <w:b/>
                <w:bCs w:val="0"/>
                <w:color w:val="000000" w:themeColor="text1"/>
                <w:kern w:val="2"/>
                <w:sz w:val="24"/>
                <w:szCs w:val="24"/>
                <w:lang w:val="en-US" w:eastAsia="zh-CN" w:bidi="ar-SA"/>
                <w14:textFill>
                  <w14:solidFill>
                    <w14:schemeClr w14:val="tx1"/>
                  </w14:solidFill>
                </w14:textFill>
              </w:rPr>
              <w:t>2.2</w:t>
            </w:r>
            <w:r>
              <w:rPr>
                <w:rFonts w:hint="default" w:ascii="Times New Roman" w:hAnsi="Times New Roman" w:cs="Times New Roman"/>
                <w:b/>
                <w:bCs w:val="0"/>
                <w:color w:val="000000" w:themeColor="text1"/>
                <w:sz w:val="24"/>
                <w:szCs w:val="24"/>
                <w:lang w:val="en-US" w:eastAsia="zh-CN"/>
                <w14:textFill>
                  <w14:solidFill>
                    <w14:schemeClr w14:val="tx1"/>
                  </w14:solidFill>
                </w14:textFill>
              </w:rPr>
              <w:t>项目概况</w:t>
            </w:r>
          </w:p>
          <w:p>
            <w:pPr>
              <w:numPr>
                <w:ilvl w:val="0"/>
                <w:numId w:val="0"/>
              </w:numPr>
              <w:adjustRightInd w:val="0"/>
              <w:snapToGrid w:val="0"/>
              <w:spacing w:line="360" w:lineRule="auto"/>
              <w:ind w:firstLine="480" w:firstLineChars="200"/>
              <w:jc w:val="both"/>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eastAsia" w:cs="Times New Roman"/>
                <w:b w:val="0"/>
                <w:bCs/>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项目名称：爱宠汇猫友好宠物医院建设项目</w:t>
            </w:r>
          </w:p>
          <w:p>
            <w:pPr>
              <w:numPr>
                <w:ilvl w:val="0"/>
                <w:numId w:val="0"/>
              </w:numPr>
              <w:adjustRightInd w:val="0"/>
              <w:snapToGrid w:val="0"/>
              <w:spacing w:line="360" w:lineRule="auto"/>
              <w:ind w:firstLine="480" w:firstLineChars="200"/>
              <w:jc w:val="both"/>
              <w:rPr>
                <w:rFonts w:hint="default" w:ascii="Times New Roman" w:hAnsi="Times New Roman" w:eastAsia="宋体" w:cs="Times New Roman"/>
                <w:i w:val="0"/>
                <w:iCs w:val="0"/>
                <w:color w:val="000000" w:themeColor="text1"/>
                <w:sz w:val="24"/>
                <w:szCs w:val="24"/>
                <w14:textFill>
                  <w14:solidFill>
                    <w14:schemeClr w14:val="tx1"/>
                  </w14:solidFill>
                </w14:textFill>
              </w:rPr>
            </w:pPr>
            <w: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t>（2）</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建设单位：</w:t>
            </w:r>
            <w:r>
              <w:rPr>
                <w:rFonts w:hint="default" w:ascii="Times New Roman" w:hAnsi="Times New Roman" w:eastAsia="宋体" w:cs="Times New Roman"/>
                <w:i w:val="0"/>
                <w:iCs w:val="0"/>
                <w:color w:val="000000" w:themeColor="text1"/>
                <w:sz w:val="24"/>
                <w:szCs w:val="24"/>
                <w14:textFill>
                  <w14:solidFill>
                    <w14:schemeClr w14:val="tx1"/>
                  </w14:solidFill>
                </w14:textFill>
              </w:rPr>
              <w:t>爱宠汇猫友好</w:t>
            </w:r>
            <w:r>
              <w:rPr>
                <w:rFonts w:hint="default" w:ascii="Times New Roman" w:hAnsi="Times New Roman" w:eastAsia="宋体" w:cs="Times New Roman"/>
                <w:i w:val="0"/>
                <w:iCs w:val="0"/>
                <w:color w:val="000000" w:themeColor="text1"/>
                <w:sz w:val="24"/>
                <w:szCs w:val="24"/>
                <w:lang w:val="en-US" w:eastAsia="zh-CN"/>
                <w14:textFill>
                  <w14:solidFill>
                    <w14:schemeClr w14:val="tx1"/>
                  </w14:solidFill>
                </w14:textFill>
              </w:rPr>
              <w:t>宠物</w:t>
            </w:r>
            <w:r>
              <w:rPr>
                <w:rFonts w:hint="default" w:ascii="Times New Roman" w:hAnsi="Times New Roman" w:eastAsia="宋体" w:cs="Times New Roman"/>
                <w:i w:val="0"/>
                <w:iCs w:val="0"/>
                <w:color w:val="000000" w:themeColor="text1"/>
                <w:sz w:val="24"/>
                <w:szCs w:val="24"/>
                <w14:textFill>
                  <w14:solidFill>
                    <w14:schemeClr w14:val="tx1"/>
                  </w14:solidFill>
                </w14:textFill>
              </w:rPr>
              <w:t>医院</w:t>
            </w:r>
          </w:p>
          <w:p>
            <w:pPr>
              <w:numPr>
                <w:ilvl w:val="0"/>
                <w:numId w:val="0"/>
              </w:numPr>
              <w:adjustRightInd w:val="0"/>
              <w:snapToGrid w:val="0"/>
              <w:spacing w:line="360" w:lineRule="auto"/>
              <w:ind w:firstLine="480" w:firstLineChars="200"/>
              <w:jc w:val="both"/>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color w:val="000000" w:themeColor="text1"/>
                <w:kern w:val="2"/>
                <w:sz w:val="24"/>
                <w:szCs w:val="24"/>
                <w:lang w:val="en-US" w:eastAsia="zh-CN" w:bidi="ar-SA"/>
                <w14:textFill>
                  <w14:solidFill>
                    <w14:schemeClr w14:val="tx1"/>
                  </w14:solidFill>
                </w14:textFill>
              </w:rPr>
              <w:t>（3）</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建设性质：</w:t>
            </w:r>
            <w:r>
              <w:rPr>
                <w:rFonts w:hint="eastAsia" w:cs="Times New Roman"/>
                <w:b w:val="0"/>
                <w:bCs/>
                <w:color w:val="000000" w:themeColor="text1"/>
                <w:sz w:val="24"/>
                <w:szCs w:val="24"/>
                <w:lang w:val="en-US" w:eastAsia="zh-CN"/>
                <w14:textFill>
                  <w14:solidFill>
                    <w14:schemeClr w14:val="tx1"/>
                  </w14:solidFill>
                </w14:textFill>
              </w:rPr>
              <w:t>新</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建</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bCs/>
                <w:i w:val="0"/>
                <w:i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（4）建设地点：</w:t>
            </w:r>
            <w:r>
              <w:rPr>
                <w:rFonts w:hint="default" w:ascii="Times New Roman" w:hAnsi="Times New Roman" w:eastAsia="宋体" w:cs="Times New Roman"/>
                <w:color w:val="auto"/>
                <w:sz w:val="24"/>
                <w:szCs w:val="24"/>
                <w:lang w:val="en-US" w:eastAsia="zh-CN"/>
              </w:rPr>
              <w:t>新疆巴音郭楞蒙古自治州</w:t>
            </w:r>
            <w:r>
              <w:rPr>
                <w:rFonts w:hint="default" w:ascii="Times New Roman" w:hAnsi="Times New Roman" w:eastAsia="宋体" w:cs="Times New Roman"/>
                <w:color w:val="auto"/>
                <w:sz w:val="24"/>
                <w:highlight w:val="none"/>
                <w:lang w:val="en-US" w:eastAsia="zh-CN"/>
              </w:rPr>
              <w:t>库尔勒市</w:t>
            </w:r>
            <w:r>
              <w:rPr>
                <w:rFonts w:hint="default" w:ascii="Times New Roman" w:hAnsi="Times New Roman" w:eastAsia="宋体" w:cs="Times New Roman"/>
                <w:color w:val="auto"/>
                <w:sz w:val="24"/>
                <w:szCs w:val="24"/>
                <w:lang w:val="en-US" w:eastAsia="zh-CN"/>
              </w:rPr>
              <w:t>铁克其乡民生路天福名庭商铺55-24号</w:t>
            </w:r>
            <w:r>
              <w:rPr>
                <w:rFonts w:hint="default" w:ascii="Times New Roman" w:hAnsi="Times New Roman" w:cs="Times New Roman"/>
                <w:b w:val="0"/>
                <w:bCs/>
                <w:color w:val="000000" w:themeColor="text1"/>
                <w:sz w:val="24"/>
                <w:szCs w:val="24"/>
                <w:lang w:val="en-US" w:eastAsia="zh-CN"/>
                <w14:textFill>
                  <w14:solidFill>
                    <w14:schemeClr w14:val="tx1"/>
                  </w14:solidFill>
                </w14:textFill>
              </w:rPr>
              <w:t>，中心</w:t>
            </w:r>
            <w:r>
              <w:rPr>
                <w:rFonts w:hint="default" w:ascii="Times New Roman" w:hAnsi="Times New Roman" w:eastAsia="宋体" w:cs="Times New Roman"/>
                <w:color w:val="000000" w:themeColor="text1"/>
                <w:sz w:val="24"/>
                <w:lang w:eastAsia="zh-CN"/>
                <w14:textFill>
                  <w14:solidFill>
                    <w14:schemeClr w14:val="tx1"/>
                  </w14:solidFill>
                </w14:textFill>
              </w:rPr>
              <w:t>地理坐标为</w:t>
            </w: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i w:val="0"/>
                <w:iCs w:val="0"/>
                <w:color w:val="000000" w:themeColor="text1"/>
                <w:sz w:val="24"/>
                <w:szCs w:val="24"/>
                <w14:textFill>
                  <w14:solidFill>
                    <w14:schemeClr w14:val="tx1"/>
                  </w14:solidFill>
                </w14:textFill>
              </w:rPr>
              <w:t>东经86°10′51.54950″</w:t>
            </w:r>
            <w:r>
              <w:rPr>
                <w:rFonts w:hint="eastAsia" w:cs="Times New Roman"/>
                <w:i w:val="0"/>
                <w:i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i w:val="0"/>
                <w:iCs w:val="0"/>
                <w:color w:val="000000" w:themeColor="text1"/>
                <w:sz w:val="24"/>
                <w:szCs w:val="24"/>
                <w14:textFill>
                  <w14:solidFill>
                    <w14:schemeClr w14:val="tx1"/>
                  </w14:solidFill>
                </w14:textFill>
              </w:rPr>
              <w:t xml:space="preserve">北纬41°43′49.86773″ </w:t>
            </w:r>
            <w:r>
              <w:rPr>
                <w:rFonts w:hint="default" w:ascii="Times New Roman" w:hAnsi="Times New Roman" w:cs="Times New Roman"/>
                <w:i w:val="0"/>
                <w:iCs w:val="0"/>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bCs/>
                <w:color w:val="000000" w:themeColor="text1"/>
                <w:sz w:val="24"/>
                <w:highlight w:val="none"/>
                <w14:textFill>
                  <w14:solidFill>
                    <w14:schemeClr w14:val="tx1"/>
                  </w14:solidFill>
                </w14:textFill>
              </w:rPr>
              <w:t>项目地理位置见附图</w:t>
            </w:r>
            <w:r>
              <w:rPr>
                <w:rFonts w:hint="eastAsia" w:cs="Times New Roman"/>
                <w:b/>
                <w:bCs/>
                <w:color w:val="000000" w:themeColor="text1"/>
                <w:sz w:val="24"/>
                <w:highlight w:val="none"/>
                <w:lang w:val="en-US" w:eastAsia="zh-CN"/>
                <w14:textFill>
                  <w14:solidFill>
                    <w14:schemeClr w14:val="tx1"/>
                  </w14:solidFill>
                </w14:textFill>
              </w:rPr>
              <w:t>1</w:t>
            </w:r>
            <w:r>
              <w:rPr>
                <w:rFonts w:hint="default" w:ascii="Times New Roman" w:hAnsi="Times New Roman" w:cs="Times New Roman"/>
                <w:b/>
                <w:bCs/>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b/>
                <w:bCs/>
                <w:snapToGrid w:val="0"/>
                <w:color w:val="000000" w:themeColor="text1"/>
                <w:sz w:val="24"/>
                <w:szCs w:val="24"/>
                <w:lang w:val="en-US" w:eastAsia="zh-CN"/>
                <w14:textFill>
                  <w14:solidFill>
                    <w14:schemeClr w14:val="tx1"/>
                  </w14:solidFill>
                </w14:textFill>
              </w:rPr>
              <w:t>项目周边关系示意图</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见附图</w:t>
            </w:r>
            <w:r>
              <w:rPr>
                <w:rFonts w:hint="eastAsia" w:cs="Times New Roman"/>
                <w:b/>
                <w:bCs/>
                <w:color w:val="000000" w:themeColor="text1"/>
                <w:sz w:val="24"/>
                <w:highlight w:val="none"/>
                <w:lang w:val="en-US" w:eastAsia="zh-CN"/>
                <w14:textFill>
                  <w14:solidFill>
                    <w14:schemeClr w14:val="tx1"/>
                  </w14:solidFill>
                </w14:textFill>
              </w:rPr>
              <w:t>2</w:t>
            </w:r>
            <w:r>
              <w:rPr>
                <w:rFonts w:hint="default" w:ascii="Times New Roman" w:hAnsi="Times New Roman" w:eastAsia="宋体" w:cs="Times New Roman"/>
                <w:b/>
                <w:bCs/>
                <w:color w:val="000000" w:themeColor="text1"/>
                <w:sz w:val="24"/>
                <w:highlight w:val="none"/>
                <w14:textFill>
                  <w14:solidFill>
                    <w14:schemeClr w14:val="tx1"/>
                  </w14:solidFill>
                </w14:textFill>
              </w:rPr>
              <w:t>。</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w:t>
            </w:r>
            <w:r>
              <w:rPr>
                <w:rFonts w:hint="eastAsia" w:cs="Times New Roman"/>
                <w:b w:val="0"/>
                <w:bCs/>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）总投资及资金来源：总投资</w:t>
            </w:r>
            <w:r>
              <w:rPr>
                <w:rFonts w:hint="eastAsia" w:cs="Times New Roman"/>
                <w:b w:val="0"/>
                <w:bCs/>
                <w:color w:val="000000" w:themeColor="text1"/>
                <w:sz w:val="24"/>
                <w:szCs w:val="24"/>
                <w:lang w:val="en-US" w:eastAsia="zh-CN"/>
                <w14:textFill>
                  <w14:solidFill>
                    <w14:schemeClr w14:val="tx1"/>
                  </w14:solidFill>
                </w14:textFill>
              </w:rPr>
              <w:t>50</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万元，其中环保投资</w:t>
            </w:r>
            <w:r>
              <w:rPr>
                <w:rFonts w:hint="eastAsia" w:cs="Times New Roman"/>
                <w:b w:val="0"/>
                <w:bCs/>
                <w:color w:val="000000" w:themeColor="text1"/>
                <w:sz w:val="24"/>
                <w:szCs w:val="24"/>
                <w:lang w:val="en-US" w:eastAsia="zh-CN"/>
                <w14:textFill>
                  <w14:solidFill>
                    <w14:schemeClr w14:val="tx1"/>
                  </w14:solidFill>
                </w14:textFill>
              </w:rPr>
              <w:t>2.8</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万元，占总投资</w:t>
            </w:r>
            <w:r>
              <w:rPr>
                <w:rFonts w:hint="eastAsia" w:cs="Times New Roman"/>
                <w:b w:val="0"/>
                <w:bCs/>
                <w:color w:val="000000" w:themeColor="text1"/>
                <w:sz w:val="24"/>
                <w:szCs w:val="24"/>
                <w:lang w:val="en-US" w:eastAsia="zh-CN"/>
                <w14:textFill>
                  <w14:solidFill>
                    <w14:schemeClr w14:val="tx1"/>
                  </w14:solidFill>
                </w14:textFill>
              </w:rPr>
              <w:t>5.6</w:t>
            </w:r>
            <w:r>
              <w:rPr>
                <w:rFonts w:hint="default" w:ascii="Times New Roman" w:hAnsi="Times New Roman" w:eastAsia="宋体" w:cs="Times New Roman"/>
                <w:b w:val="0"/>
                <w:bCs/>
                <w:color w:val="000000" w:themeColor="text1"/>
                <w:sz w:val="24"/>
                <w:szCs w:val="24"/>
                <w:lang w:val="en-US" w:eastAsia="zh-CN"/>
                <w14:textFill>
                  <w14:solidFill>
                    <w14:schemeClr w14:val="tx1"/>
                  </w14:solidFill>
                </w14:textFill>
              </w:rPr>
              <w:t>%。资金来源为企业自筹。</w:t>
            </w:r>
          </w:p>
          <w:p>
            <w:pPr>
              <w:numPr>
                <w:ilvl w:val="0"/>
                <w:numId w:val="0"/>
              </w:numPr>
              <w:adjustRightInd w:val="0"/>
              <w:snapToGrid w:val="0"/>
              <w:spacing w:line="360" w:lineRule="auto"/>
              <w:ind w:left="0" w:leftChars="0" w:firstLine="0" w:firstLineChars="0"/>
              <w:jc w:val="both"/>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kern w:val="2"/>
                <w:sz w:val="24"/>
                <w:szCs w:val="24"/>
                <w:lang w:val="en-US" w:eastAsia="zh-CN" w:bidi="ar-SA"/>
                <w14:textFill>
                  <w14:solidFill>
                    <w14:schemeClr w14:val="tx1"/>
                  </w14:solidFill>
                </w14:textFill>
              </w:rPr>
              <w:t>2.3建设内容</w:t>
            </w:r>
            <w:r>
              <w:rPr>
                <w:rFonts w:hint="default" w:ascii="Times New Roman" w:hAnsi="Times New Roman" w:cs="Times New Roman"/>
                <w:b/>
                <w:bCs w:val="0"/>
                <w:color w:val="000000" w:themeColor="text1"/>
                <w:kern w:val="2"/>
                <w:sz w:val="24"/>
                <w:szCs w:val="24"/>
                <w:lang w:val="en-US" w:eastAsia="zh-CN" w:bidi="ar-SA"/>
                <w14:textFill>
                  <w14:solidFill>
                    <w14:schemeClr w14:val="tx1"/>
                  </w14:solidFill>
                </w14:textFill>
              </w:rPr>
              <w:t>及平面布置</w:t>
            </w:r>
          </w:p>
          <w:p>
            <w:pPr>
              <w:spacing w:line="360" w:lineRule="auto"/>
              <w:ind w:left="0" w:leftChars="0" w:firstLine="480" w:firstLineChars="200"/>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（1）建设内容</w:t>
            </w:r>
          </w:p>
          <w:p>
            <w:pPr>
              <w:spacing w:line="360" w:lineRule="auto"/>
              <w:ind w:firstLine="480" w:firstLineChars="200"/>
              <w:rPr>
                <w:rFonts w:hint="default" w:ascii="Times New Roman" w:hAnsi="Times New Roman"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lang w:val="en-US" w:eastAsia="zh-CN"/>
                <w14:textFill>
                  <w14:solidFill>
                    <w14:schemeClr w14:val="tx1"/>
                  </w14:solidFill>
                </w14:textFill>
              </w:rPr>
              <w:t>项目</w:t>
            </w:r>
            <w:r>
              <w:rPr>
                <w:rFonts w:hint="default" w:ascii="Times New Roman" w:hAnsi="Times New Roman" w:cs="Times New Roman"/>
                <w:color w:val="000000" w:themeColor="text1"/>
                <w:sz w:val="24"/>
                <w:lang w:val="en-US" w:eastAsia="zh-CN"/>
                <w14:textFill>
                  <w14:solidFill>
                    <w14:schemeClr w14:val="tx1"/>
                  </w14:solidFill>
                </w14:textFill>
              </w:rPr>
              <w:t>具体建设内容</w:t>
            </w:r>
            <w:r>
              <w:rPr>
                <w:rFonts w:hint="default" w:ascii="Times New Roman" w:hAnsi="Times New Roman" w:eastAsia="宋体" w:cs="Times New Roman"/>
                <w:color w:val="000000" w:themeColor="text1"/>
                <w:sz w:val="24"/>
                <w:lang w:val="en-US" w:eastAsia="zh-CN"/>
                <w14:textFill>
                  <w14:solidFill>
                    <w14:schemeClr w14:val="tx1"/>
                  </w14:solidFill>
                </w14:textFill>
              </w:rPr>
              <w:t>见表2-</w:t>
            </w:r>
            <w:r>
              <w:rPr>
                <w:rFonts w:hint="default" w:ascii="Times New Roman" w:hAnsi="Times New Roman" w:cs="Times New Roman"/>
                <w:color w:val="000000" w:themeColor="text1"/>
                <w:sz w:val="24"/>
                <w:lang w:val="en-US" w:eastAsia="zh-CN"/>
                <w14:textFill>
                  <w14:solidFill>
                    <w14:schemeClr w14:val="tx1"/>
                  </w14:solidFill>
                </w14:textFill>
              </w:rPr>
              <w:t>1。</w:t>
            </w:r>
          </w:p>
          <w:p>
            <w:pPr>
              <w:spacing w:line="240" w:lineRule="auto"/>
              <w:ind w:firstLine="422" w:firstLineChars="20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表2-1  项目主要建设内容</w:t>
            </w:r>
          </w:p>
          <w:tbl>
            <w:tblPr>
              <w:tblStyle w:val="29"/>
              <w:tblW w:w="4862"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141"/>
              <w:gridCol w:w="428"/>
              <w:gridCol w:w="436"/>
              <w:gridCol w:w="4113"/>
              <w:gridCol w:w="93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pct"/>
                  <w:tcBorders>
                    <w:bottom w:val="single" w:color="auto" w:sz="12" w:space="0"/>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b/>
                      <w:bCs/>
                      <w:color w:val="000000"/>
                      <w:sz w:val="21"/>
                      <w:szCs w:val="21"/>
                      <w:lang w:eastAsia="zh-CN"/>
                    </w:rPr>
                  </w:pPr>
                  <w:r>
                    <w:rPr>
                      <w:rFonts w:hint="default" w:ascii="Times New Roman" w:hAnsi="Times New Roman" w:eastAsia="宋体" w:cs="Times New Roman"/>
                      <w:b/>
                      <w:bCs/>
                      <w:color w:val="000000"/>
                      <w:sz w:val="21"/>
                      <w:szCs w:val="21"/>
                      <w:lang w:eastAsia="zh-CN"/>
                    </w:rPr>
                    <w:t>序号</w:t>
                  </w:r>
                </w:p>
              </w:tc>
              <w:tc>
                <w:tcPr>
                  <w:tcW w:w="751" w:type="pct"/>
                  <w:tcBorders>
                    <w:bottom w:val="single" w:color="auto" w:sz="12" w:space="0"/>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b/>
                      <w:bCs/>
                      <w:color w:val="000000"/>
                      <w:sz w:val="21"/>
                      <w:szCs w:val="21"/>
                      <w:lang w:eastAsia="zh-CN"/>
                    </w:rPr>
                  </w:pPr>
                  <w:r>
                    <w:rPr>
                      <w:rFonts w:hint="default" w:ascii="Times New Roman" w:hAnsi="Times New Roman" w:eastAsia="宋体" w:cs="Times New Roman"/>
                      <w:b/>
                      <w:bCs/>
                      <w:color w:val="000000"/>
                      <w:sz w:val="21"/>
                      <w:szCs w:val="21"/>
                      <w:lang w:eastAsia="zh-CN"/>
                    </w:rPr>
                    <w:t>工程名称</w:t>
                  </w:r>
                </w:p>
              </w:tc>
              <w:tc>
                <w:tcPr>
                  <w:tcW w:w="3278" w:type="pct"/>
                  <w:gridSpan w:val="3"/>
                  <w:tcBorders>
                    <w:bottom w:val="single" w:color="auto" w:sz="12" w:space="0"/>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b/>
                      <w:bCs/>
                      <w:color w:val="000000"/>
                      <w:sz w:val="21"/>
                      <w:szCs w:val="21"/>
                      <w:lang w:eastAsia="zh-CN"/>
                    </w:rPr>
                  </w:pPr>
                  <w:r>
                    <w:rPr>
                      <w:rFonts w:hint="default" w:ascii="Times New Roman" w:hAnsi="Times New Roman" w:eastAsia="宋体" w:cs="Times New Roman"/>
                      <w:b/>
                      <w:bCs/>
                      <w:color w:val="000000"/>
                      <w:sz w:val="21"/>
                      <w:szCs w:val="21"/>
                      <w:lang w:eastAsia="zh-CN"/>
                    </w:rPr>
                    <w:t>内  容</w:t>
                  </w:r>
                </w:p>
              </w:tc>
              <w:tc>
                <w:tcPr>
                  <w:tcW w:w="617" w:type="pct"/>
                  <w:tcBorders>
                    <w:bottom w:val="single" w:color="auto" w:sz="12" w:space="0"/>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b/>
                      <w:bCs/>
                      <w:color w:val="000000"/>
                      <w:sz w:val="21"/>
                      <w:szCs w:val="21"/>
                      <w:lang w:val="en-US" w:eastAsia="zh-CN"/>
                    </w:rPr>
                  </w:pPr>
                  <w:r>
                    <w:rPr>
                      <w:rFonts w:hint="eastAsia" w:cs="Times New Roman"/>
                      <w:b/>
                      <w:bCs/>
                      <w:color w:val="000000"/>
                      <w:sz w:val="21"/>
                      <w:szCs w:val="21"/>
                      <w:lang w:val="en-US" w:eastAsia="zh-CN"/>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pct"/>
                  <w:vMerge w:val="restart"/>
                  <w:tcBorders>
                    <w:top w:val="single" w:color="auto" w:sz="12" w:space="0"/>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val="en-US" w:eastAsia="zh-CN"/>
                    </w:rPr>
                  </w:pPr>
                </w:p>
              </w:tc>
              <w:tc>
                <w:tcPr>
                  <w:tcW w:w="751" w:type="pct"/>
                  <w:vMerge w:val="restart"/>
                  <w:tcBorders>
                    <w:top w:val="single" w:color="auto" w:sz="12" w:space="0"/>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val="en-US" w:eastAsia="zh-CN"/>
                    </w:rPr>
                  </w:pPr>
                  <w:r>
                    <w:rPr>
                      <w:rFonts w:hint="eastAsia" w:ascii="Times New Roman" w:hAnsi="Times New Roman" w:eastAsia="宋体" w:cs="Times New Roman"/>
                      <w:color w:val="000000"/>
                      <w:sz w:val="21"/>
                      <w:szCs w:val="21"/>
                      <w:lang w:val="en-US" w:eastAsia="zh-CN"/>
                    </w:rPr>
                    <w:t>主体工程</w:t>
                  </w:r>
                </w:p>
              </w:tc>
              <w:tc>
                <w:tcPr>
                  <w:tcW w:w="569" w:type="pct"/>
                  <w:gridSpan w:val="2"/>
                  <w:tcBorders>
                    <w:top w:val="single" w:color="auto" w:sz="12" w:space="0"/>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一层</w:t>
                  </w:r>
                </w:p>
              </w:tc>
              <w:tc>
                <w:tcPr>
                  <w:tcW w:w="2709" w:type="pct"/>
                  <w:tcBorders>
                    <w:top w:val="single" w:color="auto" w:sz="12" w:space="0"/>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eastAsia="zh-CN"/>
                    </w:rPr>
                    <w:t>建筑面积</w:t>
                  </w:r>
                  <w:r>
                    <w:rPr>
                      <w:rFonts w:hint="eastAsia" w:cs="Times New Roman"/>
                      <w:color w:val="000000"/>
                      <w:sz w:val="21"/>
                      <w:szCs w:val="21"/>
                      <w:highlight w:val="none"/>
                      <w:lang w:val="en-US" w:eastAsia="zh-CN"/>
                    </w:rPr>
                    <w:t>100</w:t>
                  </w:r>
                  <w:r>
                    <w:rPr>
                      <w:rFonts w:hint="default" w:ascii="Times New Roman" w:hAnsi="Times New Roman" w:eastAsia="宋体" w:cs="Times New Roman"/>
                      <w:color w:val="000000"/>
                      <w:sz w:val="21"/>
                      <w:szCs w:val="21"/>
                      <w:highlight w:val="none"/>
                      <w:lang w:val="en-US" w:eastAsia="zh-CN"/>
                    </w:rPr>
                    <w:t>m</w:t>
                  </w:r>
                  <w:r>
                    <w:rPr>
                      <w:rFonts w:hint="default" w:ascii="Times New Roman" w:hAnsi="Times New Roman" w:eastAsia="宋体" w:cs="Times New Roman"/>
                      <w:color w:val="000000"/>
                      <w:sz w:val="21"/>
                      <w:szCs w:val="21"/>
                      <w:highlight w:val="none"/>
                      <w:vertAlign w:val="superscript"/>
                      <w:lang w:val="en-US" w:eastAsia="zh-CN"/>
                    </w:rPr>
                    <w:t>2</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设有</w:t>
                  </w:r>
                  <w:r>
                    <w:rPr>
                      <w:rFonts w:hint="eastAsia" w:cs="Times New Roman"/>
                      <w:color w:val="auto"/>
                      <w:sz w:val="21"/>
                      <w:szCs w:val="21"/>
                      <w:highlight w:val="none"/>
                      <w:lang w:val="en-US" w:eastAsia="zh-CN"/>
                    </w:rPr>
                    <w:t>隔离住院区</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传染病房</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常规住院部</w:t>
                  </w:r>
                  <w:r>
                    <w:rPr>
                      <w:rFonts w:hint="eastAsia"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危重住院部、寄样展示区。</w:t>
                  </w:r>
                </w:p>
              </w:tc>
              <w:tc>
                <w:tcPr>
                  <w:tcW w:w="617" w:type="pct"/>
                  <w:tcBorders>
                    <w:top w:val="single" w:color="auto" w:sz="12" w:space="0"/>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000000"/>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pct"/>
                  <w:vMerge w:val="continue"/>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val="en-US" w:eastAsia="zh-CN"/>
                    </w:rPr>
                  </w:pPr>
                </w:p>
              </w:tc>
              <w:tc>
                <w:tcPr>
                  <w:tcW w:w="751" w:type="pct"/>
                  <w:vMerge w:val="continue"/>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eastAsia="zh-CN"/>
                    </w:rPr>
                  </w:pPr>
                </w:p>
              </w:tc>
              <w:tc>
                <w:tcPr>
                  <w:tcW w:w="569" w:type="pct"/>
                  <w:gridSpan w:val="2"/>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二层</w:t>
                  </w:r>
                </w:p>
              </w:tc>
              <w:tc>
                <w:tcPr>
                  <w:tcW w:w="2709" w:type="pct"/>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eastAsia="zh-CN"/>
                    </w:rPr>
                    <w:t>建筑面积</w:t>
                  </w:r>
                  <w:r>
                    <w:rPr>
                      <w:rFonts w:hint="eastAsia" w:cs="Times New Roman"/>
                      <w:color w:val="000000"/>
                      <w:sz w:val="21"/>
                      <w:szCs w:val="21"/>
                      <w:highlight w:val="none"/>
                      <w:lang w:val="en-US" w:eastAsia="zh-CN"/>
                    </w:rPr>
                    <w:t>58</w:t>
                  </w:r>
                  <w:r>
                    <w:rPr>
                      <w:rFonts w:hint="default" w:ascii="Times New Roman" w:hAnsi="Times New Roman" w:eastAsia="宋体" w:cs="Times New Roman"/>
                      <w:color w:val="000000"/>
                      <w:sz w:val="21"/>
                      <w:szCs w:val="21"/>
                      <w:highlight w:val="none"/>
                      <w:lang w:val="en-US" w:eastAsia="zh-CN"/>
                    </w:rPr>
                    <w:t>m</w:t>
                  </w:r>
                  <w:r>
                    <w:rPr>
                      <w:rFonts w:hint="default" w:ascii="Times New Roman" w:hAnsi="Times New Roman" w:eastAsia="宋体" w:cs="Times New Roman"/>
                      <w:color w:val="000000"/>
                      <w:sz w:val="21"/>
                      <w:szCs w:val="21"/>
                      <w:highlight w:val="none"/>
                      <w:vertAlign w:val="superscript"/>
                      <w:lang w:val="en-US" w:eastAsia="zh-CN"/>
                    </w:rPr>
                    <w:t>2</w:t>
                  </w:r>
                  <w:r>
                    <w:rPr>
                      <w:rFonts w:hint="eastAsia" w:cs="Times New Roman"/>
                      <w:color w:val="auto"/>
                      <w:sz w:val="21"/>
                      <w:szCs w:val="21"/>
                      <w:highlight w:val="none"/>
                      <w:lang w:val="en-US" w:eastAsia="zh-CN"/>
                    </w:rPr>
                    <w:t>，</w:t>
                  </w:r>
                  <w:r>
                    <w:rPr>
                      <w:rFonts w:hint="eastAsia" w:cs="Times New Roman"/>
                      <w:color w:val="000000"/>
                      <w:sz w:val="21"/>
                      <w:szCs w:val="21"/>
                      <w:highlight w:val="none"/>
                      <w:lang w:val="en-US" w:eastAsia="zh-CN"/>
                    </w:rPr>
                    <w:t>设有前台、诊室、DR室、药房、化验室、手术室、消毒室、卫生间、医疗废物暂存间。</w:t>
                  </w:r>
                </w:p>
              </w:tc>
              <w:tc>
                <w:tcPr>
                  <w:tcW w:w="61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color w:val="000000"/>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353" w:type="pct"/>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2</w:t>
                  </w:r>
                </w:p>
              </w:tc>
              <w:tc>
                <w:tcPr>
                  <w:tcW w:w="751" w:type="pct"/>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储运工程</w:t>
                  </w:r>
                </w:p>
              </w:tc>
              <w:tc>
                <w:tcPr>
                  <w:tcW w:w="569" w:type="pct"/>
                  <w:gridSpan w:val="2"/>
                  <w:tcBorders>
                    <w:tl2br w:val="nil"/>
                    <w:tr2bl w:val="nil"/>
                  </w:tcBorders>
                  <w:shd w:val="clear" w:color="auto" w:fill="auto"/>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leftChars="0" w:right="0" w:rightChars="0" w:firstLine="0" w:firstLineChars="0"/>
                    <w:jc w:val="center"/>
                    <w:textAlignment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医疗废物</w:t>
                  </w:r>
                  <w:r>
                    <w:rPr>
                      <w:rFonts w:hint="eastAsia" w:cs="Times New Roman"/>
                      <w:color w:val="000000"/>
                      <w:sz w:val="21"/>
                      <w:szCs w:val="21"/>
                      <w:highlight w:val="none"/>
                      <w:lang w:val="en-US" w:eastAsia="zh-CN"/>
                    </w:rPr>
                    <w:t>暂存间</w:t>
                  </w:r>
                </w:p>
              </w:tc>
              <w:tc>
                <w:tcPr>
                  <w:tcW w:w="2709" w:type="pct"/>
                  <w:tcBorders>
                    <w:tl2br w:val="nil"/>
                    <w:tr2bl w:val="nil"/>
                  </w:tcBorders>
                  <w:shd w:val="clear" w:color="auto" w:fill="auto"/>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leftChars="0" w:right="0" w:rightChars="0" w:firstLine="0" w:firstLineChars="0"/>
                    <w:jc w:val="center"/>
                    <w:textAlignment w:val="center"/>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位于二层消毒室右侧，占地</w:t>
                  </w:r>
                  <w:r>
                    <w:rPr>
                      <w:rFonts w:hint="default" w:ascii="Times New Roman" w:hAnsi="Times New Roman" w:eastAsia="宋体" w:cs="Times New Roman"/>
                      <w:color w:val="000000"/>
                      <w:sz w:val="21"/>
                      <w:szCs w:val="21"/>
                      <w:highlight w:val="none"/>
                      <w:lang w:val="en-US" w:eastAsia="zh-CN"/>
                    </w:rPr>
                    <w:t>面积</w:t>
                  </w:r>
                  <w:r>
                    <w:rPr>
                      <w:rFonts w:hint="eastAsia" w:cs="Times New Roman"/>
                      <w:color w:val="000000"/>
                      <w:sz w:val="21"/>
                      <w:szCs w:val="21"/>
                      <w:highlight w:val="none"/>
                      <w:lang w:val="en-US" w:eastAsia="zh-CN"/>
                    </w:rPr>
                    <w:t>约2</w:t>
                  </w:r>
                  <w:r>
                    <w:rPr>
                      <w:rFonts w:hint="default" w:ascii="Times New Roman" w:hAnsi="Times New Roman" w:eastAsia="宋体" w:cs="Times New Roman"/>
                      <w:color w:val="000000"/>
                      <w:sz w:val="21"/>
                      <w:szCs w:val="21"/>
                      <w:highlight w:val="none"/>
                      <w:lang w:val="en-US" w:eastAsia="zh-CN"/>
                    </w:rPr>
                    <w:t>m</w:t>
                  </w:r>
                  <w:r>
                    <w:rPr>
                      <w:rFonts w:hint="default" w:ascii="Times New Roman" w:hAnsi="Times New Roman" w:eastAsia="宋体" w:cs="Times New Roman"/>
                      <w:color w:val="000000"/>
                      <w:sz w:val="21"/>
                      <w:szCs w:val="21"/>
                      <w:highlight w:val="none"/>
                      <w:vertAlign w:val="superscript"/>
                      <w:lang w:val="en-US" w:eastAsia="zh-CN"/>
                    </w:rPr>
                    <w:t>2</w:t>
                  </w:r>
                  <w:r>
                    <w:rPr>
                      <w:rFonts w:hint="eastAsia" w:cs="Times New Roman"/>
                      <w:sz w:val="21"/>
                      <w:szCs w:val="21"/>
                      <w:lang w:eastAsia="zh-CN"/>
                    </w:rPr>
                    <w:t>，</w:t>
                  </w:r>
                  <w:r>
                    <w:rPr>
                      <w:rFonts w:hint="default" w:ascii="Times New Roman" w:hAnsi="Times New Roman" w:eastAsia="宋体" w:cs="Times New Roman"/>
                      <w:color w:val="000000"/>
                      <w:sz w:val="21"/>
                      <w:szCs w:val="21"/>
                      <w:highlight w:val="none"/>
                      <w:lang w:val="en-US" w:eastAsia="zh-CN"/>
                    </w:rPr>
                    <w:t>用于</w:t>
                  </w:r>
                  <w:r>
                    <w:rPr>
                      <w:rFonts w:hint="eastAsia" w:ascii="Times New Roman" w:hAnsi="Times New Roman" w:eastAsia="宋体" w:cs="Times New Roman"/>
                      <w:color w:val="000000"/>
                      <w:sz w:val="21"/>
                      <w:szCs w:val="21"/>
                      <w:highlight w:val="none"/>
                      <w:lang w:val="en-US" w:eastAsia="zh-CN"/>
                    </w:rPr>
                    <w:t>动物诊疗废物暂时贮存。</w:t>
                  </w:r>
                </w:p>
              </w:tc>
              <w:tc>
                <w:tcPr>
                  <w:tcW w:w="617" w:type="pct"/>
                  <w:tcBorders>
                    <w:tl2br w:val="nil"/>
                    <w:tr2bl w:val="nil"/>
                  </w:tcBorders>
                  <w:shd w:val="clear" w:color="auto" w:fill="auto"/>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cs="Times New Roman"/>
                      <w:color w:val="000000"/>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pct"/>
                  <w:vMerge w:val="restart"/>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lang w:val="en-US" w:eastAsia="zh-CN"/>
                    </w:rPr>
                    <w:t>3</w:t>
                  </w:r>
                </w:p>
              </w:tc>
              <w:tc>
                <w:tcPr>
                  <w:tcW w:w="751" w:type="pct"/>
                  <w:vMerge w:val="restar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cs="Times New Roman"/>
                      <w:color w:val="000000"/>
                      <w:sz w:val="21"/>
                      <w:szCs w:val="21"/>
                      <w:lang w:val="en-US" w:eastAsia="zh-CN"/>
                    </w:rPr>
                  </w:pPr>
                  <w:r>
                    <w:rPr>
                      <w:rFonts w:hint="default" w:cs="Times New Roman"/>
                      <w:color w:val="000000"/>
                      <w:sz w:val="21"/>
                      <w:szCs w:val="21"/>
                      <w:lang w:val="en-US" w:eastAsia="zh-CN"/>
                    </w:rPr>
                    <w:t>公</w:t>
                  </w:r>
                </w:p>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cs="Times New Roman"/>
                      <w:color w:val="000000"/>
                      <w:sz w:val="21"/>
                      <w:szCs w:val="21"/>
                      <w:lang w:val="en-US" w:eastAsia="zh-CN"/>
                    </w:rPr>
                  </w:pPr>
                  <w:r>
                    <w:rPr>
                      <w:rFonts w:hint="default" w:cs="Times New Roman"/>
                      <w:color w:val="000000"/>
                      <w:sz w:val="21"/>
                      <w:szCs w:val="21"/>
                      <w:lang w:val="en-US" w:eastAsia="zh-CN"/>
                    </w:rPr>
                    <w:t>用</w:t>
                  </w:r>
                </w:p>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cs="Times New Roman"/>
                      <w:color w:val="000000"/>
                      <w:sz w:val="21"/>
                      <w:szCs w:val="21"/>
                      <w:lang w:val="en-US" w:eastAsia="zh-CN"/>
                    </w:rPr>
                  </w:pPr>
                  <w:r>
                    <w:rPr>
                      <w:rFonts w:hint="default" w:cs="Times New Roman"/>
                      <w:color w:val="000000"/>
                      <w:sz w:val="21"/>
                      <w:szCs w:val="21"/>
                      <w:lang w:val="en-US" w:eastAsia="zh-CN"/>
                    </w:rPr>
                    <w:t>工</w:t>
                  </w:r>
                </w:p>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1"/>
                      <w:szCs w:val="21"/>
                      <w:lang w:eastAsia="zh-CN"/>
                    </w:rPr>
                  </w:pPr>
                  <w:r>
                    <w:rPr>
                      <w:rFonts w:hint="default" w:cs="Times New Roman"/>
                      <w:color w:val="000000"/>
                      <w:sz w:val="21"/>
                      <w:szCs w:val="21"/>
                      <w:lang w:val="en-US" w:eastAsia="zh-CN"/>
                    </w:rPr>
                    <w:t>程</w:t>
                  </w:r>
                </w:p>
              </w:tc>
              <w:tc>
                <w:tcPr>
                  <w:tcW w:w="569" w:type="pct"/>
                  <w:gridSpan w:val="2"/>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cs="Times New Roman"/>
                      <w:color w:val="000000"/>
                      <w:sz w:val="21"/>
                      <w:szCs w:val="21"/>
                      <w:lang w:val="en-US" w:eastAsia="zh-CN"/>
                    </w:rPr>
                  </w:pPr>
                  <w:r>
                    <w:rPr>
                      <w:rFonts w:hint="default" w:cs="Times New Roman"/>
                      <w:color w:val="000000"/>
                      <w:sz w:val="21"/>
                      <w:szCs w:val="21"/>
                      <w:lang w:val="en-US" w:eastAsia="zh-CN"/>
                    </w:rPr>
                    <w:t>给水</w:t>
                  </w:r>
                </w:p>
              </w:tc>
              <w:tc>
                <w:tcPr>
                  <w:tcW w:w="2709"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cs="Times New Roman"/>
                      <w:color w:val="000000"/>
                      <w:sz w:val="21"/>
                      <w:szCs w:val="21"/>
                      <w:lang w:val="en-US" w:eastAsia="zh-CN"/>
                    </w:rPr>
                  </w:pPr>
                  <w:r>
                    <w:rPr>
                      <w:rFonts w:hint="eastAsia" w:cs="Times New Roman"/>
                      <w:color w:val="000000"/>
                      <w:sz w:val="21"/>
                      <w:szCs w:val="21"/>
                      <w:lang w:val="en-US" w:eastAsia="zh-CN"/>
                    </w:rPr>
                    <w:t>市政供水管网供水。</w:t>
                  </w:r>
                </w:p>
              </w:tc>
              <w:tc>
                <w:tcPr>
                  <w:tcW w:w="61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000000"/>
                      <w:sz w:val="21"/>
                      <w:szCs w:val="21"/>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353" w:type="pct"/>
                  <w:vMerge w:val="continue"/>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eastAsia="zh-CN"/>
                    </w:rPr>
                  </w:pPr>
                </w:p>
              </w:tc>
              <w:tc>
                <w:tcPr>
                  <w:tcW w:w="751" w:type="pct"/>
                  <w:vMerge w:val="continue"/>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eastAsia="zh-CN"/>
                    </w:rPr>
                  </w:pPr>
                </w:p>
              </w:tc>
              <w:tc>
                <w:tcPr>
                  <w:tcW w:w="569" w:type="pct"/>
                  <w:gridSpan w:val="2"/>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cs="Times New Roman"/>
                      <w:color w:val="000000"/>
                      <w:sz w:val="21"/>
                      <w:szCs w:val="21"/>
                      <w:lang w:val="en-US" w:eastAsia="zh-CN"/>
                    </w:rPr>
                  </w:pPr>
                  <w:r>
                    <w:rPr>
                      <w:rFonts w:hint="default" w:cs="Times New Roman"/>
                      <w:color w:val="000000"/>
                      <w:sz w:val="21"/>
                      <w:szCs w:val="21"/>
                      <w:lang w:val="en-US" w:eastAsia="zh-CN"/>
                    </w:rPr>
                    <w:t>排水</w:t>
                  </w:r>
                </w:p>
              </w:tc>
              <w:tc>
                <w:tcPr>
                  <w:tcW w:w="2709"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cs="Times New Roman"/>
                      <w:color w:val="000000"/>
                      <w:sz w:val="21"/>
                      <w:szCs w:val="21"/>
                      <w:lang w:val="en-US" w:eastAsia="zh-CN"/>
                    </w:rPr>
                  </w:pPr>
                  <w:r>
                    <w:rPr>
                      <w:rFonts w:hint="eastAsia" w:cs="Times New Roman"/>
                      <w:color w:val="000000"/>
                      <w:sz w:val="21"/>
                      <w:szCs w:val="21"/>
                      <w:lang w:val="en-US" w:eastAsia="zh-CN"/>
                    </w:rPr>
                    <w:t>城市排水管网</w:t>
                  </w:r>
                </w:p>
              </w:tc>
              <w:tc>
                <w:tcPr>
                  <w:tcW w:w="61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000000"/>
                      <w:kern w:val="0"/>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pct"/>
                  <w:vMerge w:val="continue"/>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eastAsia="zh-CN"/>
                    </w:rPr>
                  </w:pPr>
                </w:p>
              </w:tc>
              <w:tc>
                <w:tcPr>
                  <w:tcW w:w="751" w:type="pct"/>
                  <w:vMerge w:val="continue"/>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eastAsia="zh-CN"/>
                    </w:rPr>
                  </w:pPr>
                </w:p>
              </w:tc>
              <w:tc>
                <w:tcPr>
                  <w:tcW w:w="569" w:type="pct"/>
                  <w:gridSpan w:val="2"/>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cs="Times New Roman"/>
                      <w:color w:val="000000"/>
                      <w:sz w:val="21"/>
                      <w:szCs w:val="21"/>
                      <w:lang w:val="en-US" w:eastAsia="zh-CN"/>
                    </w:rPr>
                  </w:pPr>
                  <w:r>
                    <w:rPr>
                      <w:rFonts w:hint="default" w:cs="Times New Roman"/>
                      <w:color w:val="000000"/>
                      <w:sz w:val="21"/>
                      <w:szCs w:val="21"/>
                      <w:lang w:val="en-US" w:eastAsia="zh-CN"/>
                    </w:rPr>
                    <w:t>供电</w:t>
                  </w:r>
                </w:p>
              </w:tc>
              <w:tc>
                <w:tcPr>
                  <w:tcW w:w="2709"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cs="Times New Roman"/>
                      <w:color w:val="000000"/>
                      <w:sz w:val="21"/>
                      <w:szCs w:val="21"/>
                      <w:lang w:val="en-US" w:eastAsia="zh-CN"/>
                    </w:rPr>
                  </w:pPr>
                  <w:r>
                    <w:rPr>
                      <w:rFonts w:hint="eastAsia" w:cs="Times New Roman"/>
                      <w:color w:val="000000"/>
                      <w:sz w:val="21"/>
                      <w:szCs w:val="21"/>
                      <w:lang w:val="en-US" w:eastAsia="zh-CN"/>
                    </w:rPr>
                    <w:t>接国家电网</w:t>
                  </w:r>
                </w:p>
              </w:tc>
              <w:tc>
                <w:tcPr>
                  <w:tcW w:w="61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000000"/>
                      <w:sz w:val="21"/>
                      <w:szCs w:val="21"/>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pct"/>
                  <w:vMerge w:val="continue"/>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eastAsia="zh-CN"/>
                    </w:rPr>
                  </w:pPr>
                </w:p>
              </w:tc>
              <w:tc>
                <w:tcPr>
                  <w:tcW w:w="751" w:type="pct"/>
                  <w:vMerge w:val="continue"/>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eastAsia="zh-CN"/>
                    </w:rPr>
                  </w:pPr>
                </w:p>
              </w:tc>
              <w:tc>
                <w:tcPr>
                  <w:tcW w:w="569" w:type="pct"/>
                  <w:gridSpan w:val="2"/>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cs="Times New Roman"/>
                      <w:color w:val="000000"/>
                      <w:sz w:val="21"/>
                      <w:szCs w:val="21"/>
                      <w:lang w:val="en-US" w:eastAsia="zh-CN"/>
                    </w:rPr>
                  </w:pPr>
                  <w:r>
                    <w:rPr>
                      <w:rFonts w:hint="default" w:cs="Times New Roman"/>
                      <w:color w:val="000000"/>
                      <w:sz w:val="21"/>
                      <w:szCs w:val="21"/>
                      <w:lang w:val="en-US" w:eastAsia="zh-CN"/>
                    </w:rPr>
                    <w:t>供热</w:t>
                  </w:r>
                </w:p>
              </w:tc>
              <w:tc>
                <w:tcPr>
                  <w:tcW w:w="2709"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cs="Times New Roman"/>
                      <w:color w:val="000000"/>
                      <w:sz w:val="21"/>
                      <w:szCs w:val="21"/>
                      <w:lang w:val="en-US" w:eastAsia="zh-CN"/>
                    </w:rPr>
                  </w:pPr>
                  <w:r>
                    <w:rPr>
                      <w:rFonts w:hint="default" w:cs="Times New Roman"/>
                      <w:color w:val="000000"/>
                      <w:sz w:val="21"/>
                      <w:szCs w:val="21"/>
                      <w:lang w:val="en-US" w:eastAsia="zh-CN"/>
                    </w:rPr>
                    <w:t>冬季采暖接市政集中供暖管网</w:t>
                  </w:r>
                </w:p>
              </w:tc>
              <w:tc>
                <w:tcPr>
                  <w:tcW w:w="61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color w:val="auto"/>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pct"/>
                  <w:vMerge w:val="restart"/>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w:t>
                  </w:r>
                </w:p>
              </w:tc>
              <w:tc>
                <w:tcPr>
                  <w:tcW w:w="751" w:type="pct"/>
                  <w:vMerge w:val="restart"/>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环保工程</w:t>
                  </w:r>
                </w:p>
              </w:tc>
              <w:tc>
                <w:tcPr>
                  <w:tcW w:w="569" w:type="pct"/>
                  <w:gridSpan w:val="2"/>
                  <w:tcBorders>
                    <w:tl2br w:val="nil"/>
                    <w:tr2bl w:val="nil"/>
                  </w:tcBorders>
                  <w:noWrap w:val="0"/>
                  <w:vAlign w:val="center"/>
                </w:tcPr>
                <w:p>
                  <w:pPr>
                    <w:pStyle w:val="90"/>
                    <w:keepNext w:val="0"/>
                    <w:keepLines w:val="0"/>
                    <w:suppressLineNumbers w:val="0"/>
                    <w:adjustRightInd w:val="0"/>
                    <w:snapToGrid w:val="0"/>
                    <w:spacing w:before="0" w:beforeAutospacing="0" w:after="0" w:afterAutospacing="0"/>
                    <w:ind w:left="0" w:right="0" w:firstLine="0" w:firstLineChars="0"/>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kern w:val="0"/>
                      <w:sz w:val="21"/>
                      <w:szCs w:val="21"/>
                    </w:rPr>
                    <w:t>废气</w:t>
                  </w:r>
                </w:p>
              </w:tc>
              <w:tc>
                <w:tcPr>
                  <w:tcW w:w="2709" w:type="pct"/>
                  <w:tcBorders>
                    <w:tl2br w:val="nil"/>
                    <w:tr2bl w:val="nil"/>
                  </w:tcBorders>
                  <w:noWrap w:val="0"/>
                  <w:vAlign w:val="center"/>
                </w:tcPr>
                <w:p>
                  <w:pPr>
                    <w:pStyle w:val="90"/>
                    <w:keepNext w:val="0"/>
                    <w:keepLines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color w:val="000000"/>
                      <w:sz w:val="21"/>
                      <w:szCs w:val="21"/>
                      <w:highlight w:val="yellow"/>
                      <w:lang w:val="en-US" w:eastAsia="zh-CN"/>
                    </w:rPr>
                  </w:pPr>
                  <w:r>
                    <w:rPr>
                      <w:rFonts w:hint="default"/>
                      <w:lang w:val="en-US" w:eastAsia="zh-CN"/>
                    </w:rPr>
                    <w:t>及时更换清理猫砂和狗笼内的排便排尿盒，废水在</w:t>
                  </w:r>
                  <w:r>
                    <w:rPr>
                      <w:rFonts w:hint="eastAsia"/>
                      <w:lang w:val="en-US" w:eastAsia="zh-CN"/>
                    </w:rPr>
                    <w:t>小型废水</w:t>
                  </w:r>
                  <w:r>
                    <w:rPr>
                      <w:rFonts w:hint="default"/>
                      <w:lang w:val="en-US" w:eastAsia="zh-CN"/>
                    </w:rPr>
                    <w:t>处理设施内停留时间极短且废水处理设施密闭，</w:t>
                  </w:r>
                  <w:r>
                    <w:rPr>
                      <w:rFonts w:hint="eastAsia"/>
                      <w:lang w:val="en-US" w:eastAsia="zh-CN"/>
                    </w:rPr>
                    <w:t>并定期</w:t>
                  </w:r>
                  <w:r>
                    <w:rPr>
                      <w:rFonts w:hint="default"/>
                      <w:lang w:val="en-US" w:eastAsia="zh-CN"/>
                    </w:rPr>
                    <w:t>使用</w:t>
                  </w:r>
                  <w:r>
                    <w:rPr>
                      <w:rFonts w:hint="eastAsia"/>
                      <w:lang w:val="en-US" w:eastAsia="zh-CN"/>
                    </w:rPr>
                    <w:t>除臭</w:t>
                  </w:r>
                  <w:r>
                    <w:rPr>
                      <w:rFonts w:hint="default"/>
                      <w:lang w:val="en-US" w:eastAsia="zh-CN"/>
                    </w:rPr>
                    <w:t>剂和紫外线</w:t>
                  </w:r>
                  <w:r>
                    <w:rPr>
                      <w:rFonts w:hint="eastAsia"/>
                      <w:lang w:val="en-US" w:eastAsia="zh-CN"/>
                    </w:rPr>
                    <w:t>消毒灯对院内空气及污水处理设施</w:t>
                  </w:r>
                  <w:r>
                    <w:rPr>
                      <w:rFonts w:hint="default"/>
                      <w:lang w:val="en-US" w:eastAsia="zh-CN"/>
                    </w:rPr>
                    <w:t>进行消毒</w:t>
                  </w:r>
                </w:p>
              </w:tc>
              <w:tc>
                <w:tcPr>
                  <w:tcW w:w="61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53" w:type="pct"/>
                  <w:vMerge w:val="continue"/>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val="en-US" w:eastAsia="zh-CN"/>
                    </w:rPr>
                  </w:pPr>
                </w:p>
              </w:tc>
              <w:tc>
                <w:tcPr>
                  <w:tcW w:w="751" w:type="pct"/>
                  <w:vMerge w:val="continue"/>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val="en-US" w:eastAsia="zh-CN"/>
                    </w:rPr>
                  </w:pPr>
                </w:p>
              </w:tc>
              <w:tc>
                <w:tcPr>
                  <w:tcW w:w="281" w:type="pct"/>
                  <w:vMerge w:val="restart"/>
                  <w:tcBorders>
                    <w:tl2br w:val="nil"/>
                    <w:tr2bl w:val="nil"/>
                  </w:tcBorders>
                  <w:noWrap w:val="0"/>
                  <w:vAlign w:val="center"/>
                </w:tcPr>
                <w:p>
                  <w:pPr>
                    <w:pStyle w:val="90"/>
                    <w:keepNext w:val="0"/>
                    <w:keepLines w:val="0"/>
                    <w:suppressLineNumbers w:val="0"/>
                    <w:adjustRightInd w:val="0"/>
                    <w:snapToGrid w:val="0"/>
                    <w:spacing w:before="0" w:beforeAutospacing="0" w:after="0" w:afterAutospacing="0"/>
                    <w:ind w:left="0" w:right="0" w:firstLine="0" w:firstLineChars="0"/>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kern w:val="0"/>
                      <w:sz w:val="21"/>
                      <w:szCs w:val="21"/>
                      <w:highlight w:val="none"/>
                    </w:rPr>
                    <w:t>废水</w:t>
                  </w:r>
                </w:p>
              </w:tc>
              <w:tc>
                <w:tcPr>
                  <w:tcW w:w="287" w:type="pct"/>
                  <w:tcBorders>
                    <w:tl2br w:val="nil"/>
                    <w:tr2bl w:val="nil"/>
                  </w:tcBorders>
                  <w:noWrap w:val="0"/>
                  <w:vAlign w:val="center"/>
                </w:tcPr>
                <w:p>
                  <w:pPr>
                    <w:pStyle w:val="90"/>
                    <w:keepNext w:val="0"/>
                    <w:keepLines w:val="0"/>
                    <w:suppressLineNumbers w:val="0"/>
                    <w:adjustRightInd w:val="0"/>
                    <w:snapToGrid w:val="0"/>
                    <w:spacing w:before="0" w:beforeAutospacing="0" w:after="0" w:afterAutospacing="0" w:line="240" w:lineRule="auto"/>
                    <w:ind w:left="0" w:right="0" w:firstLine="0" w:firstLineChars="0"/>
                    <w:rPr>
                      <w:rFonts w:hint="eastAsia" w:ascii="Times New Roman" w:hAnsi="Times New Roman" w:eastAsia="宋体" w:cs="Times New Roman"/>
                      <w:color w:val="000000"/>
                      <w:kern w:val="0"/>
                      <w:sz w:val="21"/>
                      <w:szCs w:val="21"/>
                      <w:highlight w:val="none"/>
                      <w:lang w:val="en-US" w:eastAsia="zh-CN"/>
                    </w:rPr>
                  </w:pPr>
                  <w:r>
                    <w:rPr>
                      <w:rFonts w:hint="eastAsia" w:cs="Times New Roman"/>
                      <w:color w:val="000000"/>
                      <w:kern w:val="0"/>
                      <w:sz w:val="21"/>
                      <w:szCs w:val="21"/>
                      <w:highlight w:val="none"/>
                      <w:lang w:val="en-US" w:eastAsia="zh-CN"/>
                    </w:rPr>
                    <w:t>生活污水</w:t>
                  </w:r>
                </w:p>
              </w:tc>
              <w:tc>
                <w:tcPr>
                  <w:tcW w:w="2709" w:type="pct"/>
                  <w:tcBorders>
                    <w:tl2br w:val="nil"/>
                    <w:tr2bl w:val="nil"/>
                  </w:tcBorders>
                  <w:noWrap w:val="0"/>
                  <w:vAlign w:val="center"/>
                </w:tcPr>
                <w:p>
                  <w:pPr>
                    <w:keepNext w:val="0"/>
                    <w:keepLines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color w:val="000000"/>
                      <w:sz w:val="21"/>
                      <w:szCs w:val="21"/>
                      <w:highlight w:val="yellow"/>
                      <w:lang w:val="en-US" w:eastAsia="zh-CN"/>
                    </w:rPr>
                  </w:pPr>
                  <w:r>
                    <w:rPr>
                      <w:rFonts w:hint="default" w:ascii="Times New Roman" w:hAnsi="Times New Roman" w:eastAsia="宋体" w:cs="Times New Roman"/>
                      <w:sz w:val="21"/>
                      <w:szCs w:val="21"/>
                      <w:highlight w:val="none"/>
                      <w:lang w:val="en-US" w:eastAsia="zh-CN"/>
                    </w:rPr>
                    <w:t>生活污水进入</w:t>
                  </w:r>
                  <w:r>
                    <w:rPr>
                      <w:rFonts w:hint="eastAsia" w:ascii="Times New Roman" w:hAnsi="Times New Roman" w:eastAsia="宋体" w:cs="Times New Roman"/>
                      <w:sz w:val="21"/>
                      <w:szCs w:val="21"/>
                      <w:highlight w:val="none"/>
                      <w:lang w:val="en-US" w:eastAsia="zh-CN"/>
                    </w:rPr>
                    <w:t>小区</w:t>
                  </w:r>
                  <w:r>
                    <w:rPr>
                      <w:rFonts w:hint="default" w:ascii="Times New Roman" w:hAnsi="Times New Roman" w:eastAsia="宋体" w:cs="Times New Roman"/>
                      <w:sz w:val="21"/>
                      <w:szCs w:val="21"/>
                      <w:highlight w:val="none"/>
                      <w:lang w:val="en-US" w:eastAsia="zh-CN"/>
                    </w:rPr>
                    <w:t>化粪池处理后，纳入市政污水管网，最终进入库尔勒市南市区污水处理厂集中处理</w:t>
                  </w:r>
                  <w:r>
                    <w:rPr>
                      <w:rFonts w:hint="eastAsia" w:ascii="Times New Roman" w:hAnsi="Times New Roman" w:eastAsia="宋体" w:cs="Times New Roman"/>
                      <w:sz w:val="21"/>
                      <w:szCs w:val="21"/>
                      <w:highlight w:val="none"/>
                      <w:lang w:val="en-US" w:eastAsia="zh-CN"/>
                    </w:rPr>
                    <w:t>。</w:t>
                  </w:r>
                </w:p>
              </w:tc>
              <w:tc>
                <w:tcPr>
                  <w:tcW w:w="617" w:type="pct"/>
                  <w:tcBorders>
                    <w:tl2br w:val="nil"/>
                    <w:tr2bl w:val="nil"/>
                  </w:tcBorders>
                  <w:noWrap w:val="0"/>
                  <w:vAlign w:val="center"/>
                </w:tcPr>
                <w:p>
                  <w:pPr>
                    <w:keepNext w:val="0"/>
                    <w:keepLines w:val="0"/>
                    <w:pageBreakBefore w:val="0"/>
                    <w:suppressLineNumbers w:val="0"/>
                    <w:kinsoku/>
                    <w:wordWrap/>
                    <w:topLinePunct w:val="0"/>
                    <w:bidi w:val="0"/>
                    <w:adjustRightInd w:val="0"/>
                    <w:snapToGrid w:val="0"/>
                    <w:spacing w:before="0" w:beforeAutospacing="0" w:after="0" w:afterAutospacing="0" w:line="240" w:lineRule="auto"/>
                    <w:ind w:left="0" w:leftChars="0" w:right="0" w:firstLine="0" w:firstLineChars="0"/>
                    <w:jc w:val="center"/>
                    <w:rPr>
                      <w:rFonts w:hint="default" w:ascii="Times New Roman" w:hAnsi="Times New Roman" w:eastAsia="宋体" w:cs="Times New Roman"/>
                      <w:color w:val="000000"/>
                      <w:kern w:val="0"/>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353" w:type="pct"/>
                  <w:vMerge w:val="continue"/>
                  <w:tcBorders>
                    <w:tl2br w:val="nil"/>
                    <w:tr2bl w:val="nil"/>
                  </w:tcBorders>
                  <w:noWrap w:val="0"/>
                  <w:vAlign w:val="center"/>
                </w:tcPr>
                <w:p>
                  <w:pPr>
                    <w:pStyle w:val="90"/>
                    <w:keepNext w:val="0"/>
                    <w:keepLines w:val="0"/>
                    <w:suppressLineNumbers w:val="0"/>
                    <w:adjustRightInd w:val="0"/>
                    <w:snapToGrid w:val="0"/>
                    <w:spacing w:before="0" w:beforeAutospacing="0" w:after="0" w:afterAutospacing="0"/>
                    <w:ind w:left="0" w:right="0" w:firstLine="0" w:firstLineChars="0"/>
                    <w:rPr>
                      <w:rFonts w:hint="default"/>
                    </w:rPr>
                  </w:pPr>
                </w:p>
              </w:tc>
              <w:tc>
                <w:tcPr>
                  <w:tcW w:w="751" w:type="pct"/>
                  <w:vMerge w:val="continue"/>
                  <w:tcBorders>
                    <w:tl2br w:val="nil"/>
                    <w:tr2bl w:val="nil"/>
                  </w:tcBorders>
                  <w:noWrap w:val="0"/>
                  <w:vAlign w:val="center"/>
                </w:tcPr>
                <w:p>
                  <w:pPr>
                    <w:pStyle w:val="90"/>
                    <w:keepNext w:val="0"/>
                    <w:keepLines w:val="0"/>
                    <w:suppressLineNumbers w:val="0"/>
                    <w:adjustRightInd w:val="0"/>
                    <w:snapToGrid w:val="0"/>
                    <w:spacing w:before="0" w:beforeAutospacing="0" w:after="0" w:afterAutospacing="0"/>
                    <w:ind w:left="0" w:right="0" w:firstLine="0" w:firstLineChars="0"/>
                    <w:rPr>
                      <w:rFonts w:hint="default"/>
                    </w:rPr>
                  </w:pPr>
                </w:p>
              </w:tc>
              <w:tc>
                <w:tcPr>
                  <w:tcW w:w="281" w:type="pct"/>
                  <w:vMerge w:val="continue"/>
                  <w:tcBorders>
                    <w:tl2br w:val="nil"/>
                    <w:tr2bl w:val="nil"/>
                  </w:tcBorders>
                  <w:noWrap w:val="0"/>
                  <w:vAlign w:val="center"/>
                </w:tcPr>
                <w:p>
                  <w:pPr>
                    <w:pStyle w:val="90"/>
                    <w:keepNext w:val="0"/>
                    <w:keepLines w:val="0"/>
                    <w:suppressLineNumbers w:val="0"/>
                    <w:adjustRightInd w:val="0"/>
                    <w:snapToGrid w:val="0"/>
                    <w:spacing w:before="0" w:beforeAutospacing="0" w:after="0" w:afterAutospacing="0"/>
                    <w:ind w:left="0" w:right="0" w:firstLine="0" w:firstLineChars="0"/>
                    <w:rPr>
                      <w:rFonts w:hint="default"/>
                    </w:rPr>
                  </w:pPr>
                </w:p>
              </w:tc>
              <w:tc>
                <w:tcPr>
                  <w:tcW w:w="287" w:type="pct"/>
                  <w:tcBorders>
                    <w:tl2br w:val="nil"/>
                    <w:tr2bl w:val="nil"/>
                  </w:tcBorders>
                  <w:noWrap w:val="0"/>
                  <w:vAlign w:val="center"/>
                </w:tcPr>
                <w:p>
                  <w:pPr>
                    <w:pStyle w:val="90"/>
                    <w:keepNext w:val="0"/>
                    <w:keepLines w:val="0"/>
                    <w:suppressLineNumbers w:val="0"/>
                    <w:adjustRightInd w:val="0"/>
                    <w:snapToGrid w:val="0"/>
                    <w:spacing w:before="0" w:beforeAutospacing="0" w:after="0" w:afterAutospacing="0" w:line="240" w:lineRule="auto"/>
                    <w:ind w:left="0" w:right="0" w:firstLine="0" w:firstLineChars="0"/>
                    <w:rPr>
                      <w:rFonts w:hint="default" w:ascii="Times New Roman" w:hAnsi="Times New Roman" w:eastAsia="宋体" w:cs="Times New Roman"/>
                      <w:color w:val="000000"/>
                      <w:kern w:val="0"/>
                      <w:sz w:val="21"/>
                      <w:szCs w:val="21"/>
                      <w:highlight w:val="none"/>
                      <w:lang w:val="en-US" w:eastAsia="zh-CN"/>
                    </w:rPr>
                  </w:pPr>
                  <w:r>
                    <w:rPr>
                      <w:rFonts w:hint="eastAsia" w:cs="Times New Roman"/>
                      <w:color w:val="000000"/>
                      <w:kern w:val="0"/>
                      <w:sz w:val="21"/>
                      <w:szCs w:val="21"/>
                      <w:highlight w:val="none"/>
                      <w:lang w:val="en-US" w:eastAsia="zh-CN"/>
                    </w:rPr>
                    <w:t>生产废水</w:t>
                  </w:r>
                </w:p>
              </w:tc>
              <w:tc>
                <w:tcPr>
                  <w:tcW w:w="2709" w:type="pct"/>
                  <w:tcBorders>
                    <w:tl2br w:val="nil"/>
                    <w:tr2bl w:val="nil"/>
                  </w:tcBorders>
                  <w:noWrap w:val="0"/>
                  <w:vAlign w:val="center"/>
                </w:tcPr>
                <w:p>
                  <w:pPr>
                    <w:keepNext w:val="0"/>
                    <w:keepLines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color w:val="000000"/>
                      <w:kern w:val="0"/>
                      <w:sz w:val="21"/>
                      <w:szCs w:val="21"/>
                      <w:highlight w:val="none"/>
                    </w:rPr>
                  </w:pPr>
                  <w:r>
                    <w:rPr>
                      <w:rFonts w:hint="eastAsia" w:cs="Times New Roman"/>
                      <w:sz w:val="21"/>
                      <w:szCs w:val="21"/>
                      <w:highlight w:val="none"/>
                      <w:lang w:val="en-US" w:eastAsia="zh-CN"/>
                    </w:rPr>
                    <w:t>动物诊疗废水经小型废水治理设施消毒处理后和</w:t>
                  </w:r>
                  <w:r>
                    <w:rPr>
                      <w:rFonts w:hint="default" w:ascii="Times New Roman" w:hAnsi="Times New Roman" w:eastAsia="宋体" w:cs="Times New Roman"/>
                      <w:sz w:val="21"/>
                      <w:szCs w:val="21"/>
                      <w:highlight w:val="none"/>
                      <w:lang w:val="en-US" w:eastAsia="zh-CN"/>
                    </w:rPr>
                    <w:t>生活污水</w:t>
                  </w:r>
                  <w:r>
                    <w:rPr>
                      <w:rFonts w:hint="eastAsia" w:cs="Times New Roman"/>
                      <w:sz w:val="21"/>
                      <w:szCs w:val="21"/>
                      <w:highlight w:val="none"/>
                      <w:lang w:val="en-US" w:eastAsia="zh-CN"/>
                    </w:rPr>
                    <w:t>一同</w:t>
                  </w:r>
                  <w:r>
                    <w:rPr>
                      <w:rFonts w:hint="default" w:ascii="Times New Roman" w:hAnsi="Times New Roman" w:eastAsia="宋体" w:cs="Times New Roman"/>
                      <w:sz w:val="21"/>
                      <w:szCs w:val="21"/>
                      <w:highlight w:val="none"/>
                      <w:lang w:val="en-US" w:eastAsia="zh-CN"/>
                    </w:rPr>
                    <w:t>进入</w:t>
                  </w:r>
                  <w:r>
                    <w:rPr>
                      <w:rFonts w:hint="eastAsia" w:ascii="Times New Roman" w:hAnsi="Times New Roman" w:eastAsia="宋体" w:cs="Times New Roman"/>
                      <w:sz w:val="21"/>
                      <w:szCs w:val="21"/>
                      <w:highlight w:val="none"/>
                      <w:lang w:val="en-US" w:eastAsia="zh-CN"/>
                    </w:rPr>
                    <w:t>小区</w:t>
                  </w:r>
                  <w:r>
                    <w:rPr>
                      <w:rFonts w:hint="default" w:ascii="Times New Roman" w:hAnsi="Times New Roman" w:eastAsia="宋体" w:cs="Times New Roman"/>
                      <w:sz w:val="21"/>
                      <w:szCs w:val="21"/>
                      <w:highlight w:val="none"/>
                      <w:lang w:val="en-US" w:eastAsia="zh-CN"/>
                    </w:rPr>
                    <w:t>化粪池处理，最终纳入市政污水管网，进入库尔勒市南市区污水处理厂集中处理</w:t>
                  </w:r>
                  <w:r>
                    <w:rPr>
                      <w:rFonts w:hint="eastAsia" w:cs="Times New Roman"/>
                      <w:sz w:val="21"/>
                      <w:szCs w:val="21"/>
                      <w:highlight w:val="none"/>
                      <w:lang w:val="en-US" w:eastAsia="zh-CN"/>
                    </w:rPr>
                    <w:t>。</w:t>
                  </w:r>
                </w:p>
              </w:tc>
              <w:tc>
                <w:tcPr>
                  <w:tcW w:w="617" w:type="pct"/>
                  <w:tcBorders>
                    <w:tl2br w:val="nil"/>
                    <w:tr2bl w:val="nil"/>
                  </w:tcBorders>
                  <w:noWrap w:val="0"/>
                  <w:vAlign w:val="center"/>
                </w:tcPr>
                <w:p>
                  <w:pPr>
                    <w:pStyle w:val="90"/>
                    <w:keepNext w:val="0"/>
                    <w:keepLines w:val="0"/>
                    <w:pageBreakBefore w:val="0"/>
                    <w:suppressLineNumbers w:val="0"/>
                    <w:kinsoku/>
                    <w:wordWrap/>
                    <w:topLinePunct w:val="0"/>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000000"/>
                      <w:kern w:val="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pct"/>
                  <w:vMerge w:val="continue"/>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val="en-US" w:eastAsia="zh-CN"/>
                    </w:rPr>
                  </w:pPr>
                </w:p>
              </w:tc>
              <w:tc>
                <w:tcPr>
                  <w:tcW w:w="751" w:type="pct"/>
                  <w:vMerge w:val="continue"/>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val="en-US" w:eastAsia="zh-CN"/>
                    </w:rPr>
                  </w:pPr>
                </w:p>
              </w:tc>
              <w:tc>
                <w:tcPr>
                  <w:tcW w:w="569" w:type="pct"/>
                  <w:gridSpan w:val="2"/>
                  <w:tcBorders>
                    <w:tl2br w:val="nil"/>
                    <w:tr2bl w:val="nil"/>
                  </w:tcBorders>
                  <w:noWrap w:val="0"/>
                  <w:vAlign w:val="center"/>
                </w:tcPr>
                <w:p>
                  <w:pPr>
                    <w:pStyle w:val="90"/>
                    <w:keepNext w:val="0"/>
                    <w:keepLines w:val="0"/>
                    <w:suppressLineNumbers w:val="0"/>
                    <w:adjustRightInd w:val="0"/>
                    <w:snapToGrid w:val="0"/>
                    <w:spacing w:before="0" w:beforeAutospacing="0" w:after="0" w:afterAutospacing="0"/>
                    <w:ind w:left="0" w:right="0" w:firstLine="0" w:firstLineChars="0"/>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kern w:val="0"/>
                      <w:sz w:val="21"/>
                      <w:szCs w:val="21"/>
                    </w:rPr>
                    <w:t>噪声</w:t>
                  </w:r>
                </w:p>
              </w:tc>
              <w:tc>
                <w:tcPr>
                  <w:tcW w:w="2709" w:type="pct"/>
                  <w:tcBorders>
                    <w:tl2br w:val="nil"/>
                    <w:tr2bl w:val="nil"/>
                  </w:tcBorders>
                  <w:noWrap w:val="0"/>
                  <w:vAlign w:val="center"/>
                </w:tcPr>
                <w:p>
                  <w:pPr>
                    <w:pStyle w:val="90"/>
                    <w:keepNext w:val="0"/>
                    <w:keepLines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color w:val="000000"/>
                      <w:sz w:val="21"/>
                      <w:szCs w:val="21"/>
                      <w:highlight w:val="yellow"/>
                      <w:lang w:val="en-US" w:eastAsia="zh-CN"/>
                    </w:rPr>
                  </w:pPr>
                  <w:r>
                    <w:rPr>
                      <w:rFonts w:hint="default" w:ascii="Times New Roman" w:hAnsi="Times New Roman" w:eastAsia="宋体" w:cs="Times New Roman"/>
                      <w:color w:val="000000"/>
                      <w:sz w:val="21"/>
                      <w:szCs w:val="21"/>
                      <w:highlight w:val="none"/>
                      <w:lang w:val="en-US" w:eastAsia="zh-CN"/>
                    </w:rPr>
                    <w:t>采用低噪设备、加强对宠物的管理，避免宠物处于饥饿状态，医院合理布局，采用墙体建筑降</w:t>
                  </w:r>
                  <w:r>
                    <w:rPr>
                      <w:rFonts w:hint="eastAsia" w:cs="Times New Roman"/>
                      <w:color w:val="000000"/>
                      <w:sz w:val="21"/>
                      <w:szCs w:val="21"/>
                      <w:highlight w:val="none"/>
                      <w:lang w:val="en-US" w:eastAsia="zh-CN"/>
                    </w:rPr>
                    <w:t>噪</w:t>
                  </w:r>
                  <w:r>
                    <w:rPr>
                      <w:rFonts w:hint="default" w:ascii="Times New Roman" w:hAnsi="Times New Roman" w:eastAsia="宋体" w:cs="Times New Roman"/>
                      <w:color w:val="000000"/>
                      <w:sz w:val="21"/>
                      <w:szCs w:val="21"/>
                      <w:highlight w:val="none"/>
                      <w:lang w:val="en-US" w:eastAsia="zh-CN"/>
                    </w:rPr>
                    <w:t>，夜间关闭门窗，减少宠物可能产生的噪声影响</w:t>
                  </w:r>
                  <w:r>
                    <w:rPr>
                      <w:rFonts w:hint="eastAsia" w:cs="Times New Roman"/>
                      <w:color w:val="000000"/>
                      <w:sz w:val="21"/>
                      <w:szCs w:val="21"/>
                      <w:highlight w:val="none"/>
                      <w:lang w:val="en-US" w:eastAsia="zh-CN"/>
                    </w:rPr>
                    <w:t>。</w:t>
                  </w:r>
                </w:p>
              </w:tc>
              <w:tc>
                <w:tcPr>
                  <w:tcW w:w="61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000000"/>
                      <w:kern w:val="0"/>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pct"/>
                  <w:vMerge w:val="continue"/>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val="en-US" w:eastAsia="zh-CN"/>
                    </w:rPr>
                  </w:pPr>
                </w:p>
              </w:tc>
              <w:tc>
                <w:tcPr>
                  <w:tcW w:w="751" w:type="pct"/>
                  <w:vMerge w:val="continue"/>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val="en-US" w:eastAsia="zh-CN"/>
                    </w:rPr>
                  </w:pPr>
                </w:p>
              </w:tc>
              <w:tc>
                <w:tcPr>
                  <w:tcW w:w="569" w:type="pct"/>
                  <w:gridSpan w:val="2"/>
                  <w:tcBorders>
                    <w:tl2br w:val="nil"/>
                    <w:tr2bl w:val="nil"/>
                  </w:tcBorders>
                  <w:noWrap w:val="0"/>
                  <w:vAlign w:val="center"/>
                </w:tcPr>
                <w:p>
                  <w:pPr>
                    <w:pStyle w:val="90"/>
                    <w:keepNext w:val="0"/>
                    <w:keepLines w:val="0"/>
                    <w:suppressLineNumbers w:val="0"/>
                    <w:adjustRightInd w:val="0"/>
                    <w:snapToGrid w:val="0"/>
                    <w:spacing w:before="0" w:beforeAutospacing="0" w:after="0" w:afterAutospacing="0"/>
                    <w:ind w:left="0" w:right="0" w:firstLine="0" w:firstLineChars="0"/>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kern w:val="0"/>
                      <w:sz w:val="21"/>
                      <w:szCs w:val="21"/>
                      <w:highlight w:val="none"/>
                      <w:lang w:val="en-US" w:eastAsia="zh-CN"/>
                    </w:rPr>
                    <w:t>一般</w:t>
                  </w:r>
                  <w:r>
                    <w:rPr>
                      <w:rFonts w:hint="default" w:ascii="Times New Roman" w:hAnsi="Times New Roman" w:eastAsia="宋体" w:cs="Times New Roman"/>
                      <w:color w:val="000000"/>
                      <w:kern w:val="0"/>
                      <w:sz w:val="21"/>
                      <w:szCs w:val="21"/>
                      <w:highlight w:val="none"/>
                    </w:rPr>
                    <w:t>固废</w:t>
                  </w:r>
                </w:p>
              </w:tc>
              <w:tc>
                <w:tcPr>
                  <w:tcW w:w="2709" w:type="pct"/>
                  <w:tcBorders>
                    <w:tl2br w:val="nil"/>
                    <w:tr2bl w:val="nil"/>
                  </w:tcBorders>
                  <w:noWrap w:val="0"/>
                  <w:vAlign w:val="center"/>
                </w:tcPr>
                <w:p>
                  <w:pPr>
                    <w:pStyle w:val="90"/>
                    <w:keepNext w:val="0"/>
                    <w:keepLines w:val="0"/>
                    <w:suppressLineNumbers w:val="0"/>
                    <w:adjustRightInd w:val="0"/>
                    <w:snapToGrid w:val="0"/>
                    <w:spacing w:before="0" w:beforeAutospacing="0" w:after="0" w:afterAutospacing="0"/>
                    <w:ind w:left="0" w:right="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宠物粪便</w:t>
                  </w:r>
                  <w:r>
                    <w:rPr>
                      <w:rFonts w:hint="eastAsia" w:cs="Times New Roman"/>
                      <w:color w:val="000000"/>
                      <w:sz w:val="21"/>
                      <w:szCs w:val="21"/>
                      <w:highlight w:val="none"/>
                      <w:lang w:val="en-US" w:eastAsia="zh-CN"/>
                    </w:rPr>
                    <w:t>与</w:t>
                  </w:r>
                  <w:r>
                    <w:rPr>
                      <w:rFonts w:hint="default" w:ascii="Times New Roman" w:hAnsi="Times New Roman" w:eastAsia="宋体" w:cs="Times New Roman"/>
                      <w:color w:val="000000"/>
                      <w:sz w:val="21"/>
                      <w:szCs w:val="21"/>
                      <w:highlight w:val="none"/>
                      <w:lang w:val="en-US" w:eastAsia="zh-CN"/>
                    </w:rPr>
                    <w:t>生活垃圾</w:t>
                  </w:r>
                  <w:r>
                    <w:rPr>
                      <w:rFonts w:hint="eastAsia" w:cs="Times New Roman"/>
                      <w:color w:val="000000"/>
                      <w:sz w:val="21"/>
                      <w:szCs w:val="21"/>
                      <w:highlight w:val="none"/>
                      <w:lang w:val="en-US" w:eastAsia="zh-CN"/>
                    </w:rPr>
                    <w:t>一同</w:t>
                  </w:r>
                  <w:r>
                    <w:rPr>
                      <w:rFonts w:hint="default" w:ascii="Times New Roman" w:hAnsi="Times New Roman" w:eastAsia="宋体" w:cs="Times New Roman"/>
                      <w:color w:val="000000"/>
                      <w:sz w:val="21"/>
                      <w:szCs w:val="21"/>
                      <w:highlight w:val="none"/>
                      <w:lang w:val="en-US" w:eastAsia="zh-CN"/>
                    </w:rPr>
                    <w:t>暂存于垃圾桶，交由环卫部门</w:t>
                  </w:r>
                  <w:r>
                    <w:rPr>
                      <w:rFonts w:hint="eastAsia" w:cs="Times New Roman"/>
                      <w:color w:val="000000"/>
                      <w:sz w:val="21"/>
                      <w:szCs w:val="21"/>
                      <w:highlight w:val="none"/>
                      <w:lang w:val="en-US" w:eastAsia="zh-CN"/>
                    </w:rPr>
                    <w:t>统一</w:t>
                  </w:r>
                  <w:r>
                    <w:rPr>
                      <w:rFonts w:hint="default" w:ascii="Times New Roman" w:hAnsi="Times New Roman" w:eastAsia="宋体" w:cs="Times New Roman"/>
                      <w:color w:val="000000"/>
                      <w:sz w:val="21"/>
                      <w:szCs w:val="21"/>
                      <w:highlight w:val="none"/>
                      <w:lang w:val="en-US" w:eastAsia="zh-CN"/>
                    </w:rPr>
                    <w:t>清运</w:t>
                  </w:r>
                  <w:r>
                    <w:rPr>
                      <w:rFonts w:hint="eastAsia" w:cs="Times New Roman"/>
                      <w:color w:val="000000"/>
                      <w:sz w:val="21"/>
                      <w:szCs w:val="21"/>
                      <w:highlight w:val="none"/>
                      <w:lang w:val="en-US" w:eastAsia="zh-CN"/>
                    </w:rPr>
                    <w:t>。</w:t>
                  </w:r>
                </w:p>
              </w:tc>
              <w:tc>
                <w:tcPr>
                  <w:tcW w:w="61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center"/>
                    <w:rPr>
                      <w:rFonts w:hint="eastAsia" w:cs="Times New Roman"/>
                      <w:color w:val="000000"/>
                      <w:highlight w:val="no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3" w:type="pct"/>
                  <w:vMerge w:val="continue"/>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val="en-US" w:eastAsia="zh-CN"/>
                    </w:rPr>
                  </w:pPr>
                </w:p>
              </w:tc>
              <w:tc>
                <w:tcPr>
                  <w:tcW w:w="751" w:type="pct"/>
                  <w:vMerge w:val="continue"/>
                  <w:tcBorders>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jc w:val="center"/>
                    <w:textAlignment w:val="center"/>
                    <w:rPr>
                      <w:rFonts w:hint="default" w:ascii="Times New Roman" w:hAnsi="Times New Roman" w:eastAsia="宋体" w:cs="Times New Roman"/>
                      <w:color w:val="000000"/>
                      <w:sz w:val="21"/>
                      <w:szCs w:val="21"/>
                      <w:lang w:val="en-US" w:eastAsia="zh-CN"/>
                    </w:rPr>
                  </w:pPr>
                </w:p>
              </w:tc>
              <w:tc>
                <w:tcPr>
                  <w:tcW w:w="569" w:type="pct"/>
                  <w:gridSpan w:val="2"/>
                  <w:tcBorders>
                    <w:tl2br w:val="nil"/>
                    <w:tr2bl w:val="nil"/>
                  </w:tcBorders>
                  <w:noWrap w:val="0"/>
                  <w:vAlign w:val="center"/>
                </w:tcPr>
                <w:p>
                  <w:pPr>
                    <w:pStyle w:val="90"/>
                    <w:keepNext w:val="0"/>
                    <w:keepLines w:val="0"/>
                    <w:suppressLineNumbers w:val="0"/>
                    <w:adjustRightInd w:val="0"/>
                    <w:snapToGrid w:val="0"/>
                    <w:spacing w:before="0" w:beforeAutospacing="0" w:after="0" w:afterAutospacing="0"/>
                    <w:ind w:left="0" w:right="0" w:firstLine="0" w:firstLineChars="0"/>
                    <w:rPr>
                      <w:rFonts w:hint="default" w:ascii="Times New Roman" w:hAnsi="Times New Roman" w:eastAsia="宋体" w:cs="Times New Roman"/>
                      <w:color w:val="000000"/>
                      <w:sz w:val="21"/>
                      <w:szCs w:val="21"/>
                      <w:highlight w:val="none"/>
                      <w:lang w:val="en-US" w:eastAsia="zh-CN"/>
                    </w:rPr>
                  </w:pPr>
                  <w:r>
                    <w:rPr>
                      <w:rFonts w:hint="eastAsia" w:cs="Times New Roman"/>
                      <w:color w:val="000000"/>
                      <w:kern w:val="0"/>
                      <w:sz w:val="21"/>
                      <w:szCs w:val="21"/>
                      <w:lang w:val="en-US" w:eastAsia="zh-CN"/>
                    </w:rPr>
                    <w:t>动物诊疗废物</w:t>
                  </w:r>
                </w:p>
              </w:tc>
              <w:tc>
                <w:tcPr>
                  <w:tcW w:w="2709" w:type="pct"/>
                  <w:tcBorders>
                    <w:tl2br w:val="nil"/>
                    <w:tr2bl w:val="nil"/>
                  </w:tcBorders>
                  <w:noWrap w:val="0"/>
                  <w:vAlign w:val="center"/>
                </w:tcPr>
                <w:p>
                  <w:pPr>
                    <w:pStyle w:val="90"/>
                    <w:keepNext w:val="0"/>
                    <w:keepLines w:val="0"/>
                    <w:suppressLineNumbers w:val="0"/>
                    <w:adjustRightInd w:val="0"/>
                    <w:snapToGrid w:val="0"/>
                    <w:spacing w:before="0" w:beforeAutospacing="0" w:after="0" w:afterAutospacing="0"/>
                    <w:ind w:left="0" w:right="0" w:firstLine="0" w:firstLineChars="0"/>
                    <w:rPr>
                      <w:rFonts w:hint="default" w:ascii="Times New Roman" w:hAnsi="Times New Roman" w:eastAsia="宋体" w:cs="Times New Roman"/>
                      <w:color w:val="000000"/>
                      <w:sz w:val="21"/>
                      <w:szCs w:val="21"/>
                      <w:highlight w:val="yellow"/>
                      <w:lang w:val="en-US" w:eastAsia="zh-CN"/>
                    </w:rPr>
                  </w:pPr>
                  <w:r>
                    <w:rPr>
                      <w:rFonts w:hint="eastAsia" w:cs="Times New Roman"/>
                      <w:color w:val="000000"/>
                      <w:sz w:val="21"/>
                      <w:szCs w:val="21"/>
                      <w:highlight w:val="none"/>
                      <w:lang w:val="en-US" w:eastAsia="zh-CN"/>
                    </w:rPr>
                    <w:t>动物诊疗废物按照医疗废物进行管理，</w:t>
                  </w:r>
                  <w:r>
                    <w:rPr>
                      <w:rFonts w:hint="default" w:ascii="Times New Roman" w:hAnsi="Times New Roman" w:eastAsia="宋体" w:cs="Times New Roman"/>
                      <w:color w:val="000000"/>
                      <w:sz w:val="21"/>
                      <w:szCs w:val="21"/>
                      <w:highlight w:val="none"/>
                      <w:lang w:val="en-US" w:eastAsia="zh-CN"/>
                    </w:rPr>
                    <w:t>收集至</w:t>
                  </w:r>
                  <w:r>
                    <w:rPr>
                      <w:rFonts w:hint="eastAsia" w:cs="Times New Roman"/>
                      <w:color w:val="000000"/>
                      <w:sz w:val="21"/>
                      <w:szCs w:val="21"/>
                      <w:highlight w:val="none"/>
                      <w:lang w:val="en-US" w:eastAsia="zh-CN"/>
                    </w:rPr>
                    <w:t>医疗</w:t>
                  </w:r>
                  <w:r>
                    <w:rPr>
                      <w:rFonts w:hint="default" w:ascii="Times New Roman" w:hAnsi="Times New Roman" w:eastAsia="宋体" w:cs="Times New Roman"/>
                      <w:color w:val="000000"/>
                      <w:sz w:val="21"/>
                      <w:szCs w:val="21"/>
                      <w:highlight w:val="none"/>
                      <w:lang w:val="en-US" w:eastAsia="zh-CN"/>
                    </w:rPr>
                    <w:t>废物</w:t>
                  </w:r>
                  <w:r>
                    <w:rPr>
                      <w:rFonts w:hint="eastAsia" w:cs="Times New Roman"/>
                      <w:color w:val="000000"/>
                      <w:sz w:val="21"/>
                      <w:szCs w:val="21"/>
                      <w:highlight w:val="none"/>
                      <w:lang w:val="en-US" w:eastAsia="zh-CN"/>
                    </w:rPr>
                    <w:t>暂存间</w:t>
                  </w:r>
                  <w:r>
                    <w:rPr>
                      <w:rFonts w:hint="default" w:ascii="Times New Roman" w:hAnsi="Times New Roman" w:eastAsia="宋体" w:cs="Times New Roman"/>
                      <w:color w:val="000000"/>
                      <w:sz w:val="21"/>
                      <w:szCs w:val="21"/>
                      <w:highlight w:val="none"/>
                      <w:lang w:val="en-US" w:eastAsia="zh-CN"/>
                    </w:rPr>
                    <w:t>，委托库尔勒天达环卫有限责任公司集中处置，做到日产日清。</w:t>
                  </w:r>
                </w:p>
              </w:tc>
              <w:tc>
                <w:tcPr>
                  <w:tcW w:w="617" w:type="pct"/>
                  <w:tcBorders>
                    <w:tl2br w:val="nil"/>
                    <w:tr2bl w:val="nil"/>
                  </w:tcBorders>
                  <w:noWrap w:val="0"/>
                  <w:vAlign w:val="center"/>
                </w:tcPr>
                <w:p>
                  <w:pPr>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lang w:val="en-US"/>
                    </w:rPr>
                  </w:pPr>
                </w:p>
              </w:tc>
            </w:tr>
          </w:tbl>
          <w:p>
            <w:pPr>
              <w:spacing w:line="360" w:lineRule="auto"/>
              <w:ind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（2）平面布置</w:t>
            </w:r>
          </w:p>
          <w:p>
            <w:pPr>
              <w:spacing w:line="360" w:lineRule="auto"/>
              <w:ind w:left="0" w:leftChars="0" w:firstLine="480" w:firstLineChars="200"/>
              <w:rPr>
                <w:rFonts w:hint="default" w:ascii="Times New Roman" w:hAnsi="Times New Roman" w:cs="Times New Roman"/>
                <w:b/>
                <w:b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auto"/>
                <w:sz w:val="24"/>
                <w:highlight w:val="none"/>
                <w:lang w:val="en-US" w:eastAsia="zh-CN"/>
              </w:rPr>
              <w:t>本项目租赁</w:t>
            </w:r>
            <w:r>
              <w:rPr>
                <w:rFonts w:hint="default" w:ascii="Times New Roman" w:hAnsi="Times New Roman" w:eastAsia="宋体" w:cs="Times New Roman"/>
                <w:color w:val="auto"/>
                <w:sz w:val="24"/>
                <w:szCs w:val="24"/>
                <w:lang w:val="en-US" w:eastAsia="zh-CN"/>
              </w:rPr>
              <w:t>新疆巴音郭楞蒙古自治州</w:t>
            </w:r>
            <w:r>
              <w:rPr>
                <w:rFonts w:hint="default" w:ascii="Times New Roman" w:hAnsi="Times New Roman" w:eastAsia="宋体" w:cs="Times New Roman"/>
                <w:color w:val="auto"/>
                <w:sz w:val="24"/>
                <w:highlight w:val="none"/>
                <w:lang w:val="en-US" w:eastAsia="zh-CN"/>
              </w:rPr>
              <w:t>库尔勒市</w:t>
            </w:r>
            <w:r>
              <w:rPr>
                <w:rFonts w:hint="default" w:ascii="Times New Roman" w:hAnsi="Times New Roman" w:eastAsia="宋体" w:cs="Times New Roman"/>
                <w:color w:val="auto"/>
                <w:sz w:val="24"/>
                <w:szCs w:val="24"/>
                <w:lang w:val="en-US" w:eastAsia="zh-CN"/>
              </w:rPr>
              <w:t>铁克其乡民生路天福名庭商铺55-24号</w:t>
            </w:r>
            <w:r>
              <w:rPr>
                <w:rFonts w:hint="eastAsia" w:cs="Times New Roman"/>
                <w:color w:val="auto"/>
                <w:sz w:val="24"/>
                <w:szCs w:val="24"/>
                <w:lang w:val="en-US" w:eastAsia="zh-CN"/>
              </w:rPr>
              <w:t>商铺</w:t>
            </w:r>
            <w:r>
              <w:rPr>
                <w:rFonts w:hint="eastAsia" w:ascii="Times New Roman" w:hAnsi="Times New Roman" w:eastAsia="宋体" w:cs="Times New Roman"/>
                <w:color w:val="auto"/>
                <w:sz w:val="24"/>
                <w:highlight w:val="none"/>
                <w:lang w:val="en-US" w:eastAsia="zh-CN"/>
              </w:rPr>
              <w:t>，建筑面积158m</w:t>
            </w:r>
            <w:r>
              <w:rPr>
                <w:rFonts w:hint="eastAsia" w:ascii="Times New Roman" w:hAnsi="Times New Roman" w:eastAsia="宋体" w:cs="Times New Roman"/>
                <w:color w:val="auto"/>
                <w:sz w:val="24"/>
                <w:highlight w:val="none"/>
                <w:vertAlign w:val="superscript"/>
                <w:lang w:val="en-US" w:eastAsia="zh-CN"/>
              </w:rPr>
              <w:t>2</w:t>
            </w:r>
            <w:r>
              <w:rPr>
                <w:rFonts w:hint="eastAsia" w:cs="Times New Roman"/>
                <w:color w:val="auto"/>
                <w:sz w:val="24"/>
                <w:highlight w:val="none"/>
                <w:vertAlign w:val="baseline"/>
                <w:lang w:val="en-US" w:eastAsia="zh-CN"/>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功能分区布局：租赁店面共有</w:t>
            </w:r>
            <w:r>
              <w:rPr>
                <w:rFonts w:hint="eastAsia"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层，一层</w:t>
            </w:r>
            <w:r>
              <w:rPr>
                <w:rFonts w:hint="eastAsia" w:cs="Times New Roman"/>
                <w:color w:val="000000" w:themeColor="text1"/>
                <w:sz w:val="24"/>
                <w:szCs w:val="24"/>
                <w:highlight w:val="none"/>
                <w:lang w:val="en-US" w:eastAsia="zh-CN"/>
                <w14:textFill>
                  <w14:solidFill>
                    <w14:schemeClr w14:val="tx1"/>
                  </w14:solidFill>
                </w14:textFill>
              </w:rPr>
              <w:t>从北向南依次布设隔离住院区、传染病房、寄样展示区、常规住院部、危重住院部</w:t>
            </w:r>
            <w:r>
              <w:rPr>
                <w:rFonts w:hint="eastAsia"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二层</w:t>
            </w:r>
            <w:r>
              <w:rPr>
                <w:rFonts w:hint="eastAsia" w:cs="Times New Roman"/>
                <w:color w:val="000000" w:themeColor="text1"/>
                <w:sz w:val="24"/>
                <w:szCs w:val="24"/>
                <w:highlight w:val="none"/>
                <w:lang w:val="en-US" w:eastAsia="zh-CN"/>
                <w14:textFill>
                  <w14:solidFill>
                    <w14:schemeClr w14:val="tx1"/>
                  </w14:solidFill>
                </w14:textFill>
              </w:rPr>
              <w:t>从北向南，自西向东依次布设</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有DR室、药房、诊室、化验室、手术室、前台、卫生间、消毒室、医疗废物暂存间。项目整体布局跟操作流程的先后顺序</w:t>
            </w:r>
            <w:r>
              <w:rPr>
                <w:rFonts w:hint="eastAsia" w:cs="Times New Roman"/>
                <w:color w:val="000000" w:themeColor="text1"/>
                <w:sz w:val="24"/>
                <w:szCs w:val="24"/>
                <w:highlight w:val="none"/>
                <w:lang w:val="en-US" w:eastAsia="zh-CN"/>
                <w14:textFill>
                  <w14:solidFill>
                    <w14:schemeClr w14:val="tx1"/>
                  </w14:solidFill>
                </w14:textFill>
              </w:rPr>
              <w:t>相符合</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，各功能区分区布置，功能分区明确</w:t>
            </w:r>
            <w:r>
              <w:rPr>
                <w:rFonts w:hint="eastAsia"/>
                <w:color w:val="000000" w:themeColor="text1"/>
                <w:kern w:val="0"/>
                <w:lang w:val="en-US" w:eastAsia="zh-CN"/>
                <w14:textFill>
                  <w14:solidFill>
                    <w14:schemeClr w14:val="tx1"/>
                  </w14:solidFill>
                </w14:textFill>
              </w:rPr>
              <w:t>，</w:t>
            </w:r>
            <w:r>
              <w:rPr>
                <w:rFonts w:hint="default" w:ascii="Times New Roman" w:hAnsi="Times New Roman" w:cs="Times New Roman"/>
                <w:b/>
                <w:bCs/>
                <w:color w:val="auto"/>
                <w:sz w:val="24"/>
                <w:lang w:val="en-US" w:eastAsia="zh-CN"/>
              </w:rPr>
              <w:t>项目平面布置图见附图</w:t>
            </w:r>
            <w:r>
              <w:rPr>
                <w:rFonts w:hint="eastAsia" w:cs="Times New Roman"/>
                <w:b/>
                <w:bCs/>
                <w:color w:val="auto"/>
                <w:sz w:val="24"/>
                <w:lang w:val="en-US" w:eastAsia="zh-CN"/>
              </w:rPr>
              <w:t>3</w:t>
            </w:r>
            <w:r>
              <w:rPr>
                <w:rFonts w:hint="default" w:ascii="Times New Roman" w:hAnsi="Times New Roman" w:cs="Times New Roman"/>
                <w:b/>
                <w:bCs/>
                <w:color w:val="auto"/>
                <w:sz w:val="24"/>
                <w:lang w:val="en-US" w:eastAsia="zh-CN"/>
              </w:rPr>
              <w:t>。</w:t>
            </w:r>
          </w:p>
          <w:p>
            <w:pPr>
              <w:pStyle w:val="7"/>
              <w:suppressLineNumbers w:val="0"/>
              <w:bidi w:val="0"/>
              <w:spacing w:before="0" w:beforeAutospacing="0" w:after="0" w:afterAutospacing="0"/>
              <w:ind w:left="0" w:right="0"/>
              <w:rPr>
                <w:rFonts w:hint="default" w:cs="Times New Roman"/>
                <w:color w:val="000000"/>
                <w:highlight w:val="none"/>
                <w:lang w:val="en-US" w:eastAsia="zh-CN"/>
              </w:rPr>
            </w:pPr>
            <w:r>
              <w:rPr>
                <w:rFonts w:hint="default" w:ascii="Times New Roman" w:hAnsi="Times New Roman" w:cs="Times New Roman"/>
                <w:b/>
                <w:bCs w:val="0"/>
                <w:color w:val="auto"/>
                <w:kern w:val="2"/>
                <w:sz w:val="24"/>
                <w:szCs w:val="24"/>
                <w:lang w:val="en-US" w:eastAsia="zh-CN" w:bidi="ar-SA"/>
              </w:rPr>
              <w:t>2.4</w:t>
            </w:r>
            <w:r>
              <w:rPr>
                <w:rFonts w:hint="eastAsia" w:ascii="Times New Roman" w:hAnsi="Times New Roman" w:eastAsia="宋体" w:cs="Times New Roman"/>
                <w:b/>
                <w:bCs w:val="0"/>
                <w:color w:val="auto"/>
                <w:kern w:val="2"/>
                <w:sz w:val="24"/>
                <w:szCs w:val="24"/>
                <w:lang w:val="en-US" w:eastAsia="zh-CN" w:bidi="ar-SA"/>
              </w:rPr>
              <w:t>产品方案</w:t>
            </w:r>
          </w:p>
          <w:p>
            <w:pPr>
              <w:pStyle w:val="24"/>
              <w:numPr>
                <w:ilvl w:val="0"/>
                <w:numId w:val="0"/>
              </w:numPr>
              <w:spacing w:before="0" w:beforeLines="0" w:beforeAutospacing="0" w:line="360" w:lineRule="auto"/>
              <w:ind w:left="0" w:leftChars="0" w:firstLine="480" w:firstLineChars="200"/>
              <w:rPr>
                <w:rFonts w:hint="default" w:ascii="Times New Roman" w:hAnsi="Times New Roman" w:eastAsia="宋体" w:cs="Times New Roman"/>
                <w:i w:val="0"/>
                <w:iCs w:val="0"/>
                <w:color w:val="auto"/>
                <w:sz w:val="24"/>
                <w:szCs w:val="24"/>
                <w:lang w:val="en-US" w:eastAsia="zh-CN"/>
              </w:rPr>
            </w:pPr>
            <w:r>
              <w:rPr>
                <w:rFonts w:hint="default" w:ascii="Times New Roman" w:hAnsi="Times New Roman" w:eastAsia="宋体" w:cs="Times New Roman"/>
                <w:i w:val="0"/>
                <w:iCs w:val="0"/>
                <w:color w:val="auto"/>
                <w:sz w:val="24"/>
                <w:szCs w:val="24"/>
                <w:lang w:val="en-US" w:eastAsia="zh-CN"/>
              </w:rPr>
              <w:t>厂区主要生产产品见表</w:t>
            </w:r>
            <w:r>
              <w:rPr>
                <w:rFonts w:hint="eastAsia" w:ascii="Times New Roman" w:hAnsi="Times New Roman" w:eastAsia="宋体" w:cs="Times New Roman"/>
                <w:i w:val="0"/>
                <w:iCs w:val="0"/>
                <w:color w:val="auto"/>
                <w:sz w:val="24"/>
                <w:szCs w:val="24"/>
                <w:lang w:val="en-US" w:eastAsia="zh-CN"/>
              </w:rPr>
              <w:t>2-2。</w:t>
            </w:r>
          </w:p>
          <w:p>
            <w:pPr>
              <w:adjustRightInd w:val="0"/>
              <w:snapToGrid w:val="0"/>
              <w:spacing w:line="240" w:lineRule="auto"/>
              <w:ind w:firstLine="1897" w:firstLineChars="900"/>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表</w:t>
            </w:r>
            <w:r>
              <w:rPr>
                <w:rFonts w:hint="eastAsia" w:ascii="Times New Roman" w:hAnsi="Times New Roman" w:eastAsia="宋体" w:cs="Times New Roman"/>
                <w:b/>
                <w:color w:val="auto"/>
                <w:szCs w:val="21"/>
                <w:highlight w:val="none"/>
                <w:lang w:val="en-US" w:eastAsia="zh-CN"/>
              </w:rPr>
              <w:t>2-2</w:t>
            </w:r>
            <w:r>
              <w:rPr>
                <w:rFonts w:hint="default" w:ascii="Times New Roman" w:hAnsi="Times New Roman" w:eastAsia="宋体" w:cs="Times New Roman"/>
                <w:b/>
                <w:color w:val="auto"/>
                <w:szCs w:val="21"/>
                <w:highlight w:val="none"/>
              </w:rPr>
              <w:t xml:space="preserve">                    主要产品产能表</w:t>
            </w:r>
          </w:p>
          <w:tbl>
            <w:tblPr>
              <w:tblStyle w:val="29"/>
              <w:tblW w:w="498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25"/>
              <w:gridCol w:w="933"/>
              <w:gridCol w:w="675"/>
              <w:gridCol w:w="675"/>
              <w:gridCol w:w="696"/>
              <w:gridCol w:w="418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1" w:type="pct"/>
                  <w:tcBorders>
                    <w:bottom w:val="single" w:color="auto"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b/>
                      <w:bCs/>
                      <w:color w:val="000000"/>
                      <w:kern w:val="0"/>
                      <w:sz w:val="21"/>
                      <w:szCs w:val="21"/>
                    </w:rPr>
                  </w:pPr>
                  <w:r>
                    <w:rPr>
                      <w:rFonts w:hint="default"/>
                      <w:b/>
                      <w:bCs/>
                      <w:color w:val="000000"/>
                      <w:kern w:val="0"/>
                      <w:sz w:val="21"/>
                      <w:szCs w:val="21"/>
                    </w:rPr>
                    <w:t>序号</w:t>
                  </w:r>
                </w:p>
              </w:tc>
              <w:tc>
                <w:tcPr>
                  <w:tcW w:w="1032" w:type="pct"/>
                  <w:gridSpan w:val="2"/>
                  <w:tcBorders>
                    <w:bottom w:val="single" w:color="auto"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b/>
                      <w:bCs/>
                      <w:color w:val="000000"/>
                      <w:kern w:val="0"/>
                      <w:sz w:val="21"/>
                      <w:szCs w:val="21"/>
                    </w:rPr>
                  </w:pPr>
                  <w:r>
                    <w:rPr>
                      <w:rFonts w:hint="default" w:ascii="Times New Roman" w:hAnsi="Times New Roman" w:eastAsia="宋体" w:cs="Times New Roman"/>
                      <w:b/>
                      <w:bCs/>
                      <w:sz w:val="21"/>
                      <w:szCs w:val="21"/>
                    </w:rPr>
                    <w:t>项目内容</w:t>
                  </w:r>
                </w:p>
              </w:tc>
              <w:tc>
                <w:tcPr>
                  <w:tcW w:w="433" w:type="pct"/>
                  <w:tcBorders>
                    <w:bottom w:val="single" w:color="auto"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eastAsia="宋体"/>
                      <w:b/>
                      <w:bCs/>
                      <w:color w:val="000000"/>
                      <w:kern w:val="0"/>
                      <w:sz w:val="21"/>
                      <w:szCs w:val="21"/>
                      <w:lang w:val="en-US" w:eastAsia="zh-CN"/>
                    </w:rPr>
                  </w:pPr>
                  <w:r>
                    <w:rPr>
                      <w:rFonts w:hint="default" w:ascii="Times New Roman" w:hAnsi="Times New Roman" w:eastAsia="宋体" w:cs="Times New Roman"/>
                      <w:b/>
                      <w:bCs/>
                      <w:sz w:val="21"/>
                      <w:szCs w:val="21"/>
                    </w:rPr>
                    <w:t>数量</w:t>
                  </w:r>
                </w:p>
              </w:tc>
              <w:tc>
                <w:tcPr>
                  <w:tcW w:w="446" w:type="pct"/>
                  <w:tcBorders>
                    <w:bottom w:val="single" w:color="auto"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b/>
                      <w:bCs/>
                      <w:color w:val="000000"/>
                      <w:kern w:val="0"/>
                      <w:sz w:val="21"/>
                      <w:szCs w:val="21"/>
                    </w:rPr>
                  </w:pPr>
                  <w:r>
                    <w:rPr>
                      <w:rFonts w:hint="default" w:ascii="Times New Roman" w:hAnsi="Times New Roman" w:eastAsia="宋体" w:cs="Times New Roman"/>
                      <w:b/>
                      <w:bCs/>
                      <w:sz w:val="21"/>
                      <w:szCs w:val="21"/>
                      <w:lang w:val="en-US" w:eastAsia="zh-CN"/>
                    </w:rPr>
                    <w:t>单位</w:t>
                  </w:r>
                </w:p>
              </w:tc>
              <w:tc>
                <w:tcPr>
                  <w:tcW w:w="2685" w:type="pct"/>
                  <w:tcBorders>
                    <w:bottom w:val="single" w:color="auto"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b/>
                      <w:bCs/>
                      <w:color w:val="000000"/>
                      <w:kern w:val="0"/>
                      <w:sz w:val="21"/>
                      <w:szCs w:val="21"/>
                    </w:rPr>
                  </w:pPr>
                  <w:r>
                    <w:rPr>
                      <w:rFonts w:hint="default" w:ascii="Times New Roman" w:hAnsi="Times New Roman" w:eastAsia="宋体" w:cs="Times New Roman"/>
                      <w:b/>
                      <w:bCs/>
                      <w:sz w:val="21"/>
                      <w:szCs w:val="21"/>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1" w:type="pct"/>
                  <w:tcBorders>
                    <w:top w:val="single" w:color="auto"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olor w:val="000000"/>
                      <w:kern w:val="0"/>
                      <w:sz w:val="21"/>
                      <w:szCs w:val="21"/>
                    </w:rPr>
                  </w:pPr>
                  <w:r>
                    <w:rPr>
                      <w:rFonts w:hint="default"/>
                      <w:color w:val="000000"/>
                      <w:kern w:val="0"/>
                      <w:sz w:val="21"/>
                      <w:szCs w:val="21"/>
                    </w:rPr>
                    <w:t>1</w:t>
                  </w:r>
                </w:p>
              </w:tc>
              <w:tc>
                <w:tcPr>
                  <w:tcW w:w="1032" w:type="pct"/>
                  <w:gridSpan w:val="2"/>
                  <w:tcBorders>
                    <w:top w:val="single" w:color="auto" w:sz="1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000000"/>
                      <w:kern w:val="0"/>
                      <w:sz w:val="21"/>
                      <w:szCs w:val="21"/>
                      <w:lang w:eastAsia="zh-CN"/>
                    </w:rPr>
                  </w:pPr>
                  <w:r>
                    <w:rPr>
                      <w:rFonts w:hint="default" w:ascii="Times New Roman" w:hAnsi="Times New Roman" w:eastAsia="宋体" w:cs="Times New Roman"/>
                      <w:i w:val="0"/>
                      <w:iCs w:val="0"/>
                      <w:color w:val="000000"/>
                      <w:kern w:val="0"/>
                      <w:sz w:val="21"/>
                      <w:szCs w:val="21"/>
                      <w:u w:val="none"/>
                      <w:lang w:val="en-US" w:eastAsia="zh-CN" w:bidi="ar"/>
                    </w:rPr>
                    <w:t>疫苗接种</w:t>
                  </w:r>
                </w:p>
              </w:tc>
              <w:tc>
                <w:tcPr>
                  <w:tcW w:w="433" w:type="pct"/>
                  <w:tcBorders>
                    <w:top w:val="single" w:color="auto" w:sz="1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400</w:t>
                  </w:r>
                </w:p>
              </w:tc>
              <w:tc>
                <w:tcPr>
                  <w:tcW w:w="446" w:type="pct"/>
                  <w:tcBorders>
                    <w:top w:val="single" w:color="auto"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eastAsia="宋体"/>
                      <w:color w:val="000000"/>
                      <w:kern w:val="0"/>
                      <w:sz w:val="21"/>
                      <w:szCs w:val="21"/>
                      <w:lang w:val="en-US" w:eastAsia="zh-CN"/>
                    </w:rPr>
                  </w:pPr>
                  <w:r>
                    <w:rPr>
                      <w:rFonts w:hint="eastAsia"/>
                      <w:color w:val="000000"/>
                      <w:kern w:val="0"/>
                      <w:sz w:val="21"/>
                      <w:szCs w:val="21"/>
                      <w:lang w:val="en-US" w:eastAsia="zh-CN"/>
                    </w:rPr>
                    <w:t>例/年</w:t>
                  </w:r>
                </w:p>
              </w:tc>
              <w:tc>
                <w:tcPr>
                  <w:tcW w:w="2685" w:type="pct"/>
                  <w:tcBorders>
                    <w:top w:val="single" w:color="auto" w:sz="12"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狂犬病、犬瘟热病毒等疫苗接种</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0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eastAsia="宋体"/>
                      <w:color w:val="000000"/>
                      <w:kern w:val="0"/>
                      <w:sz w:val="21"/>
                      <w:szCs w:val="21"/>
                      <w:lang w:val="en-US" w:eastAsia="zh-CN"/>
                    </w:rPr>
                  </w:pPr>
                  <w:r>
                    <w:rPr>
                      <w:rFonts w:hint="eastAsia"/>
                      <w:color w:val="000000"/>
                      <w:kern w:val="0"/>
                      <w:sz w:val="21"/>
                      <w:szCs w:val="21"/>
                      <w:lang w:val="en-US" w:eastAsia="zh-CN"/>
                    </w:rPr>
                    <w:t>2</w:t>
                  </w:r>
                </w:p>
              </w:tc>
              <w:tc>
                <w:tcPr>
                  <w:tcW w:w="599"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000000"/>
                      <w:kern w:val="0"/>
                      <w:sz w:val="21"/>
                      <w:szCs w:val="21"/>
                      <w:lang w:val="en-US" w:eastAsia="zh-CN"/>
                    </w:rPr>
                  </w:pPr>
                  <w:r>
                    <w:rPr>
                      <w:rFonts w:hint="eastAsia" w:ascii="Times New Roman" w:hAnsi="Times New Roman" w:eastAsia="宋体" w:cs="Times New Roman"/>
                      <w:i w:val="0"/>
                      <w:iCs w:val="0"/>
                      <w:color w:val="000000"/>
                      <w:kern w:val="0"/>
                      <w:sz w:val="21"/>
                      <w:szCs w:val="21"/>
                      <w:u w:val="none"/>
                      <w:lang w:val="en-US" w:eastAsia="zh-CN" w:bidi="ar"/>
                    </w:rPr>
                    <w:t>宠物</w:t>
                  </w:r>
                  <w:r>
                    <w:rPr>
                      <w:rFonts w:hint="default" w:ascii="Times New Roman" w:hAnsi="Times New Roman" w:eastAsia="宋体" w:cs="Times New Roman"/>
                      <w:i w:val="0"/>
                      <w:iCs w:val="0"/>
                      <w:color w:val="000000"/>
                      <w:kern w:val="0"/>
                      <w:sz w:val="21"/>
                      <w:szCs w:val="21"/>
                      <w:u w:val="none"/>
                      <w:lang w:val="en-US" w:eastAsia="zh-CN" w:bidi="ar"/>
                    </w:rPr>
                    <w:t>诊疗</w:t>
                  </w:r>
                </w:p>
              </w:tc>
              <w:tc>
                <w:tcPr>
                  <w:tcW w:w="43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eastAsia"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手术</w:t>
                  </w:r>
                </w:p>
              </w:tc>
              <w:tc>
                <w:tcPr>
                  <w:tcW w:w="43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200</w:t>
                  </w:r>
                </w:p>
              </w:tc>
              <w:tc>
                <w:tcPr>
                  <w:tcW w:w="446"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例/年</w:t>
                  </w:r>
                </w:p>
              </w:tc>
              <w:tc>
                <w:tcPr>
                  <w:tcW w:w="2685"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物理手术治疗，包括腹腔手</w:t>
                  </w:r>
                  <w:r>
                    <w:rPr>
                      <w:rFonts w:hint="eastAsia" w:cs="Times New Roman"/>
                      <w:i w:val="0"/>
                      <w:iCs w:val="0"/>
                      <w:color w:val="000000"/>
                      <w:kern w:val="0"/>
                      <w:sz w:val="21"/>
                      <w:szCs w:val="21"/>
                      <w:u w:val="none"/>
                      <w:lang w:val="en-US" w:eastAsia="zh-CN" w:bidi="ar"/>
                    </w:rPr>
                    <w:t>术和</w:t>
                  </w:r>
                  <w:r>
                    <w:rPr>
                      <w:rFonts w:hint="default" w:ascii="Times New Roman" w:hAnsi="Times New Roman" w:eastAsia="宋体" w:cs="Times New Roman"/>
                      <w:i w:val="0"/>
                      <w:iCs w:val="0"/>
                      <w:color w:val="000000"/>
                      <w:kern w:val="0"/>
                      <w:sz w:val="21"/>
                      <w:szCs w:val="21"/>
                      <w:u w:val="none"/>
                      <w:lang w:val="en-US" w:eastAsia="zh-CN" w:bidi="ar"/>
                    </w:rPr>
                    <w:t>绝育手术等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1"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eastAsia="宋体"/>
                      <w:color w:val="000000"/>
                      <w:kern w:val="0"/>
                      <w:sz w:val="21"/>
                      <w:szCs w:val="21"/>
                      <w:lang w:val="en-US" w:eastAsia="zh-CN"/>
                    </w:rPr>
                  </w:pPr>
                  <w:r>
                    <w:rPr>
                      <w:rFonts w:hint="eastAsia"/>
                      <w:color w:val="000000"/>
                      <w:kern w:val="0"/>
                      <w:sz w:val="21"/>
                      <w:szCs w:val="21"/>
                      <w:lang w:val="en-US" w:eastAsia="zh-CN"/>
                    </w:rPr>
                    <w:t>3</w:t>
                  </w:r>
                </w:p>
              </w:tc>
              <w:tc>
                <w:tcPr>
                  <w:tcW w:w="599"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000000"/>
                      <w:kern w:val="0"/>
                      <w:sz w:val="21"/>
                      <w:szCs w:val="21"/>
                      <w:lang w:val="en-US" w:eastAsia="zh-CN"/>
                    </w:rPr>
                  </w:pPr>
                </w:p>
              </w:tc>
              <w:tc>
                <w:tcPr>
                  <w:tcW w:w="43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门诊</w:t>
                  </w:r>
                </w:p>
              </w:tc>
              <w:tc>
                <w:tcPr>
                  <w:tcW w:w="433"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000000"/>
                      <w:kern w:val="0"/>
                      <w:sz w:val="21"/>
                      <w:szCs w:val="21"/>
                    </w:rPr>
                  </w:pPr>
                  <w:r>
                    <w:rPr>
                      <w:rFonts w:hint="eastAsia" w:ascii="Times New Roman" w:hAnsi="Times New Roman" w:eastAsia="宋体" w:cs="Times New Roman"/>
                      <w:i w:val="0"/>
                      <w:iCs w:val="0"/>
                      <w:color w:val="000000"/>
                      <w:kern w:val="0"/>
                      <w:sz w:val="21"/>
                      <w:szCs w:val="21"/>
                      <w:u w:val="none"/>
                      <w:lang w:val="en-US" w:eastAsia="zh-CN" w:bidi="ar"/>
                    </w:rPr>
                    <w:t>4</w:t>
                  </w:r>
                  <w:r>
                    <w:rPr>
                      <w:rFonts w:hint="default" w:ascii="Times New Roman" w:hAnsi="Times New Roman" w:eastAsia="宋体" w:cs="Times New Roman"/>
                      <w:i w:val="0"/>
                      <w:iCs w:val="0"/>
                      <w:color w:val="000000"/>
                      <w:kern w:val="0"/>
                      <w:sz w:val="21"/>
                      <w:szCs w:val="21"/>
                      <w:u w:val="none"/>
                      <w:lang w:val="en-US" w:eastAsia="zh-CN" w:bidi="ar"/>
                    </w:rPr>
                    <w:t>00</w:t>
                  </w:r>
                </w:p>
              </w:tc>
              <w:tc>
                <w:tcPr>
                  <w:tcW w:w="446"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color w:val="000000"/>
                      <w:kern w:val="0"/>
                      <w:sz w:val="21"/>
                      <w:szCs w:val="21"/>
                      <w:lang w:val="en-US" w:eastAsia="zh-CN"/>
                    </w:rPr>
                  </w:pPr>
                  <w:r>
                    <w:rPr>
                      <w:rFonts w:hint="eastAsia"/>
                      <w:color w:val="000000"/>
                      <w:kern w:val="0"/>
                      <w:sz w:val="21"/>
                      <w:szCs w:val="21"/>
                      <w:lang w:val="en-US" w:eastAsia="zh-CN"/>
                    </w:rPr>
                    <w:t>例/年</w:t>
                  </w:r>
                </w:p>
              </w:tc>
              <w:tc>
                <w:tcPr>
                  <w:tcW w:w="2685"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000000"/>
                      <w:kern w:val="0"/>
                      <w:sz w:val="21"/>
                      <w:szCs w:val="21"/>
                    </w:rPr>
                  </w:pPr>
                  <w:r>
                    <w:rPr>
                      <w:rFonts w:hint="default" w:ascii="Times New Roman" w:hAnsi="Times New Roman" w:eastAsia="宋体" w:cs="Times New Roman"/>
                      <w:i w:val="0"/>
                      <w:iCs w:val="0"/>
                      <w:color w:val="000000"/>
                      <w:kern w:val="0"/>
                      <w:sz w:val="21"/>
                      <w:szCs w:val="21"/>
                      <w:u w:val="none"/>
                      <w:lang w:val="en-US" w:eastAsia="zh-CN" w:bidi="ar"/>
                    </w:rPr>
                    <w:t>诊疗、</w:t>
                  </w:r>
                  <w:r>
                    <w:rPr>
                      <w:rFonts w:hint="eastAsia" w:cs="Times New Roman"/>
                      <w:i w:val="0"/>
                      <w:iCs w:val="0"/>
                      <w:color w:val="000000"/>
                      <w:kern w:val="0"/>
                      <w:sz w:val="21"/>
                      <w:szCs w:val="21"/>
                      <w:u w:val="none"/>
                      <w:lang w:val="en-US" w:eastAsia="zh-CN" w:bidi="ar"/>
                    </w:rPr>
                    <w:t>注射、</w:t>
                  </w:r>
                  <w:r>
                    <w:rPr>
                      <w:rFonts w:hint="default" w:ascii="Times New Roman" w:hAnsi="Times New Roman" w:eastAsia="宋体" w:cs="Times New Roman"/>
                      <w:i w:val="0"/>
                      <w:iCs w:val="0"/>
                      <w:color w:val="000000"/>
                      <w:kern w:val="0"/>
                      <w:sz w:val="21"/>
                      <w:szCs w:val="21"/>
                      <w:u w:val="none"/>
                      <w:lang w:val="en-US" w:eastAsia="zh-CN" w:bidi="ar"/>
                    </w:rPr>
                    <w:t>医疗样本化验</w:t>
                  </w:r>
                </w:p>
              </w:tc>
            </w:tr>
          </w:tbl>
          <w:p>
            <w:pPr>
              <w:numPr>
                <w:ilvl w:val="0"/>
                <w:numId w:val="0"/>
              </w:numPr>
              <w:adjustRightInd w:val="0"/>
              <w:snapToGrid w:val="0"/>
              <w:spacing w:afterAutospacing="0" w:line="360" w:lineRule="auto"/>
              <w:ind w:left="0" w:leftChars="0" w:firstLine="0" w:firstLineChars="0"/>
              <w:jc w:val="both"/>
              <w:rPr>
                <w:rFonts w:hint="default" w:ascii="Times New Roman" w:hAnsi="Times New Roman" w:cs="Times New Roman"/>
                <w:b/>
                <w:bCs w:val="0"/>
                <w:color w:val="auto"/>
                <w:sz w:val="24"/>
                <w:szCs w:val="24"/>
                <w:lang w:val="en-US" w:eastAsia="zh-CN"/>
              </w:rPr>
            </w:pPr>
            <w:r>
              <w:rPr>
                <w:rFonts w:hint="eastAsia" w:cs="Times New Roman"/>
                <w:b/>
                <w:bCs w:val="0"/>
                <w:color w:val="auto"/>
                <w:kern w:val="2"/>
                <w:sz w:val="24"/>
                <w:szCs w:val="24"/>
                <w:lang w:val="en-US" w:eastAsia="zh-CN" w:bidi="ar-SA"/>
              </w:rPr>
              <w:t>2.5</w:t>
            </w:r>
            <w:r>
              <w:rPr>
                <w:rFonts w:hint="default" w:ascii="Times New Roman" w:hAnsi="Times New Roman" w:cs="Times New Roman"/>
                <w:b/>
                <w:bCs w:val="0"/>
                <w:color w:val="auto"/>
                <w:kern w:val="2"/>
                <w:sz w:val="24"/>
                <w:szCs w:val="24"/>
                <w:lang w:val="en-US" w:eastAsia="zh-CN" w:bidi="ar-SA"/>
              </w:rPr>
              <w:t>项目设备</w:t>
            </w:r>
          </w:p>
          <w:p>
            <w:pPr>
              <w:pStyle w:val="24"/>
              <w:numPr>
                <w:ilvl w:val="0"/>
                <w:numId w:val="0"/>
              </w:numPr>
              <w:spacing w:before="0" w:beforeLines="0" w:beforeAutospacing="0" w:line="360" w:lineRule="auto"/>
              <w:ind w:left="0" w:leftChars="0" w:firstLine="480" w:firstLineChars="200"/>
              <w:rPr>
                <w:rFonts w:hint="default" w:ascii="Times New Roman" w:hAnsi="Times New Roman" w:cs="Times New Roman"/>
                <w:i w:val="0"/>
                <w:iCs w:val="0"/>
                <w:color w:val="auto"/>
                <w:sz w:val="24"/>
                <w:szCs w:val="24"/>
                <w:lang w:val="en-US" w:eastAsia="zh-CN"/>
              </w:rPr>
            </w:pPr>
            <w:r>
              <w:rPr>
                <w:rFonts w:hint="default" w:ascii="Times New Roman" w:hAnsi="Times New Roman" w:cs="Times New Roman"/>
                <w:i w:val="0"/>
                <w:iCs w:val="0"/>
                <w:color w:val="auto"/>
                <w:sz w:val="24"/>
                <w:szCs w:val="24"/>
                <w:lang w:val="en-US" w:eastAsia="zh-CN"/>
              </w:rPr>
              <w:t>本项目主要生产设备详见表2-</w:t>
            </w:r>
            <w:r>
              <w:rPr>
                <w:rFonts w:hint="eastAsia" w:cs="Times New Roman"/>
                <w:i w:val="0"/>
                <w:iCs w:val="0"/>
                <w:color w:val="auto"/>
                <w:sz w:val="24"/>
                <w:szCs w:val="24"/>
                <w:lang w:val="en-US" w:eastAsia="zh-CN"/>
              </w:rPr>
              <w:t>3</w:t>
            </w:r>
          </w:p>
          <w:p>
            <w:pPr>
              <w:adjustRightInd w:val="0"/>
              <w:snapToGrid w:val="0"/>
              <w:spacing w:line="240" w:lineRule="auto"/>
              <w:ind w:firstLine="2973" w:firstLineChars="1410"/>
              <w:rPr>
                <w:rFonts w:hint="default" w:ascii="Times New Roman" w:hAnsi="Times New Roman" w:cs="Times New Roman"/>
                <w:b/>
                <w:color w:val="auto"/>
                <w:szCs w:val="21"/>
                <w:highlight w:val="none"/>
                <w:lang w:val="en-US" w:eastAsia="zh-CN"/>
              </w:rPr>
            </w:pPr>
            <w:r>
              <w:rPr>
                <w:rFonts w:hint="default" w:ascii="Times New Roman" w:hAnsi="Times New Roman" w:cs="Times New Roman"/>
                <w:b/>
                <w:color w:val="auto"/>
                <w:szCs w:val="21"/>
                <w:highlight w:val="none"/>
              </w:rPr>
              <w:t>表2-</w:t>
            </w:r>
            <w:r>
              <w:rPr>
                <w:rFonts w:hint="eastAsia" w:cs="Times New Roman"/>
                <w:b/>
                <w:color w:val="auto"/>
                <w:szCs w:val="21"/>
                <w:highlight w:val="none"/>
                <w:lang w:val="en-US" w:eastAsia="zh-CN"/>
              </w:rPr>
              <w:t>3</w:t>
            </w:r>
            <w:r>
              <w:rPr>
                <w:rFonts w:hint="default" w:ascii="Times New Roman" w:hAnsi="Times New Roman" w:cs="Times New Roman"/>
                <w:b/>
                <w:color w:val="auto"/>
                <w:szCs w:val="21"/>
                <w:highlight w:val="none"/>
              </w:rPr>
              <w:t xml:space="preserve">  </w:t>
            </w:r>
            <w:r>
              <w:rPr>
                <w:rFonts w:hint="default" w:ascii="Times New Roman" w:hAnsi="Times New Roman" w:cs="Times New Roman"/>
                <w:b/>
                <w:color w:val="auto"/>
                <w:szCs w:val="21"/>
                <w:highlight w:val="none"/>
                <w:lang w:eastAsia="zh-CN"/>
              </w:rPr>
              <w:t>生产设备</w:t>
            </w:r>
            <w:r>
              <w:rPr>
                <w:rFonts w:hint="default" w:ascii="Times New Roman" w:hAnsi="Times New Roman" w:cs="Times New Roman"/>
                <w:b/>
                <w:color w:val="auto"/>
                <w:szCs w:val="21"/>
                <w:highlight w:val="none"/>
                <w:lang w:val="en-US" w:eastAsia="zh-CN"/>
              </w:rPr>
              <w:t>一览表</w:t>
            </w:r>
          </w:p>
          <w:tbl>
            <w:tblPr>
              <w:tblStyle w:val="29"/>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90"/>
              <w:gridCol w:w="2126"/>
              <w:gridCol w:w="2684"/>
              <w:gridCol w:w="1041"/>
              <w:gridCol w:w="116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57" w:hRule="atLeast"/>
              </w:trPr>
              <w:tc>
                <w:tcPr>
                  <w:tcW w:w="506" w:type="pct"/>
                  <w:tcBorders>
                    <w:left w:val="nil"/>
                    <w:bottom w:val="single" w:color="auto" w:sz="12" w:space="0"/>
                    <w:right w:val="single" w:color="auto" w:sz="4" w:space="0"/>
                  </w:tcBorders>
                  <w:noWrap/>
                  <w:vAlign w:val="center"/>
                </w:tcPr>
                <w:p>
                  <w:pPr>
                    <w:widowControl/>
                    <w:ind w:right="0" w:rightChars="0"/>
                    <w:jc w:val="center"/>
                    <w:rPr>
                      <w:rFonts w:hint="default" w:ascii="Times New Roman" w:hAnsi="Times New Roman" w:cs="Times New Roman"/>
                      <w:b/>
                      <w:bCs/>
                      <w:color w:val="000000"/>
                      <w:kern w:val="0"/>
                      <w:sz w:val="21"/>
                      <w:szCs w:val="21"/>
                      <w:highlight w:val="none"/>
                    </w:rPr>
                  </w:pPr>
                  <w:r>
                    <w:rPr>
                      <w:rFonts w:hint="default" w:ascii="Times New Roman" w:hAnsi="Times New Roman" w:cs="Times New Roman"/>
                      <w:b/>
                      <w:bCs/>
                      <w:color w:val="000000"/>
                      <w:kern w:val="0"/>
                      <w:sz w:val="21"/>
                      <w:szCs w:val="21"/>
                      <w:highlight w:val="none"/>
                    </w:rPr>
                    <w:t>序号</w:t>
                  </w:r>
                </w:p>
              </w:tc>
              <w:tc>
                <w:tcPr>
                  <w:tcW w:w="1362" w:type="pct"/>
                  <w:tcBorders>
                    <w:left w:val="single" w:color="auto" w:sz="4" w:space="0"/>
                    <w:bottom w:val="single" w:color="auto" w:sz="12" w:space="0"/>
                    <w:right w:val="single" w:color="auto" w:sz="4" w:space="0"/>
                  </w:tcBorders>
                  <w:noWrap/>
                  <w:vAlign w:val="center"/>
                </w:tcPr>
                <w:p>
                  <w:pPr>
                    <w:widowControl/>
                    <w:ind w:right="0" w:rightChars="0"/>
                    <w:jc w:val="center"/>
                    <w:rPr>
                      <w:rFonts w:hint="default" w:ascii="Times New Roman" w:hAnsi="Times New Roman" w:cs="Times New Roman"/>
                      <w:b/>
                      <w:bCs/>
                      <w:color w:val="000000"/>
                      <w:kern w:val="0"/>
                      <w:sz w:val="21"/>
                      <w:szCs w:val="21"/>
                      <w:highlight w:val="none"/>
                    </w:rPr>
                  </w:pPr>
                  <w:r>
                    <w:rPr>
                      <w:rFonts w:hint="default" w:ascii="Times New Roman" w:hAnsi="Times New Roman" w:cs="Times New Roman"/>
                      <w:b/>
                      <w:bCs/>
                      <w:color w:val="000000"/>
                      <w:kern w:val="0"/>
                      <w:sz w:val="21"/>
                      <w:szCs w:val="21"/>
                      <w:highlight w:val="none"/>
                    </w:rPr>
                    <w:t>名称</w:t>
                  </w:r>
                </w:p>
              </w:tc>
              <w:tc>
                <w:tcPr>
                  <w:tcW w:w="1719" w:type="pct"/>
                  <w:tcBorders>
                    <w:left w:val="single" w:color="auto" w:sz="4" w:space="0"/>
                    <w:bottom w:val="single" w:color="auto" w:sz="12" w:space="0"/>
                    <w:right w:val="single" w:color="auto" w:sz="4" w:space="0"/>
                  </w:tcBorders>
                  <w:noWrap/>
                  <w:vAlign w:val="center"/>
                </w:tcPr>
                <w:p>
                  <w:pPr>
                    <w:widowControl/>
                    <w:ind w:right="0" w:rightChars="0"/>
                    <w:jc w:val="center"/>
                    <w:rPr>
                      <w:rFonts w:hint="eastAsia" w:ascii="Times New Roman" w:hAnsi="Times New Roman" w:eastAsia="宋体" w:cs="Times New Roman"/>
                      <w:b/>
                      <w:bCs/>
                      <w:color w:val="000000"/>
                      <w:kern w:val="0"/>
                      <w:sz w:val="21"/>
                      <w:szCs w:val="21"/>
                      <w:highlight w:val="none"/>
                      <w:lang w:eastAsia="zh-CN"/>
                    </w:rPr>
                  </w:pPr>
                  <w:r>
                    <w:rPr>
                      <w:rFonts w:hint="eastAsia" w:cs="Times New Roman"/>
                      <w:b/>
                      <w:bCs/>
                      <w:color w:val="000000"/>
                      <w:kern w:val="0"/>
                      <w:sz w:val="21"/>
                      <w:szCs w:val="21"/>
                      <w:highlight w:val="none"/>
                      <w:lang w:val="en-US" w:eastAsia="zh-CN"/>
                    </w:rPr>
                    <w:t>单位</w:t>
                  </w:r>
                </w:p>
              </w:tc>
              <w:tc>
                <w:tcPr>
                  <w:tcW w:w="667" w:type="pct"/>
                  <w:tcBorders>
                    <w:left w:val="single" w:color="auto" w:sz="4" w:space="0"/>
                    <w:bottom w:val="single" w:color="auto" w:sz="12" w:space="0"/>
                    <w:right w:val="single" w:color="auto" w:sz="4" w:space="0"/>
                  </w:tcBorders>
                  <w:noWrap/>
                  <w:vAlign w:val="center"/>
                </w:tcPr>
                <w:p>
                  <w:pPr>
                    <w:widowControl/>
                    <w:ind w:right="0" w:rightChars="0"/>
                    <w:jc w:val="center"/>
                    <w:rPr>
                      <w:rFonts w:hint="default" w:ascii="Times New Roman" w:hAnsi="Times New Roman" w:cs="Times New Roman"/>
                      <w:b/>
                      <w:bCs/>
                      <w:color w:val="000000"/>
                      <w:kern w:val="0"/>
                      <w:sz w:val="21"/>
                      <w:szCs w:val="21"/>
                      <w:highlight w:val="none"/>
                    </w:rPr>
                  </w:pPr>
                  <w:r>
                    <w:rPr>
                      <w:rFonts w:hint="default" w:ascii="Times New Roman" w:hAnsi="Times New Roman" w:cs="Times New Roman"/>
                      <w:b/>
                      <w:bCs/>
                      <w:color w:val="000000"/>
                      <w:kern w:val="0"/>
                      <w:sz w:val="21"/>
                      <w:szCs w:val="21"/>
                      <w:highlight w:val="none"/>
                    </w:rPr>
                    <w:t>数量</w:t>
                  </w:r>
                </w:p>
              </w:tc>
              <w:tc>
                <w:tcPr>
                  <w:tcW w:w="744" w:type="pct"/>
                  <w:tcBorders>
                    <w:left w:val="single" w:color="auto" w:sz="4" w:space="0"/>
                    <w:bottom w:val="single" w:color="auto" w:sz="12" w:space="0"/>
                    <w:right w:val="nil"/>
                  </w:tcBorders>
                  <w:noWrap/>
                  <w:vAlign w:val="center"/>
                </w:tcPr>
                <w:p>
                  <w:pPr>
                    <w:widowControl/>
                    <w:ind w:right="0" w:rightChars="0"/>
                    <w:jc w:val="center"/>
                    <w:rPr>
                      <w:rFonts w:hint="default" w:ascii="Times New Roman" w:hAnsi="Times New Roman" w:cs="Times New Roman"/>
                      <w:b/>
                      <w:bCs/>
                      <w:color w:val="000000"/>
                      <w:kern w:val="0"/>
                      <w:sz w:val="21"/>
                      <w:szCs w:val="21"/>
                      <w:highlight w:val="none"/>
                    </w:rPr>
                  </w:pPr>
                  <w:r>
                    <w:rPr>
                      <w:rFonts w:hint="default" w:ascii="Times New Roman" w:hAnsi="Times New Roman" w:cs="Times New Roman"/>
                      <w:b/>
                      <w:bCs/>
                      <w:color w:val="000000"/>
                      <w:kern w:val="0"/>
                      <w:sz w:val="21"/>
                      <w:szCs w:val="21"/>
                      <w:highlight w:val="none"/>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506" w:type="pct"/>
                  <w:tcBorders>
                    <w:top w:val="single" w:color="auto" w:sz="12" w:space="0"/>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w:t>
                  </w:r>
                </w:p>
              </w:tc>
              <w:tc>
                <w:tcPr>
                  <w:tcW w:w="1362" w:type="pct"/>
                  <w:tcBorders>
                    <w:top w:val="single" w:color="auto" w:sz="12" w:space="0"/>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显微镜</w:t>
                  </w:r>
                </w:p>
              </w:tc>
              <w:tc>
                <w:tcPr>
                  <w:tcW w:w="1719" w:type="pct"/>
                  <w:tcBorders>
                    <w:top w:val="single" w:color="auto" w:sz="12" w:space="0"/>
                    <w:tl2br w:val="nil"/>
                    <w:tr2bl w:val="nil"/>
                  </w:tcBorders>
                  <w:noWrap/>
                  <w:vAlign w:val="center"/>
                </w:tcPr>
                <w:p>
                  <w:pPr>
                    <w:widowControl/>
                    <w:ind w:right="0" w:rightChars="0"/>
                    <w:jc w:val="center"/>
                    <w:rPr>
                      <w:rFonts w:hint="eastAsia" w:ascii="Times New Roman" w:hAnsi="Times New Roman" w:eastAsia="宋体" w:cs="Times New Roman"/>
                      <w:color w:val="000000"/>
                      <w:kern w:val="0"/>
                      <w:sz w:val="21"/>
                      <w:szCs w:val="21"/>
                      <w:highlight w:val="none"/>
                      <w:lang w:eastAsia="zh-CN"/>
                    </w:rPr>
                  </w:pPr>
                  <w:r>
                    <w:rPr>
                      <w:rFonts w:hint="eastAsia" w:cs="Times New Roman"/>
                      <w:color w:val="000000"/>
                      <w:kern w:val="0"/>
                      <w:sz w:val="21"/>
                      <w:szCs w:val="21"/>
                      <w:highlight w:val="none"/>
                      <w:lang w:val="en-US" w:eastAsia="zh-CN"/>
                    </w:rPr>
                    <w:t>台</w:t>
                  </w:r>
                </w:p>
              </w:tc>
              <w:tc>
                <w:tcPr>
                  <w:tcW w:w="667" w:type="pct"/>
                  <w:tcBorders>
                    <w:top w:val="single" w:color="auto" w:sz="12" w:space="0"/>
                    <w:tl2br w:val="nil"/>
                    <w:tr2bl w:val="nil"/>
                  </w:tcBorders>
                  <w:noWrap w:val="0"/>
                  <w:vAlign w:val="center"/>
                </w:tcPr>
                <w:p>
                  <w:pPr>
                    <w:widowControl/>
                    <w:ind w:right="0" w:rightChars="0"/>
                    <w:jc w:val="center"/>
                    <w:rPr>
                      <w:rFonts w:hint="eastAsia" w:ascii="Times New Roman" w:hAnsi="Times New Roman" w:eastAsia="宋体" w:cs="Times New Roman"/>
                      <w:color w:val="000000"/>
                      <w:kern w:val="0"/>
                      <w:sz w:val="21"/>
                      <w:szCs w:val="21"/>
                      <w:highlight w:val="none"/>
                      <w:lang w:eastAsia="zh-CN"/>
                    </w:rPr>
                  </w:pPr>
                  <w:r>
                    <w:rPr>
                      <w:rFonts w:hint="eastAsia" w:cs="Times New Roman"/>
                      <w:color w:val="000000"/>
                      <w:kern w:val="0"/>
                      <w:sz w:val="21"/>
                      <w:szCs w:val="21"/>
                      <w:highlight w:val="none"/>
                      <w:lang w:val="en-US" w:eastAsia="zh-CN"/>
                    </w:rPr>
                    <w:t>1</w:t>
                  </w:r>
                </w:p>
              </w:tc>
              <w:tc>
                <w:tcPr>
                  <w:tcW w:w="744" w:type="pct"/>
                  <w:tcBorders>
                    <w:top w:val="single" w:color="auto" w:sz="12" w:space="0"/>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6"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2</w:t>
                  </w:r>
                </w:p>
              </w:tc>
              <w:tc>
                <w:tcPr>
                  <w:tcW w:w="1362"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DR数字化影像系统</w:t>
                  </w:r>
                </w:p>
              </w:tc>
              <w:tc>
                <w:tcPr>
                  <w:tcW w:w="1719"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台</w:t>
                  </w:r>
                </w:p>
              </w:tc>
              <w:tc>
                <w:tcPr>
                  <w:tcW w:w="667"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1</w:t>
                  </w:r>
                </w:p>
              </w:tc>
              <w:tc>
                <w:tcPr>
                  <w:tcW w:w="744"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506"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3</w:t>
                  </w:r>
                </w:p>
              </w:tc>
              <w:tc>
                <w:tcPr>
                  <w:tcW w:w="1362"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B型超声影像系统</w:t>
                  </w:r>
                </w:p>
              </w:tc>
              <w:tc>
                <w:tcPr>
                  <w:tcW w:w="1719"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台</w:t>
                  </w:r>
                </w:p>
              </w:tc>
              <w:tc>
                <w:tcPr>
                  <w:tcW w:w="667"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1</w:t>
                  </w:r>
                </w:p>
              </w:tc>
              <w:tc>
                <w:tcPr>
                  <w:tcW w:w="744"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506"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4</w:t>
                  </w:r>
                </w:p>
              </w:tc>
              <w:tc>
                <w:tcPr>
                  <w:tcW w:w="1362"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血细胞</w:t>
                  </w:r>
                  <w:r>
                    <w:rPr>
                      <w:rFonts w:hint="eastAsia" w:cs="Times New Roman"/>
                      <w:color w:val="000000"/>
                      <w:kern w:val="0"/>
                      <w:sz w:val="21"/>
                      <w:szCs w:val="21"/>
                      <w:highlight w:val="none"/>
                      <w:lang w:eastAsia="zh-CN"/>
                    </w:rPr>
                    <w:t>计数</w:t>
                  </w:r>
                  <w:r>
                    <w:rPr>
                      <w:rFonts w:hint="default" w:ascii="Times New Roman" w:hAnsi="Times New Roman" w:eastAsia="宋体" w:cs="Times New Roman"/>
                      <w:color w:val="000000"/>
                      <w:kern w:val="0"/>
                      <w:sz w:val="21"/>
                      <w:szCs w:val="21"/>
                      <w:highlight w:val="none"/>
                    </w:rPr>
                    <w:t>仪</w:t>
                  </w:r>
                </w:p>
              </w:tc>
              <w:tc>
                <w:tcPr>
                  <w:tcW w:w="1719"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台</w:t>
                  </w:r>
                </w:p>
              </w:tc>
              <w:tc>
                <w:tcPr>
                  <w:tcW w:w="667"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1</w:t>
                  </w:r>
                </w:p>
              </w:tc>
              <w:tc>
                <w:tcPr>
                  <w:tcW w:w="744"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506" w:type="pct"/>
                  <w:tcBorders>
                    <w:tl2br w:val="nil"/>
                    <w:tr2bl w:val="nil"/>
                  </w:tcBorders>
                  <w:noWrap/>
                  <w:vAlign w:val="center"/>
                </w:tcPr>
                <w:p>
                  <w:pPr>
                    <w:widowControl/>
                    <w:ind w:right="0" w:rightChars="0"/>
                    <w:jc w:val="center"/>
                    <w:rPr>
                      <w:rFonts w:hint="eastAsia" w:ascii="Times New Roman" w:hAnsi="Times New Roman" w:eastAsia="宋体" w:cs="Times New Roman"/>
                      <w:color w:val="000000"/>
                      <w:kern w:val="0"/>
                      <w:sz w:val="21"/>
                      <w:szCs w:val="21"/>
                      <w:highlight w:val="none"/>
                      <w:lang w:val="en-US" w:eastAsia="zh-CN"/>
                    </w:rPr>
                  </w:pPr>
                  <w:r>
                    <w:rPr>
                      <w:rFonts w:hint="eastAsia" w:cs="Times New Roman"/>
                      <w:color w:val="000000"/>
                      <w:kern w:val="0"/>
                      <w:sz w:val="21"/>
                      <w:szCs w:val="21"/>
                      <w:highlight w:val="none"/>
                      <w:lang w:val="en-US" w:eastAsia="zh-CN"/>
                    </w:rPr>
                    <w:t>5</w:t>
                  </w:r>
                </w:p>
              </w:tc>
              <w:tc>
                <w:tcPr>
                  <w:tcW w:w="2126" w:type="dxa"/>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血凝分析仪</w:t>
                  </w:r>
                </w:p>
              </w:tc>
              <w:tc>
                <w:tcPr>
                  <w:tcW w:w="1719"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台</w:t>
                  </w:r>
                </w:p>
              </w:tc>
              <w:tc>
                <w:tcPr>
                  <w:tcW w:w="667"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1</w:t>
                  </w:r>
                </w:p>
              </w:tc>
              <w:tc>
                <w:tcPr>
                  <w:tcW w:w="744" w:type="pct"/>
                  <w:tcBorders>
                    <w:tl2br w:val="nil"/>
                    <w:tr2bl w:val="nil"/>
                  </w:tcBorders>
                  <w:noWrap w:val="0"/>
                  <w:vAlign w:val="center"/>
                </w:tcPr>
                <w:p>
                  <w:pPr>
                    <w:widowControl/>
                    <w:ind w:right="0" w:rightChars="0"/>
                    <w:jc w:val="center"/>
                    <w:rPr>
                      <w:rFonts w:hint="default" w:ascii="Times New Roman" w:hAnsi="Times New Roman" w:cs="Times New Roman"/>
                      <w:color w:val="000000"/>
                      <w:kern w:val="0"/>
                      <w:sz w:val="21"/>
                      <w:szCs w:val="21"/>
                      <w:highlight w:val="none"/>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30" w:hRule="atLeast"/>
              </w:trPr>
              <w:tc>
                <w:tcPr>
                  <w:tcW w:w="506"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6</w:t>
                  </w:r>
                </w:p>
              </w:tc>
              <w:tc>
                <w:tcPr>
                  <w:tcW w:w="2126" w:type="dxa"/>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血液生化分析仪</w:t>
                  </w:r>
                </w:p>
              </w:tc>
              <w:tc>
                <w:tcPr>
                  <w:tcW w:w="1719"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台</w:t>
                  </w:r>
                </w:p>
              </w:tc>
              <w:tc>
                <w:tcPr>
                  <w:tcW w:w="667"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1</w:t>
                  </w:r>
                </w:p>
              </w:tc>
              <w:tc>
                <w:tcPr>
                  <w:tcW w:w="744"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506"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7</w:t>
                  </w:r>
                </w:p>
              </w:tc>
              <w:tc>
                <w:tcPr>
                  <w:tcW w:w="2126" w:type="dxa"/>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核酸检测仪</w:t>
                  </w:r>
                </w:p>
              </w:tc>
              <w:tc>
                <w:tcPr>
                  <w:tcW w:w="1719"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台</w:t>
                  </w:r>
                </w:p>
              </w:tc>
              <w:tc>
                <w:tcPr>
                  <w:tcW w:w="667"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1</w:t>
                  </w:r>
                </w:p>
              </w:tc>
              <w:tc>
                <w:tcPr>
                  <w:tcW w:w="744"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06"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8</w:t>
                  </w:r>
                </w:p>
              </w:tc>
              <w:tc>
                <w:tcPr>
                  <w:tcW w:w="2126" w:type="dxa"/>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干式血气分析仪</w:t>
                  </w:r>
                </w:p>
              </w:tc>
              <w:tc>
                <w:tcPr>
                  <w:tcW w:w="1719"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台</w:t>
                  </w:r>
                </w:p>
              </w:tc>
              <w:tc>
                <w:tcPr>
                  <w:tcW w:w="667"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1</w:t>
                  </w:r>
                </w:p>
              </w:tc>
              <w:tc>
                <w:tcPr>
                  <w:tcW w:w="744"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75" w:hRule="atLeast"/>
              </w:trPr>
              <w:tc>
                <w:tcPr>
                  <w:tcW w:w="506"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9</w:t>
                  </w:r>
                </w:p>
              </w:tc>
              <w:tc>
                <w:tcPr>
                  <w:tcW w:w="2126" w:type="dxa"/>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免疫荧光分析仪</w:t>
                  </w:r>
                </w:p>
              </w:tc>
              <w:tc>
                <w:tcPr>
                  <w:tcW w:w="1719"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台</w:t>
                  </w:r>
                </w:p>
              </w:tc>
              <w:tc>
                <w:tcPr>
                  <w:tcW w:w="667"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1</w:t>
                  </w:r>
                </w:p>
              </w:tc>
              <w:tc>
                <w:tcPr>
                  <w:tcW w:w="744"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4" w:hRule="atLeast"/>
              </w:trPr>
              <w:tc>
                <w:tcPr>
                  <w:tcW w:w="506"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10</w:t>
                  </w:r>
                </w:p>
              </w:tc>
              <w:tc>
                <w:tcPr>
                  <w:tcW w:w="2126" w:type="dxa"/>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宠物Icu住院仪</w:t>
                  </w:r>
                </w:p>
              </w:tc>
              <w:tc>
                <w:tcPr>
                  <w:tcW w:w="1719"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台</w:t>
                  </w:r>
                </w:p>
              </w:tc>
              <w:tc>
                <w:tcPr>
                  <w:tcW w:w="667"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1</w:t>
                  </w:r>
                </w:p>
              </w:tc>
              <w:tc>
                <w:tcPr>
                  <w:tcW w:w="744"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506"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11</w:t>
                  </w:r>
                </w:p>
              </w:tc>
              <w:tc>
                <w:tcPr>
                  <w:tcW w:w="2126" w:type="dxa"/>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呼吸麻醉机</w:t>
                  </w:r>
                </w:p>
              </w:tc>
              <w:tc>
                <w:tcPr>
                  <w:tcW w:w="1719"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台</w:t>
                  </w:r>
                </w:p>
              </w:tc>
              <w:tc>
                <w:tcPr>
                  <w:tcW w:w="667"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1</w:t>
                  </w:r>
                </w:p>
              </w:tc>
              <w:tc>
                <w:tcPr>
                  <w:tcW w:w="744"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06"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12</w:t>
                  </w:r>
                </w:p>
              </w:tc>
              <w:tc>
                <w:tcPr>
                  <w:tcW w:w="2126" w:type="dxa"/>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麻醉监护仪</w:t>
                  </w:r>
                </w:p>
              </w:tc>
              <w:tc>
                <w:tcPr>
                  <w:tcW w:w="1719"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台</w:t>
                  </w:r>
                </w:p>
              </w:tc>
              <w:tc>
                <w:tcPr>
                  <w:tcW w:w="667"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lang w:eastAsia="zh-CN"/>
                    </w:rPr>
                  </w:pPr>
                  <w:r>
                    <w:rPr>
                      <w:rFonts w:hint="eastAsia" w:cs="Times New Roman"/>
                      <w:color w:val="000000"/>
                      <w:kern w:val="0"/>
                      <w:sz w:val="21"/>
                      <w:szCs w:val="21"/>
                      <w:highlight w:val="none"/>
                      <w:lang w:val="en-US" w:eastAsia="zh-CN"/>
                    </w:rPr>
                    <w:t>1</w:t>
                  </w:r>
                </w:p>
              </w:tc>
              <w:tc>
                <w:tcPr>
                  <w:tcW w:w="744"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44" w:hRule="atLeast"/>
              </w:trPr>
              <w:tc>
                <w:tcPr>
                  <w:tcW w:w="506"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13</w:t>
                  </w:r>
                </w:p>
              </w:tc>
              <w:tc>
                <w:tcPr>
                  <w:tcW w:w="2126" w:type="dxa"/>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高压灭菌器</w:t>
                  </w:r>
                </w:p>
              </w:tc>
              <w:tc>
                <w:tcPr>
                  <w:tcW w:w="1719"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台</w:t>
                  </w:r>
                </w:p>
              </w:tc>
              <w:tc>
                <w:tcPr>
                  <w:tcW w:w="667"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1</w:t>
                  </w:r>
                </w:p>
              </w:tc>
              <w:tc>
                <w:tcPr>
                  <w:tcW w:w="744"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506"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14</w:t>
                  </w:r>
                </w:p>
              </w:tc>
              <w:tc>
                <w:tcPr>
                  <w:tcW w:w="2126" w:type="dxa"/>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血糖仪</w:t>
                  </w:r>
                </w:p>
              </w:tc>
              <w:tc>
                <w:tcPr>
                  <w:tcW w:w="1719"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台</w:t>
                  </w:r>
                </w:p>
              </w:tc>
              <w:tc>
                <w:tcPr>
                  <w:tcW w:w="667"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1</w:t>
                  </w:r>
                </w:p>
              </w:tc>
              <w:tc>
                <w:tcPr>
                  <w:tcW w:w="744"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506"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15</w:t>
                  </w:r>
                </w:p>
              </w:tc>
              <w:tc>
                <w:tcPr>
                  <w:tcW w:w="2126" w:type="dxa"/>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血压仪</w:t>
                  </w:r>
                </w:p>
              </w:tc>
              <w:tc>
                <w:tcPr>
                  <w:tcW w:w="1719"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台</w:t>
                  </w:r>
                </w:p>
              </w:tc>
              <w:tc>
                <w:tcPr>
                  <w:tcW w:w="667"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1</w:t>
                  </w:r>
                </w:p>
              </w:tc>
              <w:tc>
                <w:tcPr>
                  <w:tcW w:w="744"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86" w:hRule="atLeast"/>
              </w:trPr>
              <w:tc>
                <w:tcPr>
                  <w:tcW w:w="506"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lang w:val="en-US" w:eastAsia="zh-CN"/>
                    </w:rPr>
                  </w:pPr>
                  <w:r>
                    <w:rPr>
                      <w:rFonts w:hint="eastAsia" w:cs="Times New Roman"/>
                      <w:color w:val="000000"/>
                      <w:kern w:val="0"/>
                      <w:sz w:val="21"/>
                      <w:szCs w:val="21"/>
                      <w:highlight w:val="none"/>
                      <w:lang w:val="en-US" w:eastAsia="zh-CN"/>
                    </w:rPr>
                    <w:t>16</w:t>
                  </w:r>
                </w:p>
              </w:tc>
              <w:tc>
                <w:tcPr>
                  <w:tcW w:w="2126" w:type="dxa"/>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尿检仪</w:t>
                  </w:r>
                </w:p>
              </w:tc>
              <w:tc>
                <w:tcPr>
                  <w:tcW w:w="1719"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台</w:t>
                  </w:r>
                </w:p>
              </w:tc>
              <w:tc>
                <w:tcPr>
                  <w:tcW w:w="667"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1</w:t>
                  </w:r>
                </w:p>
              </w:tc>
              <w:tc>
                <w:tcPr>
                  <w:tcW w:w="744"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6" w:hRule="atLeast"/>
              </w:trPr>
              <w:tc>
                <w:tcPr>
                  <w:tcW w:w="506"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17</w:t>
                  </w:r>
                </w:p>
              </w:tc>
              <w:tc>
                <w:tcPr>
                  <w:tcW w:w="2126" w:type="dxa"/>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电脑</w:t>
                  </w:r>
                </w:p>
              </w:tc>
              <w:tc>
                <w:tcPr>
                  <w:tcW w:w="1719"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台</w:t>
                  </w:r>
                </w:p>
              </w:tc>
              <w:tc>
                <w:tcPr>
                  <w:tcW w:w="667"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6</w:t>
                  </w:r>
                </w:p>
              </w:tc>
              <w:tc>
                <w:tcPr>
                  <w:tcW w:w="744"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506"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lang w:val="en-US" w:eastAsia="zh-CN"/>
                    </w:rPr>
                  </w:pPr>
                  <w:r>
                    <w:rPr>
                      <w:rFonts w:hint="eastAsia" w:cs="Times New Roman"/>
                      <w:color w:val="000000"/>
                      <w:kern w:val="0"/>
                      <w:sz w:val="21"/>
                      <w:szCs w:val="21"/>
                      <w:highlight w:val="none"/>
                      <w:lang w:val="en-US" w:eastAsia="zh-CN"/>
                    </w:rPr>
                    <w:t>18</w:t>
                  </w:r>
                </w:p>
              </w:tc>
              <w:tc>
                <w:tcPr>
                  <w:tcW w:w="1362"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default" w:ascii="Times New Roman" w:hAnsi="Times New Roman" w:eastAsia="宋体" w:cs="Times New Roman"/>
                      <w:color w:val="000000"/>
                      <w:kern w:val="0"/>
                      <w:sz w:val="21"/>
                      <w:szCs w:val="21"/>
                      <w:highlight w:val="none"/>
                    </w:rPr>
                    <w:t>制氧仪</w:t>
                  </w:r>
                </w:p>
              </w:tc>
              <w:tc>
                <w:tcPr>
                  <w:tcW w:w="1719"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台</w:t>
                  </w:r>
                </w:p>
              </w:tc>
              <w:tc>
                <w:tcPr>
                  <w:tcW w:w="667"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rPr>
                  </w:pPr>
                  <w:r>
                    <w:rPr>
                      <w:rFonts w:hint="eastAsia" w:cs="Times New Roman"/>
                      <w:color w:val="000000"/>
                      <w:kern w:val="0"/>
                      <w:sz w:val="21"/>
                      <w:szCs w:val="21"/>
                      <w:highlight w:val="none"/>
                      <w:lang w:val="en-US" w:eastAsia="zh-CN"/>
                    </w:rPr>
                    <w:t>1</w:t>
                  </w:r>
                </w:p>
              </w:tc>
              <w:tc>
                <w:tcPr>
                  <w:tcW w:w="744"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506" w:type="pct"/>
                  <w:tcBorders>
                    <w:tl2br w:val="nil"/>
                    <w:tr2bl w:val="nil"/>
                  </w:tcBorders>
                  <w:noWrap/>
                  <w:vAlign w:val="center"/>
                </w:tcPr>
                <w:p>
                  <w:pPr>
                    <w:widowControl/>
                    <w:ind w:right="0" w:rightChars="0"/>
                    <w:jc w:val="center"/>
                    <w:rPr>
                      <w:rFonts w:hint="default" w:cs="Times New Roman"/>
                      <w:color w:val="000000"/>
                      <w:kern w:val="0"/>
                      <w:sz w:val="21"/>
                      <w:szCs w:val="21"/>
                      <w:highlight w:val="none"/>
                      <w:lang w:val="en-US" w:eastAsia="zh-CN"/>
                    </w:rPr>
                  </w:pPr>
                  <w:r>
                    <w:rPr>
                      <w:rFonts w:hint="eastAsia" w:cs="Times New Roman"/>
                      <w:color w:val="000000"/>
                      <w:kern w:val="0"/>
                      <w:sz w:val="21"/>
                      <w:szCs w:val="21"/>
                      <w:highlight w:val="none"/>
                      <w:lang w:val="en-US" w:eastAsia="zh-CN"/>
                    </w:rPr>
                    <w:t>19</w:t>
                  </w:r>
                </w:p>
              </w:tc>
              <w:tc>
                <w:tcPr>
                  <w:tcW w:w="1362" w:type="pct"/>
                  <w:tcBorders>
                    <w:tl2br w:val="nil"/>
                    <w:tr2bl w:val="nil"/>
                  </w:tcBorders>
                  <w:noWrap w:val="0"/>
                  <w:vAlign w:val="center"/>
                </w:tcPr>
                <w:p>
                  <w:pPr>
                    <w:widowControl/>
                    <w:ind w:right="0" w:rightChars="0"/>
                    <w:jc w:val="center"/>
                    <w:rPr>
                      <w:rFonts w:hint="default" w:ascii="Times New Roman" w:hAnsi="Times New Roman" w:eastAsia="宋体" w:cs="Times New Roman"/>
                      <w:color w:val="000000"/>
                      <w:kern w:val="0"/>
                      <w:sz w:val="21"/>
                      <w:szCs w:val="21"/>
                      <w:highlight w:val="none"/>
                      <w:lang w:val="en-US" w:eastAsia="zh-CN"/>
                    </w:rPr>
                  </w:pPr>
                  <w:r>
                    <w:rPr>
                      <w:rFonts w:hint="eastAsia" w:cs="Times New Roman"/>
                      <w:color w:val="000000"/>
                      <w:kern w:val="0"/>
                      <w:sz w:val="21"/>
                      <w:szCs w:val="21"/>
                      <w:highlight w:val="none"/>
                      <w:lang w:val="en-US" w:eastAsia="zh-CN"/>
                    </w:rPr>
                    <w:t>紫外线消毒灯</w:t>
                  </w:r>
                </w:p>
              </w:tc>
              <w:tc>
                <w:tcPr>
                  <w:tcW w:w="1719" w:type="pct"/>
                  <w:tcBorders>
                    <w:tl2br w:val="nil"/>
                    <w:tr2bl w:val="nil"/>
                  </w:tcBorders>
                  <w:noWrap/>
                  <w:vAlign w:val="center"/>
                </w:tcPr>
                <w:p>
                  <w:pPr>
                    <w:widowControl/>
                    <w:ind w:right="0" w:rightChars="0"/>
                    <w:jc w:val="center"/>
                    <w:rPr>
                      <w:rFonts w:hint="default" w:cs="Times New Roman"/>
                      <w:color w:val="000000"/>
                      <w:kern w:val="0"/>
                      <w:sz w:val="21"/>
                      <w:szCs w:val="21"/>
                      <w:highlight w:val="none"/>
                      <w:lang w:val="en-US" w:eastAsia="zh-CN"/>
                    </w:rPr>
                  </w:pPr>
                  <w:r>
                    <w:rPr>
                      <w:rFonts w:hint="eastAsia" w:cs="Times New Roman"/>
                      <w:color w:val="000000"/>
                      <w:kern w:val="0"/>
                      <w:sz w:val="21"/>
                      <w:szCs w:val="21"/>
                      <w:highlight w:val="none"/>
                      <w:lang w:val="en-US" w:eastAsia="zh-CN"/>
                    </w:rPr>
                    <w:t>个</w:t>
                  </w:r>
                </w:p>
              </w:tc>
              <w:tc>
                <w:tcPr>
                  <w:tcW w:w="667" w:type="pct"/>
                  <w:tcBorders>
                    <w:tl2br w:val="nil"/>
                    <w:tr2bl w:val="nil"/>
                  </w:tcBorders>
                  <w:noWrap w:val="0"/>
                  <w:vAlign w:val="center"/>
                </w:tcPr>
                <w:p>
                  <w:pPr>
                    <w:widowControl/>
                    <w:ind w:right="0" w:rightChars="0"/>
                    <w:jc w:val="center"/>
                    <w:rPr>
                      <w:rFonts w:hint="default" w:cs="Times New Roman"/>
                      <w:color w:val="000000"/>
                      <w:kern w:val="0"/>
                      <w:sz w:val="21"/>
                      <w:szCs w:val="21"/>
                      <w:highlight w:val="none"/>
                      <w:lang w:val="en-US" w:eastAsia="zh-CN"/>
                    </w:rPr>
                  </w:pPr>
                  <w:r>
                    <w:rPr>
                      <w:rFonts w:hint="eastAsia" w:cs="Times New Roman"/>
                      <w:color w:val="000000"/>
                      <w:kern w:val="0"/>
                      <w:sz w:val="21"/>
                      <w:szCs w:val="21"/>
                      <w:highlight w:val="none"/>
                      <w:lang w:val="en-US" w:eastAsia="zh-CN"/>
                    </w:rPr>
                    <w:t>3</w:t>
                  </w:r>
                </w:p>
              </w:tc>
              <w:tc>
                <w:tcPr>
                  <w:tcW w:w="744" w:type="pct"/>
                  <w:tcBorders>
                    <w:tl2br w:val="nil"/>
                    <w:tr2bl w:val="nil"/>
                  </w:tcBorders>
                  <w:noWrap/>
                  <w:vAlign w:val="center"/>
                </w:tcPr>
                <w:p>
                  <w:pPr>
                    <w:widowControl/>
                    <w:ind w:right="0" w:rightChars="0"/>
                    <w:jc w:val="center"/>
                    <w:rPr>
                      <w:rFonts w:hint="default" w:ascii="Times New Roman" w:hAnsi="Times New Roman" w:eastAsia="宋体" w:cs="Times New Roman"/>
                      <w:color w:val="000000"/>
                      <w:kern w:val="0"/>
                      <w:sz w:val="21"/>
                      <w:szCs w:val="21"/>
                      <w:highlight w:val="none"/>
                    </w:rPr>
                  </w:pPr>
                </w:p>
              </w:tc>
            </w:tr>
          </w:tbl>
          <w:p>
            <w:pPr>
              <w:keepNext w:val="0"/>
              <w:keepLines w:val="0"/>
              <w:pageBreakBefore w:val="0"/>
              <w:widowControl w:val="0"/>
              <w:kinsoku/>
              <w:wordWrap/>
              <w:overflowPunct/>
              <w:topLinePunct w:val="0"/>
              <w:autoSpaceDE/>
              <w:autoSpaceDN/>
              <w:bidi w:val="0"/>
              <w:spacing w:line="360" w:lineRule="auto"/>
              <w:rPr>
                <w:rFonts w:hint="default" w:ascii="Times New Roman" w:hAnsi="Times New Roman" w:eastAsia="宋体" w:cs="Times New Roman"/>
                <w:b/>
                <w:bCs/>
                <w:color w:val="000000" w:themeColor="text1"/>
                <w:sz w:val="24"/>
                <w:highlight w:val="none"/>
                <w:lang w:eastAsia="zh-CN"/>
                <w14:textFill>
                  <w14:solidFill>
                    <w14:schemeClr w14:val="tx1"/>
                  </w14:solidFill>
                </w14:textFill>
              </w:rPr>
            </w:pPr>
            <w:r>
              <w:rPr>
                <w:rFonts w:hint="default" w:ascii="Times New Roman" w:hAnsi="Times New Roman" w:cs="Times New Roman"/>
                <w:b/>
                <w:bCs/>
                <w:color w:val="000000" w:themeColor="text1"/>
                <w:sz w:val="24"/>
                <w:highlight w:val="none"/>
                <w:lang w:val="en-US" w:eastAsia="zh-CN"/>
                <w14:textFill>
                  <w14:solidFill>
                    <w14:schemeClr w14:val="tx1"/>
                  </w14:solidFill>
                </w14:textFill>
              </w:rPr>
              <w:t>2.6</w:t>
            </w:r>
            <w:r>
              <w:rPr>
                <w:rFonts w:hint="eastAsia" w:cs="Times New Roman"/>
                <w:b/>
                <w:bCs/>
                <w:color w:val="000000" w:themeColor="text1"/>
                <w:sz w:val="24"/>
                <w:highlight w:val="none"/>
                <w:lang w:val="en-US" w:eastAsia="zh-CN"/>
                <w14:textFill>
                  <w14:solidFill>
                    <w14:schemeClr w14:val="tx1"/>
                  </w14:solidFill>
                </w14:textFill>
              </w:rPr>
              <w:t>主要</w:t>
            </w:r>
            <w:r>
              <w:rPr>
                <w:rFonts w:hint="default" w:ascii="Times New Roman" w:hAnsi="Times New Roman" w:cs="Times New Roman"/>
                <w:b/>
                <w:bCs/>
                <w:color w:val="000000" w:themeColor="text1"/>
                <w:sz w:val="24"/>
                <w:highlight w:val="none"/>
                <w:lang w:eastAsia="zh-CN"/>
                <w14:textFill>
                  <w14:solidFill>
                    <w14:schemeClr w14:val="tx1"/>
                  </w14:solidFill>
                </w14:textFill>
              </w:rPr>
              <w:t>原辅材料</w:t>
            </w:r>
          </w:p>
          <w:p>
            <w:pPr>
              <w:adjustRightInd w:val="0"/>
              <w:snapToGrid w:val="0"/>
              <w:spacing w:line="360" w:lineRule="auto"/>
              <w:ind w:firstLine="480" w:firstLineChars="200"/>
              <w:textAlignment w:val="baseline"/>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本项目具体原辅材料消耗情况见表</w:t>
            </w:r>
            <w:r>
              <w:rPr>
                <w:rFonts w:hint="eastAsia" w:ascii="Times New Roman" w:hAnsi="Times New Roman" w:eastAsia="宋体" w:cs="Times New Roman"/>
                <w:color w:val="auto"/>
                <w:sz w:val="24"/>
                <w:highlight w:val="none"/>
                <w:lang w:val="en-US" w:eastAsia="zh-CN"/>
              </w:rPr>
              <w:t>2-4</w:t>
            </w:r>
            <w:r>
              <w:rPr>
                <w:rFonts w:hint="default" w:ascii="Times New Roman" w:hAnsi="Times New Roman" w:eastAsia="宋体" w:cs="Times New Roman"/>
                <w:color w:val="auto"/>
                <w:sz w:val="24"/>
                <w:highlight w:val="none"/>
                <w:lang w:val="en-US" w:eastAsia="zh-CN"/>
              </w:rPr>
              <w:t>。</w:t>
            </w:r>
          </w:p>
          <w:p>
            <w:pPr>
              <w:pStyle w:val="43"/>
              <w:bidi w:val="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000000" w:themeColor="text1"/>
                <w14:textFill>
                  <w14:solidFill>
                    <w14:schemeClr w14:val="tx1"/>
                  </w14:solidFill>
                </w14:textFill>
              </w:rPr>
              <w:t>表</w:t>
            </w:r>
            <w:r>
              <w:rPr>
                <w:rFonts w:hint="default" w:ascii="Times New Roman" w:hAnsi="Times New Roman" w:eastAsia="宋体" w:cs="Times New Roman"/>
                <w:b/>
                <w:bCs/>
                <w:color w:val="000000" w:themeColor="text1"/>
                <w:lang w:val="en-US" w:eastAsia="zh-CN"/>
                <w14:textFill>
                  <w14:solidFill>
                    <w14:schemeClr w14:val="tx1"/>
                  </w14:solidFill>
                </w14:textFill>
              </w:rPr>
              <w:t>2-</w:t>
            </w:r>
            <w:r>
              <w:rPr>
                <w:rFonts w:hint="default" w:ascii="Times New Roman" w:hAnsi="Times New Roman" w:eastAsia="宋体" w:cs="Times New Roman"/>
                <w:b/>
                <w:bCs/>
                <w:color w:val="000000" w:themeColor="text1"/>
                <w14:textFill>
                  <w14:solidFill>
                    <w14:schemeClr w14:val="tx1"/>
                  </w14:solidFill>
                </w14:textFill>
              </w:rPr>
              <w:t xml:space="preserve">4  </w:t>
            </w:r>
            <w:r>
              <w:rPr>
                <w:rFonts w:hint="default" w:ascii="Times New Roman" w:hAnsi="Times New Roman" w:eastAsia="宋体" w:cs="Times New Roman"/>
                <w:b/>
                <w:bCs/>
                <w:color w:val="auto"/>
                <w:sz w:val="21"/>
                <w:szCs w:val="21"/>
                <w:highlight w:val="none"/>
              </w:rPr>
              <w:t>项目原辅材料消耗一览表</w:t>
            </w:r>
          </w:p>
          <w:tbl>
            <w:tblPr>
              <w:tblStyle w:val="29"/>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908"/>
              <w:gridCol w:w="816"/>
              <w:gridCol w:w="901"/>
              <w:gridCol w:w="231"/>
              <w:gridCol w:w="1299"/>
              <w:gridCol w:w="674"/>
              <w:gridCol w:w="1225"/>
              <w:gridCol w:w="6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956" w:type="pct"/>
                  <w:gridSpan w:val="8"/>
                  <w:noWrap w:val="0"/>
                  <w:vAlign w:val="center"/>
                </w:tcPr>
                <w:p>
                  <w:pPr>
                    <w:pStyle w:val="91"/>
                    <w:keepNext w:val="0"/>
                    <w:keepLines w:val="0"/>
                    <w:pageBreakBefore w:val="0"/>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一、原辅料</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序号</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原料名称</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bCs/>
                      <w:kern w:val="2"/>
                      <w:sz w:val="21"/>
                      <w:szCs w:val="21"/>
                      <w:lang w:val="en-US" w:eastAsia="zh-CN" w:bidi="ar-SA"/>
                    </w:rPr>
                  </w:pPr>
                  <w:r>
                    <w:rPr>
                      <w:rFonts w:hint="eastAsia" w:eastAsia="宋体" w:cs="Times New Roman"/>
                      <w:b/>
                      <w:bCs/>
                      <w:sz w:val="21"/>
                      <w:szCs w:val="21"/>
                      <w:lang w:val="en-US" w:eastAsia="zh-CN"/>
                    </w:rPr>
                    <w:t>单位</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用量</w:t>
                  </w:r>
                  <w:r>
                    <w:rPr>
                      <w:rFonts w:hint="eastAsia" w:eastAsia="宋体" w:cs="Times New Roman"/>
                      <w:b/>
                      <w:bCs/>
                      <w:sz w:val="21"/>
                      <w:szCs w:val="21"/>
                      <w:lang w:val="en-US" w:eastAsia="zh-CN"/>
                    </w:rPr>
                    <w:t>（年）</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sz w:val="21"/>
                      <w:szCs w:val="21"/>
                      <w:lang w:val="en-US" w:eastAsia="zh-CN"/>
                    </w:rPr>
                  </w:pPr>
                  <w:r>
                    <w:rPr>
                      <w:rFonts w:hint="eastAsia" w:eastAsia="宋体" w:cs="Times New Roman"/>
                      <w:b/>
                      <w:bCs/>
                      <w:sz w:val="21"/>
                      <w:szCs w:val="21"/>
                      <w:lang w:val="en-US" w:eastAsia="zh-CN"/>
                    </w:rPr>
                    <w:t>最大储存量</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sz w:val="21"/>
                      <w:szCs w:val="21"/>
                      <w:lang w:val="en-US" w:eastAsia="zh-CN"/>
                    </w:rPr>
                  </w:pPr>
                  <w:r>
                    <w:rPr>
                      <w:rFonts w:hint="eastAsia" w:eastAsia="宋体" w:cs="Times New Roman"/>
                      <w:b/>
                      <w:bCs/>
                      <w:sz w:val="21"/>
                      <w:szCs w:val="21"/>
                      <w:lang w:val="en-US" w:eastAsia="zh-CN"/>
                    </w:rPr>
                    <w:t>性状</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sz w:val="21"/>
                      <w:szCs w:val="21"/>
                      <w:lang w:val="en-US" w:eastAsia="zh-CN"/>
                    </w:rPr>
                  </w:pPr>
                  <w:r>
                    <w:rPr>
                      <w:rFonts w:hint="eastAsia" w:eastAsia="宋体" w:cs="Times New Roman"/>
                      <w:b/>
                      <w:bCs/>
                      <w:sz w:val="21"/>
                      <w:szCs w:val="21"/>
                      <w:lang w:val="en-US" w:eastAsia="zh-CN"/>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酒精</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瓶</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液体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500ml/</w:t>
                  </w:r>
                  <w:r>
                    <w:rPr>
                      <w:rFonts w:hint="default" w:ascii="Times New Roman" w:hAnsi="Times New Roman" w:eastAsia="宋体" w:cs="Times New Roman"/>
                      <w:b w:val="0"/>
                      <w:bCs w:val="0"/>
                      <w:kern w:val="2"/>
                      <w:sz w:val="21"/>
                      <w:szCs w:val="21"/>
                      <w:lang w:val="en-US" w:eastAsia="zh-CN" w:bidi="ar-SA"/>
                    </w:rPr>
                    <w:t>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碘伏</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瓶</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液体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500ml/</w:t>
                  </w:r>
                  <w:r>
                    <w:rPr>
                      <w:rFonts w:hint="default" w:ascii="Times New Roman" w:hAnsi="Times New Roman" w:eastAsia="宋体" w:cs="Times New Roman"/>
                      <w:b w:val="0"/>
                      <w:bCs w:val="0"/>
                      <w:kern w:val="2"/>
                      <w:sz w:val="21"/>
                      <w:szCs w:val="21"/>
                      <w:lang w:val="en-US" w:eastAsia="zh-CN" w:bidi="ar-SA"/>
                    </w:rPr>
                    <w:t>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3</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纱布</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小包</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100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50</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4</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胶带</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卷</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80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护理垫</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张</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400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100</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9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6</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注射器</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个</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800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100</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7</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棉球</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大包</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8</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手术刀片</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片</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100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30</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9</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缝合线</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根</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100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30</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10</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Edta抗凝管</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个</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30</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51"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11</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肝素锂抗凝管</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个</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30</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12</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头皮针</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个</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30</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47"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13</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留置针</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个</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100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9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14</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微量采样枪头</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个</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500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30</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15</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一次性手套</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个</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1000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100</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16</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各类宠物粮</w:t>
                  </w:r>
                </w:p>
              </w:tc>
              <w:tc>
                <w:tcPr>
                  <w:tcW w:w="523" w:type="pct"/>
                  <w:shd w:val="clear" w:color="auto" w:fill="auto"/>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lang w:val="en-US" w:eastAsia="zh-CN"/>
                    </w:rPr>
                    <w:t>袋</w:t>
                  </w:r>
                </w:p>
              </w:tc>
              <w:tc>
                <w:tcPr>
                  <w:tcW w:w="725" w:type="pct"/>
                  <w:gridSpan w:val="2"/>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300</w:t>
                  </w:r>
                </w:p>
              </w:tc>
              <w:tc>
                <w:tcPr>
                  <w:tcW w:w="832"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30</w:t>
                  </w:r>
                </w:p>
              </w:tc>
              <w:tc>
                <w:tcPr>
                  <w:tcW w:w="432"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固态</w:t>
                  </w:r>
                </w:p>
              </w:tc>
              <w:tc>
                <w:tcPr>
                  <w:tcW w:w="785"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17</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0.9%氯化钠注射液</w:t>
                  </w:r>
                </w:p>
              </w:tc>
              <w:tc>
                <w:tcPr>
                  <w:tcW w:w="523" w:type="pct"/>
                  <w:shd w:val="clear" w:color="auto" w:fill="auto"/>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2"/>
                      <w:sz w:val="21"/>
                      <w:szCs w:val="21"/>
                      <w:lang w:val="en-US" w:eastAsia="zh-CN" w:bidi="ar-SA"/>
                    </w:rPr>
                    <w:t>瓶</w:t>
                  </w:r>
                </w:p>
              </w:tc>
              <w:tc>
                <w:tcPr>
                  <w:tcW w:w="725" w:type="pct"/>
                  <w:gridSpan w:val="2"/>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200</w:t>
                  </w:r>
                </w:p>
              </w:tc>
              <w:tc>
                <w:tcPr>
                  <w:tcW w:w="832"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30</w:t>
                  </w:r>
                </w:p>
              </w:tc>
              <w:tc>
                <w:tcPr>
                  <w:tcW w:w="432"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液体</w:t>
                  </w:r>
                </w:p>
              </w:tc>
              <w:tc>
                <w:tcPr>
                  <w:tcW w:w="785"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500ml/</w:t>
                  </w:r>
                  <w:r>
                    <w:rPr>
                      <w:rFonts w:hint="default" w:ascii="Times New Roman" w:hAnsi="Times New Roman" w:eastAsia="宋体" w:cs="Times New Roman"/>
                      <w:b w:val="0"/>
                      <w:bCs w:val="0"/>
                      <w:kern w:val="2"/>
                      <w:sz w:val="21"/>
                      <w:szCs w:val="21"/>
                      <w:lang w:val="en-US" w:eastAsia="zh-CN" w:bidi="ar-SA"/>
                    </w:rPr>
                    <w:t>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18</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0.5%葡萄糖注射液</w:t>
                  </w:r>
                </w:p>
              </w:tc>
              <w:tc>
                <w:tcPr>
                  <w:tcW w:w="523" w:type="pct"/>
                  <w:shd w:val="clear" w:color="auto" w:fill="auto"/>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kern w:val="2"/>
                      <w:sz w:val="21"/>
                      <w:szCs w:val="21"/>
                      <w:lang w:val="en-US" w:eastAsia="zh-CN" w:bidi="ar-SA"/>
                    </w:rPr>
                    <w:t>瓶</w:t>
                  </w:r>
                </w:p>
              </w:tc>
              <w:tc>
                <w:tcPr>
                  <w:tcW w:w="725" w:type="pct"/>
                  <w:gridSpan w:val="2"/>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50</w:t>
                  </w:r>
                </w:p>
              </w:tc>
              <w:tc>
                <w:tcPr>
                  <w:tcW w:w="832"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w:t>
                  </w:r>
                </w:p>
              </w:tc>
              <w:tc>
                <w:tcPr>
                  <w:tcW w:w="432"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液体</w:t>
                  </w:r>
                </w:p>
              </w:tc>
              <w:tc>
                <w:tcPr>
                  <w:tcW w:w="785"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500ml/</w:t>
                  </w:r>
                  <w:r>
                    <w:rPr>
                      <w:rFonts w:hint="default" w:ascii="Times New Roman" w:hAnsi="Times New Roman" w:eastAsia="宋体" w:cs="Times New Roman"/>
                      <w:b w:val="0"/>
                      <w:bCs w:val="0"/>
                      <w:kern w:val="2"/>
                      <w:sz w:val="21"/>
                      <w:szCs w:val="21"/>
                      <w:lang w:val="en-US" w:eastAsia="zh-CN" w:bidi="ar-SA"/>
                    </w:rPr>
                    <w:t>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19</w:t>
                  </w:r>
                </w:p>
              </w:tc>
              <w:tc>
                <w:tcPr>
                  <w:tcW w:w="1222" w:type="pct"/>
                  <w:noWrap w:val="0"/>
                  <w:vAlign w:val="center"/>
                </w:tcPr>
                <w:p>
                  <w:pPr>
                    <w:keepNext w:val="0"/>
                    <w:keepLines w:val="0"/>
                    <w:pageBreakBefore w:val="0"/>
                    <w:widowControl w:val="0"/>
                    <w:suppressLineNumbers w:val="0"/>
                    <w:tabs>
                      <w:tab w:val="left" w:pos="378"/>
                    </w:tabs>
                    <w:kinsoku/>
                    <w:wordWrap/>
                    <w:overflowPunct/>
                    <w:topLinePunct w:val="0"/>
                    <w:autoSpaceDE/>
                    <w:autoSpaceDN/>
                    <w:bidi w:val="0"/>
                    <w:adjustRightInd w:val="0"/>
                    <w:snapToGrid w:val="0"/>
                    <w:spacing w:before="0" w:beforeAutospacing="0" w:after="0" w:afterAutospacing="0" w:line="240" w:lineRule="auto"/>
                    <w:ind w:right="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乳酸钠林格注射液</w:t>
                  </w:r>
                </w:p>
              </w:tc>
              <w:tc>
                <w:tcPr>
                  <w:tcW w:w="523" w:type="pct"/>
                  <w:shd w:val="clear" w:color="auto" w:fill="auto"/>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kern w:val="2"/>
                      <w:sz w:val="21"/>
                      <w:szCs w:val="21"/>
                      <w:lang w:val="en-US" w:eastAsia="zh-CN" w:bidi="ar-SA"/>
                    </w:rPr>
                    <w:t>瓶</w:t>
                  </w:r>
                </w:p>
              </w:tc>
              <w:tc>
                <w:tcPr>
                  <w:tcW w:w="725" w:type="pct"/>
                  <w:gridSpan w:val="2"/>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200</w:t>
                  </w:r>
                </w:p>
              </w:tc>
              <w:tc>
                <w:tcPr>
                  <w:tcW w:w="832"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30</w:t>
                  </w:r>
                </w:p>
              </w:tc>
              <w:tc>
                <w:tcPr>
                  <w:tcW w:w="432"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液体</w:t>
                  </w:r>
                </w:p>
              </w:tc>
              <w:tc>
                <w:tcPr>
                  <w:tcW w:w="785"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500ml/</w:t>
                  </w:r>
                  <w:r>
                    <w:rPr>
                      <w:rFonts w:hint="default" w:ascii="Times New Roman" w:hAnsi="Times New Roman" w:eastAsia="宋体" w:cs="Times New Roman"/>
                      <w:b w:val="0"/>
                      <w:bCs w:val="0"/>
                      <w:kern w:val="2"/>
                      <w:sz w:val="21"/>
                      <w:szCs w:val="21"/>
                      <w:lang w:val="en-US" w:eastAsia="zh-CN" w:bidi="ar-SA"/>
                    </w:rPr>
                    <w:t>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9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cs="Times New Roman"/>
                      <w:b w:val="0"/>
                      <w:bCs w:val="0"/>
                      <w:sz w:val="21"/>
                      <w:szCs w:val="21"/>
                      <w:lang w:val="en-US" w:eastAsia="zh-CN"/>
                    </w:rPr>
                    <w:t>20</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阿莫西林克拉维酸钾片</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lang w:val="en-US" w:eastAsia="zh-CN"/>
                    </w:rPr>
                    <w:t>盒</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50mg*70粒/盒</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9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21</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甲硝唑片</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盒</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30mg*30粒/盒</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22</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头孢泊肟酯分散片</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盒</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100mg*70粒/盒</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23</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呋塞米片</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盒</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lang w:val="en-US" w:eastAsia="zh-CN"/>
                    </w:rPr>
                    <w:t>30mg*20粒/盒</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24</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芬苯达挫</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盒</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lang w:val="en-US" w:eastAsia="zh-CN"/>
                    </w:rPr>
                    <w:t>100mg*10粒/盒</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25</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泰乐菌素</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盒</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w:t>
                  </w:r>
                </w:p>
              </w:tc>
              <w:tc>
                <w:tcPr>
                  <w:tcW w:w="432"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lang w:val="en-US" w:eastAsia="zh-CN"/>
                    </w:rPr>
                    <w:t>液体</w:t>
                  </w:r>
                </w:p>
              </w:tc>
              <w:tc>
                <w:tcPr>
                  <w:tcW w:w="785"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lang w:val="en-US" w:eastAsia="zh-CN"/>
                    </w:rPr>
                    <w:t>30mg*10粒/盒</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518"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26</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海乐妙</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盒</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lang w:val="en-US" w:eastAsia="zh-CN"/>
                    </w:rPr>
                    <w:t>56mg*10粒/盒</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27</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拜宠清</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盒</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30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lang w:val="en-US" w:eastAsia="zh-CN"/>
                    </w:rPr>
                    <w:t>55mg*10粒/盒</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28</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非泼罗尼滴剂</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盒</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w:t>
                  </w:r>
                </w:p>
              </w:tc>
              <w:tc>
                <w:tcPr>
                  <w:tcW w:w="432"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lang w:val="en-US" w:eastAsia="zh-CN"/>
                    </w:rPr>
                    <w:t>液体</w:t>
                  </w:r>
                </w:p>
              </w:tc>
              <w:tc>
                <w:tcPr>
                  <w:tcW w:w="785"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lang w:val="en-US" w:eastAsia="zh-CN"/>
                    </w:rPr>
                    <w:t>1ml/支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29</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爱沃克</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盒</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w:t>
                  </w:r>
                </w:p>
              </w:tc>
              <w:tc>
                <w:tcPr>
                  <w:tcW w:w="432"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lang w:val="en-US" w:eastAsia="zh-CN"/>
                    </w:rPr>
                    <w:t>液体</w:t>
                  </w:r>
                </w:p>
              </w:tc>
              <w:tc>
                <w:tcPr>
                  <w:tcW w:w="785"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lang w:val="en-US" w:eastAsia="zh-CN"/>
                    </w:rPr>
                    <w:t>1ml/支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30</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大宠爱</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盒</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w:t>
                  </w:r>
                </w:p>
              </w:tc>
              <w:tc>
                <w:tcPr>
                  <w:tcW w:w="432"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lang w:val="en-US" w:eastAsia="zh-CN"/>
                    </w:rPr>
                    <w:t>液体</w:t>
                  </w:r>
                </w:p>
              </w:tc>
              <w:tc>
                <w:tcPr>
                  <w:tcW w:w="785"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lang w:val="en-US" w:eastAsia="zh-CN"/>
                    </w:rPr>
                    <w:t>1ml/支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sz w:val="21"/>
                      <w:szCs w:val="21"/>
                      <w:lang w:val="en-US" w:eastAsia="zh-CN"/>
                    </w:rPr>
                  </w:pPr>
                  <w:r>
                    <w:rPr>
                      <w:rFonts w:hint="default" w:ascii="Times New Roman" w:hAnsi="Times New Roman" w:cs="Times New Roman"/>
                      <w:b w:val="0"/>
                      <w:bCs w:val="0"/>
                      <w:sz w:val="21"/>
                      <w:szCs w:val="21"/>
                      <w:lang w:val="en-US" w:eastAsia="zh-CN"/>
                    </w:rPr>
                    <w:t>31</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猫三联疫苗</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支</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500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50</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液体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1ml/支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412"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cs="Times New Roman"/>
                      <w:b w:val="0"/>
                      <w:bCs w:val="0"/>
                      <w:sz w:val="21"/>
                      <w:szCs w:val="21"/>
                      <w:lang w:val="en-US" w:eastAsia="zh-CN"/>
                    </w:rPr>
                    <w:t>32</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英特威狂犬</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lang w:val="en-US" w:eastAsia="zh-CN"/>
                    </w:rPr>
                    <w:t>支</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50</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液体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1ml/支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cs="Times New Roman"/>
                      <w:b w:val="0"/>
                      <w:bCs w:val="0"/>
                      <w:sz w:val="21"/>
                      <w:szCs w:val="21"/>
                      <w:lang w:val="en-US" w:eastAsia="zh-CN"/>
                    </w:rPr>
                    <w:t>33</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爱普多驱虫药</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lang w:val="en-US" w:eastAsia="zh-CN"/>
                    </w:rPr>
                    <w:t>支</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w:t>
                  </w:r>
                </w:p>
              </w:tc>
              <w:tc>
                <w:tcPr>
                  <w:tcW w:w="432"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液体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1ml/支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cs="Times New Roman"/>
                      <w:b w:val="0"/>
                      <w:bCs w:val="0"/>
                      <w:sz w:val="21"/>
                      <w:szCs w:val="21"/>
                      <w:lang w:val="en-US" w:eastAsia="zh-CN"/>
                    </w:rPr>
                    <w:t>34</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耳可舒</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lang w:val="en-US" w:eastAsia="zh-CN"/>
                    </w:rPr>
                    <w:t>支</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膏体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35</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恩诺沙星</w:t>
                  </w:r>
                </w:p>
              </w:tc>
              <w:tc>
                <w:tcPr>
                  <w:tcW w:w="523" w:type="pct"/>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sz w:val="21"/>
                      <w:szCs w:val="21"/>
                      <w:lang w:val="en-US" w:eastAsia="zh-CN"/>
                    </w:rPr>
                    <w:t>盒</w:t>
                  </w:r>
                </w:p>
              </w:tc>
              <w:tc>
                <w:tcPr>
                  <w:tcW w:w="72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10</w:t>
                  </w:r>
                </w:p>
              </w:tc>
              <w:tc>
                <w:tcPr>
                  <w:tcW w:w="8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w:t>
                  </w:r>
                </w:p>
              </w:tc>
              <w:tc>
                <w:tcPr>
                  <w:tcW w:w="43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50mg*70粒/盒</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36</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sz w:val="21"/>
                      <w:szCs w:val="21"/>
                      <w:highlight w:val="none"/>
                      <w:lang w:val="en-US" w:eastAsia="zh-CN"/>
                    </w:rPr>
                    <w:t>多西环素</w:t>
                  </w:r>
                </w:p>
              </w:tc>
              <w:tc>
                <w:tcPr>
                  <w:tcW w:w="523" w:type="pct"/>
                  <w:shd w:val="clear" w:color="auto" w:fill="auto"/>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highlight w:val="none"/>
                      <w:lang w:val="en-US" w:eastAsia="zh-CN" w:bidi="ar-SA"/>
                    </w:rPr>
                  </w:pPr>
                  <w:r>
                    <w:rPr>
                      <w:rFonts w:hint="default" w:ascii="Times New Roman" w:hAnsi="Times New Roman" w:eastAsia="宋体" w:cs="Times New Roman"/>
                      <w:b w:val="0"/>
                      <w:bCs w:val="0"/>
                      <w:sz w:val="21"/>
                      <w:szCs w:val="21"/>
                      <w:lang w:val="en-US" w:eastAsia="zh-CN"/>
                    </w:rPr>
                    <w:t>盒</w:t>
                  </w:r>
                </w:p>
              </w:tc>
              <w:tc>
                <w:tcPr>
                  <w:tcW w:w="725" w:type="pct"/>
                  <w:gridSpan w:val="2"/>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sz w:val="21"/>
                      <w:szCs w:val="21"/>
                      <w:highlight w:val="none"/>
                      <w:lang w:val="en-US" w:eastAsia="zh-CN"/>
                    </w:rPr>
                    <w:t>10</w:t>
                  </w:r>
                </w:p>
              </w:tc>
              <w:tc>
                <w:tcPr>
                  <w:tcW w:w="832"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5</w:t>
                  </w:r>
                </w:p>
              </w:tc>
              <w:tc>
                <w:tcPr>
                  <w:tcW w:w="432"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sz w:val="21"/>
                      <w:szCs w:val="21"/>
                      <w:highlight w:val="none"/>
                      <w:lang w:val="en-US" w:eastAsia="zh-CN"/>
                    </w:rPr>
                  </w:pPr>
                  <w:r>
                    <w:rPr>
                      <w:rFonts w:hint="default" w:ascii="Times New Roman" w:hAnsi="Times New Roman" w:eastAsia="宋体" w:cs="Times New Roman"/>
                      <w:b w:val="0"/>
                      <w:bCs w:val="0"/>
                      <w:sz w:val="21"/>
                      <w:szCs w:val="21"/>
                      <w:lang w:val="en-US" w:eastAsia="zh-CN"/>
                    </w:rPr>
                    <w:t>固体</w:t>
                  </w:r>
                </w:p>
              </w:tc>
              <w:tc>
                <w:tcPr>
                  <w:tcW w:w="785"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sz w:val="21"/>
                      <w:szCs w:val="21"/>
                      <w:highlight w:val="none"/>
                      <w:lang w:val="en-US" w:eastAsia="zh-CN"/>
                    </w:rPr>
                  </w:pPr>
                  <w:r>
                    <w:rPr>
                      <w:rFonts w:hint="default" w:ascii="Times New Roman" w:hAnsi="Times New Roman" w:eastAsia="宋体" w:cs="Times New Roman"/>
                      <w:b w:val="0"/>
                      <w:bCs w:val="0"/>
                      <w:sz w:val="21"/>
                      <w:szCs w:val="21"/>
                      <w:lang w:val="en-US" w:eastAsia="zh-CN"/>
                    </w:rPr>
                    <w:t>50mg*40粒/盒</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37</w:t>
                  </w:r>
                </w:p>
              </w:tc>
              <w:tc>
                <w:tcPr>
                  <w:tcW w:w="1222"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color w:val="000000"/>
                      <w:kern w:val="0"/>
                      <w:sz w:val="21"/>
                      <w:szCs w:val="21"/>
                      <w:highlight w:val="none"/>
                      <w:lang w:val="en-US" w:eastAsia="zh-CN" w:bidi="ar"/>
                    </w:rPr>
                    <w:t>超可信</w:t>
                  </w:r>
                </w:p>
              </w:tc>
              <w:tc>
                <w:tcPr>
                  <w:tcW w:w="523" w:type="pct"/>
                  <w:shd w:val="clear" w:color="auto" w:fill="auto"/>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highlight w:val="none"/>
                      <w:lang w:val="en-US" w:eastAsia="zh-CN" w:bidi="ar-SA"/>
                    </w:rPr>
                  </w:pPr>
                  <w:r>
                    <w:rPr>
                      <w:rFonts w:hint="default" w:ascii="Times New Roman" w:hAnsi="Times New Roman" w:eastAsia="宋体" w:cs="Times New Roman"/>
                      <w:b w:val="0"/>
                      <w:bCs w:val="0"/>
                      <w:sz w:val="21"/>
                      <w:szCs w:val="21"/>
                      <w:lang w:val="en-US" w:eastAsia="zh-CN"/>
                    </w:rPr>
                    <w:t>盒</w:t>
                  </w:r>
                </w:p>
              </w:tc>
              <w:tc>
                <w:tcPr>
                  <w:tcW w:w="725" w:type="pct"/>
                  <w:gridSpan w:val="2"/>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sz w:val="21"/>
                      <w:szCs w:val="21"/>
                      <w:highlight w:val="none"/>
                      <w:lang w:val="en-US" w:eastAsia="zh-CN"/>
                    </w:rPr>
                    <w:t>30</w:t>
                  </w:r>
                </w:p>
              </w:tc>
              <w:tc>
                <w:tcPr>
                  <w:tcW w:w="832"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10</w:t>
                  </w:r>
                </w:p>
              </w:tc>
              <w:tc>
                <w:tcPr>
                  <w:tcW w:w="432"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固体</w:t>
                  </w:r>
                </w:p>
              </w:tc>
              <w:tc>
                <w:tcPr>
                  <w:tcW w:w="785"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100mg*3粒/盒</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38</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sz w:val="21"/>
                      <w:szCs w:val="21"/>
                      <w:highlight w:val="none"/>
                      <w:lang w:val="en-US" w:eastAsia="zh-CN"/>
                    </w:rPr>
                    <w:t>妙三多</w:t>
                  </w:r>
                </w:p>
              </w:tc>
              <w:tc>
                <w:tcPr>
                  <w:tcW w:w="523" w:type="pct"/>
                  <w:shd w:val="clear" w:color="auto" w:fill="auto"/>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highlight w:val="none"/>
                      <w:lang w:val="en-US" w:eastAsia="zh-CN" w:bidi="ar-SA"/>
                    </w:rPr>
                  </w:pPr>
                  <w:r>
                    <w:rPr>
                      <w:rFonts w:hint="default" w:ascii="Times New Roman" w:hAnsi="Times New Roman" w:eastAsia="宋体" w:cs="Times New Roman"/>
                      <w:b w:val="0"/>
                      <w:bCs w:val="0"/>
                      <w:sz w:val="21"/>
                      <w:szCs w:val="21"/>
                      <w:lang w:val="en-US" w:eastAsia="zh-CN"/>
                    </w:rPr>
                    <w:t>支</w:t>
                  </w:r>
                </w:p>
              </w:tc>
              <w:tc>
                <w:tcPr>
                  <w:tcW w:w="725" w:type="pct"/>
                  <w:gridSpan w:val="2"/>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sz w:val="21"/>
                      <w:szCs w:val="21"/>
                      <w:highlight w:val="none"/>
                      <w:lang w:val="en-US" w:eastAsia="zh-CN"/>
                    </w:rPr>
                    <w:t>200</w:t>
                  </w:r>
                </w:p>
              </w:tc>
              <w:tc>
                <w:tcPr>
                  <w:tcW w:w="832"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20</w:t>
                  </w:r>
                </w:p>
              </w:tc>
              <w:tc>
                <w:tcPr>
                  <w:tcW w:w="432"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液体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1ml/支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77"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39</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sz w:val="21"/>
                      <w:szCs w:val="21"/>
                      <w:highlight w:val="none"/>
                      <w:lang w:val="en-US" w:eastAsia="zh-CN"/>
                    </w:rPr>
                    <w:t>麻醉剂（丙泊酚）</w:t>
                  </w:r>
                </w:p>
              </w:tc>
              <w:tc>
                <w:tcPr>
                  <w:tcW w:w="523" w:type="pct"/>
                  <w:shd w:val="clear" w:color="auto" w:fill="auto"/>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highlight w:val="none"/>
                      <w:lang w:val="en-US" w:eastAsia="zh-CN" w:bidi="ar-SA"/>
                    </w:rPr>
                  </w:pPr>
                  <w:r>
                    <w:rPr>
                      <w:rFonts w:hint="default" w:ascii="Times New Roman" w:hAnsi="Times New Roman" w:eastAsia="宋体" w:cs="Times New Roman"/>
                      <w:b w:val="0"/>
                      <w:bCs w:val="0"/>
                      <w:sz w:val="21"/>
                      <w:szCs w:val="21"/>
                      <w:lang w:val="en-US" w:eastAsia="zh-CN"/>
                    </w:rPr>
                    <w:t>支</w:t>
                  </w:r>
                </w:p>
              </w:tc>
              <w:tc>
                <w:tcPr>
                  <w:tcW w:w="725" w:type="pct"/>
                  <w:gridSpan w:val="2"/>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eastAsia="宋体" w:cs="Times New Roman"/>
                      <w:b w:val="0"/>
                      <w:bCs w:val="0"/>
                      <w:sz w:val="21"/>
                      <w:szCs w:val="21"/>
                      <w:highlight w:val="none"/>
                      <w:lang w:val="en-US" w:eastAsia="zh-CN"/>
                    </w:rPr>
                    <w:t>500</w:t>
                  </w:r>
                </w:p>
              </w:tc>
              <w:tc>
                <w:tcPr>
                  <w:tcW w:w="832"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50</w:t>
                  </w:r>
                </w:p>
              </w:tc>
              <w:tc>
                <w:tcPr>
                  <w:tcW w:w="432"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液体</w:t>
                  </w:r>
                </w:p>
              </w:tc>
              <w:tc>
                <w:tcPr>
                  <w:tcW w:w="78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20ml/支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cs="Times New Roman"/>
                      <w:b w:val="0"/>
                      <w:bCs w:val="0"/>
                      <w:sz w:val="21"/>
                      <w:szCs w:val="21"/>
                      <w:lang w:val="en-US" w:eastAsia="zh-CN"/>
                    </w:rPr>
                    <w:t>40</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除臭剂</w:t>
                  </w:r>
                </w:p>
              </w:tc>
              <w:tc>
                <w:tcPr>
                  <w:tcW w:w="523" w:type="pct"/>
                  <w:shd w:val="clear" w:color="auto" w:fill="auto"/>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cs="Times New Roman"/>
                      <w:b w:val="0"/>
                      <w:bCs w:val="0"/>
                      <w:sz w:val="21"/>
                      <w:szCs w:val="21"/>
                      <w:lang w:val="en-US" w:eastAsia="zh-CN"/>
                    </w:rPr>
                    <w:t>瓶</w:t>
                  </w:r>
                </w:p>
              </w:tc>
              <w:tc>
                <w:tcPr>
                  <w:tcW w:w="725" w:type="pct"/>
                  <w:gridSpan w:val="2"/>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30</w:t>
                  </w:r>
                </w:p>
              </w:tc>
              <w:tc>
                <w:tcPr>
                  <w:tcW w:w="832"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5</w:t>
                  </w:r>
                </w:p>
              </w:tc>
              <w:tc>
                <w:tcPr>
                  <w:tcW w:w="432"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cs="Times New Roman"/>
                      <w:b w:val="0"/>
                      <w:bCs w:val="0"/>
                      <w:sz w:val="21"/>
                      <w:szCs w:val="21"/>
                      <w:lang w:val="en-US" w:eastAsia="zh-CN"/>
                    </w:rPr>
                    <w:t>液体</w:t>
                  </w:r>
                </w:p>
              </w:tc>
              <w:tc>
                <w:tcPr>
                  <w:tcW w:w="785" w:type="pct"/>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cs="Times New Roman"/>
                      <w:b w:val="0"/>
                      <w:bCs w:val="0"/>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cs="Times New Roman"/>
                      <w:b w:val="0"/>
                      <w:bCs w:val="0"/>
                      <w:sz w:val="21"/>
                      <w:szCs w:val="21"/>
                      <w:lang w:val="en-US" w:eastAsia="zh-CN"/>
                    </w:rPr>
                    <w:t>41</w:t>
                  </w:r>
                </w:p>
              </w:tc>
              <w:tc>
                <w:tcPr>
                  <w:tcW w:w="190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r>
                    <w:rPr>
                      <w:rFonts w:hint="eastAsia" w:ascii="Times New Roman" w:hAnsi="Times New Roman" w:eastAsia="宋体" w:cs="Times New Roman"/>
                      <w:b w:val="0"/>
                      <w:bCs w:val="0"/>
                      <w:sz w:val="21"/>
                      <w:szCs w:val="21"/>
                      <w:highlight w:val="none"/>
                      <w:lang w:val="en-US" w:eastAsia="zh-CN"/>
                    </w:rPr>
                    <w:t>次氯酸钠消毒片</w:t>
                  </w:r>
                </w:p>
              </w:tc>
              <w:tc>
                <w:tcPr>
                  <w:tcW w:w="816" w:type="dxa"/>
                  <w:shd w:val="clear" w:color="auto" w:fill="auto"/>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kern w:val="2"/>
                      <w:sz w:val="21"/>
                      <w:szCs w:val="21"/>
                      <w:lang w:val="en-US" w:eastAsia="zh-CN" w:bidi="ar-SA"/>
                    </w:rPr>
                  </w:pPr>
                  <w:r>
                    <w:rPr>
                      <w:rFonts w:hint="eastAsia" w:cs="Times New Roman"/>
                      <w:b w:val="0"/>
                      <w:bCs w:val="0"/>
                      <w:kern w:val="2"/>
                      <w:sz w:val="21"/>
                      <w:szCs w:val="21"/>
                      <w:lang w:val="en-US" w:eastAsia="zh-CN" w:bidi="ar-SA"/>
                    </w:rPr>
                    <w:t>片</w:t>
                  </w:r>
                </w:p>
              </w:tc>
              <w:tc>
                <w:tcPr>
                  <w:tcW w:w="1132" w:type="dxa"/>
                  <w:gridSpan w:val="2"/>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r>
                    <w:rPr>
                      <w:rFonts w:hint="eastAsia" w:eastAsia="宋体" w:cs="Times New Roman"/>
                      <w:b w:val="0"/>
                      <w:bCs w:val="0"/>
                      <w:sz w:val="21"/>
                      <w:szCs w:val="21"/>
                      <w:highlight w:val="none"/>
                      <w:lang w:val="en-US" w:eastAsia="zh-CN"/>
                    </w:rPr>
                    <w:t>50</w:t>
                  </w:r>
                </w:p>
              </w:tc>
              <w:tc>
                <w:tcPr>
                  <w:tcW w:w="1299" w:type="dxa"/>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sz w:val="21"/>
                      <w:szCs w:val="21"/>
                      <w:highlight w:val="none"/>
                      <w:lang w:val="en-US" w:eastAsia="zh-CN"/>
                    </w:rPr>
                  </w:pPr>
                  <w:r>
                    <w:rPr>
                      <w:rFonts w:hint="eastAsia" w:cs="Times New Roman"/>
                      <w:b w:val="0"/>
                      <w:bCs w:val="0"/>
                      <w:sz w:val="21"/>
                      <w:szCs w:val="21"/>
                      <w:highlight w:val="none"/>
                      <w:lang w:val="en-US" w:eastAsia="zh-CN"/>
                    </w:rPr>
                    <w:t>5</w:t>
                  </w:r>
                </w:p>
              </w:tc>
              <w:tc>
                <w:tcPr>
                  <w:tcW w:w="674" w:type="dxa"/>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eastAsia" w:eastAsia="宋体" w:cs="Times New Roman"/>
                      <w:b w:val="0"/>
                      <w:bCs w:val="0"/>
                      <w:sz w:val="21"/>
                      <w:szCs w:val="21"/>
                      <w:lang w:val="en-US" w:eastAsia="zh-CN"/>
                    </w:rPr>
                    <w:t>固体</w:t>
                  </w:r>
                </w:p>
              </w:tc>
              <w:tc>
                <w:tcPr>
                  <w:tcW w:w="1225" w:type="dxa"/>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lang w:val="en-US" w:eastAsia="zh-CN"/>
                    </w:rPr>
                  </w:pPr>
                  <w:r>
                    <w:rPr>
                      <w:rFonts w:hint="eastAsia" w:eastAsia="宋体" w:cs="Times New Roman"/>
                      <w:b w:val="0"/>
                      <w:bCs w:val="0"/>
                      <w:sz w:val="21"/>
                      <w:szCs w:val="21"/>
                      <w:lang w:val="en-US" w:eastAsia="zh-CN"/>
                    </w:rPr>
                    <w:t>100g/</w:t>
                  </w:r>
                  <w:r>
                    <w:rPr>
                      <w:rFonts w:hint="eastAsia" w:cs="Times New Roman"/>
                      <w:b w:val="0"/>
                      <w:bCs w:val="0"/>
                      <w:sz w:val="21"/>
                      <w:szCs w:val="21"/>
                      <w:lang w:val="en-US" w:eastAsia="zh-CN"/>
                    </w:rPr>
                    <w:t>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val="0"/>
                      <w:bCs w:val="0"/>
                      <w:sz w:val="21"/>
                      <w:szCs w:val="21"/>
                      <w:lang w:val="en-US" w:eastAsia="zh-CN"/>
                    </w:rPr>
                  </w:pPr>
                  <w:r>
                    <w:rPr>
                      <w:rFonts w:hint="eastAsia" w:cs="Times New Roman"/>
                      <w:b w:val="0"/>
                      <w:bCs w:val="0"/>
                      <w:sz w:val="21"/>
                      <w:szCs w:val="21"/>
                      <w:lang w:val="en-US" w:eastAsia="zh-CN"/>
                    </w:rPr>
                    <w:t>42</w:t>
                  </w:r>
                </w:p>
              </w:tc>
              <w:tc>
                <w:tcPr>
                  <w:tcW w:w="190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sz w:val="21"/>
                      <w:szCs w:val="21"/>
                      <w:highlight w:val="none"/>
                      <w:lang w:val="en-US" w:eastAsia="zh-CN"/>
                    </w:rPr>
                  </w:pPr>
                  <w:r>
                    <w:rPr>
                      <w:rFonts w:hint="eastAsia" w:ascii="Times New Roman" w:hAnsi="Times New Roman" w:eastAsia="宋体" w:cs="Times New Roman"/>
                      <w:b w:val="0"/>
                      <w:bCs w:val="0"/>
                      <w:sz w:val="21"/>
                      <w:szCs w:val="21"/>
                      <w:highlight w:val="none"/>
                      <w:lang w:val="en-US" w:eastAsia="zh-CN"/>
                    </w:rPr>
                    <w:t>消毒剂过硫酸氢钾</w:t>
                  </w:r>
                </w:p>
              </w:tc>
              <w:tc>
                <w:tcPr>
                  <w:tcW w:w="816" w:type="dxa"/>
                  <w:shd w:val="clear" w:color="auto" w:fill="auto"/>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sz w:val="21"/>
                      <w:szCs w:val="21"/>
                      <w:lang w:val="en-US" w:eastAsia="zh-CN"/>
                    </w:rPr>
                  </w:pPr>
                  <w:r>
                    <w:rPr>
                      <w:rFonts w:hint="eastAsia" w:cs="Times New Roman"/>
                      <w:b w:val="0"/>
                      <w:bCs w:val="0"/>
                      <w:sz w:val="21"/>
                      <w:szCs w:val="21"/>
                      <w:lang w:val="en-US" w:eastAsia="zh-CN"/>
                    </w:rPr>
                    <w:t>瓶</w:t>
                  </w:r>
                </w:p>
              </w:tc>
              <w:tc>
                <w:tcPr>
                  <w:tcW w:w="1132" w:type="dxa"/>
                  <w:gridSpan w:val="2"/>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sz w:val="21"/>
                      <w:szCs w:val="21"/>
                      <w:highlight w:val="none"/>
                      <w:lang w:val="en-US" w:eastAsia="zh-CN"/>
                    </w:rPr>
                  </w:pPr>
                  <w:r>
                    <w:rPr>
                      <w:rFonts w:hint="eastAsia" w:cs="Times New Roman"/>
                      <w:b w:val="0"/>
                      <w:bCs w:val="0"/>
                      <w:sz w:val="21"/>
                      <w:szCs w:val="21"/>
                      <w:highlight w:val="none"/>
                      <w:lang w:val="en-US" w:eastAsia="zh-CN"/>
                    </w:rPr>
                    <w:t>30</w:t>
                  </w:r>
                </w:p>
              </w:tc>
              <w:tc>
                <w:tcPr>
                  <w:tcW w:w="1299" w:type="dxa"/>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sz w:val="21"/>
                      <w:szCs w:val="21"/>
                      <w:highlight w:val="none"/>
                      <w:lang w:val="en-US" w:eastAsia="zh-CN"/>
                    </w:rPr>
                  </w:pPr>
                  <w:r>
                    <w:rPr>
                      <w:rFonts w:hint="eastAsia" w:cs="Times New Roman"/>
                      <w:b w:val="0"/>
                      <w:bCs w:val="0"/>
                      <w:sz w:val="21"/>
                      <w:szCs w:val="21"/>
                      <w:highlight w:val="none"/>
                      <w:lang w:val="en-US" w:eastAsia="zh-CN"/>
                    </w:rPr>
                    <w:t>5</w:t>
                  </w:r>
                </w:p>
              </w:tc>
              <w:tc>
                <w:tcPr>
                  <w:tcW w:w="674" w:type="dxa"/>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sz w:val="21"/>
                      <w:szCs w:val="21"/>
                      <w:lang w:val="en-US" w:eastAsia="zh-CN"/>
                    </w:rPr>
                  </w:pPr>
                  <w:r>
                    <w:rPr>
                      <w:rFonts w:hint="eastAsia" w:cs="Times New Roman"/>
                      <w:b w:val="0"/>
                      <w:bCs w:val="0"/>
                      <w:sz w:val="21"/>
                      <w:szCs w:val="21"/>
                      <w:lang w:val="en-US" w:eastAsia="zh-CN"/>
                    </w:rPr>
                    <w:t>液体</w:t>
                  </w:r>
                </w:p>
              </w:tc>
              <w:tc>
                <w:tcPr>
                  <w:tcW w:w="1225" w:type="dxa"/>
                  <w:noWrap w:val="0"/>
                  <w:vAlign w:val="center"/>
                </w:tcPr>
                <w:p>
                  <w:pPr>
                    <w:keepNext w:val="0"/>
                    <w:keepLines w:val="0"/>
                    <w:pageBreakBefore w:val="0"/>
                    <w:widowControl/>
                    <w:suppressLineNumbers w:val="0"/>
                    <w:kinsoku/>
                    <w:wordWrap/>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sz w:val="21"/>
                      <w:szCs w:val="21"/>
                      <w:lang w:val="en-US" w:eastAsia="zh-CN"/>
                    </w:rPr>
                  </w:pPr>
                  <w:r>
                    <w:rPr>
                      <w:rFonts w:hint="eastAsia" w:cs="Times New Roman"/>
                      <w:b w:val="0"/>
                      <w:bCs w:val="0"/>
                      <w:sz w:val="21"/>
                      <w:szCs w:val="21"/>
                      <w:lang w:val="en-US" w:eastAsia="zh-CN"/>
                    </w:rPr>
                    <w:t>1kg/瓶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43" w:type="pct"/>
                <w:cantSplit/>
                <w:trHeight w:val="20" w:hRule="atLeast"/>
              </w:trPr>
              <w:tc>
                <w:tcPr>
                  <w:tcW w:w="4956" w:type="pct"/>
                  <w:gridSpan w:val="8"/>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二、能源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序号</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辅料名称</w:t>
                  </w:r>
                </w:p>
              </w:tc>
              <w:tc>
                <w:tcPr>
                  <w:tcW w:w="52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单位</w:t>
                  </w:r>
                </w:p>
              </w:tc>
              <w:tc>
                <w:tcPr>
                  <w:tcW w:w="57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年耗</w:t>
                  </w:r>
                </w:p>
              </w:tc>
              <w:tc>
                <w:tcPr>
                  <w:tcW w:w="2240" w:type="pct"/>
                  <w:gridSpan w:val="5"/>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来源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新鲜水</w:t>
                  </w:r>
                </w:p>
              </w:tc>
              <w:tc>
                <w:tcPr>
                  <w:tcW w:w="52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57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55.625</w:t>
                  </w:r>
                </w:p>
              </w:tc>
              <w:tc>
                <w:tcPr>
                  <w:tcW w:w="2240" w:type="pct"/>
                  <w:gridSpan w:val="5"/>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B050"/>
                      <w:sz w:val="21"/>
                      <w:szCs w:val="21"/>
                      <w:highlight w:val="none"/>
                      <w:lang w:val="en-US" w:eastAsia="zh-CN"/>
                    </w:rPr>
                  </w:pPr>
                  <w:r>
                    <w:rPr>
                      <w:rFonts w:hint="default" w:ascii="Times New Roman" w:hAnsi="Times New Roman" w:eastAsia="宋体" w:cs="Times New Roman"/>
                      <w:sz w:val="21"/>
                      <w:szCs w:val="21"/>
                      <w:highlight w:val="none"/>
                      <w:lang w:eastAsia="zh-CN"/>
                    </w:rPr>
                    <w:t>由</w:t>
                  </w:r>
                  <w:r>
                    <w:rPr>
                      <w:rFonts w:hint="eastAsia" w:cs="Times New Roman"/>
                      <w:sz w:val="21"/>
                      <w:szCs w:val="21"/>
                      <w:highlight w:val="none"/>
                      <w:lang w:val="en-US" w:eastAsia="zh-CN"/>
                    </w:rPr>
                    <w:t>库尔勒市</w:t>
                  </w:r>
                  <w:r>
                    <w:rPr>
                      <w:rFonts w:hint="default" w:ascii="Times New Roman" w:hAnsi="Times New Roman" w:eastAsia="宋体" w:cs="Times New Roman"/>
                      <w:sz w:val="21"/>
                      <w:szCs w:val="21"/>
                      <w:highlight w:val="none"/>
                      <w:lang w:eastAsia="zh-CN"/>
                    </w:rPr>
                    <w:t>供水管网提供</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43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w:t>
                  </w:r>
                </w:p>
              </w:tc>
              <w:tc>
                <w:tcPr>
                  <w:tcW w:w="1222"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电</w:t>
                  </w:r>
                </w:p>
              </w:tc>
              <w:tc>
                <w:tcPr>
                  <w:tcW w:w="52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万</w:t>
                  </w:r>
                  <w:r>
                    <w:rPr>
                      <w:rFonts w:hint="default" w:ascii="Times New Roman" w:hAnsi="Times New Roman" w:eastAsia="宋体" w:cs="Times New Roman"/>
                      <w:sz w:val="21"/>
                      <w:szCs w:val="21"/>
                      <w:highlight w:val="none"/>
                      <w:lang w:val="en-US" w:eastAsia="zh-CN"/>
                    </w:rPr>
                    <w:t>kwh</w:t>
                  </w:r>
                </w:p>
              </w:tc>
              <w:tc>
                <w:tcPr>
                  <w:tcW w:w="577"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18</w:t>
                  </w:r>
                </w:p>
              </w:tc>
              <w:tc>
                <w:tcPr>
                  <w:tcW w:w="2240" w:type="pct"/>
                  <w:gridSpan w:val="5"/>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B050"/>
                      <w:sz w:val="21"/>
                      <w:szCs w:val="21"/>
                      <w:highlight w:val="none"/>
                      <w:lang w:val="en-US" w:eastAsia="zh-CN"/>
                    </w:rPr>
                  </w:pPr>
                  <w:r>
                    <w:rPr>
                      <w:rFonts w:hint="default" w:ascii="Times New Roman" w:hAnsi="Times New Roman" w:eastAsia="宋体" w:cs="Times New Roman"/>
                      <w:sz w:val="21"/>
                      <w:szCs w:val="21"/>
                      <w:highlight w:val="none"/>
                      <w:lang w:eastAsia="zh-CN"/>
                    </w:rPr>
                    <w:t>由</w:t>
                  </w:r>
                  <w:r>
                    <w:rPr>
                      <w:rFonts w:hint="eastAsia" w:ascii="Times New Roman" w:hAnsi="Times New Roman" w:eastAsia="宋体" w:cs="Times New Roman"/>
                      <w:sz w:val="21"/>
                      <w:szCs w:val="21"/>
                      <w:highlight w:val="none"/>
                      <w:lang w:eastAsia="zh-CN"/>
                    </w:rPr>
                    <w:t>国家</w:t>
                  </w:r>
                  <w:r>
                    <w:rPr>
                      <w:rFonts w:hint="default" w:ascii="Times New Roman" w:hAnsi="Times New Roman" w:eastAsia="宋体" w:cs="Times New Roman"/>
                      <w:sz w:val="21"/>
                      <w:szCs w:val="21"/>
                      <w:highlight w:val="none"/>
                      <w:lang w:eastAsia="zh-CN"/>
                    </w:rPr>
                    <w:t>电网提供</w:t>
                  </w:r>
                </w:p>
              </w:tc>
            </w:tr>
          </w:tbl>
          <w:p>
            <w:pPr>
              <w:spacing w:before="36" w:line="216" w:lineRule="auto"/>
              <w:ind w:left="524"/>
              <w:rPr>
                <w:rFonts w:ascii="宋体" w:hAnsi="宋体" w:eastAsia="宋体" w:cs="宋体"/>
                <w:sz w:val="21"/>
                <w:szCs w:val="21"/>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表</w:t>
            </w:r>
            <w:r>
              <w:rPr>
                <w:rFonts w:hint="eastAsia" w:ascii="Times New Roman" w:hAnsi="Times New Roman" w:eastAsia="宋体" w:cs="Times New Roman"/>
                <w:b/>
                <w:bCs/>
                <w:color w:val="000000" w:themeColor="text1"/>
                <w:sz w:val="21"/>
                <w:szCs w:val="21"/>
                <w:lang w:val="en-US" w:eastAsia="zh-CN"/>
                <w14:textFill>
                  <w14:solidFill>
                    <w14:schemeClr w14:val="tx1"/>
                  </w14:solidFill>
                </w14:textFill>
              </w:rPr>
              <w:t xml:space="preserve">2-5                  </w:t>
            </w:r>
            <w:r>
              <w:rPr>
                <w:rFonts w:ascii="宋体" w:hAnsi="宋体" w:eastAsia="宋体" w:cs="宋体"/>
                <w:b/>
                <w:bCs/>
                <w:sz w:val="21"/>
                <w:szCs w:val="21"/>
              </w:rPr>
              <w:t>主要原辅材料理化性质、毒性毒理</w:t>
            </w:r>
          </w:p>
          <w:tbl>
            <w:tblPr>
              <w:tblStyle w:val="68"/>
              <w:tblW w:w="4998" w:type="pct"/>
              <w:tblInd w:w="12"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685"/>
              <w:gridCol w:w="4051"/>
              <w:gridCol w:w="1553"/>
              <w:gridCol w:w="1514"/>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438" w:type="pct"/>
                  <w:tcBorders>
                    <w:tl2br w:val="nil"/>
                    <w:tr2bl w:val="nil"/>
                  </w:tcBorders>
                  <w:vAlign w:val="center"/>
                </w:tcPr>
                <w:p>
                  <w:pPr>
                    <w:spacing w:before="211" w:line="231" w:lineRule="auto"/>
                    <w:jc w:val="center"/>
                    <w:rPr>
                      <w:rFonts w:ascii="宋体" w:hAnsi="宋体" w:eastAsia="宋体" w:cs="宋体"/>
                      <w:sz w:val="21"/>
                      <w:szCs w:val="21"/>
                    </w:rPr>
                  </w:pPr>
                  <w:r>
                    <w:rPr>
                      <w:rFonts w:ascii="宋体" w:hAnsi="宋体" w:eastAsia="宋体" w:cs="宋体"/>
                      <w:b/>
                      <w:bCs/>
                      <w:spacing w:val="2"/>
                      <w:sz w:val="21"/>
                      <w:szCs w:val="21"/>
                    </w:rPr>
                    <w:t>名称</w:t>
                  </w:r>
                </w:p>
              </w:tc>
              <w:tc>
                <w:tcPr>
                  <w:tcW w:w="2595" w:type="pct"/>
                  <w:tcBorders>
                    <w:tl2br w:val="nil"/>
                    <w:tr2bl w:val="nil"/>
                  </w:tcBorders>
                  <w:vAlign w:val="center"/>
                </w:tcPr>
                <w:p>
                  <w:pPr>
                    <w:spacing w:before="212" w:line="229" w:lineRule="auto"/>
                    <w:jc w:val="center"/>
                    <w:rPr>
                      <w:rFonts w:ascii="宋体" w:hAnsi="宋体" w:eastAsia="宋体" w:cs="宋体"/>
                      <w:sz w:val="21"/>
                      <w:szCs w:val="21"/>
                    </w:rPr>
                  </w:pPr>
                  <w:r>
                    <w:rPr>
                      <w:rFonts w:ascii="宋体" w:hAnsi="宋体" w:eastAsia="宋体" w:cs="宋体"/>
                      <w:b/>
                      <w:bCs/>
                      <w:spacing w:val="5"/>
                      <w:sz w:val="21"/>
                      <w:szCs w:val="21"/>
                    </w:rPr>
                    <w:t>理化性质</w:t>
                  </w:r>
                </w:p>
              </w:tc>
              <w:tc>
                <w:tcPr>
                  <w:tcW w:w="995" w:type="pct"/>
                  <w:tcBorders>
                    <w:tl2br w:val="nil"/>
                    <w:tr2bl w:val="nil"/>
                  </w:tcBorders>
                  <w:vAlign w:val="center"/>
                </w:tcPr>
                <w:p>
                  <w:pPr>
                    <w:spacing w:before="56" w:line="261" w:lineRule="auto"/>
                    <w:ind w:right="102"/>
                    <w:jc w:val="center"/>
                    <w:rPr>
                      <w:rFonts w:ascii="宋体" w:hAnsi="宋体" w:eastAsia="宋体" w:cs="宋体"/>
                      <w:sz w:val="21"/>
                      <w:szCs w:val="21"/>
                    </w:rPr>
                  </w:pPr>
                  <w:r>
                    <w:rPr>
                      <w:rFonts w:ascii="宋体" w:hAnsi="宋体" w:eastAsia="宋体" w:cs="宋体"/>
                      <w:b/>
                      <w:bCs/>
                      <w:spacing w:val="7"/>
                      <w:sz w:val="21"/>
                      <w:szCs w:val="21"/>
                    </w:rPr>
                    <w:t>燃烧爆炸等危</w:t>
                  </w:r>
                  <w:r>
                    <w:rPr>
                      <w:rFonts w:ascii="宋体" w:hAnsi="宋体" w:eastAsia="宋体" w:cs="宋体"/>
                      <w:b/>
                      <w:bCs/>
                      <w:spacing w:val="-2"/>
                      <w:sz w:val="21"/>
                      <w:szCs w:val="21"/>
                    </w:rPr>
                    <w:t>险性</w:t>
                  </w:r>
                </w:p>
              </w:tc>
              <w:tc>
                <w:tcPr>
                  <w:tcW w:w="970" w:type="pct"/>
                  <w:tcBorders>
                    <w:tl2br w:val="nil"/>
                    <w:tr2bl w:val="nil"/>
                  </w:tcBorders>
                  <w:vAlign w:val="center"/>
                </w:tcPr>
                <w:p>
                  <w:pPr>
                    <w:spacing w:before="212" w:line="228" w:lineRule="auto"/>
                    <w:jc w:val="center"/>
                    <w:rPr>
                      <w:rFonts w:ascii="宋体" w:hAnsi="宋体" w:eastAsia="宋体" w:cs="宋体"/>
                      <w:sz w:val="21"/>
                      <w:szCs w:val="21"/>
                    </w:rPr>
                  </w:pPr>
                  <w:r>
                    <w:rPr>
                      <w:rFonts w:ascii="宋体" w:hAnsi="宋体" w:eastAsia="宋体" w:cs="宋体"/>
                      <w:b/>
                      <w:bCs/>
                      <w:spacing w:val="6"/>
                      <w:sz w:val="21"/>
                      <w:szCs w:val="21"/>
                    </w:rPr>
                    <w:t>毒理性质</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687" w:hRule="atLeast"/>
              </w:trPr>
              <w:tc>
                <w:tcPr>
                  <w:tcW w:w="438" w:type="pct"/>
                  <w:tcBorders>
                    <w:tl2br w:val="nil"/>
                    <w:tr2bl w:val="nil"/>
                  </w:tcBorders>
                  <w:vAlign w:val="center"/>
                </w:tcPr>
                <w:p>
                  <w:pPr>
                    <w:spacing w:before="65" w:line="228" w:lineRule="auto"/>
                    <w:jc w:val="center"/>
                    <w:rPr>
                      <w:rFonts w:ascii="宋体" w:hAnsi="宋体" w:eastAsia="宋体" w:cs="宋体"/>
                      <w:sz w:val="21"/>
                      <w:szCs w:val="21"/>
                    </w:rPr>
                  </w:pPr>
                  <w:r>
                    <w:rPr>
                      <w:rFonts w:ascii="宋体" w:hAnsi="宋体" w:eastAsia="宋体" w:cs="宋体"/>
                      <w:spacing w:val="5"/>
                      <w:sz w:val="21"/>
                      <w:szCs w:val="21"/>
                    </w:rPr>
                    <w:t>碘伏</w:t>
                  </w:r>
                </w:p>
              </w:tc>
              <w:tc>
                <w:tcPr>
                  <w:tcW w:w="2595" w:type="pct"/>
                  <w:tcBorders>
                    <w:tl2br w:val="nil"/>
                    <w:tr2bl w:val="nil"/>
                  </w:tcBorders>
                  <w:vAlign w:val="center"/>
                </w:tcPr>
                <w:p>
                  <w:pPr>
                    <w:spacing w:before="21" w:line="274" w:lineRule="exact"/>
                    <w:jc w:val="center"/>
                    <w:rPr>
                      <w:rFonts w:ascii="宋体" w:hAnsi="宋体" w:eastAsia="宋体" w:cs="宋体"/>
                      <w:sz w:val="21"/>
                      <w:szCs w:val="21"/>
                    </w:rPr>
                  </w:pPr>
                  <w:r>
                    <w:rPr>
                      <w:rFonts w:ascii="Times New Roman" w:hAnsi="Times New Roman" w:eastAsia="Times New Roman" w:cs="Times New Roman"/>
                      <w:position w:val="1"/>
                      <w:sz w:val="21"/>
                      <w:szCs w:val="21"/>
                    </w:rPr>
                    <w:t>CAS</w:t>
                  </w:r>
                  <w:r>
                    <w:rPr>
                      <w:rFonts w:ascii="Times New Roman" w:hAnsi="Times New Roman" w:eastAsia="Times New Roman" w:cs="Times New Roman"/>
                      <w:spacing w:val="18"/>
                      <w:position w:val="1"/>
                      <w:sz w:val="21"/>
                      <w:szCs w:val="21"/>
                    </w:rPr>
                    <w:t xml:space="preserve"> </w:t>
                  </w:r>
                  <w:r>
                    <w:rPr>
                      <w:rFonts w:ascii="宋体" w:hAnsi="宋体" w:eastAsia="宋体" w:cs="宋体"/>
                      <w:spacing w:val="6"/>
                      <w:position w:val="1"/>
                      <w:sz w:val="21"/>
                      <w:szCs w:val="21"/>
                    </w:rPr>
                    <w:t>号：</w:t>
                  </w:r>
                  <w:r>
                    <w:rPr>
                      <w:rFonts w:ascii="Times New Roman" w:hAnsi="Times New Roman" w:eastAsia="Times New Roman" w:cs="Times New Roman"/>
                      <w:spacing w:val="6"/>
                      <w:position w:val="1"/>
                      <w:sz w:val="21"/>
                      <w:szCs w:val="21"/>
                    </w:rPr>
                    <w:t>39392-86-4</w:t>
                  </w:r>
                  <w:r>
                    <w:rPr>
                      <w:rFonts w:ascii="Times New Roman" w:hAnsi="Times New Roman" w:eastAsia="Times New Roman" w:cs="Times New Roman"/>
                      <w:spacing w:val="-26"/>
                      <w:position w:val="1"/>
                      <w:sz w:val="21"/>
                      <w:szCs w:val="21"/>
                    </w:rPr>
                    <w:t xml:space="preserve"> </w:t>
                  </w:r>
                  <w:r>
                    <w:rPr>
                      <w:rFonts w:ascii="宋体" w:hAnsi="宋体" w:eastAsia="宋体" w:cs="宋体"/>
                      <w:spacing w:val="6"/>
                      <w:position w:val="1"/>
                      <w:sz w:val="21"/>
                      <w:szCs w:val="21"/>
                    </w:rPr>
                    <w:t>，碘伏是单质碘与聚</w:t>
                  </w:r>
                  <w:r>
                    <w:rPr>
                      <w:rFonts w:ascii="宋体" w:hAnsi="宋体" w:eastAsia="宋体" w:cs="宋体"/>
                      <w:spacing w:val="10"/>
                      <w:position w:val="1"/>
                      <w:sz w:val="21"/>
                      <w:szCs w:val="21"/>
                    </w:rPr>
                    <w:t>乙烯呲略烷酮（</w:t>
                  </w:r>
                  <w:r>
                    <w:rPr>
                      <w:rFonts w:ascii="Times New Roman" w:hAnsi="Times New Roman" w:eastAsia="Times New Roman" w:cs="Times New Roman"/>
                      <w:position w:val="1"/>
                      <w:sz w:val="21"/>
                      <w:szCs w:val="21"/>
                    </w:rPr>
                    <w:t>Povidone</w:t>
                  </w:r>
                  <w:r>
                    <w:rPr>
                      <w:rFonts w:ascii="宋体" w:hAnsi="宋体" w:eastAsia="宋体" w:cs="宋体"/>
                      <w:spacing w:val="10"/>
                      <w:position w:val="1"/>
                      <w:sz w:val="21"/>
                      <w:szCs w:val="21"/>
                    </w:rPr>
                    <w:t>）的不定型结合</w:t>
                  </w:r>
                  <w:r>
                    <w:rPr>
                      <w:rFonts w:ascii="宋体" w:hAnsi="宋体" w:eastAsia="宋体" w:cs="宋体"/>
                      <w:spacing w:val="7"/>
                      <w:position w:val="1"/>
                      <w:sz w:val="21"/>
                      <w:szCs w:val="21"/>
                    </w:rPr>
                    <w:t>物。聚乙烯呲略烷酮可溶解分散</w:t>
                  </w:r>
                  <w:r>
                    <w:rPr>
                      <w:rFonts w:ascii="宋体" w:hAnsi="宋体" w:eastAsia="宋体" w:cs="宋体"/>
                      <w:spacing w:val="-23"/>
                      <w:position w:val="1"/>
                      <w:sz w:val="21"/>
                      <w:szCs w:val="21"/>
                    </w:rPr>
                    <w:t xml:space="preserve"> </w:t>
                  </w:r>
                  <w:r>
                    <w:rPr>
                      <w:rFonts w:ascii="Times New Roman" w:hAnsi="Times New Roman" w:eastAsia="Times New Roman" w:cs="Times New Roman"/>
                      <w:spacing w:val="7"/>
                      <w:position w:val="1"/>
                      <w:sz w:val="21"/>
                      <w:szCs w:val="21"/>
                    </w:rPr>
                    <w:t>9%-12%</w:t>
                  </w:r>
                  <w:r>
                    <w:rPr>
                      <w:rFonts w:ascii="宋体" w:hAnsi="宋体" w:eastAsia="宋体" w:cs="宋体"/>
                      <w:spacing w:val="8"/>
                      <w:sz w:val="21"/>
                      <w:szCs w:val="21"/>
                    </w:rPr>
                    <w:t>的碘，此时呈现紫黑色液体；单医用碘伏</w:t>
                  </w:r>
                  <w:r>
                    <w:rPr>
                      <w:rFonts w:ascii="宋体" w:hAnsi="宋体" w:eastAsia="宋体" w:cs="宋体"/>
                      <w:spacing w:val="5"/>
                      <w:position w:val="1"/>
                      <w:sz w:val="21"/>
                      <w:szCs w:val="21"/>
                    </w:rPr>
                    <w:t>通常浓度较低（</w:t>
                  </w:r>
                  <w:r>
                    <w:rPr>
                      <w:rFonts w:ascii="Times New Roman" w:hAnsi="Times New Roman" w:eastAsia="Times New Roman" w:cs="Times New Roman"/>
                      <w:spacing w:val="5"/>
                      <w:position w:val="1"/>
                      <w:sz w:val="21"/>
                      <w:szCs w:val="21"/>
                    </w:rPr>
                    <w:t>1%</w:t>
                  </w:r>
                  <w:r>
                    <w:rPr>
                      <w:rFonts w:ascii="宋体" w:hAnsi="宋体" w:eastAsia="宋体" w:cs="宋体"/>
                      <w:spacing w:val="5"/>
                      <w:position w:val="1"/>
                      <w:sz w:val="21"/>
                      <w:szCs w:val="21"/>
                    </w:rPr>
                    <w:t>或以下</w:t>
                  </w:r>
                  <w:r>
                    <w:rPr>
                      <w:rFonts w:ascii="宋体" w:hAnsi="宋体" w:eastAsia="宋体" w:cs="宋体"/>
                      <w:spacing w:val="-21"/>
                      <w:position w:val="1"/>
                      <w:sz w:val="21"/>
                      <w:szCs w:val="21"/>
                    </w:rPr>
                    <w:t>），</w:t>
                  </w:r>
                  <w:r>
                    <w:rPr>
                      <w:rFonts w:ascii="宋体" w:hAnsi="宋体" w:eastAsia="宋体" w:cs="宋体"/>
                      <w:spacing w:val="5"/>
                      <w:position w:val="1"/>
                      <w:sz w:val="21"/>
                      <w:szCs w:val="21"/>
                    </w:rPr>
                    <w:t>呈现浅棕色；</w:t>
                  </w:r>
                  <w:r>
                    <w:rPr>
                      <w:rFonts w:ascii="宋体" w:hAnsi="宋体" w:eastAsia="宋体" w:cs="宋体"/>
                      <w:spacing w:val="8"/>
                      <w:sz w:val="21"/>
                      <w:szCs w:val="21"/>
                    </w:rPr>
                    <w:t>具有光谱杀菌作用，可杀灭细菌繁殖体、</w:t>
                  </w:r>
                  <w:r>
                    <w:rPr>
                      <w:rFonts w:ascii="宋体" w:hAnsi="宋体" w:eastAsia="宋体" w:cs="宋体"/>
                      <w:spacing w:val="9"/>
                      <w:sz w:val="21"/>
                      <w:szCs w:val="21"/>
                    </w:rPr>
                    <w:t>真菌、原虫和部分病毒。在医疗上用作杀菌消毒剂，可用于皮肤、</w:t>
                  </w:r>
                  <w:r>
                    <w:rPr>
                      <w:rFonts w:hint="eastAsia" w:ascii="宋体" w:hAnsi="宋体" w:cs="宋体"/>
                      <w:spacing w:val="9"/>
                      <w:sz w:val="21"/>
                      <w:szCs w:val="21"/>
                      <w:lang w:eastAsia="zh-CN"/>
                    </w:rPr>
                    <w:t>黏膜</w:t>
                  </w:r>
                  <w:r>
                    <w:rPr>
                      <w:rFonts w:ascii="宋体" w:hAnsi="宋体" w:eastAsia="宋体" w:cs="宋体"/>
                      <w:spacing w:val="9"/>
                      <w:sz w:val="21"/>
                      <w:szCs w:val="21"/>
                    </w:rPr>
                    <w:t>的消毒，也可处理烫伤、治疗滴虫性阴道炎、霉菌性</w:t>
                  </w:r>
                  <w:r>
                    <w:rPr>
                      <w:rFonts w:ascii="宋体" w:hAnsi="宋体" w:eastAsia="宋体" w:cs="宋体"/>
                      <w:spacing w:val="8"/>
                      <w:sz w:val="21"/>
                      <w:szCs w:val="21"/>
                    </w:rPr>
                    <w:t>阴道炎、皮肤霉菌感染等。也可用于手术</w:t>
                  </w:r>
                  <w:r>
                    <w:rPr>
                      <w:rFonts w:ascii="宋体" w:hAnsi="宋体" w:eastAsia="宋体" w:cs="宋体"/>
                      <w:spacing w:val="9"/>
                      <w:sz w:val="21"/>
                      <w:szCs w:val="21"/>
                    </w:rPr>
                    <w:t>前和其他皮肤的消毒、各种注射部位皮肤消毒、器械浸泡消毒以及阴道手术前消毒</w:t>
                  </w:r>
                  <w:r>
                    <w:rPr>
                      <w:rFonts w:ascii="宋体" w:hAnsi="宋体" w:eastAsia="宋体" w:cs="宋体"/>
                      <w:spacing w:val="-1"/>
                      <w:sz w:val="21"/>
                      <w:szCs w:val="21"/>
                    </w:rPr>
                    <w:t>等。</w:t>
                  </w:r>
                </w:p>
              </w:tc>
              <w:tc>
                <w:tcPr>
                  <w:tcW w:w="995" w:type="pct"/>
                  <w:tcBorders>
                    <w:tl2br w:val="nil"/>
                    <w:tr2bl w:val="nil"/>
                  </w:tcBorders>
                  <w:vAlign w:val="center"/>
                </w:tcPr>
                <w:p>
                  <w:pPr>
                    <w:spacing w:before="65" w:line="230" w:lineRule="auto"/>
                    <w:jc w:val="center"/>
                    <w:rPr>
                      <w:rFonts w:ascii="宋体" w:hAnsi="宋体" w:eastAsia="宋体" w:cs="宋体"/>
                      <w:sz w:val="21"/>
                      <w:szCs w:val="21"/>
                    </w:rPr>
                  </w:pPr>
                  <w:r>
                    <w:rPr>
                      <w:rFonts w:ascii="宋体" w:hAnsi="宋体" w:eastAsia="宋体" w:cs="宋体"/>
                      <w:spacing w:val="5"/>
                      <w:sz w:val="21"/>
                      <w:szCs w:val="21"/>
                    </w:rPr>
                    <w:t>不易燃</w:t>
                  </w:r>
                </w:p>
              </w:tc>
              <w:tc>
                <w:tcPr>
                  <w:tcW w:w="970" w:type="pct"/>
                  <w:tcBorders>
                    <w:tl2br w:val="nil"/>
                    <w:tr2bl w:val="nil"/>
                  </w:tcBorders>
                  <w:vAlign w:val="center"/>
                </w:tcPr>
                <w:p>
                  <w:pPr>
                    <w:spacing w:before="65" w:line="274" w:lineRule="auto"/>
                    <w:ind w:right="213"/>
                    <w:jc w:val="center"/>
                    <w:rPr>
                      <w:rFonts w:ascii="Times New Roman" w:hAnsi="Times New Roman" w:eastAsia="Times New Roman" w:cs="Times New Roman"/>
                      <w:position w:val="3"/>
                      <w:sz w:val="21"/>
                      <w:szCs w:val="21"/>
                    </w:rPr>
                  </w:pPr>
                  <w:r>
                    <w:rPr>
                      <w:rFonts w:ascii="宋体" w:hAnsi="宋体" w:eastAsia="宋体" w:cs="宋体"/>
                      <w:spacing w:val="7"/>
                      <w:sz w:val="21"/>
                      <w:szCs w:val="21"/>
                    </w:rPr>
                    <w:t>大鼠经口</w:t>
                  </w:r>
                  <w:r>
                    <w:rPr>
                      <w:rFonts w:ascii="宋体" w:hAnsi="宋体" w:eastAsia="宋体" w:cs="宋体"/>
                      <w:sz w:val="21"/>
                      <w:szCs w:val="21"/>
                    </w:rPr>
                    <w:t xml:space="preserve"> </w:t>
                  </w:r>
                  <w:r>
                    <w:rPr>
                      <w:rFonts w:ascii="Times New Roman" w:hAnsi="Times New Roman" w:eastAsia="Times New Roman" w:cs="Times New Roman"/>
                      <w:sz w:val="21"/>
                      <w:szCs w:val="21"/>
                    </w:rPr>
                    <w:t>LD</w:t>
                  </w:r>
                  <w:r>
                    <w:rPr>
                      <w:rFonts w:ascii="Times New Roman" w:hAnsi="Times New Roman" w:eastAsia="Times New Roman" w:cs="Times New Roman"/>
                      <w:spacing w:val="3"/>
                      <w:sz w:val="21"/>
                      <w:szCs w:val="21"/>
                    </w:rPr>
                    <w:t>50</w:t>
                  </w:r>
                  <w:r>
                    <w:rPr>
                      <w:rFonts w:ascii="Times New Roman" w:hAnsi="Times New Roman" w:eastAsia="Times New Roman" w:cs="Times New Roman"/>
                      <w:spacing w:val="-23"/>
                      <w:sz w:val="21"/>
                      <w:szCs w:val="21"/>
                    </w:rPr>
                    <w:t xml:space="preserve"> </w:t>
                  </w:r>
                  <w:r>
                    <w:rPr>
                      <w:rFonts w:ascii="宋体" w:hAnsi="宋体" w:eastAsia="宋体" w:cs="宋体"/>
                      <w:spacing w:val="3"/>
                      <w:sz w:val="21"/>
                      <w:szCs w:val="21"/>
                    </w:rPr>
                    <w:t>：</w:t>
                  </w:r>
                  <w:r>
                    <w:rPr>
                      <w:rFonts w:ascii="Times New Roman" w:hAnsi="Times New Roman" w:eastAsia="Times New Roman" w:cs="Times New Roman"/>
                      <w:spacing w:val="3"/>
                      <w:sz w:val="21"/>
                      <w:szCs w:val="21"/>
                    </w:rPr>
                    <w:t>140g</w:t>
                  </w:r>
                  <w:r>
                    <w:rPr>
                      <w:rFonts w:ascii="Times New Roman" w:hAnsi="Times New Roman" w:eastAsia="Times New Roman" w:cs="Times New Roman"/>
                      <w:spacing w:val="9"/>
                      <w:position w:val="3"/>
                      <w:sz w:val="21"/>
                      <w:szCs w:val="21"/>
                    </w:rPr>
                    <w:t>/</w:t>
                  </w:r>
                  <w:r>
                    <w:rPr>
                      <w:rFonts w:ascii="Times New Roman" w:hAnsi="Times New Roman" w:eastAsia="Times New Roman" w:cs="Times New Roman"/>
                      <w:position w:val="3"/>
                      <w:sz w:val="21"/>
                      <w:szCs w:val="21"/>
                    </w:rPr>
                    <w:t>kg</w:t>
                  </w:r>
                </w:p>
                <w:p>
                  <w:pPr>
                    <w:spacing w:line="274" w:lineRule="exact"/>
                    <w:jc w:val="center"/>
                    <w:rPr>
                      <w:rFonts w:ascii="宋体" w:hAnsi="宋体" w:eastAsia="宋体" w:cs="宋体"/>
                      <w:sz w:val="21"/>
                      <w:szCs w:val="21"/>
                    </w:rPr>
                  </w:pPr>
                  <w:r>
                    <w:rPr>
                      <w:rFonts w:ascii="宋体" w:hAnsi="宋体" w:eastAsia="宋体" w:cs="宋体"/>
                      <w:spacing w:val="6"/>
                      <w:sz w:val="21"/>
                      <w:szCs w:val="21"/>
                    </w:rPr>
                    <w:t>小鼠经口</w:t>
                  </w:r>
                </w:p>
                <w:p>
                  <w:pPr>
                    <w:spacing w:before="31" w:line="274" w:lineRule="exact"/>
                    <w:jc w:val="both"/>
                    <w:rPr>
                      <w:rFonts w:ascii="Times New Roman" w:hAnsi="Times New Roman" w:eastAsia="Times New Roman" w:cs="Times New Roman"/>
                      <w:sz w:val="21"/>
                      <w:szCs w:val="21"/>
                    </w:rPr>
                  </w:pPr>
                  <w:r>
                    <w:rPr>
                      <w:rFonts w:ascii="Times New Roman" w:hAnsi="Times New Roman" w:eastAsia="Times New Roman" w:cs="Times New Roman"/>
                      <w:position w:val="3"/>
                      <w:sz w:val="21"/>
                      <w:szCs w:val="21"/>
                    </w:rPr>
                    <w:t>LD</w:t>
                  </w:r>
                  <w:r>
                    <w:rPr>
                      <w:rFonts w:ascii="Times New Roman" w:hAnsi="Times New Roman" w:eastAsia="Times New Roman" w:cs="Times New Roman"/>
                      <w:spacing w:val="3"/>
                      <w:position w:val="3"/>
                      <w:sz w:val="21"/>
                      <w:szCs w:val="21"/>
                    </w:rPr>
                    <w:t>50</w:t>
                  </w:r>
                  <w:r>
                    <w:rPr>
                      <w:rFonts w:ascii="Times New Roman" w:hAnsi="Times New Roman" w:eastAsia="Times New Roman" w:cs="Times New Roman"/>
                      <w:spacing w:val="-18"/>
                      <w:position w:val="3"/>
                      <w:sz w:val="21"/>
                      <w:szCs w:val="21"/>
                    </w:rPr>
                    <w:t xml:space="preserve"> </w:t>
                  </w:r>
                  <w:r>
                    <w:rPr>
                      <w:rFonts w:hint="eastAsia" w:eastAsia="宋体" w:cs="Times New Roman"/>
                      <w:spacing w:val="-18"/>
                      <w:position w:val="3"/>
                      <w:sz w:val="21"/>
                      <w:szCs w:val="21"/>
                      <w:lang w:eastAsia="zh-CN"/>
                    </w:rPr>
                    <w:t>:</w:t>
                  </w:r>
                  <w:r>
                    <w:rPr>
                      <w:rFonts w:ascii="Times New Roman" w:hAnsi="Times New Roman" w:eastAsia="Times New Roman" w:cs="Times New Roman"/>
                      <w:spacing w:val="3"/>
                      <w:position w:val="3"/>
                      <w:sz w:val="21"/>
                      <w:szCs w:val="21"/>
                    </w:rPr>
                    <w:t>22g/</w:t>
                  </w:r>
                  <w:r>
                    <w:rPr>
                      <w:rFonts w:ascii="Times New Roman" w:hAnsi="Times New Roman" w:eastAsia="Times New Roman" w:cs="Times New Roman"/>
                      <w:position w:val="3"/>
                      <w:sz w:val="21"/>
                      <w:szCs w:val="21"/>
                    </w:rPr>
                    <w:t>kg</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530" w:hRule="atLeast"/>
              </w:trPr>
              <w:tc>
                <w:tcPr>
                  <w:tcW w:w="438" w:type="pct"/>
                  <w:tcBorders>
                    <w:tl2br w:val="nil"/>
                    <w:tr2bl w:val="nil"/>
                  </w:tcBorders>
                  <w:vAlign w:val="center"/>
                </w:tcPr>
                <w:p>
                  <w:pPr>
                    <w:spacing w:before="65" w:line="289" w:lineRule="auto"/>
                    <w:ind w:right="136"/>
                    <w:jc w:val="center"/>
                    <w:rPr>
                      <w:rFonts w:ascii="宋体" w:hAnsi="宋体" w:eastAsia="宋体" w:cs="宋体"/>
                      <w:sz w:val="21"/>
                      <w:szCs w:val="21"/>
                    </w:rPr>
                  </w:pPr>
                  <w:r>
                    <w:rPr>
                      <w:rFonts w:ascii="宋体" w:hAnsi="宋体" w:eastAsia="宋体" w:cs="宋体"/>
                      <w:spacing w:val="-1"/>
                      <w:sz w:val="21"/>
                      <w:szCs w:val="21"/>
                    </w:rPr>
                    <w:t>医用</w:t>
                  </w:r>
                  <w:r>
                    <w:rPr>
                      <w:rFonts w:ascii="宋体" w:hAnsi="宋体" w:eastAsia="宋体" w:cs="宋体"/>
                      <w:spacing w:val="2"/>
                      <w:sz w:val="21"/>
                      <w:szCs w:val="21"/>
                    </w:rPr>
                    <w:t>酒精</w:t>
                  </w:r>
                </w:p>
              </w:tc>
              <w:tc>
                <w:tcPr>
                  <w:tcW w:w="2595" w:type="pct"/>
                  <w:tcBorders>
                    <w:tl2br w:val="nil"/>
                    <w:tr2bl w:val="nil"/>
                  </w:tcBorders>
                  <w:vAlign w:val="center"/>
                </w:tcPr>
                <w:p>
                  <w:pPr>
                    <w:spacing w:before="33" w:line="274" w:lineRule="exact"/>
                    <w:jc w:val="center"/>
                    <w:rPr>
                      <w:rFonts w:ascii="宋体" w:hAnsi="宋体" w:eastAsia="宋体" w:cs="宋体"/>
                      <w:sz w:val="21"/>
                      <w:szCs w:val="21"/>
                    </w:rPr>
                  </w:pPr>
                  <w:r>
                    <w:rPr>
                      <w:rFonts w:ascii="Times New Roman" w:hAnsi="Times New Roman" w:eastAsia="Times New Roman" w:cs="Times New Roman"/>
                      <w:spacing w:val="8"/>
                      <w:position w:val="1"/>
                      <w:sz w:val="21"/>
                      <w:szCs w:val="21"/>
                    </w:rPr>
                    <w:t>75%</w:t>
                  </w:r>
                  <w:r>
                    <w:rPr>
                      <w:rFonts w:ascii="宋体" w:hAnsi="宋体" w:eastAsia="宋体" w:cs="宋体"/>
                      <w:spacing w:val="8"/>
                      <w:position w:val="1"/>
                      <w:sz w:val="21"/>
                      <w:szCs w:val="21"/>
                    </w:rPr>
                    <w:t>酒精，无色液体，性质稳定，熔点</w:t>
                  </w:r>
                  <w:r>
                    <w:rPr>
                      <w:rFonts w:ascii="Times New Roman" w:hAnsi="Times New Roman" w:eastAsia="Times New Roman" w:cs="Times New Roman"/>
                      <w:spacing w:val="-2"/>
                      <w:position w:val="1"/>
                      <w:sz w:val="21"/>
                      <w:szCs w:val="21"/>
                    </w:rPr>
                    <w:t>-114.</w:t>
                  </w:r>
                  <w:r>
                    <w:rPr>
                      <w:rFonts w:ascii="Times New Roman" w:hAnsi="Times New Roman" w:eastAsia="Times New Roman" w:cs="Times New Roman"/>
                      <w:spacing w:val="-8"/>
                      <w:position w:val="1"/>
                      <w:sz w:val="21"/>
                      <w:szCs w:val="21"/>
                    </w:rPr>
                    <w:t xml:space="preserve"> </w:t>
                  </w:r>
                  <w:r>
                    <w:rPr>
                      <w:rFonts w:ascii="Times New Roman" w:hAnsi="Times New Roman" w:eastAsia="Times New Roman" w:cs="Times New Roman"/>
                      <w:spacing w:val="-2"/>
                      <w:position w:val="1"/>
                      <w:sz w:val="21"/>
                      <w:szCs w:val="21"/>
                    </w:rPr>
                    <w:t>1</w:t>
                  </w:r>
                  <w:r>
                    <w:rPr>
                      <w:rFonts w:ascii="宋体" w:hAnsi="宋体" w:eastAsia="宋体" w:cs="宋体"/>
                      <w:spacing w:val="-2"/>
                      <w:position w:val="1"/>
                      <w:sz w:val="21"/>
                      <w:szCs w:val="21"/>
                    </w:rPr>
                    <w:t>℃</w:t>
                  </w:r>
                  <w:r>
                    <w:rPr>
                      <w:rFonts w:ascii="宋体" w:hAnsi="宋体" w:eastAsia="宋体" w:cs="宋体"/>
                      <w:spacing w:val="-78"/>
                      <w:position w:val="1"/>
                      <w:sz w:val="21"/>
                      <w:szCs w:val="21"/>
                    </w:rPr>
                    <w:t xml:space="preserve"> </w:t>
                  </w:r>
                  <w:r>
                    <w:rPr>
                      <w:rFonts w:hint="eastAsia" w:ascii="宋体" w:hAnsi="宋体" w:cs="宋体"/>
                      <w:spacing w:val="-78"/>
                      <w:position w:val="1"/>
                      <w:sz w:val="21"/>
                      <w:szCs w:val="21"/>
                      <w:lang w:eastAsia="zh-CN"/>
                    </w:rPr>
                    <w:t>，</w:t>
                  </w:r>
                  <w:r>
                    <w:rPr>
                      <w:rFonts w:ascii="宋体" w:hAnsi="宋体" w:eastAsia="宋体" w:cs="宋体"/>
                      <w:spacing w:val="-2"/>
                      <w:position w:val="1"/>
                      <w:sz w:val="21"/>
                      <w:szCs w:val="21"/>
                    </w:rPr>
                    <w:t>沸点</w:t>
                  </w:r>
                  <w:r>
                    <w:rPr>
                      <w:rFonts w:ascii="宋体" w:hAnsi="宋体" w:eastAsia="宋体" w:cs="宋体"/>
                      <w:spacing w:val="-40"/>
                      <w:position w:val="1"/>
                      <w:sz w:val="21"/>
                      <w:szCs w:val="21"/>
                    </w:rPr>
                    <w:t xml:space="preserve"> </w:t>
                  </w:r>
                  <w:r>
                    <w:rPr>
                      <w:rFonts w:ascii="Times New Roman" w:hAnsi="Times New Roman" w:eastAsia="Times New Roman" w:cs="Times New Roman"/>
                      <w:spacing w:val="-2"/>
                      <w:position w:val="1"/>
                      <w:sz w:val="21"/>
                      <w:szCs w:val="21"/>
                    </w:rPr>
                    <w:t>78.3</w:t>
                  </w:r>
                  <w:r>
                    <w:rPr>
                      <w:rFonts w:ascii="宋体" w:hAnsi="宋体" w:eastAsia="宋体" w:cs="宋体"/>
                      <w:spacing w:val="-2"/>
                      <w:position w:val="1"/>
                      <w:sz w:val="21"/>
                      <w:szCs w:val="21"/>
                    </w:rPr>
                    <w:t>℃</w:t>
                  </w:r>
                  <w:r>
                    <w:rPr>
                      <w:rFonts w:ascii="宋体" w:hAnsi="宋体" w:eastAsia="宋体" w:cs="宋体"/>
                      <w:spacing w:val="-77"/>
                      <w:position w:val="1"/>
                      <w:sz w:val="21"/>
                      <w:szCs w:val="21"/>
                    </w:rPr>
                    <w:t xml:space="preserve"> </w:t>
                  </w:r>
                  <w:r>
                    <w:rPr>
                      <w:rFonts w:hint="eastAsia" w:ascii="宋体" w:hAnsi="宋体" w:cs="宋体"/>
                      <w:spacing w:val="-77"/>
                      <w:position w:val="1"/>
                      <w:sz w:val="21"/>
                      <w:szCs w:val="21"/>
                      <w:lang w:eastAsia="zh-CN"/>
                    </w:rPr>
                    <w:t>，</w:t>
                  </w:r>
                  <w:r>
                    <w:rPr>
                      <w:rFonts w:ascii="宋体" w:hAnsi="宋体" w:eastAsia="宋体" w:cs="宋体"/>
                      <w:spacing w:val="-2"/>
                      <w:position w:val="1"/>
                      <w:sz w:val="21"/>
                      <w:szCs w:val="21"/>
                    </w:rPr>
                    <w:t>相对密度（水</w:t>
                  </w:r>
                  <w:r>
                    <w:rPr>
                      <w:rFonts w:ascii="Times New Roman" w:hAnsi="Times New Roman" w:eastAsia="Times New Roman" w:cs="Times New Roman"/>
                      <w:spacing w:val="-2"/>
                      <w:position w:val="1"/>
                      <w:sz w:val="21"/>
                      <w:szCs w:val="21"/>
                    </w:rPr>
                    <w:t>=1</w:t>
                  </w:r>
                  <w:r>
                    <w:rPr>
                      <w:rFonts w:ascii="宋体" w:hAnsi="宋体" w:eastAsia="宋体" w:cs="宋体"/>
                      <w:spacing w:val="-2"/>
                      <w:position w:val="1"/>
                      <w:sz w:val="21"/>
                      <w:szCs w:val="21"/>
                    </w:rPr>
                    <w:t>）</w:t>
                  </w:r>
                  <w:r>
                    <w:rPr>
                      <w:rFonts w:ascii="Times New Roman" w:hAnsi="Times New Roman" w:eastAsia="Times New Roman" w:cs="Times New Roman"/>
                      <w:spacing w:val="4"/>
                      <w:position w:val="1"/>
                      <w:sz w:val="21"/>
                      <w:szCs w:val="21"/>
                    </w:rPr>
                    <w:t>0.79</w:t>
                  </w:r>
                  <w:r>
                    <w:rPr>
                      <w:rFonts w:ascii="Times New Roman" w:hAnsi="Times New Roman" w:eastAsia="Times New Roman" w:cs="Times New Roman"/>
                      <w:spacing w:val="-22"/>
                      <w:position w:val="1"/>
                      <w:sz w:val="21"/>
                      <w:szCs w:val="21"/>
                    </w:rPr>
                    <w:t xml:space="preserve"> </w:t>
                  </w:r>
                  <w:r>
                    <w:rPr>
                      <w:rFonts w:ascii="宋体" w:hAnsi="宋体" w:eastAsia="宋体" w:cs="宋体"/>
                      <w:spacing w:val="4"/>
                      <w:position w:val="1"/>
                      <w:sz w:val="21"/>
                      <w:szCs w:val="21"/>
                    </w:rPr>
                    <w:t>，相对空气（水</w:t>
                  </w:r>
                  <w:r>
                    <w:rPr>
                      <w:rFonts w:ascii="Times New Roman" w:hAnsi="Times New Roman" w:eastAsia="Times New Roman" w:cs="Times New Roman"/>
                      <w:spacing w:val="4"/>
                      <w:position w:val="1"/>
                      <w:sz w:val="21"/>
                      <w:szCs w:val="21"/>
                    </w:rPr>
                    <w:t>=1</w:t>
                  </w:r>
                  <w:r>
                    <w:rPr>
                      <w:rFonts w:ascii="宋体" w:hAnsi="宋体" w:eastAsia="宋体" w:cs="宋体"/>
                      <w:spacing w:val="4"/>
                      <w:position w:val="1"/>
                      <w:sz w:val="21"/>
                      <w:szCs w:val="21"/>
                    </w:rPr>
                    <w:t>）</w:t>
                  </w:r>
                  <w:r>
                    <w:rPr>
                      <w:rFonts w:ascii="Times New Roman" w:hAnsi="Times New Roman" w:eastAsia="Times New Roman" w:cs="Times New Roman"/>
                      <w:spacing w:val="4"/>
                      <w:position w:val="1"/>
                      <w:sz w:val="21"/>
                      <w:szCs w:val="21"/>
                    </w:rPr>
                    <w:t>1.59</w:t>
                  </w:r>
                  <w:r>
                    <w:rPr>
                      <w:rFonts w:ascii="Times New Roman" w:hAnsi="Times New Roman" w:eastAsia="Times New Roman" w:cs="Times New Roman"/>
                      <w:spacing w:val="-26"/>
                      <w:position w:val="1"/>
                      <w:sz w:val="21"/>
                      <w:szCs w:val="21"/>
                    </w:rPr>
                    <w:t xml:space="preserve"> </w:t>
                  </w:r>
                  <w:r>
                    <w:rPr>
                      <w:rFonts w:ascii="宋体" w:hAnsi="宋体" w:eastAsia="宋体" w:cs="宋体"/>
                      <w:spacing w:val="4"/>
                      <w:position w:val="1"/>
                      <w:sz w:val="21"/>
                      <w:szCs w:val="21"/>
                    </w:rPr>
                    <w:t>，</w:t>
                  </w:r>
                  <w:r>
                    <w:rPr>
                      <w:rFonts w:ascii="Times New Roman" w:hAnsi="Times New Roman" w:eastAsia="Times New Roman" w:cs="Times New Roman"/>
                      <w:spacing w:val="4"/>
                      <w:position w:val="1"/>
                      <w:sz w:val="21"/>
                      <w:szCs w:val="21"/>
                    </w:rPr>
                    <w:t>5.33/19</w:t>
                  </w:r>
                  <w:r>
                    <w:rPr>
                      <w:rFonts w:ascii="宋体" w:hAnsi="宋体" w:eastAsia="宋体" w:cs="宋体"/>
                      <w:spacing w:val="4"/>
                      <w:position w:val="1"/>
                      <w:sz w:val="21"/>
                      <w:szCs w:val="21"/>
                    </w:rPr>
                    <w:t>℃</w:t>
                  </w:r>
                  <w:r>
                    <w:rPr>
                      <w:rFonts w:ascii="宋体" w:hAnsi="宋体" w:eastAsia="宋体" w:cs="宋体"/>
                      <w:spacing w:val="-75"/>
                      <w:position w:val="1"/>
                      <w:sz w:val="21"/>
                      <w:szCs w:val="21"/>
                    </w:rPr>
                    <w:t xml:space="preserve"> </w:t>
                  </w:r>
                  <w:r>
                    <w:rPr>
                      <w:rFonts w:hint="eastAsia" w:ascii="宋体" w:hAnsi="宋体" w:cs="宋体"/>
                      <w:spacing w:val="-75"/>
                      <w:position w:val="1"/>
                      <w:sz w:val="21"/>
                      <w:szCs w:val="21"/>
                      <w:lang w:eastAsia="zh-CN"/>
                    </w:rPr>
                    <w:t>，</w:t>
                  </w:r>
                  <w:r>
                    <w:rPr>
                      <w:rFonts w:ascii="宋体" w:hAnsi="宋体" w:eastAsia="宋体" w:cs="宋体"/>
                      <w:spacing w:val="-2"/>
                      <w:position w:val="1"/>
                      <w:sz w:val="21"/>
                      <w:szCs w:val="21"/>
                    </w:rPr>
                    <w:t>闪点</w:t>
                  </w:r>
                  <w:r>
                    <w:rPr>
                      <w:rFonts w:ascii="宋体" w:hAnsi="宋体" w:eastAsia="宋体" w:cs="宋体"/>
                      <w:spacing w:val="-14"/>
                      <w:position w:val="1"/>
                      <w:sz w:val="21"/>
                      <w:szCs w:val="21"/>
                    </w:rPr>
                    <w:t xml:space="preserve"> </w:t>
                  </w:r>
                  <w:r>
                    <w:rPr>
                      <w:rFonts w:ascii="Times New Roman" w:hAnsi="Times New Roman" w:eastAsia="Times New Roman" w:cs="Times New Roman"/>
                      <w:spacing w:val="-2"/>
                      <w:position w:val="1"/>
                      <w:sz w:val="21"/>
                      <w:szCs w:val="21"/>
                    </w:rPr>
                    <w:t>12</w:t>
                  </w:r>
                  <w:r>
                    <w:rPr>
                      <w:rFonts w:ascii="宋体" w:hAnsi="宋体" w:eastAsia="宋体" w:cs="宋体"/>
                      <w:spacing w:val="-2"/>
                      <w:position w:val="1"/>
                      <w:sz w:val="21"/>
                      <w:szCs w:val="21"/>
                    </w:rPr>
                    <w:t>℃</w:t>
                  </w:r>
                  <w:r>
                    <w:rPr>
                      <w:rFonts w:ascii="宋体" w:hAnsi="宋体" w:eastAsia="宋体" w:cs="宋体"/>
                      <w:spacing w:val="-77"/>
                      <w:position w:val="1"/>
                      <w:sz w:val="21"/>
                      <w:szCs w:val="21"/>
                    </w:rPr>
                    <w:t xml:space="preserve"> </w:t>
                  </w:r>
                  <w:r>
                    <w:rPr>
                      <w:rFonts w:ascii="宋体" w:hAnsi="宋体" w:eastAsia="宋体" w:cs="宋体"/>
                      <w:spacing w:val="-2"/>
                      <w:position w:val="1"/>
                      <w:sz w:val="21"/>
                      <w:szCs w:val="21"/>
                    </w:rPr>
                    <w:t>,</w:t>
                  </w:r>
                  <w:r>
                    <w:rPr>
                      <w:rFonts w:ascii="宋体" w:hAnsi="宋体" w:eastAsia="宋体" w:cs="宋体"/>
                      <w:spacing w:val="28"/>
                      <w:position w:val="1"/>
                      <w:sz w:val="21"/>
                      <w:szCs w:val="21"/>
                    </w:rPr>
                    <w:t xml:space="preserve"> </w:t>
                  </w:r>
                  <w:r>
                    <w:rPr>
                      <w:rFonts w:ascii="宋体" w:hAnsi="宋体" w:eastAsia="宋体" w:cs="宋体"/>
                      <w:spacing w:val="-2"/>
                      <w:position w:val="1"/>
                      <w:sz w:val="21"/>
                      <w:szCs w:val="21"/>
                    </w:rPr>
                    <w:t>与水混溶，可混淆与醚、氯仿、</w:t>
                  </w:r>
                  <w:r>
                    <w:rPr>
                      <w:rFonts w:ascii="宋体" w:hAnsi="宋体" w:eastAsia="宋体" w:cs="宋体"/>
                      <w:spacing w:val="9"/>
                      <w:sz w:val="21"/>
                      <w:szCs w:val="21"/>
                    </w:rPr>
                    <w:t>甘油等多数有机溶剂，用于制酒工业、有</w:t>
                  </w:r>
                  <w:r>
                    <w:rPr>
                      <w:rFonts w:ascii="宋体" w:hAnsi="宋体" w:eastAsia="宋体" w:cs="宋体"/>
                      <w:spacing w:val="7"/>
                      <w:sz w:val="21"/>
                      <w:szCs w:val="21"/>
                    </w:rPr>
                    <w:t>机合成等</w:t>
                  </w:r>
                </w:p>
              </w:tc>
              <w:tc>
                <w:tcPr>
                  <w:tcW w:w="995" w:type="pct"/>
                  <w:tcBorders>
                    <w:tl2br w:val="nil"/>
                    <w:tr2bl w:val="nil"/>
                  </w:tcBorders>
                  <w:vAlign w:val="center"/>
                </w:tcPr>
                <w:p>
                  <w:pPr>
                    <w:spacing w:before="65" w:line="290" w:lineRule="auto"/>
                    <w:ind w:right="105"/>
                    <w:jc w:val="center"/>
                    <w:rPr>
                      <w:rFonts w:ascii="宋体" w:hAnsi="宋体" w:eastAsia="宋体" w:cs="宋体"/>
                      <w:sz w:val="21"/>
                      <w:szCs w:val="21"/>
                    </w:rPr>
                  </w:pPr>
                  <w:r>
                    <w:rPr>
                      <w:rFonts w:ascii="宋体" w:hAnsi="宋体" w:eastAsia="宋体" w:cs="宋体"/>
                      <w:spacing w:val="5"/>
                      <w:sz w:val="21"/>
                      <w:szCs w:val="21"/>
                    </w:rPr>
                    <w:t>易燃，具刺激</w:t>
                  </w:r>
                  <w:r>
                    <w:rPr>
                      <w:rFonts w:ascii="宋体" w:hAnsi="宋体" w:eastAsia="宋体" w:cs="宋体"/>
                      <w:sz w:val="21"/>
                      <w:szCs w:val="21"/>
                    </w:rPr>
                    <w:t>性</w:t>
                  </w:r>
                </w:p>
              </w:tc>
              <w:tc>
                <w:tcPr>
                  <w:tcW w:w="970" w:type="pct"/>
                  <w:tcBorders>
                    <w:tl2br w:val="nil"/>
                    <w:tr2bl w:val="nil"/>
                  </w:tcBorders>
                  <w:vAlign w:val="center"/>
                </w:tcPr>
                <w:p>
                  <w:pPr>
                    <w:spacing w:before="65" w:line="274" w:lineRule="exact"/>
                    <w:jc w:val="center"/>
                    <w:rPr>
                      <w:rFonts w:ascii="宋体" w:hAnsi="宋体" w:eastAsia="宋体" w:cs="宋体"/>
                      <w:sz w:val="21"/>
                      <w:szCs w:val="21"/>
                    </w:rPr>
                  </w:pPr>
                  <w:r>
                    <w:rPr>
                      <w:rFonts w:ascii="Times New Roman" w:hAnsi="Times New Roman" w:eastAsia="Times New Roman" w:cs="Times New Roman"/>
                      <w:position w:val="2"/>
                      <w:sz w:val="21"/>
                      <w:szCs w:val="21"/>
                    </w:rPr>
                    <w:t>LC</w:t>
                  </w:r>
                  <w:r>
                    <w:rPr>
                      <w:rFonts w:ascii="Times New Roman" w:hAnsi="Times New Roman" w:eastAsia="Times New Roman" w:cs="Times New Roman"/>
                      <w:spacing w:val="5"/>
                      <w:position w:val="2"/>
                      <w:sz w:val="21"/>
                      <w:szCs w:val="21"/>
                    </w:rPr>
                    <w:t>50</w:t>
                  </w:r>
                  <w:r>
                    <w:rPr>
                      <w:rFonts w:hint="eastAsia" w:eastAsia="宋体" w:cs="Times New Roman"/>
                      <w:spacing w:val="5"/>
                      <w:position w:val="2"/>
                      <w:sz w:val="21"/>
                      <w:szCs w:val="21"/>
                      <w:lang w:eastAsia="zh-CN"/>
                    </w:rPr>
                    <w:t>:</w:t>
                  </w:r>
                </w:p>
                <w:p>
                  <w:pPr>
                    <w:spacing w:before="37" w:line="275" w:lineRule="exact"/>
                    <w:ind w:left="121"/>
                    <w:jc w:val="center"/>
                    <w:rPr>
                      <w:rFonts w:ascii="Times New Roman" w:hAnsi="Times New Roman" w:eastAsia="Times New Roman" w:cs="Times New Roman"/>
                      <w:sz w:val="21"/>
                      <w:szCs w:val="21"/>
                    </w:rPr>
                  </w:pPr>
                  <w:r>
                    <w:rPr>
                      <w:rFonts w:ascii="Times New Roman" w:hAnsi="Times New Roman" w:eastAsia="Times New Roman" w:cs="Times New Roman"/>
                      <w:spacing w:val="2"/>
                      <w:position w:val="3"/>
                      <w:sz w:val="21"/>
                      <w:szCs w:val="21"/>
                    </w:rPr>
                    <w:t>37620</w:t>
                  </w:r>
                  <w:r>
                    <w:rPr>
                      <w:rFonts w:ascii="Times New Roman" w:hAnsi="Times New Roman" w:eastAsia="Times New Roman" w:cs="Times New Roman"/>
                      <w:position w:val="3"/>
                      <w:sz w:val="21"/>
                      <w:szCs w:val="21"/>
                    </w:rPr>
                    <w:t>mg</w:t>
                  </w:r>
                  <w:r>
                    <w:rPr>
                      <w:rFonts w:ascii="Times New Roman" w:hAnsi="Times New Roman" w:eastAsia="Times New Roman" w:cs="Times New Roman"/>
                      <w:spacing w:val="2"/>
                      <w:position w:val="3"/>
                      <w:sz w:val="21"/>
                      <w:szCs w:val="21"/>
                    </w:rPr>
                    <w:t>/m</w:t>
                  </w:r>
                  <w:r>
                    <w:rPr>
                      <w:rFonts w:hint="eastAsia" w:ascii="Times New Roman" w:hAnsi="Times New Roman" w:eastAsia="宋体" w:cs="Times New Roman"/>
                      <w:spacing w:val="2"/>
                      <w:position w:val="3"/>
                      <w:sz w:val="21"/>
                      <w:szCs w:val="21"/>
                      <w:vertAlign w:val="superscript"/>
                      <w:lang w:val="en-US" w:eastAsia="zh-CN"/>
                    </w:rPr>
                    <w:t>3</w:t>
                  </w:r>
                  <w:r>
                    <w:rPr>
                      <w:rFonts w:hint="eastAsia" w:cs="Times New Roman"/>
                      <w:spacing w:val="2"/>
                      <w:position w:val="3"/>
                      <w:sz w:val="21"/>
                      <w:szCs w:val="21"/>
                      <w:vertAlign w:val="superscript"/>
                      <w:lang w:val="en-US" w:eastAsia="zh-CN"/>
                    </w:rPr>
                    <w:t>,</w:t>
                  </w:r>
                  <w:r>
                    <w:rPr>
                      <w:rFonts w:ascii="Times New Roman" w:hAnsi="Times New Roman" w:eastAsia="Times New Roman" w:cs="Times New Roman"/>
                      <w:spacing w:val="2"/>
                      <w:position w:val="3"/>
                      <w:sz w:val="21"/>
                      <w:szCs w:val="21"/>
                    </w:rPr>
                    <w:t>10</w:t>
                  </w:r>
                </w:p>
                <w:p>
                  <w:pPr>
                    <w:spacing w:before="68" w:line="229" w:lineRule="auto"/>
                    <w:jc w:val="center"/>
                    <w:rPr>
                      <w:rFonts w:ascii="宋体" w:hAnsi="宋体" w:eastAsia="宋体" w:cs="宋体"/>
                      <w:sz w:val="21"/>
                      <w:szCs w:val="21"/>
                    </w:rPr>
                  </w:pPr>
                  <w:r>
                    <w:rPr>
                      <w:rFonts w:ascii="宋体" w:hAnsi="宋体" w:eastAsia="宋体" w:cs="宋体"/>
                      <w:spacing w:val="7"/>
                      <w:sz w:val="21"/>
                      <w:szCs w:val="21"/>
                    </w:rPr>
                    <w:t>小时（大鼠吸</w:t>
                  </w:r>
                  <w:r>
                    <w:rPr>
                      <w:rFonts w:ascii="宋体" w:hAnsi="宋体" w:eastAsia="宋体" w:cs="宋体"/>
                      <w:sz w:val="21"/>
                      <w:szCs w:val="21"/>
                    </w:rPr>
                    <w:t>入）</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561" w:hRule="atLeast"/>
              </w:trPr>
              <w:tc>
                <w:tcPr>
                  <w:tcW w:w="438" w:type="pct"/>
                  <w:tcBorders>
                    <w:tl2br w:val="nil"/>
                    <w:tr2bl w:val="nil"/>
                  </w:tcBorders>
                  <w:vAlign w:val="center"/>
                </w:tcPr>
                <w:p>
                  <w:pPr>
                    <w:spacing w:before="65" w:line="290" w:lineRule="auto"/>
                    <w:ind w:right="136"/>
                    <w:jc w:val="center"/>
                    <w:rPr>
                      <w:rFonts w:ascii="宋体" w:hAnsi="宋体" w:eastAsia="宋体" w:cs="宋体"/>
                      <w:sz w:val="21"/>
                      <w:szCs w:val="21"/>
                    </w:rPr>
                  </w:pPr>
                  <w:r>
                    <w:rPr>
                      <w:rFonts w:ascii="宋体" w:hAnsi="宋体" w:eastAsia="宋体" w:cs="宋体"/>
                      <w:spacing w:val="2"/>
                      <w:sz w:val="21"/>
                      <w:szCs w:val="21"/>
                    </w:rPr>
                    <w:t>次氯</w:t>
                  </w:r>
                  <w:r>
                    <w:rPr>
                      <w:rFonts w:ascii="宋体" w:hAnsi="宋体" w:eastAsia="宋体" w:cs="宋体"/>
                      <w:spacing w:val="4"/>
                      <w:sz w:val="21"/>
                      <w:szCs w:val="21"/>
                    </w:rPr>
                    <w:t>酸钠</w:t>
                  </w:r>
                </w:p>
              </w:tc>
              <w:tc>
                <w:tcPr>
                  <w:tcW w:w="2595" w:type="pct"/>
                  <w:tcBorders>
                    <w:tl2br w:val="nil"/>
                    <w:tr2bl w:val="nil"/>
                  </w:tcBorders>
                  <w:vAlign w:val="center"/>
                </w:tcPr>
                <w:p>
                  <w:pPr>
                    <w:spacing w:before="38" w:line="274" w:lineRule="exact"/>
                    <w:ind w:left="103"/>
                    <w:jc w:val="center"/>
                    <w:rPr>
                      <w:rFonts w:ascii="宋体" w:hAnsi="宋体" w:eastAsia="宋体" w:cs="宋体"/>
                      <w:sz w:val="21"/>
                      <w:szCs w:val="21"/>
                    </w:rPr>
                  </w:pPr>
                  <w:r>
                    <w:rPr>
                      <w:rFonts w:ascii="Times New Roman" w:hAnsi="Times New Roman" w:eastAsia="Times New Roman" w:cs="Times New Roman"/>
                      <w:position w:val="1"/>
                      <w:sz w:val="21"/>
                      <w:szCs w:val="21"/>
                    </w:rPr>
                    <w:t>CAS</w:t>
                  </w:r>
                  <w:r>
                    <w:rPr>
                      <w:rFonts w:ascii="宋体" w:hAnsi="宋体" w:eastAsia="宋体" w:cs="宋体"/>
                      <w:spacing w:val="5"/>
                      <w:position w:val="1"/>
                      <w:sz w:val="21"/>
                      <w:szCs w:val="21"/>
                    </w:rPr>
                    <w:t>号：</w:t>
                  </w:r>
                  <w:r>
                    <w:rPr>
                      <w:rFonts w:ascii="Times New Roman" w:hAnsi="Times New Roman" w:eastAsia="Times New Roman" w:cs="Times New Roman"/>
                      <w:spacing w:val="5"/>
                      <w:position w:val="1"/>
                      <w:sz w:val="21"/>
                      <w:szCs w:val="21"/>
                    </w:rPr>
                    <w:t>7681-52-9</w:t>
                  </w:r>
                  <w:r>
                    <w:rPr>
                      <w:rFonts w:ascii="Times New Roman" w:hAnsi="Times New Roman" w:eastAsia="Times New Roman" w:cs="Times New Roman"/>
                      <w:spacing w:val="-24"/>
                      <w:position w:val="1"/>
                      <w:sz w:val="21"/>
                      <w:szCs w:val="21"/>
                    </w:rPr>
                    <w:t xml:space="preserve"> </w:t>
                  </w:r>
                  <w:r>
                    <w:rPr>
                      <w:rFonts w:ascii="宋体" w:hAnsi="宋体" w:eastAsia="宋体" w:cs="宋体"/>
                      <w:spacing w:val="5"/>
                      <w:position w:val="1"/>
                      <w:sz w:val="21"/>
                      <w:szCs w:val="21"/>
                    </w:rPr>
                    <w:t>，外观及性态：微黄色</w:t>
                  </w:r>
                  <w:r>
                    <w:rPr>
                      <w:rFonts w:ascii="宋体" w:hAnsi="宋体" w:eastAsia="宋体" w:cs="宋体"/>
                      <w:spacing w:val="8"/>
                      <w:sz w:val="21"/>
                      <w:szCs w:val="21"/>
                    </w:rPr>
                    <w:t>溶液或白色粉末固体，有似氯气的气味，</w:t>
                  </w:r>
                  <w:r>
                    <w:rPr>
                      <w:rFonts w:ascii="宋体" w:hAnsi="宋体" w:eastAsia="宋体" w:cs="宋体"/>
                      <w:position w:val="1"/>
                      <w:sz w:val="21"/>
                      <w:szCs w:val="21"/>
                    </w:rPr>
                    <w:t xml:space="preserve">熔点 </w:t>
                  </w:r>
                  <w:r>
                    <w:rPr>
                      <w:rFonts w:hint="eastAsia" w:ascii="宋体" w:hAnsi="宋体" w:cs="宋体"/>
                      <w:position w:val="1"/>
                      <w:sz w:val="21"/>
                      <w:szCs w:val="21"/>
                      <w:lang w:eastAsia="zh-CN"/>
                    </w:rPr>
                    <w:t>（</w:t>
                  </w:r>
                  <w:r>
                    <w:rPr>
                      <w:rFonts w:ascii="宋体" w:hAnsi="宋体" w:eastAsia="宋体" w:cs="宋体"/>
                      <w:position w:val="1"/>
                      <w:sz w:val="21"/>
                      <w:szCs w:val="21"/>
                    </w:rPr>
                    <w:t>℃</w:t>
                  </w:r>
                  <w:r>
                    <w:rPr>
                      <w:rFonts w:hint="eastAsia" w:ascii="宋体" w:hAnsi="宋体" w:cs="宋体"/>
                      <w:position w:val="1"/>
                      <w:sz w:val="21"/>
                      <w:szCs w:val="21"/>
                      <w:lang w:eastAsia="zh-CN"/>
                    </w:rPr>
                    <w:t>）</w:t>
                  </w:r>
                  <w:r>
                    <w:rPr>
                      <w:rFonts w:ascii="宋体" w:hAnsi="宋体" w:eastAsia="宋体" w:cs="宋体"/>
                      <w:position w:val="1"/>
                      <w:sz w:val="21"/>
                      <w:szCs w:val="21"/>
                    </w:rPr>
                    <w:t>：</w:t>
                  </w:r>
                  <w:r>
                    <w:rPr>
                      <w:rFonts w:ascii="Times New Roman" w:hAnsi="Times New Roman" w:eastAsia="Times New Roman" w:cs="Times New Roman"/>
                      <w:position w:val="1"/>
                      <w:sz w:val="21"/>
                      <w:szCs w:val="21"/>
                    </w:rPr>
                    <w:t>-6</w:t>
                  </w:r>
                  <w:r>
                    <w:rPr>
                      <w:rFonts w:ascii="Times New Roman" w:hAnsi="Times New Roman" w:eastAsia="Times New Roman" w:cs="Times New Roman"/>
                      <w:spacing w:val="-26"/>
                      <w:position w:val="1"/>
                      <w:sz w:val="21"/>
                      <w:szCs w:val="21"/>
                    </w:rPr>
                    <w:t xml:space="preserve"> </w:t>
                  </w:r>
                  <w:r>
                    <w:rPr>
                      <w:rFonts w:ascii="宋体" w:hAnsi="宋体" w:eastAsia="宋体" w:cs="宋体"/>
                      <w:position w:val="1"/>
                      <w:sz w:val="21"/>
                      <w:szCs w:val="21"/>
                    </w:rPr>
                    <w:t>，沸点</w:t>
                  </w:r>
                  <w:r>
                    <w:rPr>
                      <w:rFonts w:ascii="宋体" w:hAnsi="宋体" w:eastAsia="宋体" w:cs="宋体"/>
                      <w:spacing w:val="20"/>
                      <w:position w:val="1"/>
                      <w:sz w:val="21"/>
                      <w:szCs w:val="21"/>
                    </w:rPr>
                    <w:t xml:space="preserve"> </w:t>
                  </w:r>
                  <w:r>
                    <w:rPr>
                      <w:rFonts w:hint="eastAsia" w:ascii="宋体" w:hAnsi="宋体" w:cs="宋体"/>
                      <w:position w:val="1"/>
                      <w:sz w:val="21"/>
                      <w:szCs w:val="21"/>
                      <w:lang w:eastAsia="zh-CN"/>
                    </w:rPr>
                    <w:t>（</w:t>
                  </w:r>
                  <w:r>
                    <w:rPr>
                      <w:rFonts w:ascii="宋体" w:hAnsi="宋体" w:eastAsia="宋体" w:cs="宋体"/>
                      <w:position w:val="1"/>
                      <w:sz w:val="21"/>
                      <w:szCs w:val="21"/>
                    </w:rPr>
                    <w:t>℃</w:t>
                  </w:r>
                  <w:r>
                    <w:rPr>
                      <w:rFonts w:hint="eastAsia" w:ascii="宋体" w:hAnsi="宋体" w:cs="宋体"/>
                      <w:position w:val="1"/>
                      <w:sz w:val="21"/>
                      <w:szCs w:val="21"/>
                      <w:lang w:eastAsia="zh-CN"/>
                    </w:rPr>
                    <w:t>）</w:t>
                  </w:r>
                  <w:r>
                    <w:rPr>
                      <w:rFonts w:ascii="宋体" w:hAnsi="宋体" w:eastAsia="宋体" w:cs="宋体"/>
                      <w:position w:val="1"/>
                      <w:sz w:val="21"/>
                      <w:szCs w:val="21"/>
                    </w:rPr>
                    <w:t>：</w:t>
                  </w:r>
                  <w:r>
                    <w:rPr>
                      <w:rFonts w:ascii="Times New Roman" w:hAnsi="Times New Roman" w:eastAsia="Times New Roman" w:cs="Times New Roman"/>
                      <w:position w:val="1"/>
                      <w:sz w:val="21"/>
                      <w:szCs w:val="21"/>
                    </w:rPr>
                    <w:t>102.2</w:t>
                  </w:r>
                  <w:r>
                    <w:rPr>
                      <w:rFonts w:ascii="Times New Roman" w:hAnsi="Times New Roman" w:eastAsia="Times New Roman" w:cs="Times New Roman"/>
                      <w:spacing w:val="-26"/>
                      <w:position w:val="1"/>
                      <w:sz w:val="21"/>
                      <w:szCs w:val="21"/>
                    </w:rPr>
                    <w:t xml:space="preserve"> </w:t>
                  </w:r>
                  <w:r>
                    <w:rPr>
                      <w:rFonts w:ascii="宋体" w:hAnsi="宋体" w:eastAsia="宋体" w:cs="宋体"/>
                      <w:position w:val="1"/>
                      <w:sz w:val="21"/>
                      <w:szCs w:val="21"/>
                    </w:rPr>
                    <w:t>，相</w:t>
                  </w:r>
                  <w:r>
                    <w:rPr>
                      <w:rFonts w:ascii="宋体" w:hAnsi="宋体" w:eastAsia="宋体" w:cs="宋体"/>
                      <w:spacing w:val="5"/>
                      <w:position w:val="1"/>
                      <w:sz w:val="21"/>
                      <w:szCs w:val="21"/>
                    </w:rPr>
                    <w:t>对密度（水</w:t>
                  </w:r>
                  <w:r>
                    <w:rPr>
                      <w:rFonts w:ascii="Times New Roman" w:hAnsi="Times New Roman" w:eastAsia="Times New Roman" w:cs="Times New Roman"/>
                      <w:spacing w:val="5"/>
                      <w:position w:val="1"/>
                      <w:sz w:val="21"/>
                      <w:szCs w:val="21"/>
                    </w:rPr>
                    <w:t>=1</w:t>
                  </w:r>
                  <w:r>
                    <w:rPr>
                      <w:rFonts w:ascii="宋体" w:hAnsi="宋体" w:eastAsia="宋体" w:cs="宋体"/>
                      <w:spacing w:val="25"/>
                      <w:position w:val="1"/>
                      <w:sz w:val="21"/>
                      <w:szCs w:val="21"/>
                    </w:rPr>
                    <w:t>）：</w:t>
                  </w:r>
                  <w:r>
                    <w:rPr>
                      <w:rFonts w:ascii="Times New Roman" w:hAnsi="Times New Roman" w:eastAsia="Times New Roman" w:cs="Times New Roman"/>
                      <w:spacing w:val="5"/>
                      <w:position w:val="1"/>
                      <w:sz w:val="21"/>
                      <w:szCs w:val="21"/>
                    </w:rPr>
                    <w:t>1.10</w:t>
                  </w:r>
                  <w:r>
                    <w:rPr>
                      <w:rFonts w:ascii="Times New Roman" w:hAnsi="Times New Roman" w:eastAsia="Times New Roman" w:cs="Times New Roman"/>
                      <w:spacing w:val="-27"/>
                      <w:position w:val="1"/>
                      <w:sz w:val="21"/>
                      <w:szCs w:val="21"/>
                    </w:rPr>
                    <w:t xml:space="preserve"> </w:t>
                  </w:r>
                  <w:r>
                    <w:rPr>
                      <w:rFonts w:ascii="宋体" w:hAnsi="宋体" w:eastAsia="宋体" w:cs="宋体"/>
                      <w:spacing w:val="5"/>
                      <w:position w:val="1"/>
                      <w:sz w:val="21"/>
                      <w:szCs w:val="21"/>
                    </w:rPr>
                    <w:t>，相对密度（空气</w:t>
                  </w:r>
                  <w:r>
                    <w:rPr>
                      <w:rFonts w:ascii="Times New Roman" w:hAnsi="Times New Roman" w:eastAsia="Times New Roman" w:cs="Times New Roman"/>
                      <w:spacing w:val="4"/>
                      <w:position w:val="1"/>
                      <w:sz w:val="21"/>
                      <w:szCs w:val="21"/>
                    </w:rPr>
                    <w:t>=1</w:t>
                  </w:r>
                  <w:r>
                    <w:rPr>
                      <w:rFonts w:ascii="宋体" w:hAnsi="宋体" w:eastAsia="宋体" w:cs="宋体"/>
                      <w:spacing w:val="17"/>
                      <w:position w:val="1"/>
                      <w:sz w:val="21"/>
                      <w:szCs w:val="21"/>
                    </w:rPr>
                    <w:t>）：</w:t>
                  </w:r>
                  <w:r>
                    <w:rPr>
                      <w:rFonts w:ascii="宋体" w:hAnsi="宋体" w:eastAsia="宋体" w:cs="宋体"/>
                      <w:spacing w:val="4"/>
                      <w:position w:val="1"/>
                      <w:sz w:val="21"/>
                      <w:szCs w:val="21"/>
                    </w:rPr>
                    <w:t>无资料</w:t>
                  </w:r>
                </w:p>
              </w:tc>
              <w:tc>
                <w:tcPr>
                  <w:tcW w:w="995" w:type="pct"/>
                  <w:tcBorders>
                    <w:tl2br w:val="nil"/>
                    <w:tr2bl w:val="nil"/>
                  </w:tcBorders>
                  <w:vAlign w:val="center"/>
                </w:tcPr>
                <w:p>
                  <w:pPr>
                    <w:spacing w:before="225" w:line="228" w:lineRule="auto"/>
                    <w:jc w:val="center"/>
                    <w:rPr>
                      <w:rFonts w:ascii="宋体" w:hAnsi="宋体" w:eastAsia="宋体" w:cs="宋体"/>
                      <w:sz w:val="21"/>
                      <w:szCs w:val="21"/>
                    </w:rPr>
                  </w:pPr>
                  <w:r>
                    <w:rPr>
                      <w:rFonts w:ascii="宋体" w:hAnsi="宋体" w:eastAsia="宋体" w:cs="宋体"/>
                      <w:spacing w:val="7"/>
                      <w:sz w:val="21"/>
                      <w:szCs w:val="21"/>
                    </w:rPr>
                    <w:t>不燃，具腐蚀</w:t>
                  </w:r>
                  <w:r>
                    <w:rPr>
                      <w:rFonts w:ascii="宋体" w:hAnsi="宋体" w:eastAsia="宋体" w:cs="宋体"/>
                      <w:spacing w:val="8"/>
                      <w:sz w:val="21"/>
                      <w:szCs w:val="21"/>
                    </w:rPr>
                    <w:t>性，可致人体</w:t>
                  </w:r>
                  <w:r>
                    <w:rPr>
                      <w:rFonts w:ascii="宋体" w:hAnsi="宋体" w:eastAsia="宋体" w:cs="宋体"/>
                      <w:spacing w:val="7"/>
                      <w:sz w:val="21"/>
                      <w:szCs w:val="21"/>
                    </w:rPr>
                    <w:t>灼伤，具致敏</w:t>
                  </w:r>
                  <w:r>
                    <w:rPr>
                      <w:rFonts w:ascii="宋体" w:hAnsi="宋体" w:eastAsia="宋体" w:cs="宋体"/>
                      <w:sz w:val="21"/>
                      <w:szCs w:val="21"/>
                    </w:rPr>
                    <w:t>性</w:t>
                  </w:r>
                </w:p>
              </w:tc>
              <w:tc>
                <w:tcPr>
                  <w:tcW w:w="970" w:type="pct"/>
                  <w:tcBorders>
                    <w:tl2br w:val="nil"/>
                    <w:tr2bl w:val="nil"/>
                  </w:tcBorders>
                  <w:vAlign w:val="center"/>
                </w:tcPr>
                <w:p>
                  <w:pPr>
                    <w:spacing w:before="225" w:line="228" w:lineRule="auto"/>
                    <w:jc w:val="center"/>
                    <w:rPr>
                      <w:rFonts w:ascii="宋体" w:hAnsi="宋体" w:eastAsia="宋体" w:cs="宋体"/>
                      <w:sz w:val="21"/>
                      <w:szCs w:val="21"/>
                    </w:rPr>
                  </w:pPr>
                  <w:r>
                    <w:rPr>
                      <w:rFonts w:ascii="宋体" w:hAnsi="宋体" w:eastAsia="宋体" w:cs="宋体"/>
                      <w:spacing w:val="4"/>
                      <w:sz w:val="21"/>
                      <w:szCs w:val="21"/>
                    </w:rPr>
                    <w:t>急性毒性：</w:t>
                  </w:r>
                  <w:r>
                    <w:rPr>
                      <w:rFonts w:ascii="Times New Roman" w:hAnsi="Times New Roman" w:eastAsia="Times New Roman" w:cs="Times New Roman"/>
                      <w:position w:val="2"/>
                      <w:sz w:val="21"/>
                      <w:szCs w:val="21"/>
                    </w:rPr>
                    <w:t>LD</w:t>
                  </w:r>
                  <w:r>
                    <w:rPr>
                      <w:rFonts w:ascii="Times New Roman" w:hAnsi="Times New Roman" w:eastAsia="Times New Roman" w:cs="Times New Roman"/>
                      <w:spacing w:val="5"/>
                      <w:position w:val="1"/>
                      <w:sz w:val="21"/>
                      <w:szCs w:val="21"/>
                    </w:rPr>
                    <w:t>50</w:t>
                  </w:r>
                  <w:r>
                    <w:rPr>
                      <w:rFonts w:ascii="宋体" w:hAnsi="宋体" w:eastAsia="宋体" w:cs="宋体"/>
                      <w:spacing w:val="5"/>
                      <w:position w:val="2"/>
                      <w:sz w:val="21"/>
                      <w:szCs w:val="21"/>
                    </w:rPr>
                    <w:t>：</w:t>
                  </w:r>
                  <w:r>
                    <w:rPr>
                      <w:rFonts w:ascii="Times New Roman" w:hAnsi="Times New Roman" w:eastAsia="Times New Roman" w:cs="Times New Roman"/>
                      <w:spacing w:val="3"/>
                      <w:position w:val="2"/>
                      <w:sz w:val="21"/>
                      <w:szCs w:val="21"/>
                    </w:rPr>
                    <w:t>8500</w:t>
                  </w:r>
                  <w:r>
                    <w:rPr>
                      <w:rFonts w:ascii="Times New Roman" w:hAnsi="Times New Roman" w:eastAsia="Times New Roman" w:cs="Times New Roman"/>
                      <w:position w:val="2"/>
                      <w:sz w:val="21"/>
                      <w:szCs w:val="21"/>
                    </w:rPr>
                    <w:t>mg</w:t>
                  </w:r>
                  <w:r>
                    <w:rPr>
                      <w:rFonts w:ascii="Times New Roman" w:hAnsi="Times New Roman" w:eastAsia="Times New Roman" w:cs="Times New Roman"/>
                      <w:spacing w:val="3"/>
                      <w:position w:val="2"/>
                      <w:sz w:val="21"/>
                      <w:szCs w:val="21"/>
                    </w:rPr>
                    <w:t>/</w:t>
                  </w:r>
                  <w:r>
                    <w:rPr>
                      <w:rFonts w:ascii="Times New Roman" w:hAnsi="Times New Roman" w:eastAsia="Times New Roman" w:cs="Times New Roman"/>
                      <w:position w:val="2"/>
                      <w:sz w:val="21"/>
                      <w:szCs w:val="21"/>
                    </w:rPr>
                    <w:t>kg</w:t>
                  </w:r>
                  <w:r>
                    <w:rPr>
                      <w:rFonts w:ascii="宋体" w:hAnsi="宋体" w:eastAsia="宋体" w:cs="宋体"/>
                      <w:spacing w:val="3"/>
                      <w:position w:val="2"/>
                      <w:sz w:val="21"/>
                      <w:szCs w:val="21"/>
                    </w:rPr>
                    <w:t>（小</w:t>
                  </w:r>
                  <w:r>
                    <w:rPr>
                      <w:rFonts w:ascii="宋体" w:hAnsi="宋体" w:eastAsia="宋体" w:cs="宋体"/>
                      <w:spacing w:val="-2"/>
                      <w:sz w:val="21"/>
                      <w:szCs w:val="21"/>
                    </w:rPr>
                    <w:t>鼠经口）</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564" w:hRule="atLeast"/>
              </w:trPr>
              <w:tc>
                <w:tcPr>
                  <w:tcW w:w="438" w:type="pct"/>
                  <w:tcBorders>
                    <w:tl2br w:val="nil"/>
                    <w:tr2bl w:val="nil"/>
                  </w:tcBorders>
                  <w:vAlign w:val="center"/>
                </w:tcPr>
                <w:p>
                  <w:pPr>
                    <w:spacing w:before="65" w:line="289" w:lineRule="auto"/>
                    <w:ind w:right="136"/>
                    <w:jc w:val="center"/>
                    <w:rPr>
                      <w:rFonts w:ascii="宋体" w:hAnsi="宋体" w:eastAsia="宋体" w:cs="宋体"/>
                      <w:sz w:val="21"/>
                      <w:szCs w:val="21"/>
                    </w:rPr>
                  </w:pPr>
                  <w:r>
                    <w:rPr>
                      <w:rFonts w:ascii="宋体" w:hAnsi="宋体" w:eastAsia="宋体" w:cs="宋体"/>
                      <w:spacing w:val="2"/>
                      <w:sz w:val="21"/>
                      <w:szCs w:val="21"/>
                    </w:rPr>
                    <w:t>消毒</w:t>
                  </w:r>
                  <w:r>
                    <w:rPr>
                      <w:rFonts w:ascii="宋体" w:hAnsi="宋体" w:eastAsia="宋体" w:cs="宋体"/>
                      <w:spacing w:val="1"/>
                      <w:sz w:val="21"/>
                      <w:szCs w:val="21"/>
                    </w:rPr>
                    <w:t>粉</w:t>
                  </w:r>
                </w:p>
              </w:tc>
              <w:tc>
                <w:tcPr>
                  <w:tcW w:w="2595" w:type="pct"/>
                  <w:tcBorders>
                    <w:tl2br w:val="nil"/>
                    <w:tr2bl w:val="nil"/>
                  </w:tcBorders>
                  <w:vAlign w:val="center"/>
                </w:tcPr>
                <w:p>
                  <w:pPr>
                    <w:spacing w:before="65" w:line="228" w:lineRule="auto"/>
                    <w:jc w:val="center"/>
                    <w:rPr>
                      <w:rFonts w:ascii="宋体" w:hAnsi="宋体" w:eastAsia="宋体" w:cs="宋体"/>
                      <w:sz w:val="21"/>
                      <w:szCs w:val="21"/>
                    </w:rPr>
                  </w:pPr>
                  <w:r>
                    <w:rPr>
                      <w:rFonts w:ascii="宋体" w:hAnsi="宋体" w:eastAsia="宋体" w:cs="宋体"/>
                      <w:spacing w:val="7"/>
                      <w:sz w:val="21"/>
                      <w:szCs w:val="21"/>
                    </w:rPr>
                    <w:t>白色粉末状，主要成分是有机氯，增白剂</w:t>
                  </w:r>
                </w:p>
                <w:p>
                  <w:pPr>
                    <w:spacing w:before="64" w:line="228" w:lineRule="auto"/>
                    <w:jc w:val="center"/>
                    <w:rPr>
                      <w:rFonts w:ascii="宋体" w:hAnsi="宋体" w:eastAsia="宋体" w:cs="宋体"/>
                      <w:sz w:val="21"/>
                      <w:szCs w:val="21"/>
                    </w:rPr>
                  </w:pPr>
                  <w:r>
                    <w:rPr>
                      <w:rFonts w:ascii="宋体" w:hAnsi="宋体" w:eastAsia="宋体" w:cs="宋体"/>
                      <w:spacing w:val="9"/>
                      <w:sz w:val="21"/>
                      <w:szCs w:val="21"/>
                    </w:rPr>
                    <w:t>和增效剂等，是一种杀菌药，有似氯气的气味，外用消毒剂，不得口服，密闭，置</w:t>
                  </w:r>
                </w:p>
                <w:p>
                  <w:pPr>
                    <w:spacing w:before="64" w:line="228" w:lineRule="auto"/>
                    <w:ind w:left="1077"/>
                    <w:jc w:val="center"/>
                    <w:rPr>
                      <w:rFonts w:ascii="宋体" w:hAnsi="宋体" w:eastAsia="宋体" w:cs="宋体"/>
                      <w:sz w:val="21"/>
                      <w:szCs w:val="21"/>
                    </w:rPr>
                  </w:pPr>
                  <w:r>
                    <w:rPr>
                      <w:rFonts w:ascii="宋体" w:hAnsi="宋体" w:eastAsia="宋体" w:cs="宋体"/>
                      <w:spacing w:val="8"/>
                      <w:sz w:val="21"/>
                      <w:szCs w:val="21"/>
                    </w:rPr>
                    <w:t>于阴凉、干燥处保存</w:t>
                  </w:r>
                </w:p>
              </w:tc>
              <w:tc>
                <w:tcPr>
                  <w:tcW w:w="995" w:type="pct"/>
                  <w:tcBorders>
                    <w:tl2br w:val="nil"/>
                    <w:tr2bl w:val="nil"/>
                  </w:tcBorders>
                  <w:vAlign w:val="center"/>
                </w:tcPr>
                <w:p>
                  <w:pPr>
                    <w:spacing w:before="72" w:line="230" w:lineRule="auto"/>
                    <w:jc w:val="center"/>
                    <w:rPr>
                      <w:rFonts w:ascii="宋体" w:hAnsi="宋体" w:eastAsia="宋体" w:cs="宋体"/>
                      <w:sz w:val="21"/>
                      <w:szCs w:val="21"/>
                    </w:rPr>
                  </w:pPr>
                  <w:r>
                    <w:rPr>
                      <w:rFonts w:ascii="宋体" w:hAnsi="宋体" w:eastAsia="宋体" w:cs="宋体"/>
                      <w:spacing w:val="6"/>
                      <w:sz w:val="21"/>
                      <w:szCs w:val="21"/>
                    </w:rPr>
                    <w:t>不燃，对钢</w:t>
                  </w:r>
                  <w:r>
                    <w:rPr>
                      <w:rFonts w:hint="eastAsia" w:ascii="宋体" w:hAnsi="宋体" w:eastAsia="宋体" w:cs="宋体"/>
                      <w:spacing w:val="6"/>
                      <w:sz w:val="21"/>
                      <w:szCs w:val="21"/>
                      <w:lang w:eastAsia="zh-CN"/>
                    </w:rPr>
                    <w:t>、</w:t>
                  </w:r>
                  <w:r>
                    <w:rPr>
                      <w:rFonts w:ascii="宋体" w:hAnsi="宋体" w:eastAsia="宋体" w:cs="宋体"/>
                      <w:spacing w:val="8"/>
                      <w:sz w:val="21"/>
                      <w:szCs w:val="21"/>
                    </w:rPr>
                    <w:t>铝和碳钢有轻</w:t>
                  </w:r>
                  <w:r>
                    <w:rPr>
                      <w:rFonts w:ascii="宋体" w:hAnsi="宋体" w:eastAsia="宋体" w:cs="宋体"/>
                      <w:spacing w:val="9"/>
                      <w:sz w:val="21"/>
                      <w:szCs w:val="21"/>
                    </w:rPr>
                    <w:t>度</w:t>
                  </w:r>
                  <w:r>
                    <w:rPr>
                      <w:rFonts w:hint="eastAsia" w:ascii="宋体" w:hAnsi="宋体" w:cs="宋体"/>
                      <w:spacing w:val="9"/>
                      <w:sz w:val="21"/>
                      <w:szCs w:val="21"/>
                      <w:lang w:val="en-US" w:eastAsia="zh-CN"/>
                    </w:rPr>
                    <w:t>腐蚀</w:t>
                  </w:r>
                  <w:r>
                    <w:rPr>
                      <w:rFonts w:ascii="宋体" w:hAnsi="宋体" w:eastAsia="宋体" w:cs="宋体"/>
                      <w:spacing w:val="9"/>
                      <w:sz w:val="21"/>
                      <w:szCs w:val="21"/>
                    </w:rPr>
                    <w:t>作用，如</w:t>
                  </w:r>
                  <w:r>
                    <w:rPr>
                      <w:rFonts w:ascii="宋体" w:hAnsi="宋体" w:eastAsia="宋体" w:cs="宋体"/>
                      <w:spacing w:val="7"/>
                      <w:sz w:val="21"/>
                      <w:szCs w:val="21"/>
                    </w:rPr>
                    <w:t>原液接触皮</w:t>
                  </w:r>
                  <w:r>
                    <w:rPr>
                      <w:rFonts w:ascii="宋体" w:hAnsi="宋体" w:eastAsia="宋体" w:cs="宋体"/>
                      <w:spacing w:val="8"/>
                      <w:sz w:val="21"/>
                      <w:szCs w:val="21"/>
                    </w:rPr>
                    <w:t>肤，需用清水</w:t>
                  </w:r>
                  <w:r>
                    <w:rPr>
                      <w:rFonts w:ascii="宋体" w:hAnsi="宋体" w:eastAsia="宋体" w:cs="宋体"/>
                      <w:spacing w:val="4"/>
                      <w:sz w:val="21"/>
                      <w:szCs w:val="21"/>
                    </w:rPr>
                    <w:t>冲洗</w:t>
                  </w:r>
                </w:p>
              </w:tc>
              <w:tc>
                <w:tcPr>
                  <w:tcW w:w="970" w:type="pct"/>
                  <w:tcBorders>
                    <w:tl2br w:val="nil"/>
                    <w:tr2bl w:val="nil"/>
                  </w:tcBorders>
                  <w:vAlign w:val="center"/>
                </w:tcPr>
                <w:p>
                  <w:pPr>
                    <w:spacing w:before="65" w:line="229" w:lineRule="auto"/>
                    <w:jc w:val="center"/>
                    <w:rPr>
                      <w:rFonts w:ascii="宋体" w:hAnsi="宋体" w:eastAsia="宋体" w:cs="宋体"/>
                      <w:sz w:val="21"/>
                      <w:szCs w:val="21"/>
                    </w:rPr>
                  </w:pPr>
                  <w:r>
                    <w:rPr>
                      <w:rFonts w:ascii="宋体" w:hAnsi="宋体" w:eastAsia="宋体" w:cs="宋体"/>
                      <w:sz w:val="21"/>
                      <w:szCs w:val="21"/>
                    </w:rPr>
                    <w:t>无</w:t>
                  </w:r>
                </w:p>
              </w:tc>
            </w:tr>
          </w:tbl>
          <w:p>
            <w:pPr>
              <w:spacing w:before="120" w:beforeLines="50" w:line="360" w:lineRule="auto"/>
              <w:rPr>
                <w:rFonts w:hint="default" w:ascii="Times New Roman" w:hAnsi="Times New Roman" w:cs="Times New Roman"/>
                <w:b/>
                <w:bCs/>
                <w:color w:val="auto"/>
                <w:kern w:val="0"/>
                <w:sz w:val="24"/>
                <w:highlight w:val="none"/>
              </w:rPr>
            </w:pPr>
            <w:r>
              <w:rPr>
                <w:rFonts w:hint="default" w:ascii="Times New Roman" w:hAnsi="Times New Roman" w:cs="Times New Roman"/>
                <w:b/>
                <w:bCs/>
                <w:color w:val="auto"/>
                <w:kern w:val="0"/>
                <w:sz w:val="24"/>
                <w:highlight w:val="none"/>
                <w:lang w:val="en-US" w:eastAsia="zh-CN"/>
              </w:rPr>
              <w:t>2.7</w:t>
            </w:r>
            <w:r>
              <w:rPr>
                <w:rFonts w:hint="default" w:ascii="Times New Roman" w:hAnsi="Times New Roman" w:cs="Times New Roman"/>
                <w:b/>
                <w:bCs/>
                <w:color w:val="auto"/>
                <w:kern w:val="0"/>
                <w:sz w:val="24"/>
                <w:highlight w:val="none"/>
              </w:rPr>
              <w:t>劳动定员和工作制度</w:t>
            </w:r>
          </w:p>
          <w:p>
            <w:pPr>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bookmarkStart w:id="9" w:name="_Toc18283"/>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项目劳动定员</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人，均</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不在医院食宿</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；工作时间</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9.5h</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，全年工作日</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365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d。</w:t>
            </w:r>
          </w:p>
          <w:bookmarkEnd w:id="9"/>
          <w:p>
            <w:pPr>
              <w:spacing w:line="360" w:lineRule="auto"/>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cs="Times New Roman"/>
                <w:b/>
                <w:bCs/>
                <w:color w:val="000000" w:themeColor="text1"/>
                <w:sz w:val="24"/>
                <w:highlight w:val="none"/>
                <w:lang w:val="en-US" w:eastAsia="zh-CN"/>
                <w14:textFill>
                  <w14:solidFill>
                    <w14:schemeClr w14:val="tx1"/>
                  </w14:solidFill>
                </w14:textFill>
              </w:rPr>
              <w:t>2.8</w:t>
            </w:r>
            <w:r>
              <w:rPr>
                <w:rFonts w:hint="default" w:ascii="Times New Roman" w:hAnsi="Times New Roman" w:cs="Times New Roman"/>
                <w:b/>
                <w:bCs/>
                <w:color w:val="000000" w:themeColor="text1"/>
                <w:sz w:val="24"/>
                <w:highlight w:val="none"/>
                <w14:textFill>
                  <w14:solidFill>
                    <w14:schemeClr w14:val="tx1"/>
                  </w14:solidFill>
                </w14:textFill>
              </w:rPr>
              <w:t>公用</w:t>
            </w:r>
            <w:r>
              <w:rPr>
                <w:rFonts w:hint="eastAsia" w:cs="Times New Roman"/>
                <w:b/>
                <w:bCs/>
                <w:color w:val="000000" w:themeColor="text1"/>
                <w:sz w:val="24"/>
                <w:highlight w:val="none"/>
                <w:lang w:val="en-US" w:eastAsia="zh-CN"/>
                <w14:textFill>
                  <w14:solidFill>
                    <w14:schemeClr w14:val="tx1"/>
                  </w14:solidFill>
                </w14:textFill>
              </w:rPr>
              <w:t>工程</w:t>
            </w:r>
          </w:p>
          <w:p>
            <w:pPr>
              <w:numPr>
                <w:ilvl w:val="0"/>
                <w:numId w:val="3"/>
              </w:numPr>
              <w:adjustRightInd w:val="0"/>
              <w:snapToGrid w:val="0"/>
              <w:spacing w:line="360" w:lineRule="auto"/>
              <w:ind w:firstLine="480" w:firstLineChars="200"/>
              <w:textAlignment w:val="baseline"/>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供</w:t>
            </w:r>
            <w:r>
              <w:rPr>
                <w:rFonts w:hint="default" w:ascii="Times New Roman" w:hAnsi="Times New Roman" w:cs="Times New Roman"/>
                <w:color w:val="000000" w:themeColor="text1"/>
                <w:sz w:val="24"/>
                <w:highlight w:val="none"/>
                <w:lang w:val="en-US" w:eastAsia="zh-CN"/>
                <w14:textFill>
                  <w14:solidFill>
                    <w14:schemeClr w14:val="tx1"/>
                  </w14:solidFill>
                </w14:textFill>
              </w:rPr>
              <w:t>水</w:t>
            </w:r>
          </w:p>
          <w:p>
            <w:pPr>
              <w:widowControl/>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本项目用水主要为</w:t>
            </w:r>
            <w:r>
              <w:rPr>
                <w:rFonts w:hint="eastAsia" w:ascii="Times New Roman" w:hAnsi="Times New Roman" w:eastAsia="宋体" w:cs="Times New Roman"/>
                <w:color w:val="auto"/>
                <w:sz w:val="24"/>
                <w:highlight w:val="none"/>
                <w:lang w:val="en-US" w:eastAsia="zh-CN"/>
              </w:rPr>
              <w:t>宠物诊疗</w:t>
            </w:r>
            <w:r>
              <w:rPr>
                <w:rFonts w:hint="default" w:ascii="Times New Roman" w:hAnsi="Times New Roman" w:eastAsia="宋体" w:cs="Times New Roman"/>
                <w:color w:val="auto"/>
                <w:sz w:val="24"/>
                <w:highlight w:val="none"/>
                <w:lang w:val="en-US" w:eastAsia="zh-CN"/>
              </w:rPr>
              <w:t>用水</w:t>
            </w:r>
            <w:r>
              <w:rPr>
                <w:rFonts w:hint="eastAsia" w:ascii="Times New Roman" w:hAnsi="Times New Roman" w:eastAsia="宋体" w:cs="Times New Roman"/>
                <w:color w:val="auto"/>
                <w:sz w:val="24"/>
                <w:highlight w:val="none"/>
                <w:lang w:val="en-US" w:eastAsia="zh-CN"/>
              </w:rPr>
              <w:t>及员工生活用水</w:t>
            </w:r>
            <w:r>
              <w:rPr>
                <w:rFonts w:hint="default" w:ascii="Times New Roman" w:hAnsi="Times New Roman" w:eastAsia="宋体" w:cs="Times New Roman"/>
                <w:color w:val="auto"/>
                <w:sz w:val="24"/>
                <w:highlight w:val="none"/>
                <w:lang w:val="en-US" w:eastAsia="zh-CN"/>
              </w:rPr>
              <w:t>，项目供水由</w:t>
            </w:r>
            <w:r>
              <w:rPr>
                <w:rFonts w:hint="eastAsia" w:ascii="Times New Roman" w:hAnsi="Times New Roman" w:eastAsia="宋体" w:cs="Times New Roman"/>
                <w:color w:val="auto"/>
                <w:sz w:val="24"/>
                <w:highlight w:val="none"/>
                <w:lang w:val="en-US" w:eastAsia="zh-CN"/>
              </w:rPr>
              <w:t>库尔勒市</w:t>
            </w:r>
            <w:r>
              <w:rPr>
                <w:rFonts w:hint="default" w:ascii="Times New Roman" w:hAnsi="Times New Roman" w:eastAsia="宋体" w:cs="Times New Roman"/>
                <w:color w:val="auto"/>
                <w:sz w:val="24"/>
                <w:highlight w:val="none"/>
                <w:lang w:val="en-US" w:eastAsia="zh-CN"/>
              </w:rPr>
              <w:t>供水管网提供，可满足供水要求。</w:t>
            </w:r>
          </w:p>
          <w:p>
            <w:pPr>
              <w:widowControl/>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生活用水：本项目劳动定员为</w:t>
            </w:r>
            <w:r>
              <w:rPr>
                <w:rFonts w:hint="eastAsia" w:ascii="Times New Roman" w:hAnsi="Times New Roman" w:eastAsia="宋体" w:cs="Times New Roman"/>
                <w:color w:val="auto"/>
                <w:sz w:val="24"/>
                <w:highlight w:val="none"/>
                <w:lang w:val="en-US" w:eastAsia="zh-CN"/>
              </w:rPr>
              <w:t>5</w:t>
            </w:r>
            <w:r>
              <w:rPr>
                <w:rFonts w:hint="default" w:ascii="Times New Roman" w:hAnsi="Times New Roman" w:eastAsia="宋体" w:cs="Times New Roman"/>
                <w:color w:val="auto"/>
                <w:sz w:val="24"/>
                <w:highlight w:val="none"/>
                <w:lang w:val="en-US" w:eastAsia="zh-CN"/>
              </w:rPr>
              <w:t>人，均不在</w:t>
            </w:r>
            <w:r>
              <w:rPr>
                <w:rFonts w:hint="eastAsia" w:ascii="Times New Roman" w:hAnsi="Times New Roman" w:eastAsia="宋体" w:cs="Times New Roman"/>
                <w:color w:val="auto"/>
                <w:sz w:val="24"/>
                <w:highlight w:val="none"/>
                <w:lang w:val="en-US" w:eastAsia="zh-CN"/>
              </w:rPr>
              <w:t>医院</w:t>
            </w:r>
            <w:r>
              <w:rPr>
                <w:rFonts w:hint="default" w:ascii="Times New Roman" w:hAnsi="Times New Roman" w:eastAsia="宋体" w:cs="Times New Roman"/>
                <w:color w:val="auto"/>
                <w:sz w:val="24"/>
                <w:highlight w:val="none"/>
                <w:lang w:val="en-US" w:eastAsia="zh-CN"/>
              </w:rPr>
              <w:t>内食宿</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根据《新疆维吾尔自治区生活用水定额》中用水量按照每人平均</w:t>
            </w:r>
            <w:r>
              <w:rPr>
                <w:rFonts w:hint="eastAsia" w:ascii="Times New Roman" w:hAnsi="Times New Roman" w:eastAsia="宋体" w:cs="Times New Roman"/>
                <w:color w:val="auto"/>
                <w:sz w:val="24"/>
                <w:highlight w:val="none"/>
                <w:lang w:val="en-US" w:eastAsia="zh-CN"/>
              </w:rPr>
              <w:t>2</w:t>
            </w:r>
            <w:r>
              <w:rPr>
                <w:rFonts w:hint="default" w:ascii="Times New Roman" w:hAnsi="Times New Roman" w:eastAsia="宋体" w:cs="Times New Roman"/>
                <w:color w:val="auto"/>
                <w:sz w:val="24"/>
                <w:highlight w:val="none"/>
                <w:lang w:val="en-US" w:eastAsia="zh-CN"/>
              </w:rPr>
              <w:t>5L/人·d计算，则生活用水量为</w:t>
            </w:r>
            <w:r>
              <w:rPr>
                <w:rFonts w:hint="eastAsia" w:ascii="Times New Roman" w:hAnsi="Times New Roman" w:eastAsia="宋体" w:cs="Times New Roman"/>
                <w:color w:val="auto"/>
                <w:sz w:val="24"/>
                <w:highlight w:val="none"/>
                <w:lang w:val="en-US" w:eastAsia="zh-CN"/>
              </w:rPr>
              <w:t>0.125</w:t>
            </w:r>
            <w:r>
              <w:rPr>
                <w:rFonts w:hint="default" w:ascii="Times New Roman" w:hAnsi="Times New Roman" w:eastAsia="宋体" w:cs="Times New Roman"/>
                <w:color w:val="auto"/>
                <w:sz w:val="24"/>
                <w:highlight w:val="none"/>
                <w:lang w:val="en-US" w:eastAsia="zh-CN"/>
              </w:rPr>
              <w:t>m</w:t>
            </w:r>
            <w:r>
              <w:rPr>
                <w:rFonts w:hint="default" w:ascii="Times New Roman" w:hAnsi="Times New Roman" w:eastAsia="宋体" w:cs="Times New Roman"/>
                <w:color w:val="auto"/>
                <w:sz w:val="24"/>
                <w:highlight w:val="none"/>
                <w:vertAlign w:val="superscript"/>
                <w:lang w:val="en-US" w:eastAsia="zh-CN"/>
              </w:rPr>
              <w:t>3</w:t>
            </w:r>
            <w:r>
              <w:rPr>
                <w:rFonts w:hint="default" w:ascii="Times New Roman" w:hAnsi="Times New Roman" w:eastAsia="宋体" w:cs="Times New Roman"/>
                <w:color w:val="auto"/>
                <w:sz w:val="24"/>
                <w:highlight w:val="none"/>
                <w:lang w:val="en-US" w:eastAsia="zh-CN"/>
              </w:rPr>
              <w:t>/d，</w:t>
            </w:r>
            <w:r>
              <w:rPr>
                <w:rFonts w:hint="eastAsia" w:ascii="Times New Roman" w:hAnsi="Times New Roman" w:eastAsia="宋体" w:cs="Times New Roman"/>
                <w:color w:val="auto"/>
                <w:sz w:val="24"/>
                <w:highlight w:val="none"/>
                <w:lang w:val="en-US" w:eastAsia="zh-CN"/>
              </w:rPr>
              <w:t>45.625</w:t>
            </w:r>
            <w:r>
              <w:rPr>
                <w:rFonts w:hint="default" w:ascii="Times New Roman" w:hAnsi="Times New Roman" w:eastAsia="宋体" w:cs="Times New Roman"/>
                <w:color w:val="auto"/>
                <w:sz w:val="24"/>
                <w:highlight w:val="none"/>
                <w:lang w:val="en-US" w:eastAsia="zh-CN"/>
              </w:rPr>
              <w:t>m</w:t>
            </w:r>
            <w:r>
              <w:rPr>
                <w:rFonts w:hint="default" w:ascii="Times New Roman" w:hAnsi="Times New Roman" w:eastAsia="宋体" w:cs="Times New Roman"/>
                <w:color w:val="auto"/>
                <w:sz w:val="24"/>
                <w:highlight w:val="none"/>
                <w:vertAlign w:val="superscript"/>
                <w:lang w:val="en-US" w:eastAsia="zh-CN"/>
              </w:rPr>
              <w:t>3</w:t>
            </w:r>
            <w:r>
              <w:rPr>
                <w:rFonts w:hint="default" w:ascii="Times New Roman" w:hAnsi="Times New Roman" w:eastAsia="宋体" w:cs="Times New Roman"/>
                <w:color w:val="auto"/>
                <w:sz w:val="24"/>
                <w:highlight w:val="none"/>
                <w:lang w:val="en-US" w:eastAsia="zh-CN"/>
              </w:rPr>
              <w:t>/a。</w:t>
            </w:r>
          </w:p>
          <w:p>
            <w:pPr>
              <w:widowControl/>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宠物诊疗</w:t>
            </w:r>
            <w:r>
              <w:rPr>
                <w:rFonts w:hint="default" w:ascii="Times New Roman" w:hAnsi="Times New Roman" w:eastAsia="宋体" w:cs="Times New Roman"/>
                <w:color w:val="auto"/>
                <w:sz w:val="24"/>
                <w:highlight w:val="none"/>
                <w:lang w:val="en-US" w:eastAsia="zh-CN"/>
              </w:rPr>
              <w:t>用水：主要用于宠物就诊、治疗、住院、疫苗接种、绝育手术、区域清洁等环节，参照《建筑给水排水设计标准》（GB50015-2019）中表 3.2.2  的序号5中</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门诊部、诊疗所-病人-</w:t>
            </w:r>
            <w:r>
              <w:rPr>
                <w:rFonts w:hint="eastAsia" w:cs="Times New Roman"/>
                <w:color w:val="auto"/>
                <w:sz w:val="24"/>
                <w:highlight w:val="none"/>
                <w:lang w:val="en-US" w:eastAsia="zh-CN"/>
              </w:rPr>
              <w:t>最高</w:t>
            </w:r>
            <w:r>
              <w:rPr>
                <w:rFonts w:hint="default" w:ascii="Times New Roman" w:hAnsi="Times New Roman" w:eastAsia="宋体" w:cs="Times New Roman"/>
                <w:color w:val="auto"/>
                <w:sz w:val="24"/>
                <w:highlight w:val="none"/>
                <w:lang w:val="en-US" w:eastAsia="zh-CN"/>
              </w:rPr>
              <w:t>日用水定额为</w:t>
            </w:r>
            <w:r>
              <w:rPr>
                <w:rFonts w:hint="eastAsia" w:cs="Times New Roman"/>
                <w:color w:val="auto"/>
                <w:sz w:val="24"/>
                <w:highlight w:val="none"/>
                <w:lang w:val="en-US" w:eastAsia="zh-CN"/>
              </w:rPr>
              <w:t>10</w:t>
            </w:r>
            <w:r>
              <w:rPr>
                <w:rFonts w:hint="default" w:ascii="Times New Roman" w:hAnsi="Times New Roman" w:eastAsia="宋体" w:cs="Times New Roman"/>
                <w:color w:val="auto"/>
                <w:sz w:val="24"/>
                <w:highlight w:val="none"/>
                <w:lang w:val="en-US" w:eastAsia="zh-CN"/>
              </w:rPr>
              <w:t>~ 1</w:t>
            </w:r>
            <w:r>
              <w:rPr>
                <w:rFonts w:hint="eastAsia" w:cs="Times New Roman"/>
                <w:color w:val="auto"/>
                <w:sz w:val="24"/>
                <w:highlight w:val="none"/>
                <w:lang w:val="en-US" w:eastAsia="zh-CN"/>
              </w:rPr>
              <w:t>5</w:t>
            </w:r>
            <w:r>
              <w:rPr>
                <w:rFonts w:hint="default" w:ascii="Times New Roman" w:hAnsi="Times New Roman" w:eastAsia="宋体" w:cs="Times New Roman"/>
                <w:color w:val="auto"/>
                <w:sz w:val="24"/>
                <w:highlight w:val="none"/>
                <w:lang w:val="en-US" w:eastAsia="zh-CN"/>
              </w:rPr>
              <w:t>L/病人</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 xml:space="preserve">次 </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eastAsia="zh-CN"/>
              </w:rPr>
              <w:t>，考虑到宠物体型较小，本项目医疗用水（含医疗器械清洗用水、化验室用水）按10L/只计算，年接待宠物诊疗、手术等约1</w:t>
            </w:r>
            <w:r>
              <w:rPr>
                <w:rFonts w:hint="eastAsia" w:cs="Times New Roman"/>
                <w:color w:val="auto"/>
                <w:sz w:val="24"/>
                <w:highlight w:val="none"/>
                <w:lang w:val="en-US" w:eastAsia="zh-CN"/>
              </w:rPr>
              <w:t>0</w:t>
            </w:r>
            <w:r>
              <w:rPr>
                <w:rFonts w:hint="default" w:ascii="Times New Roman" w:hAnsi="Times New Roman" w:eastAsia="宋体" w:cs="Times New Roman"/>
                <w:color w:val="auto"/>
                <w:sz w:val="24"/>
                <w:highlight w:val="none"/>
                <w:lang w:val="en-US" w:eastAsia="zh-CN"/>
              </w:rPr>
              <w:t>00只，则医疗用水量为</w:t>
            </w:r>
            <w:r>
              <w:rPr>
                <w:rFonts w:hint="eastAsia" w:cs="Times New Roman"/>
                <w:color w:val="auto"/>
                <w:sz w:val="24"/>
                <w:highlight w:val="none"/>
                <w:lang w:val="en-US" w:eastAsia="zh-CN"/>
              </w:rPr>
              <w:t>10</w:t>
            </w:r>
            <w:r>
              <w:rPr>
                <w:rFonts w:hint="default" w:ascii="Times New Roman" w:hAnsi="Times New Roman" w:eastAsia="宋体" w:cs="Times New Roman"/>
                <w:color w:val="auto"/>
                <w:sz w:val="24"/>
                <w:highlight w:val="none"/>
                <w:lang w:val="en-US" w:eastAsia="zh-CN"/>
              </w:rPr>
              <w:t>m</w:t>
            </w:r>
            <w:r>
              <w:rPr>
                <w:rFonts w:hint="default" w:ascii="Times New Roman" w:hAnsi="Times New Roman" w:eastAsia="宋体" w:cs="Times New Roman"/>
                <w:color w:val="auto"/>
                <w:sz w:val="24"/>
                <w:highlight w:val="none"/>
                <w:vertAlign w:val="superscript"/>
                <w:lang w:val="en-US" w:eastAsia="zh-CN"/>
              </w:rPr>
              <w:t>3</w:t>
            </w:r>
            <w:r>
              <w:rPr>
                <w:rFonts w:hint="default" w:ascii="Times New Roman" w:hAnsi="Times New Roman" w:eastAsia="宋体" w:cs="Times New Roman"/>
                <w:color w:val="auto"/>
                <w:sz w:val="24"/>
                <w:highlight w:val="none"/>
                <w:lang w:val="en-US" w:eastAsia="zh-CN"/>
              </w:rPr>
              <w:t>/a 。</w:t>
            </w:r>
          </w:p>
          <w:p>
            <w:pPr>
              <w:widowControl/>
              <w:spacing w:line="360" w:lineRule="auto"/>
              <w:ind w:firstLine="480" w:firstLineChars="200"/>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auto"/>
                <w:sz w:val="24"/>
                <w:highlight w:val="none"/>
                <w:lang w:val="en-US" w:eastAsia="zh-CN"/>
              </w:rPr>
              <w:t>本项目总用水量为：</w:t>
            </w:r>
            <w:r>
              <w:rPr>
                <w:rFonts w:hint="eastAsia" w:cs="Times New Roman"/>
                <w:color w:val="auto"/>
                <w:sz w:val="24"/>
                <w:highlight w:val="none"/>
                <w:lang w:val="en-US" w:eastAsia="zh-CN"/>
              </w:rPr>
              <w:t>55.625</w:t>
            </w:r>
            <w:r>
              <w:rPr>
                <w:rFonts w:hint="default" w:ascii="Times New Roman" w:hAnsi="Times New Roman" w:eastAsia="宋体" w:cs="Times New Roman"/>
                <w:color w:val="auto"/>
                <w:sz w:val="24"/>
                <w:highlight w:val="none"/>
                <w:lang w:val="en-US" w:eastAsia="zh-CN"/>
              </w:rPr>
              <w:t>m</w:t>
            </w:r>
            <w:r>
              <w:rPr>
                <w:rFonts w:hint="default" w:ascii="Times New Roman" w:hAnsi="Times New Roman" w:eastAsia="宋体" w:cs="Times New Roman"/>
                <w:color w:val="auto"/>
                <w:sz w:val="24"/>
                <w:highlight w:val="none"/>
                <w:vertAlign w:val="superscript"/>
                <w:lang w:val="en-US" w:eastAsia="zh-CN"/>
              </w:rPr>
              <w:t>3</w:t>
            </w:r>
            <w:r>
              <w:rPr>
                <w:rFonts w:hint="default" w:ascii="Times New Roman" w:hAnsi="Times New Roman" w:eastAsia="宋体" w:cs="Times New Roman"/>
                <w:color w:val="auto"/>
                <w:sz w:val="24"/>
                <w:highlight w:val="none"/>
                <w:lang w:val="en-US" w:eastAsia="zh-CN"/>
              </w:rPr>
              <w:t>/a。</w:t>
            </w:r>
          </w:p>
          <w:p>
            <w:pPr>
              <w:numPr>
                <w:ilvl w:val="0"/>
                <w:numId w:val="3"/>
              </w:numPr>
              <w:adjustRightInd w:val="0"/>
              <w:snapToGrid w:val="0"/>
              <w:spacing w:line="360" w:lineRule="auto"/>
              <w:ind w:firstLine="480" w:firstLineChars="200"/>
              <w:textAlignment w:val="baseline"/>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排水</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本项目外排废水主要包括生活废水</w:t>
            </w:r>
            <w:r>
              <w:rPr>
                <w:rFonts w:hint="eastAsia" w:cs="Times New Roman"/>
                <w:color w:val="auto"/>
                <w:sz w:val="24"/>
                <w:szCs w:val="24"/>
                <w:lang w:val="en-US" w:eastAsia="zh-CN"/>
              </w:rPr>
              <w:t>和动物诊疗废水</w:t>
            </w:r>
            <w:r>
              <w:rPr>
                <w:rFonts w:hint="eastAsia" w:ascii="Times New Roman" w:hAnsi="Times New Roman" w:eastAsia="宋体" w:cs="Times New Roman"/>
                <w:color w:val="auto"/>
                <w:sz w:val="24"/>
                <w:szCs w:val="24"/>
                <w:lang w:val="en-US"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yellow"/>
              </w:rPr>
            </w:pPr>
            <w:r>
              <w:rPr>
                <w:rFonts w:hint="default" w:ascii="Times New Roman" w:hAnsi="Times New Roman" w:eastAsia="宋体" w:cs="Times New Roman"/>
                <w:color w:val="auto"/>
                <w:sz w:val="24"/>
                <w:szCs w:val="24"/>
                <w:highlight w:val="none"/>
                <w:lang w:val="en-US" w:eastAsia="zh-CN"/>
              </w:rPr>
              <w:t>生活</w:t>
            </w:r>
            <w:r>
              <w:rPr>
                <w:rFonts w:hint="eastAsia" w:cs="Times New Roman"/>
                <w:color w:val="auto"/>
                <w:sz w:val="24"/>
                <w:szCs w:val="24"/>
                <w:highlight w:val="none"/>
                <w:lang w:val="en-US" w:eastAsia="zh-CN"/>
              </w:rPr>
              <w:t>污水</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lang w:val="en-US" w:eastAsia="zh-CN"/>
              </w:rPr>
              <w:t>本项目</w:t>
            </w:r>
            <w:r>
              <w:rPr>
                <w:rFonts w:hint="default" w:ascii="Times New Roman" w:hAnsi="Times New Roman" w:eastAsia="宋体" w:cs="Times New Roman"/>
                <w:sz w:val="24"/>
                <w:szCs w:val="24"/>
                <w:vertAlign w:val="baseline"/>
                <w:lang w:val="en-US" w:eastAsia="zh-CN"/>
              </w:rPr>
              <w:t>职工生活用水量</w:t>
            </w:r>
            <w:r>
              <w:rPr>
                <w:rFonts w:hint="eastAsia" w:cs="Times New Roman"/>
                <w:sz w:val="24"/>
                <w:szCs w:val="24"/>
                <w:highlight w:val="none"/>
                <w:vertAlign w:val="baseline"/>
                <w:lang w:val="en-US" w:eastAsia="zh-CN"/>
              </w:rPr>
              <w:t>0.125</w:t>
            </w:r>
            <w:r>
              <w:rPr>
                <w:rFonts w:hint="default" w:ascii="Times New Roman" w:hAnsi="Times New Roman" w:eastAsia="宋体" w:cs="Times New Roman"/>
                <w:sz w:val="24"/>
                <w:szCs w:val="24"/>
                <w:highlight w:val="none"/>
                <w:vertAlign w:val="baseline"/>
                <w:lang w:val="en-US" w:eastAsia="zh-CN"/>
              </w:rPr>
              <w:t>m</w:t>
            </w:r>
            <w:r>
              <w:rPr>
                <w:rFonts w:hint="default" w:ascii="Times New Roman" w:hAnsi="Times New Roman" w:eastAsia="宋体" w:cs="Times New Roman"/>
                <w:sz w:val="24"/>
                <w:szCs w:val="24"/>
                <w:highlight w:val="none"/>
                <w:vertAlign w:val="superscript"/>
                <w:lang w:val="en-US" w:eastAsia="zh-CN"/>
              </w:rPr>
              <w:t>3</w:t>
            </w:r>
            <w:r>
              <w:rPr>
                <w:rFonts w:hint="default" w:ascii="Times New Roman" w:hAnsi="Times New Roman" w:eastAsia="宋体" w:cs="Times New Roman"/>
                <w:sz w:val="24"/>
                <w:szCs w:val="24"/>
                <w:highlight w:val="none"/>
                <w:vertAlign w:val="baseline"/>
                <w:lang w:val="en-US" w:eastAsia="zh-CN"/>
              </w:rPr>
              <w:t>/d，</w:t>
            </w:r>
            <w:r>
              <w:rPr>
                <w:rFonts w:hint="eastAsia" w:cs="Times New Roman"/>
                <w:sz w:val="24"/>
                <w:szCs w:val="24"/>
                <w:highlight w:val="none"/>
                <w:vertAlign w:val="baseline"/>
                <w:lang w:val="en-US" w:eastAsia="zh-CN"/>
              </w:rPr>
              <w:t>45.625</w:t>
            </w:r>
            <w:r>
              <w:rPr>
                <w:rFonts w:hint="default" w:ascii="Times New Roman" w:hAnsi="Times New Roman" w:eastAsia="宋体" w:cs="Times New Roman"/>
                <w:sz w:val="24"/>
                <w:szCs w:val="24"/>
                <w:highlight w:val="none"/>
                <w:vertAlign w:val="baseline"/>
                <w:lang w:val="en-US" w:eastAsia="zh-CN"/>
              </w:rPr>
              <w:t>m</w:t>
            </w:r>
            <w:r>
              <w:rPr>
                <w:rFonts w:hint="default" w:ascii="Times New Roman" w:hAnsi="Times New Roman" w:eastAsia="宋体" w:cs="Times New Roman"/>
                <w:sz w:val="24"/>
                <w:szCs w:val="24"/>
                <w:highlight w:val="none"/>
                <w:vertAlign w:val="superscript"/>
                <w:lang w:val="en-US" w:eastAsia="zh-CN"/>
              </w:rPr>
              <w:t>3</w:t>
            </w:r>
            <w:r>
              <w:rPr>
                <w:rFonts w:hint="default" w:ascii="Times New Roman" w:hAnsi="Times New Roman" w:eastAsia="宋体" w:cs="Times New Roman"/>
                <w:sz w:val="24"/>
                <w:szCs w:val="24"/>
                <w:highlight w:val="none"/>
                <w:vertAlign w:val="baseline"/>
                <w:lang w:val="en-US" w:eastAsia="zh-CN"/>
              </w:rPr>
              <w:t>/a</w:t>
            </w:r>
            <w:r>
              <w:rPr>
                <w:rFonts w:hint="eastAsia" w:ascii="Times New Roman" w:hAnsi="Times New Roman" w:eastAsia="宋体" w:cs="Times New Roman"/>
                <w:sz w:val="24"/>
                <w:szCs w:val="24"/>
                <w:vertAlign w:val="baseline"/>
                <w:lang w:val="en-US" w:eastAsia="zh-CN"/>
              </w:rPr>
              <w:t>，废水排放量按用水量80%计，则</w:t>
            </w:r>
            <w:r>
              <w:rPr>
                <w:rFonts w:hint="eastAsia" w:cs="Times New Roman"/>
                <w:sz w:val="24"/>
                <w:szCs w:val="24"/>
                <w:vertAlign w:val="baseline"/>
                <w:lang w:val="en-US" w:eastAsia="zh-CN"/>
              </w:rPr>
              <w:t>生活污水</w:t>
            </w:r>
            <w:r>
              <w:rPr>
                <w:rFonts w:hint="eastAsia" w:ascii="Times New Roman" w:hAnsi="Times New Roman" w:eastAsia="宋体" w:cs="Times New Roman"/>
                <w:sz w:val="24"/>
                <w:szCs w:val="24"/>
                <w:vertAlign w:val="baseline"/>
                <w:lang w:val="en-US" w:eastAsia="zh-CN"/>
              </w:rPr>
              <w:t>排放量为</w:t>
            </w:r>
            <w:r>
              <w:rPr>
                <w:rFonts w:hint="eastAsia" w:cs="Times New Roman"/>
                <w:sz w:val="24"/>
                <w:szCs w:val="24"/>
                <w:highlight w:val="none"/>
                <w:vertAlign w:val="baseline"/>
                <w:lang w:val="en-US" w:eastAsia="zh-CN"/>
              </w:rPr>
              <w:t>0.1</w:t>
            </w:r>
            <w:r>
              <w:rPr>
                <w:rFonts w:hint="eastAsia" w:ascii="Times New Roman" w:hAnsi="Times New Roman" w:eastAsia="宋体" w:cs="Times New Roman"/>
                <w:sz w:val="24"/>
                <w:szCs w:val="24"/>
                <w:highlight w:val="none"/>
                <w:vertAlign w:val="baseline"/>
                <w:lang w:val="en-US" w:eastAsia="zh-CN"/>
              </w:rPr>
              <w:t>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vertAlign w:val="baseline"/>
                <w:lang w:val="en-US" w:eastAsia="zh-CN"/>
              </w:rPr>
              <w:t>/d、</w:t>
            </w:r>
            <w:r>
              <w:rPr>
                <w:rFonts w:hint="eastAsia" w:cs="Times New Roman"/>
                <w:sz w:val="24"/>
                <w:szCs w:val="24"/>
                <w:highlight w:val="none"/>
                <w:vertAlign w:val="baseline"/>
                <w:lang w:val="en-US" w:eastAsia="zh-CN"/>
              </w:rPr>
              <w:t>36.5</w:t>
            </w:r>
            <w:r>
              <w:rPr>
                <w:rFonts w:hint="eastAsia" w:ascii="Times New Roman" w:hAnsi="Times New Roman" w:eastAsia="宋体" w:cs="Times New Roman"/>
                <w:sz w:val="24"/>
                <w:szCs w:val="24"/>
                <w:highlight w:val="none"/>
                <w:vertAlign w:val="baseline"/>
                <w:lang w:val="en-US" w:eastAsia="zh-CN"/>
              </w:rPr>
              <w:t>m</w:t>
            </w:r>
            <w:r>
              <w:rPr>
                <w:rFonts w:hint="eastAsia" w:ascii="Times New Roman" w:hAnsi="Times New Roman" w:eastAsia="宋体" w:cs="Times New Roman"/>
                <w:sz w:val="24"/>
                <w:szCs w:val="24"/>
                <w:highlight w:val="none"/>
                <w:vertAlign w:val="superscript"/>
                <w:lang w:val="en-US" w:eastAsia="zh-CN"/>
              </w:rPr>
              <w:t>3</w:t>
            </w:r>
            <w:r>
              <w:rPr>
                <w:rFonts w:hint="eastAsia" w:ascii="Times New Roman" w:hAnsi="Times New Roman" w:eastAsia="宋体" w:cs="Times New Roman"/>
                <w:sz w:val="24"/>
                <w:szCs w:val="24"/>
                <w:highlight w:val="none"/>
                <w:vertAlign w:val="baseline"/>
                <w:lang w:val="en-US" w:eastAsia="zh-CN"/>
              </w:rPr>
              <w:t>/a</w:t>
            </w:r>
            <w:r>
              <w:rPr>
                <w:rFonts w:hint="eastAsia" w:ascii="Times New Roman" w:hAnsi="Times New Roman" w:eastAsia="宋体" w:cs="Times New Roman"/>
                <w:sz w:val="24"/>
                <w:szCs w:val="24"/>
                <w:vertAlign w:val="baseline"/>
                <w:lang w:val="en-US" w:eastAsia="zh-CN"/>
              </w:rPr>
              <w:t>；</w:t>
            </w:r>
          </w:p>
          <w:p>
            <w:pPr>
              <w:pStyle w:val="93"/>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宠物诊疗废水</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宠物</w:t>
            </w:r>
            <w:r>
              <w:rPr>
                <w:rFonts w:hint="eastAsia" w:cs="Times New Roman"/>
                <w:color w:val="auto"/>
                <w:sz w:val="24"/>
                <w:szCs w:val="24"/>
                <w:highlight w:val="none"/>
                <w:lang w:val="en-US" w:eastAsia="zh-CN"/>
              </w:rPr>
              <w:t>诊疗</w:t>
            </w:r>
            <w:r>
              <w:rPr>
                <w:rFonts w:hint="default" w:ascii="Times New Roman" w:hAnsi="Times New Roman" w:eastAsia="宋体" w:cs="Times New Roman"/>
                <w:color w:val="auto"/>
                <w:sz w:val="24"/>
                <w:szCs w:val="24"/>
                <w:highlight w:val="none"/>
                <w:lang w:eastAsia="zh-CN"/>
              </w:rPr>
              <w:t>用水</w:t>
            </w:r>
            <w:r>
              <w:rPr>
                <w:rFonts w:hint="default" w:ascii="Times New Roman" w:hAnsi="Times New Roman" w:eastAsia="宋体" w:cs="Times New Roman"/>
                <w:color w:val="auto"/>
                <w:sz w:val="24"/>
                <w:szCs w:val="24"/>
                <w:highlight w:val="none"/>
                <w:lang w:val="en-US" w:eastAsia="zh-CN"/>
              </w:rPr>
              <w:t>量约为</w:t>
            </w:r>
            <w:r>
              <w:rPr>
                <w:rFonts w:hint="eastAsia"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lang w:eastAsia="zh-CN"/>
              </w:rPr>
              <w:t>m</w:t>
            </w:r>
            <w:r>
              <w:rPr>
                <w:rFonts w:hint="default" w:ascii="Times New Roman" w:hAnsi="Times New Roman" w:eastAsia="宋体" w:cs="Times New Roman"/>
                <w:color w:val="auto"/>
                <w:sz w:val="24"/>
                <w:szCs w:val="24"/>
                <w:highlight w:val="none"/>
                <w:vertAlign w:val="superscript"/>
                <w:lang w:eastAsia="zh-CN"/>
              </w:rPr>
              <w:t>3</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a。</w:t>
            </w:r>
            <w:r>
              <w:rPr>
                <w:rFonts w:hint="eastAsia" w:cs="Times New Roman"/>
                <w:color w:val="auto"/>
                <w:sz w:val="24"/>
                <w:szCs w:val="24"/>
                <w:highlight w:val="none"/>
                <w:lang w:val="en-US" w:eastAsia="zh-CN"/>
              </w:rPr>
              <w:t>宠物诊疗废水</w:t>
            </w:r>
            <w:r>
              <w:rPr>
                <w:rFonts w:hint="default" w:ascii="Times New Roman" w:hAnsi="Times New Roman" w:eastAsia="宋体" w:cs="Times New Roman"/>
                <w:color w:val="auto"/>
                <w:sz w:val="24"/>
                <w:szCs w:val="24"/>
                <w:highlight w:val="none"/>
                <w:lang w:val="en-US" w:eastAsia="zh-CN"/>
              </w:rPr>
              <w:t>产生量按用水量的80%</w:t>
            </w:r>
            <w:r>
              <w:rPr>
                <w:rFonts w:hint="eastAsia" w:cs="Times New Roman"/>
                <w:color w:val="auto"/>
                <w:sz w:val="24"/>
                <w:szCs w:val="24"/>
                <w:highlight w:val="none"/>
                <w:lang w:val="en-US" w:eastAsia="zh-CN"/>
              </w:rPr>
              <w:t>计算</w:t>
            </w:r>
            <w:r>
              <w:rPr>
                <w:rFonts w:hint="default" w:ascii="Times New Roman" w:hAnsi="Times New Roman" w:eastAsia="宋体" w:cs="Times New Roman"/>
                <w:color w:val="auto"/>
                <w:sz w:val="24"/>
                <w:szCs w:val="24"/>
                <w:highlight w:val="none"/>
                <w:lang w:val="en-US" w:eastAsia="zh-CN"/>
              </w:rPr>
              <w:t>，则</w:t>
            </w:r>
            <w:r>
              <w:rPr>
                <w:rFonts w:hint="eastAsia" w:cs="Times New Roman"/>
                <w:color w:val="auto"/>
                <w:sz w:val="24"/>
                <w:szCs w:val="24"/>
                <w:highlight w:val="none"/>
                <w:lang w:val="en-US" w:eastAsia="zh-CN"/>
              </w:rPr>
              <w:t>医疗</w:t>
            </w:r>
            <w:r>
              <w:rPr>
                <w:rFonts w:hint="default" w:ascii="Times New Roman" w:hAnsi="Times New Roman" w:eastAsia="宋体" w:cs="Times New Roman"/>
                <w:color w:val="auto"/>
                <w:sz w:val="24"/>
                <w:szCs w:val="24"/>
                <w:highlight w:val="none"/>
                <w:lang w:val="en-US" w:eastAsia="zh-CN"/>
              </w:rPr>
              <w:t>废水</w:t>
            </w:r>
            <w:r>
              <w:rPr>
                <w:rFonts w:hint="eastAsia" w:cs="Times New Roman"/>
                <w:color w:val="auto"/>
                <w:sz w:val="24"/>
                <w:szCs w:val="24"/>
                <w:highlight w:val="none"/>
                <w:lang w:val="en-US" w:eastAsia="zh-CN"/>
              </w:rPr>
              <w:t>排放</w:t>
            </w:r>
            <w:r>
              <w:rPr>
                <w:rFonts w:hint="default" w:ascii="Times New Roman" w:hAnsi="Times New Roman" w:eastAsia="宋体" w:cs="Times New Roman"/>
                <w:color w:val="auto"/>
                <w:sz w:val="24"/>
                <w:szCs w:val="24"/>
                <w:highlight w:val="none"/>
                <w:lang w:val="en-US" w:eastAsia="zh-CN"/>
              </w:rPr>
              <w:t>量约为</w:t>
            </w:r>
            <w:r>
              <w:rPr>
                <w:rFonts w:hint="eastAsia"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eastAsia="zh-CN"/>
              </w:rPr>
              <w:t>m</w:t>
            </w:r>
            <w:r>
              <w:rPr>
                <w:rFonts w:hint="default" w:ascii="Times New Roman" w:hAnsi="Times New Roman" w:eastAsia="宋体" w:cs="Times New Roman"/>
                <w:color w:val="auto"/>
                <w:sz w:val="24"/>
                <w:szCs w:val="24"/>
                <w:highlight w:val="none"/>
                <w:vertAlign w:val="superscript"/>
                <w:lang w:eastAsia="zh-CN"/>
              </w:rPr>
              <w:t>3</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a。</w:t>
            </w:r>
          </w:p>
          <w:p>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jc w:val="both"/>
              <w:textAlignment w:val="auto"/>
              <w:outlineLvl w:val="9"/>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本项目总</w:t>
            </w:r>
            <w:r>
              <w:rPr>
                <w:rFonts w:hint="eastAsia" w:eastAsia="宋体" w:cs="Times New Roman"/>
                <w:color w:val="auto"/>
                <w:sz w:val="24"/>
                <w:szCs w:val="24"/>
                <w:highlight w:val="none"/>
                <w:lang w:val="en-US" w:eastAsia="zh-CN"/>
              </w:rPr>
              <w:t>排</w:t>
            </w:r>
            <w:r>
              <w:rPr>
                <w:rFonts w:hint="default" w:ascii="Times New Roman" w:hAnsi="Times New Roman" w:eastAsia="宋体" w:cs="Times New Roman"/>
                <w:color w:val="auto"/>
                <w:sz w:val="24"/>
                <w:szCs w:val="24"/>
                <w:highlight w:val="none"/>
                <w:lang w:eastAsia="zh-CN"/>
              </w:rPr>
              <w:t>水量为：</w:t>
            </w:r>
            <w:r>
              <w:rPr>
                <w:rFonts w:hint="eastAsia" w:cs="Times New Roman"/>
                <w:color w:val="auto"/>
                <w:sz w:val="24"/>
                <w:szCs w:val="24"/>
                <w:highlight w:val="none"/>
                <w:lang w:val="en-US" w:eastAsia="zh-CN"/>
              </w:rPr>
              <w:t>44.5</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/a</w:t>
            </w:r>
            <w:r>
              <w:rPr>
                <w:rFonts w:hint="default" w:ascii="Times New Roman" w:hAnsi="Times New Roman" w:eastAsia="宋体" w:cs="Times New Roman"/>
                <w:color w:val="auto"/>
                <w:sz w:val="24"/>
                <w:szCs w:val="24"/>
                <w:highlight w:val="none"/>
                <w:lang w:eastAsia="zh-CN"/>
              </w:rPr>
              <w:t>。</w:t>
            </w:r>
          </w:p>
          <w:p>
            <w:pPr>
              <w:adjustRightInd w:val="0"/>
              <w:snapToGrid w:val="0"/>
              <w:spacing w:line="360" w:lineRule="auto"/>
              <w:ind w:firstLine="480" w:firstLineChars="200"/>
              <w:textAlignment w:val="baseline"/>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宠物诊疗废水</w:t>
            </w:r>
            <w:r>
              <w:rPr>
                <w:rFonts w:hint="default" w:ascii="Times New Roman" w:hAnsi="Times New Roman" w:eastAsia="宋体" w:cs="Times New Roman"/>
                <w:color w:val="auto"/>
                <w:sz w:val="24"/>
                <w:szCs w:val="24"/>
                <w:highlight w:val="none"/>
                <w:lang w:val="en-US" w:eastAsia="zh-CN"/>
              </w:rPr>
              <w:t>经小型废水治理设施消毒处理后和生活污水一同进入小区化粪池处理，最终纳入市政污水管网，进入库尔勒市南市区污水处理厂集中处理。</w:t>
            </w:r>
          </w:p>
          <w:p>
            <w:pPr>
              <w:adjustRightInd w:val="0"/>
              <w:snapToGrid w:val="0"/>
              <w:spacing w:line="360" w:lineRule="auto"/>
              <w:ind w:firstLine="464" w:firstLineChars="200"/>
              <w:textAlignment w:val="baseline"/>
              <w:rPr>
                <w:rFonts w:hint="default" w:ascii="Times New Roman" w:hAnsi="Times New Roman" w:cs="Times New Roman"/>
                <w:b/>
                <w:bCs/>
                <w:i w:val="0"/>
                <w:iCs w:val="0"/>
                <w:color w:val="FF0000"/>
                <w:sz w:val="21"/>
                <w:szCs w:val="21"/>
                <w:lang w:val="en-US" w:eastAsia="zh-CN"/>
              </w:rPr>
            </w:pPr>
            <w:r>
              <w:rPr>
                <w:rFonts w:hint="default" w:ascii="Times New Roman" w:hAnsi="Times New Roman" w:eastAsia="宋体" w:cs="Times New Roman"/>
                <w:color w:val="000000" w:themeColor="text1"/>
                <w:spacing w:val="-4"/>
                <w:sz w:val="24"/>
                <w:lang w:val="en-US" w:eastAsia="zh-CN"/>
                <w14:textFill>
                  <w14:solidFill>
                    <w14:schemeClr w14:val="tx1"/>
                  </w14:solidFill>
                </w14:textFill>
              </w:rPr>
              <w:t>项目水平衡</w:t>
            </w:r>
            <w:r>
              <w:rPr>
                <w:rFonts w:hint="default" w:ascii="Times New Roman" w:hAnsi="Times New Roman" w:cs="Times New Roman"/>
                <w:color w:val="000000" w:themeColor="text1"/>
                <w:spacing w:val="-4"/>
                <w:sz w:val="24"/>
                <w:lang w:val="en-US" w:eastAsia="zh-CN"/>
                <w14:textFill>
                  <w14:solidFill>
                    <w14:schemeClr w14:val="tx1"/>
                  </w14:solidFill>
                </w14:textFill>
              </w:rPr>
              <w:t>见</w:t>
            </w:r>
            <w:r>
              <w:rPr>
                <w:rFonts w:hint="default" w:ascii="Times New Roman" w:hAnsi="Times New Roman" w:eastAsia="宋体" w:cs="Times New Roman"/>
                <w:color w:val="000000" w:themeColor="text1"/>
                <w:spacing w:val="-4"/>
                <w:sz w:val="24"/>
                <w:lang w:val="en-US" w:eastAsia="zh-CN"/>
                <w14:textFill>
                  <w14:solidFill>
                    <w14:schemeClr w14:val="tx1"/>
                  </w14:solidFill>
                </w14:textFill>
              </w:rPr>
              <w:t>图</w:t>
            </w:r>
            <w:r>
              <w:rPr>
                <w:rFonts w:hint="default" w:ascii="Times New Roman" w:hAnsi="Times New Roman" w:cs="Times New Roman"/>
                <w:color w:val="000000" w:themeColor="text1"/>
                <w:spacing w:val="-4"/>
                <w:sz w:val="24"/>
                <w:lang w:val="en-US" w:eastAsia="zh-CN"/>
                <w14:textFill>
                  <w14:solidFill>
                    <w14:schemeClr w14:val="tx1"/>
                  </w14:solidFill>
                </w14:textFill>
              </w:rPr>
              <w:t>2-</w:t>
            </w:r>
            <w:r>
              <w:rPr>
                <w:rFonts w:hint="eastAsia" w:cs="Times New Roman"/>
                <w:color w:val="000000" w:themeColor="text1"/>
                <w:spacing w:val="-4"/>
                <w:sz w:val="24"/>
                <w:lang w:val="en-US" w:eastAsia="zh-CN"/>
                <w14:textFill>
                  <w14:solidFill>
                    <w14:schemeClr w14:val="tx1"/>
                  </w14:solidFill>
                </w14:textFill>
              </w:rPr>
              <w:t>1</w:t>
            </w:r>
            <w:r>
              <w:rPr>
                <w:rFonts w:hint="default" w:ascii="Times New Roman" w:hAnsi="Times New Roman" w:eastAsia="宋体" w:cs="Times New Roman"/>
                <w:color w:val="000000" w:themeColor="text1"/>
                <w:spacing w:val="-4"/>
                <w:sz w:val="24"/>
                <w:lang w:val="en-US" w:eastAsia="zh-CN"/>
                <w14:textFill>
                  <w14:solidFill>
                    <w14:schemeClr w14:val="tx1"/>
                  </w14:solidFill>
                </w14:textFill>
              </w:rPr>
              <w:t>。</w:t>
            </w:r>
          </w:p>
          <w:p>
            <w:pPr>
              <w:pStyle w:val="24"/>
              <w:spacing w:before="0" w:beforeLines="0" w:beforeAutospacing="0"/>
              <w:ind w:left="0" w:leftChars="0" w:firstLine="0" w:firstLineChars="0"/>
              <w:jc w:val="center"/>
              <w:rPr>
                <w:rFonts w:hint="default" w:ascii="Times New Roman" w:hAnsi="Times New Roman" w:cs="Times New Roman"/>
                <w:b/>
                <w:bCs/>
                <w:i w:val="0"/>
                <w:i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i w:val="0"/>
                <w:iCs w:val="0"/>
                <w:color w:val="000000" w:themeColor="text1"/>
                <w:sz w:val="21"/>
                <w:szCs w:val="21"/>
                <w:lang w:val="en-US" w:eastAsia="zh-CN"/>
                <w14:textFill>
                  <w14:solidFill>
                    <w14:schemeClr w14:val="tx1"/>
                  </w14:solidFill>
                </w14:textFill>
              </w:rPr>
              <w:object>
                <v:shape id="_x0000_i1025" o:spt="75" type="#_x0000_t75" style="height:121.1pt;width:374.25pt;" o:ole="t" filled="f" o:preferrelative="t" stroked="f" coordsize="21600,21600">
                  <v:path/>
                  <v:fill on="f" focussize="0,0"/>
                  <v:stroke on="f"/>
                  <v:imagedata r:id="rId13" o:title=""/>
                  <o:lock v:ext="edit" aspectratio="f"/>
                  <w10:wrap type="none"/>
                  <w10:anchorlock/>
                </v:shape>
                <o:OLEObject Type="Embed" ProgID="Visio.Drawing.11" ShapeID="_x0000_i1025" DrawAspect="Content" ObjectID="_1468075725" r:id="rId12">
                  <o:LockedField>false</o:LockedField>
                </o:OLEObject>
              </w:object>
            </w:r>
          </w:p>
          <w:p>
            <w:pPr>
              <w:pStyle w:val="24"/>
              <w:spacing w:before="0" w:beforeLines="0" w:beforeAutospacing="0"/>
              <w:ind w:left="0" w:leftChars="0" w:firstLine="0" w:firstLineChars="0"/>
              <w:jc w:val="center"/>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b/>
                <w:bCs/>
                <w:i w:val="0"/>
                <w:iCs w:val="0"/>
                <w:color w:val="000000" w:themeColor="text1"/>
                <w:sz w:val="21"/>
                <w:szCs w:val="21"/>
                <w:lang w:val="en-US" w:eastAsia="zh-CN"/>
                <w14:textFill>
                  <w14:solidFill>
                    <w14:schemeClr w14:val="tx1"/>
                  </w14:solidFill>
                </w14:textFill>
              </w:rPr>
              <w:t>图2-</w:t>
            </w:r>
            <w:r>
              <w:rPr>
                <w:rFonts w:hint="eastAsia" w:cs="Times New Roman"/>
                <w:b/>
                <w:bCs/>
                <w:i w:val="0"/>
                <w:iCs w:val="0"/>
                <w:color w:val="000000" w:themeColor="text1"/>
                <w:sz w:val="21"/>
                <w:szCs w:val="21"/>
                <w:lang w:val="en-US" w:eastAsia="zh-CN"/>
                <w14:textFill>
                  <w14:solidFill>
                    <w14:schemeClr w14:val="tx1"/>
                  </w14:solidFill>
                </w14:textFill>
              </w:rPr>
              <w:t>1</w:t>
            </w:r>
            <w:r>
              <w:rPr>
                <w:rFonts w:hint="default" w:ascii="Times New Roman" w:hAnsi="Times New Roman" w:cs="Times New Roman"/>
                <w:b/>
                <w:bCs/>
                <w:i w:val="0"/>
                <w:iCs w:val="0"/>
                <w:color w:val="000000" w:themeColor="text1"/>
                <w:sz w:val="21"/>
                <w:szCs w:val="21"/>
                <w:lang w:val="en-US" w:eastAsia="zh-CN"/>
                <w14:textFill>
                  <w14:solidFill>
                    <w14:schemeClr w14:val="tx1"/>
                  </w14:solidFill>
                </w14:textFill>
              </w:rPr>
              <w:t xml:space="preserve">  项目水平衡图 </w:t>
            </w:r>
            <w:r>
              <w:rPr>
                <w:rFonts w:hint="default" w:ascii="Times New Roman" w:hAnsi="Times New Roman" w:cs="Times New Roman"/>
                <w:b/>
                <w:bCs/>
                <w:i w:val="0"/>
                <w:iCs w:val="0"/>
                <w:color w:val="FF0000"/>
                <w:sz w:val="21"/>
                <w:szCs w:val="21"/>
                <w:lang w:val="en-US" w:eastAsia="zh-CN"/>
              </w:rPr>
              <w:t xml:space="preserve">   </w:t>
            </w:r>
            <w:r>
              <w:rPr>
                <w:rFonts w:hint="default" w:ascii="Times New Roman" w:hAnsi="Times New Roman" w:cs="Times New Roman"/>
                <w:b/>
                <w:bCs/>
                <w:i w:val="0"/>
                <w:iCs w:val="0"/>
                <w:color w:val="auto"/>
                <w:sz w:val="21"/>
                <w:szCs w:val="21"/>
                <w:lang w:val="en-US" w:eastAsia="zh-CN"/>
              </w:rPr>
              <w:t>单位：m</w:t>
            </w:r>
            <w:r>
              <w:rPr>
                <w:rFonts w:hint="default" w:ascii="Times New Roman" w:hAnsi="Times New Roman" w:cs="Times New Roman"/>
                <w:b/>
                <w:bCs/>
                <w:i w:val="0"/>
                <w:iCs w:val="0"/>
                <w:color w:val="auto"/>
                <w:sz w:val="21"/>
                <w:szCs w:val="21"/>
                <w:vertAlign w:val="superscript"/>
                <w:lang w:val="en-US" w:eastAsia="zh-CN"/>
              </w:rPr>
              <w:t>3</w:t>
            </w:r>
            <w:r>
              <w:rPr>
                <w:rFonts w:hint="default" w:ascii="Times New Roman" w:hAnsi="Times New Roman" w:cs="Times New Roman"/>
                <w:b/>
                <w:bCs/>
                <w:i w:val="0"/>
                <w:iCs w:val="0"/>
                <w:color w:val="auto"/>
                <w:sz w:val="21"/>
                <w:szCs w:val="21"/>
                <w:lang w:val="en-US" w:eastAsia="zh-CN"/>
              </w:rPr>
              <w:t>/d</w:t>
            </w:r>
          </w:p>
          <w:p>
            <w:pPr>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供热</w:t>
            </w:r>
          </w:p>
          <w:p>
            <w:pPr>
              <w:adjustRightInd w:val="0"/>
              <w:snapToGrid w:val="0"/>
              <w:spacing w:line="360" w:lineRule="auto"/>
              <w:ind w:firstLine="480" w:firstLineChars="200"/>
              <w:textAlignment w:val="baseline"/>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冬季采暖接市政集中供暖管网。</w:t>
            </w:r>
          </w:p>
          <w:p>
            <w:pPr>
              <w:adjustRightInd w:val="0"/>
              <w:snapToGrid w:val="0"/>
              <w:spacing w:line="360" w:lineRule="auto"/>
              <w:ind w:firstLine="480" w:firstLineChars="200"/>
              <w:textAlignment w:val="baseline"/>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w:t>
            </w:r>
            <w:r>
              <w:rPr>
                <w:rFonts w:hint="eastAsia" w:cs="Times New Roman"/>
                <w:color w:val="000000" w:themeColor="text1"/>
                <w:sz w:val="24"/>
                <w:highlight w:val="none"/>
                <w:lang w:val="en-US" w:eastAsia="zh-CN"/>
                <w14:textFill>
                  <w14:solidFill>
                    <w14:schemeClr w14:val="tx1"/>
                  </w14:solidFill>
                </w14:textFill>
              </w:rPr>
              <w:t>4</w:t>
            </w:r>
            <w:r>
              <w:rPr>
                <w:rFonts w:hint="default" w:ascii="Times New Roman" w:hAnsi="Times New Roman" w:cs="Times New Roman"/>
                <w:color w:val="000000" w:themeColor="text1"/>
                <w:sz w:val="24"/>
                <w:highlight w:val="none"/>
                <w14:textFill>
                  <w14:solidFill>
                    <w14:schemeClr w14:val="tx1"/>
                  </w14:solidFill>
                </w14:textFill>
              </w:rPr>
              <w:t>）供电</w:t>
            </w:r>
          </w:p>
          <w:p>
            <w:pPr>
              <w:adjustRightInd w:val="0"/>
              <w:snapToGrid w:val="0"/>
              <w:spacing w:line="360" w:lineRule="auto"/>
              <w:ind w:firstLine="480" w:firstLineChars="200"/>
              <w:textAlignment w:val="baseline"/>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本项目由</w:t>
            </w:r>
            <w:r>
              <w:rPr>
                <w:rFonts w:hint="default" w:ascii="Times New Roman" w:hAnsi="Times New Roman" w:cs="Times New Roman"/>
                <w:color w:val="000000" w:themeColor="text1"/>
                <w:sz w:val="24"/>
                <w:highlight w:val="none"/>
                <w:lang w:eastAsia="zh-CN"/>
                <w14:textFill>
                  <w14:solidFill>
                    <w14:schemeClr w14:val="tx1"/>
                  </w14:solidFill>
                </w14:textFill>
              </w:rPr>
              <w:t>国家</w:t>
            </w:r>
            <w:r>
              <w:rPr>
                <w:rFonts w:hint="default" w:ascii="Times New Roman" w:hAnsi="Times New Roman" w:cs="Times New Roman"/>
                <w:color w:val="000000" w:themeColor="text1"/>
                <w:sz w:val="24"/>
                <w:highlight w:val="none"/>
                <w14:textFill>
                  <w14:solidFill>
                    <w14:schemeClr w14:val="tx1"/>
                  </w14:solidFill>
                </w14:textFill>
              </w:rPr>
              <w:t>电网提</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供电力，可满足本项目生产需求。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4" w:type="pct"/>
            <w:noWrap w:val="0"/>
            <w:vAlign w:val="center"/>
          </w:tcPr>
          <w:p>
            <w:pPr>
              <w:pStyle w:val="26"/>
              <w:adjustRightInd w:val="0"/>
              <w:snapToGrid w:val="0"/>
              <w:spacing w:before="0" w:beforeAutospacing="0" w:after="0" w:afterAutospacing="0"/>
              <w:jc w:val="center"/>
              <w:rPr>
                <w:rFonts w:hint="default" w:ascii="Times New Roman" w:hAnsi="Times New Roman" w:cs="Times New Roman"/>
                <w:color w:val="FF0000"/>
                <w:sz w:val="21"/>
                <w:szCs w:val="21"/>
              </w:rPr>
            </w:pPr>
            <w:r>
              <w:rPr>
                <w:rFonts w:hint="default" w:ascii="Times New Roman" w:hAnsi="Times New Roman" w:cs="Times New Roman"/>
                <w:color w:val="auto"/>
                <w:sz w:val="24"/>
                <w:szCs w:val="24"/>
              </w:rPr>
              <w:t>工艺流程和产排污环节</w:t>
            </w:r>
          </w:p>
        </w:tc>
        <w:tc>
          <w:tcPr>
            <w:tcW w:w="4705" w:type="pct"/>
            <w:noWrap w:val="0"/>
            <w:vAlign w:val="top"/>
          </w:tcPr>
          <w:p>
            <w:pPr>
              <w:adjustRightInd w:val="0"/>
              <w:snapToGrid w:val="0"/>
              <w:spacing w:before="120" w:beforeLines="50" w:line="360" w:lineRule="auto"/>
              <w:textAlignment w:val="baseline"/>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工艺流程简述（图示）：</w:t>
            </w:r>
          </w:p>
          <w:p>
            <w:pPr>
              <w:keepNext w:val="0"/>
              <w:keepLines w:val="0"/>
              <w:pageBreakBefore w:val="0"/>
              <w:widowControl w:val="0"/>
              <w:kinsoku/>
              <w:wordWrap/>
              <w:overflowPunct/>
              <w:topLinePunct w:val="0"/>
              <w:autoSpaceDE/>
              <w:autoSpaceDN/>
              <w:bidi w:val="0"/>
              <w:adjustRightInd w:val="0"/>
              <w:snapToGrid w:val="0"/>
              <w:spacing w:line="360" w:lineRule="auto"/>
              <w:textAlignment w:val="baseline"/>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lang w:val="en-US" w:eastAsia="zh-CN"/>
              </w:rPr>
              <w:t>2.</w:t>
            </w:r>
            <w:r>
              <w:rPr>
                <w:rFonts w:hint="eastAsia" w:cs="Times New Roman"/>
                <w:b/>
                <w:bCs/>
                <w:color w:val="auto"/>
                <w:sz w:val="24"/>
                <w:highlight w:val="none"/>
                <w:lang w:val="en-US" w:eastAsia="zh-CN"/>
              </w:rPr>
              <w:t>9</w:t>
            </w:r>
            <w:r>
              <w:rPr>
                <w:rFonts w:hint="default" w:ascii="Times New Roman" w:hAnsi="Times New Roman" w:cs="Times New Roman"/>
                <w:b/>
                <w:bCs/>
                <w:color w:val="auto"/>
                <w:sz w:val="24"/>
                <w:highlight w:val="none"/>
              </w:rPr>
              <w:t>施工期</w:t>
            </w:r>
          </w:p>
          <w:p>
            <w:pPr>
              <w:adjustRightInd w:val="0"/>
              <w:snapToGrid w:val="0"/>
              <w:spacing w:line="360" w:lineRule="auto"/>
              <w:ind w:firstLine="480" w:firstLineChars="200"/>
              <w:jc w:val="both"/>
              <w:textAlignment w:val="baseline"/>
              <w:rPr>
                <w:rFonts w:hint="default" w:ascii="Times New Roman" w:hAnsi="Times New Roman" w:eastAsia="宋体" w:cs="Times New Roman"/>
                <w:i w:val="0"/>
                <w:iCs w:val="0"/>
                <w:color w:val="auto"/>
                <w:sz w:val="24"/>
                <w:szCs w:val="24"/>
                <w:lang w:val="en-US" w:eastAsia="zh-CN"/>
              </w:rPr>
            </w:pPr>
            <w:r>
              <w:rPr>
                <w:rFonts w:hint="eastAsia" w:ascii="Times New Roman" w:hAnsi="Times New Roman" w:eastAsia="宋体" w:cs="Times New Roman"/>
                <w:i w:val="0"/>
                <w:iCs w:val="0"/>
                <w:color w:val="auto"/>
                <w:sz w:val="24"/>
                <w:szCs w:val="24"/>
                <w:lang w:val="en-US" w:eastAsia="zh-CN"/>
              </w:rPr>
              <w:t>本项目无土建工程，</w:t>
            </w:r>
            <w:r>
              <w:rPr>
                <w:rFonts w:hint="default" w:ascii="Times New Roman" w:hAnsi="Times New Roman" w:eastAsia="宋体" w:cs="Times New Roman"/>
                <w:i w:val="0"/>
                <w:iCs w:val="0"/>
                <w:color w:val="auto"/>
                <w:sz w:val="24"/>
                <w:szCs w:val="24"/>
                <w:lang w:val="en-US" w:eastAsia="zh-CN"/>
              </w:rPr>
              <w:t>主要进行总体装修和设备安装等施工，工程施工期间的装修清理、设备安装调试、工程验收等工序将产生噪声、废气、扬尘、固体废物、少量施工废水和生活污水等污染物。施工期工艺流程及产污环节见图 2-2。</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baseline"/>
              <w:rPr>
                <w:rFonts w:hint="default" w:ascii="Times New Roman" w:hAnsi="Times New Roman"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bCs/>
                <w:color w:val="000000" w:themeColor="text1"/>
                <w:kern w:val="2"/>
                <w:sz w:val="24"/>
                <w:szCs w:val="24"/>
                <w:lang w:val="en-US" w:eastAsia="zh-CN" w:bidi="ar-SA"/>
                <w14:textFill>
                  <w14:solidFill>
                    <w14:schemeClr w14:val="tx1"/>
                  </w14:solidFill>
                </w14:textFill>
              </w:rPr>
              <w:object>
                <v:shape id="_x0000_i1026" o:spt="75" type="#_x0000_t75" style="height:109.5pt;width:378.75pt;" o:ole="t" filled="f" o:preferrelative="t" stroked="f" coordsize="21600,21600">
                  <v:path/>
                  <v:fill on="f" focussize="0,0"/>
                  <v:stroke on="f"/>
                  <v:imagedata r:id="rId15" o:title=""/>
                  <o:lock v:ext="edit" aspectratio="f"/>
                  <w10:wrap type="none"/>
                  <w10:anchorlock/>
                </v:shape>
                <o:OLEObject Type="Embed" ProgID="Visio.Drawing.11" ShapeID="_x0000_i1026" DrawAspect="Content" ObjectID="_1468075726" r:id="rId14">
                  <o:LockedField>false</o:LockedField>
                </o:OLEObject>
              </w:object>
            </w:r>
          </w:p>
          <w:p>
            <w:pPr>
              <w:pStyle w:val="24"/>
              <w:spacing w:before="0" w:beforeLines="0" w:beforeAutospacing="0"/>
              <w:ind w:left="0" w:leftChars="0" w:firstLine="0" w:firstLineChars="0"/>
              <w:jc w:val="center"/>
              <w:rPr>
                <w:rFonts w:hint="default" w:ascii="Times New Roman" w:hAnsi="Times New Roman" w:cs="Times New Roman"/>
                <w:b/>
                <w:bCs/>
                <w:i w:val="0"/>
                <w:iCs w:val="0"/>
                <w:color w:val="000000" w:themeColor="text1"/>
                <w:sz w:val="21"/>
                <w:szCs w:val="21"/>
                <w:lang w:val="en-US" w:eastAsia="zh-CN"/>
                <w14:textFill>
                  <w14:solidFill>
                    <w14:schemeClr w14:val="tx1"/>
                  </w14:solidFill>
                </w14:textFill>
              </w:rPr>
            </w:pPr>
            <w:r>
              <w:rPr>
                <w:rFonts w:hint="default" w:ascii="Times New Roman" w:hAnsi="Times New Roman" w:cs="Times New Roman"/>
                <w:b/>
                <w:bCs/>
                <w:i w:val="0"/>
                <w:iCs w:val="0"/>
                <w:color w:val="000000" w:themeColor="text1"/>
                <w:sz w:val="21"/>
                <w:szCs w:val="21"/>
                <w:lang w:val="en-US" w:eastAsia="zh-CN"/>
                <w14:textFill>
                  <w14:solidFill>
                    <w14:schemeClr w14:val="tx1"/>
                  </w14:solidFill>
                </w14:textFill>
              </w:rPr>
              <w:t>图2-</w:t>
            </w:r>
            <w:r>
              <w:rPr>
                <w:rFonts w:hint="eastAsia" w:cs="Times New Roman"/>
                <w:b/>
                <w:bCs/>
                <w:i w:val="0"/>
                <w:iCs w:val="0"/>
                <w:color w:val="000000" w:themeColor="text1"/>
                <w:sz w:val="21"/>
                <w:szCs w:val="21"/>
                <w:lang w:val="en-US" w:eastAsia="zh-CN"/>
                <w14:textFill>
                  <w14:solidFill>
                    <w14:schemeClr w14:val="tx1"/>
                  </w14:solidFill>
                </w14:textFill>
              </w:rPr>
              <w:t>2</w:t>
            </w:r>
            <w:r>
              <w:rPr>
                <w:rFonts w:hint="default" w:ascii="Times New Roman" w:hAnsi="Times New Roman" w:cs="Times New Roman"/>
                <w:b/>
                <w:bCs/>
                <w:i w:val="0"/>
                <w:iCs w:val="0"/>
                <w:color w:val="000000" w:themeColor="text1"/>
                <w:sz w:val="21"/>
                <w:szCs w:val="21"/>
                <w:lang w:val="en-US" w:eastAsia="zh-CN"/>
                <w14:textFill>
                  <w14:solidFill>
                    <w14:schemeClr w14:val="tx1"/>
                  </w14:solidFill>
                </w14:textFill>
              </w:rPr>
              <w:t xml:space="preserve">  施工期工艺流程及产污环节图</w:t>
            </w:r>
          </w:p>
          <w:p>
            <w:pPr>
              <w:pStyle w:val="82"/>
              <w:spacing w:before="162" w:line="220" w:lineRule="auto"/>
              <w:ind w:left="586"/>
            </w:pPr>
            <w:r>
              <w:rPr>
                <w:spacing w:val="-7"/>
              </w:rPr>
              <w:t>施工期产污环节：</w:t>
            </w:r>
          </w:p>
          <w:p>
            <w:pPr>
              <w:pStyle w:val="82"/>
              <w:spacing w:before="182" w:line="240" w:lineRule="auto"/>
              <w:ind w:left="1479"/>
            </w:pPr>
            <w:r>
              <w:rPr>
                <w:b/>
                <w:bCs/>
                <w:spacing w:val="-2"/>
                <w:sz w:val="21"/>
                <w:szCs w:val="21"/>
              </w:rPr>
              <w:t>表</w:t>
            </w:r>
            <w:r>
              <w:rPr>
                <w:spacing w:val="-52"/>
                <w:sz w:val="21"/>
                <w:szCs w:val="21"/>
              </w:rPr>
              <w:t xml:space="preserve"> </w:t>
            </w:r>
            <w:r>
              <w:rPr>
                <w:rFonts w:ascii="Times New Roman" w:hAnsi="Times New Roman" w:eastAsia="Times New Roman" w:cs="Times New Roman"/>
                <w:b/>
                <w:bCs/>
                <w:spacing w:val="-2"/>
                <w:sz w:val="21"/>
                <w:szCs w:val="21"/>
              </w:rPr>
              <w:t>2-</w:t>
            </w:r>
            <w:r>
              <w:rPr>
                <w:rFonts w:hint="eastAsia" w:ascii="Times New Roman" w:hAnsi="Times New Roman" w:cs="Times New Roman"/>
                <w:b/>
                <w:bCs/>
                <w:spacing w:val="-2"/>
                <w:sz w:val="21"/>
                <w:szCs w:val="21"/>
                <w:lang w:val="en-US" w:eastAsia="zh-CN"/>
              </w:rPr>
              <w:t>6</w:t>
            </w:r>
            <w:r>
              <w:rPr>
                <w:rFonts w:ascii="Times New Roman" w:hAnsi="Times New Roman" w:eastAsia="Times New Roman" w:cs="Times New Roman"/>
                <w:b/>
                <w:bCs/>
                <w:spacing w:val="-2"/>
                <w:sz w:val="21"/>
                <w:szCs w:val="21"/>
              </w:rPr>
              <w:t xml:space="preserve"> </w:t>
            </w:r>
            <w:r>
              <w:rPr>
                <w:rFonts w:hint="eastAsia" w:ascii="Times New Roman" w:hAnsi="Times New Roman" w:eastAsia="宋体" w:cs="Times New Roman"/>
                <w:b/>
                <w:bCs/>
                <w:spacing w:val="-2"/>
                <w:sz w:val="21"/>
                <w:szCs w:val="21"/>
                <w:lang w:val="en-US" w:eastAsia="zh-CN"/>
              </w:rPr>
              <w:t xml:space="preserve">     </w:t>
            </w:r>
            <w:r>
              <w:rPr>
                <w:b/>
                <w:bCs/>
                <w:spacing w:val="-2"/>
                <w:sz w:val="21"/>
                <w:szCs w:val="21"/>
              </w:rPr>
              <w:t>本项目施工期污染物产生情况表</w:t>
            </w:r>
          </w:p>
          <w:tbl>
            <w:tblPr>
              <w:tblStyle w:val="68"/>
              <w:tblW w:w="4998" w:type="pct"/>
              <w:tblInd w:w="2"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793"/>
              <w:gridCol w:w="1488"/>
              <w:gridCol w:w="2815"/>
              <w:gridCol w:w="2707"/>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508" w:type="pct"/>
                  <w:tcBorders>
                    <w:bottom w:val="single" w:color="000000" w:sz="12" w:space="0"/>
                  </w:tcBorders>
                  <w:vAlign w:val="center"/>
                </w:tcPr>
                <w:p>
                  <w:pPr>
                    <w:pStyle w:val="82"/>
                    <w:spacing w:before="112" w:line="240" w:lineRule="auto"/>
                    <w:jc w:val="center"/>
                    <w:rPr>
                      <w:sz w:val="21"/>
                      <w:szCs w:val="21"/>
                    </w:rPr>
                  </w:pPr>
                  <w:r>
                    <w:rPr>
                      <w:b/>
                      <w:bCs/>
                      <w:spacing w:val="-5"/>
                      <w:sz w:val="21"/>
                      <w:szCs w:val="21"/>
                    </w:rPr>
                    <w:t>工序</w:t>
                  </w:r>
                </w:p>
              </w:tc>
              <w:tc>
                <w:tcPr>
                  <w:tcW w:w="953" w:type="pct"/>
                  <w:tcBorders>
                    <w:bottom w:val="single" w:color="000000" w:sz="12" w:space="0"/>
                  </w:tcBorders>
                  <w:vAlign w:val="center"/>
                </w:tcPr>
                <w:p>
                  <w:pPr>
                    <w:pStyle w:val="82"/>
                    <w:spacing w:before="113" w:line="240" w:lineRule="auto"/>
                    <w:jc w:val="center"/>
                    <w:rPr>
                      <w:sz w:val="21"/>
                      <w:szCs w:val="21"/>
                    </w:rPr>
                  </w:pPr>
                  <w:r>
                    <w:rPr>
                      <w:b/>
                      <w:bCs/>
                      <w:spacing w:val="-6"/>
                      <w:sz w:val="21"/>
                      <w:szCs w:val="21"/>
                    </w:rPr>
                    <w:t>污染物</w:t>
                  </w:r>
                </w:p>
              </w:tc>
              <w:tc>
                <w:tcPr>
                  <w:tcW w:w="1803" w:type="pct"/>
                  <w:tcBorders>
                    <w:bottom w:val="single" w:color="000000" w:sz="12" w:space="0"/>
                  </w:tcBorders>
                  <w:vAlign w:val="center"/>
                </w:tcPr>
                <w:p>
                  <w:pPr>
                    <w:pStyle w:val="82"/>
                    <w:spacing w:before="113" w:line="240" w:lineRule="auto"/>
                    <w:jc w:val="center"/>
                    <w:rPr>
                      <w:sz w:val="21"/>
                      <w:szCs w:val="21"/>
                    </w:rPr>
                  </w:pPr>
                  <w:r>
                    <w:rPr>
                      <w:b/>
                      <w:bCs/>
                      <w:spacing w:val="-6"/>
                      <w:sz w:val="21"/>
                      <w:szCs w:val="21"/>
                    </w:rPr>
                    <w:t>污染源</w:t>
                  </w:r>
                </w:p>
              </w:tc>
              <w:tc>
                <w:tcPr>
                  <w:tcW w:w="1734" w:type="pct"/>
                  <w:tcBorders>
                    <w:bottom w:val="single" w:color="000000" w:sz="12" w:space="0"/>
                  </w:tcBorders>
                  <w:vAlign w:val="center"/>
                </w:tcPr>
                <w:p>
                  <w:pPr>
                    <w:pStyle w:val="82"/>
                    <w:spacing w:before="113" w:line="240" w:lineRule="auto"/>
                    <w:jc w:val="center"/>
                    <w:rPr>
                      <w:sz w:val="21"/>
                      <w:szCs w:val="21"/>
                    </w:rPr>
                  </w:pPr>
                  <w:r>
                    <w:rPr>
                      <w:b/>
                      <w:bCs/>
                      <w:spacing w:val="-5"/>
                      <w:sz w:val="21"/>
                      <w:szCs w:val="21"/>
                    </w:rPr>
                    <w:t>污染因子</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508" w:type="pct"/>
                  <w:vMerge w:val="restart"/>
                  <w:tcBorders>
                    <w:top w:val="single" w:color="000000" w:sz="12" w:space="0"/>
                    <w:tl2br w:val="nil"/>
                    <w:tr2bl w:val="nil"/>
                  </w:tcBorders>
                  <w:vAlign w:val="center"/>
                </w:tcPr>
                <w:p>
                  <w:pPr>
                    <w:pStyle w:val="82"/>
                    <w:spacing w:before="78" w:line="240" w:lineRule="auto"/>
                    <w:ind w:right="105"/>
                    <w:jc w:val="both"/>
                    <w:rPr>
                      <w:sz w:val="21"/>
                      <w:szCs w:val="21"/>
                    </w:rPr>
                  </w:pPr>
                  <w:r>
                    <w:rPr>
                      <w:spacing w:val="4"/>
                      <w:sz w:val="21"/>
                      <w:szCs w:val="21"/>
                    </w:rPr>
                    <w:t>施工</w:t>
                  </w:r>
                  <w:r>
                    <w:rPr>
                      <w:sz w:val="21"/>
                      <w:szCs w:val="21"/>
                    </w:rPr>
                    <w:t>期</w:t>
                  </w:r>
                </w:p>
              </w:tc>
              <w:tc>
                <w:tcPr>
                  <w:tcW w:w="953" w:type="pct"/>
                  <w:tcBorders>
                    <w:top w:val="single" w:color="000000" w:sz="12" w:space="0"/>
                    <w:tl2br w:val="nil"/>
                    <w:tr2bl w:val="nil"/>
                  </w:tcBorders>
                  <w:vAlign w:val="center"/>
                </w:tcPr>
                <w:p>
                  <w:pPr>
                    <w:pStyle w:val="82"/>
                    <w:spacing w:before="107" w:line="240" w:lineRule="auto"/>
                    <w:jc w:val="center"/>
                    <w:rPr>
                      <w:sz w:val="21"/>
                      <w:szCs w:val="21"/>
                    </w:rPr>
                  </w:pPr>
                  <w:r>
                    <w:rPr>
                      <w:spacing w:val="-3"/>
                      <w:sz w:val="21"/>
                      <w:szCs w:val="21"/>
                    </w:rPr>
                    <w:t>废气</w:t>
                  </w:r>
                </w:p>
              </w:tc>
              <w:tc>
                <w:tcPr>
                  <w:tcW w:w="1803" w:type="pct"/>
                  <w:tcBorders>
                    <w:top w:val="single" w:color="000000" w:sz="12" w:space="0"/>
                    <w:tl2br w:val="nil"/>
                    <w:tr2bl w:val="nil"/>
                  </w:tcBorders>
                  <w:vAlign w:val="center"/>
                </w:tcPr>
                <w:p>
                  <w:pPr>
                    <w:pStyle w:val="82"/>
                    <w:spacing w:before="106" w:line="240" w:lineRule="auto"/>
                    <w:jc w:val="center"/>
                    <w:rPr>
                      <w:sz w:val="21"/>
                      <w:szCs w:val="21"/>
                    </w:rPr>
                  </w:pPr>
                  <w:r>
                    <w:rPr>
                      <w:spacing w:val="-2"/>
                      <w:sz w:val="21"/>
                      <w:szCs w:val="21"/>
                    </w:rPr>
                    <w:t>装修、设备安装</w:t>
                  </w:r>
                </w:p>
              </w:tc>
              <w:tc>
                <w:tcPr>
                  <w:tcW w:w="1734" w:type="pct"/>
                  <w:tcBorders>
                    <w:top w:val="single" w:color="000000" w:sz="12" w:space="0"/>
                    <w:tl2br w:val="nil"/>
                    <w:tr2bl w:val="nil"/>
                  </w:tcBorders>
                  <w:vAlign w:val="center"/>
                </w:tcPr>
                <w:p>
                  <w:pPr>
                    <w:pStyle w:val="82"/>
                    <w:spacing w:before="107" w:line="240" w:lineRule="auto"/>
                    <w:jc w:val="center"/>
                    <w:rPr>
                      <w:sz w:val="21"/>
                      <w:szCs w:val="21"/>
                    </w:rPr>
                  </w:pPr>
                  <w:r>
                    <w:rPr>
                      <w:spacing w:val="-2"/>
                      <w:sz w:val="21"/>
                      <w:szCs w:val="21"/>
                    </w:rPr>
                    <w:t>颗粒物</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508" w:type="pct"/>
                  <w:vMerge w:val="continue"/>
                  <w:tcBorders>
                    <w:tl2br w:val="nil"/>
                    <w:tr2bl w:val="nil"/>
                  </w:tcBorders>
                  <w:vAlign w:val="center"/>
                </w:tcPr>
                <w:p>
                  <w:pPr>
                    <w:spacing w:line="240" w:lineRule="auto"/>
                    <w:jc w:val="center"/>
                    <w:rPr>
                      <w:rFonts w:ascii="Arial"/>
                      <w:sz w:val="21"/>
                      <w:szCs w:val="21"/>
                    </w:rPr>
                  </w:pPr>
                </w:p>
              </w:tc>
              <w:tc>
                <w:tcPr>
                  <w:tcW w:w="953" w:type="pct"/>
                  <w:tcBorders>
                    <w:tl2br w:val="nil"/>
                    <w:tr2bl w:val="nil"/>
                  </w:tcBorders>
                  <w:vAlign w:val="center"/>
                </w:tcPr>
                <w:p>
                  <w:pPr>
                    <w:pStyle w:val="82"/>
                    <w:spacing w:before="110" w:line="240" w:lineRule="auto"/>
                    <w:jc w:val="center"/>
                    <w:rPr>
                      <w:sz w:val="21"/>
                      <w:szCs w:val="21"/>
                    </w:rPr>
                  </w:pPr>
                  <w:r>
                    <w:rPr>
                      <w:spacing w:val="-5"/>
                      <w:sz w:val="21"/>
                      <w:szCs w:val="21"/>
                    </w:rPr>
                    <w:t>废水</w:t>
                  </w:r>
                </w:p>
              </w:tc>
              <w:tc>
                <w:tcPr>
                  <w:tcW w:w="1803" w:type="pct"/>
                  <w:tcBorders>
                    <w:tl2br w:val="nil"/>
                    <w:tr2bl w:val="nil"/>
                  </w:tcBorders>
                  <w:vAlign w:val="center"/>
                </w:tcPr>
                <w:p>
                  <w:pPr>
                    <w:pStyle w:val="82"/>
                    <w:spacing w:before="110" w:line="240" w:lineRule="auto"/>
                    <w:jc w:val="center"/>
                    <w:rPr>
                      <w:sz w:val="21"/>
                      <w:szCs w:val="21"/>
                    </w:rPr>
                  </w:pPr>
                  <w:r>
                    <w:rPr>
                      <w:spacing w:val="-3"/>
                      <w:sz w:val="21"/>
                      <w:szCs w:val="21"/>
                    </w:rPr>
                    <w:t>人员</w:t>
                  </w:r>
                </w:p>
              </w:tc>
              <w:tc>
                <w:tcPr>
                  <w:tcW w:w="1734" w:type="pct"/>
                  <w:tcBorders>
                    <w:tl2br w:val="nil"/>
                    <w:tr2bl w:val="nil"/>
                  </w:tcBorders>
                  <w:vAlign w:val="center"/>
                </w:tcPr>
                <w:p>
                  <w:pPr>
                    <w:pStyle w:val="82"/>
                    <w:spacing w:before="110" w:line="240" w:lineRule="auto"/>
                    <w:jc w:val="center"/>
                    <w:rPr>
                      <w:sz w:val="21"/>
                      <w:szCs w:val="21"/>
                    </w:rPr>
                  </w:pPr>
                  <w:r>
                    <w:rPr>
                      <w:spacing w:val="-3"/>
                      <w:sz w:val="21"/>
                      <w:szCs w:val="21"/>
                    </w:rPr>
                    <w:t>生活污水</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508" w:type="pct"/>
                  <w:vMerge w:val="continue"/>
                  <w:tcBorders>
                    <w:tl2br w:val="nil"/>
                    <w:tr2bl w:val="nil"/>
                  </w:tcBorders>
                  <w:vAlign w:val="center"/>
                </w:tcPr>
                <w:p>
                  <w:pPr>
                    <w:spacing w:line="240" w:lineRule="auto"/>
                    <w:jc w:val="center"/>
                    <w:rPr>
                      <w:rFonts w:ascii="Arial"/>
                      <w:sz w:val="21"/>
                      <w:szCs w:val="21"/>
                    </w:rPr>
                  </w:pPr>
                </w:p>
              </w:tc>
              <w:tc>
                <w:tcPr>
                  <w:tcW w:w="953" w:type="pct"/>
                  <w:tcBorders>
                    <w:tl2br w:val="nil"/>
                    <w:tr2bl w:val="nil"/>
                  </w:tcBorders>
                  <w:vAlign w:val="center"/>
                </w:tcPr>
                <w:p>
                  <w:pPr>
                    <w:pStyle w:val="82"/>
                    <w:spacing w:before="111" w:line="240" w:lineRule="auto"/>
                    <w:jc w:val="center"/>
                    <w:rPr>
                      <w:sz w:val="21"/>
                      <w:szCs w:val="21"/>
                    </w:rPr>
                  </w:pPr>
                  <w:r>
                    <w:rPr>
                      <w:spacing w:val="-6"/>
                      <w:sz w:val="21"/>
                      <w:szCs w:val="21"/>
                    </w:rPr>
                    <w:t>噪声</w:t>
                  </w:r>
                </w:p>
              </w:tc>
              <w:tc>
                <w:tcPr>
                  <w:tcW w:w="1803" w:type="pct"/>
                  <w:tcBorders>
                    <w:tl2br w:val="nil"/>
                    <w:tr2bl w:val="nil"/>
                  </w:tcBorders>
                  <w:vAlign w:val="center"/>
                </w:tcPr>
                <w:p>
                  <w:pPr>
                    <w:pStyle w:val="82"/>
                    <w:spacing w:before="111" w:line="240" w:lineRule="auto"/>
                    <w:jc w:val="center"/>
                    <w:rPr>
                      <w:sz w:val="21"/>
                      <w:szCs w:val="21"/>
                    </w:rPr>
                  </w:pPr>
                  <w:r>
                    <w:rPr>
                      <w:spacing w:val="-2"/>
                      <w:sz w:val="21"/>
                      <w:szCs w:val="21"/>
                    </w:rPr>
                    <w:t>施工设备</w:t>
                  </w:r>
                </w:p>
              </w:tc>
              <w:tc>
                <w:tcPr>
                  <w:tcW w:w="1734" w:type="pct"/>
                  <w:tcBorders>
                    <w:tl2br w:val="nil"/>
                    <w:tr2bl w:val="nil"/>
                  </w:tcBorders>
                  <w:vAlign w:val="center"/>
                </w:tcPr>
                <w:p>
                  <w:pPr>
                    <w:pStyle w:val="82"/>
                    <w:spacing w:before="111" w:line="240" w:lineRule="auto"/>
                    <w:jc w:val="center"/>
                    <w:rPr>
                      <w:sz w:val="21"/>
                      <w:szCs w:val="21"/>
                    </w:rPr>
                  </w:pPr>
                  <w:r>
                    <w:rPr>
                      <w:spacing w:val="-6"/>
                      <w:sz w:val="21"/>
                      <w:szCs w:val="21"/>
                    </w:rPr>
                    <w:t>噪声</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508" w:type="pct"/>
                  <w:vMerge w:val="continue"/>
                  <w:tcBorders>
                    <w:tl2br w:val="nil"/>
                    <w:tr2bl w:val="nil"/>
                  </w:tcBorders>
                  <w:vAlign w:val="center"/>
                </w:tcPr>
                <w:p>
                  <w:pPr>
                    <w:spacing w:line="240" w:lineRule="auto"/>
                    <w:jc w:val="center"/>
                    <w:rPr>
                      <w:rFonts w:ascii="Arial"/>
                      <w:sz w:val="21"/>
                      <w:szCs w:val="21"/>
                    </w:rPr>
                  </w:pPr>
                </w:p>
              </w:tc>
              <w:tc>
                <w:tcPr>
                  <w:tcW w:w="953" w:type="pct"/>
                  <w:vMerge w:val="restart"/>
                  <w:tcBorders>
                    <w:tl2br w:val="nil"/>
                    <w:tr2bl w:val="nil"/>
                  </w:tcBorders>
                  <w:vAlign w:val="center"/>
                </w:tcPr>
                <w:p>
                  <w:pPr>
                    <w:pStyle w:val="82"/>
                    <w:spacing w:before="78" w:line="240" w:lineRule="auto"/>
                    <w:jc w:val="center"/>
                    <w:rPr>
                      <w:sz w:val="21"/>
                      <w:szCs w:val="21"/>
                    </w:rPr>
                  </w:pPr>
                  <w:r>
                    <w:rPr>
                      <w:spacing w:val="-6"/>
                      <w:sz w:val="21"/>
                      <w:szCs w:val="21"/>
                    </w:rPr>
                    <w:t>固体废物</w:t>
                  </w:r>
                </w:p>
              </w:tc>
              <w:tc>
                <w:tcPr>
                  <w:tcW w:w="1803" w:type="pct"/>
                  <w:tcBorders>
                    <w:tl2br w:val="nil"/>
                    <w:tr2bl w:val="nil"/>
                  </w:tcBorders>
                  <w:vAlign w:val="center"/>
                </w:tcPr>
                <w:p>
                  <w:pPr>
                    <w:pStyle w:val="82"/>
                    <w:spacing w:before="108" w:line="240" w:lineRule="auto"/>
                    <w:ind w:left="113"/>
                    <w:jc w:val="center"/>
                    <w:rPr>
                      <w:sz w:val="21"/>
                      <w:szCs w:val="21"/>
                    </w:rPr>
                  </w:pPr>
                  <w:r>
                    <w:rPr>
                      <w:spacing w:val="-2"/>
                      <w:sz w:val="21"/>
                      <w:szCs w:val="21"/>
                    </w:rPr>
                    <w:t>装修、设备安装</w:t>
                  </w:r>
                </w:p>
              </w:tc>
              <w:tc>
                <w:tcPr>
                  <w:tcW w:w="1734" w:type="pct"/>
                  <w:tcBorders>
                    <w:tl2br w:val="nil"/>
                    <w:tr2bl w:val="nil"/>
                  </w:tcBorders>
                  <w:vAlign w:val="center"/>
                </w:tcPr>
                <w:p>
                  <w:pPr>
                    <w:pStyle w:val="82"/>
                    <w:spacing w:before="109" w:line="240" w:lineRule="auto"/>
                    <w:jc w:val="center"/>
                    <w:rPr>
                      <w:sz w:val="21"/>
                      <w:szCs w:val="21"/>
                    </w:rPr>
                  </w:pPr>
                  <w:r>
                    <w:rPr>
                      <w:spacing w:val="-3"/>
                      <w:sz w:val="21"/>
                      <w:szCs w:val="21"/>
                    </w:rPr>
                    <w:t>建筑垃圾</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508" w:type="pct"/>
                  <w:vMerge w:val="continue"/>
                  <w:tcBorders>
                    <w:tl2br w:val="nil"/>
                    <w:tr2bl w:val="nil"/>
                  </w:tcBorders>
                  <w:vAlign w:val="center"/>
                </w:tcPr>
                <w:p>
                  <w:pPr>
                    <w:spacing w:line="240" w:lineRule="auto"/>
                    <w:jc w:val="center"/>
                    <w:rPr>
                      <w:rFonts w:ascii="Arial"/>
                      <w:sz w:val="21"/>
                      <w:szCs w:val="21"/>
                    </w:rPr>
                  </w:pPr>
                </w:p>
              </w:tc>
              <w:tc>
                <w:tcPr>
                  <w:tcW w:w="953" w:type="pct"/>
                  <w:vMerge w:val="continue"/>
                  <w:tcBorders>
                    <w:tl2br w:val="nil"/>
                    <w:tr2bl w:val="nil"/>
                  </w:tcBorders>
                  <w:vAlign w:val="center"/>
                </w:tcPr>
                <w:p>
                  <w:pPr>
                    <w:spacing w:line="240" w:lineRule="auto"/>
                    <w:jc w:val="center"/>
                    <w:rPr>
                      <w:rFonts w:ascii="Arial"/>
                      <w:sz w:val="21"/>
                      <w:szCs w:val="21"/>
                    </w:rPr>
                  </w:pPr>
                </w:p>
              </w:tc>
              <w:tc>
                <w:tcPr>
                  <w:tcW w:w="1803" w:type="pct"/>
                  <w:tcBorders>
                    <w:tl2br w:val="nil"/>
                    <w:tr2bl w:val="nil"/>
                  </w:tcBorders>
                  <w:vAlign w:val="center"/>
                </w:tcPr>
                <w:p>
                  <w:pPr>
                    <w:pStyle w:val="82"/>
                    <w:spacing w:before="112" w:line="240" w:lineRule="auto"/>
                    <w:ind w:left="123"/>
                    <w:jc w:val="center"/>
                    <w:rPr>
                      <w:sz w:val="21"/>
                      <w:szCs w:val="21"/>
                    </w:rPr>
                  </w:pPr>
                  <w:r>
                    <w:rPr>
                      <w:spacing w:val="-5"/>
                      <w:sz w:val="21"/>
                      <w:szCs w:val="21"/>
                    </w:rPr>
                    <w:t>员工</w:t>
                  </w:r>
                </w:p>
              </w:tc>
              <w:tc>
                <w:tcPr>
                  <w:tcW w:w="1734" w:type="pct"/>
                  <w:tcBorders>
                    <w:tl2br w:val="nil"/>
                    <w:tr2bl w:val="nil"/>
                  </w:tcBorders>
                  <w:vAlign w:val="center"/>
                </w:tcPr>
                <w:p>
                  <w:pPr>
                    <w:pStyle w:val="82"/>
                    <w:spacing w:before="113" w:line="240" w:lineRule="auto"/>
                    <w:jc w:val="center"/>
                    <w:rPr>
                      <w:sz w:val="21"/>
                      <w:szCs w:val="21"/>
                    </w:rPr>
                  </w:pPr>
                  <w:r>
                    <w:rPr>
                      <w:spacing w:val="-3"/>
                      <w:sz w:val="21"/>
                      <w:szCs w:val="21"/>
                    </w:rPr>
                    <w:t>生活垃圾</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textAlignment w:val="baseline"/>
              <w:rPr>
                <w:rFonts w:hint="default" w:ascii="Times New Roman" w:hAnsi="Times New Roman" w:cs="Times New Roman"/>
                <w:b/>
                <w:bCs/>
                <w:color w:val="000000" w:themeColor="text1"/>
                <w:sz w:val="24"/>
                <w:highlight w:val="none"/>
                <w14:textFill>
                  <w14:solidFill>
                    <w14:schemeClr w14:val="tx1"/>
                  </w14:solidFill>
                </w14:textFill>
              </w:rPr>
            </w:pPr>
            <w:r>
              <w:rPr>
                <w:rFonts w:hint="default" w:ascii="Times New Roman" w:hAnsi="Times New Roman" w:cs="Times New Roman"/>
                <w:b/>
                <w:bCs/>
                <w:color w:val="000000" w:themeColor="text1"/>
                <w:kern w:val="2"/>
                <w:sz w:val="24"/>
                <w:szCs w:val="24"/>
                <w:lang w:val="en-US" w:eastAsia="zh-CN" w:bidi="ar-SA"/>
                <w14:textFill>
                  <w14:solidFill>
                    <w14:schemeClr w14:val="tx1"/>
                  </w14:solidFill>
                </w14:textFill>
              </w:rPr>
              <w:t>2.1</w:t>
            </w:r>
            <w:r>
              <w:rPr>
                <w:rFonts w:hint="eastAsia" w:cs="Times New Roman"/>
                <w:b/>
                <w:bCs/>
                <w:color w:val="000000" w:themeColor="text1"/>
                <w:kern w:val="2"/>
                <w:sz w:val="24"/>
                <w:szCs w:val="24"/>
                <w:lang w:val="en-US" w:eastAsia="zh-CN" w:bidi="ar-SA"/>
                <w14:textFill>
                  <w14:solidFill>
                    <w14:schemeClr w14:val="tx1"/>
                  </w14:solidFill>
                </w14:textFill>
              </w:rPr>
              <w:t>0</w:t>
            </w:r>
            <w:r>
              <w:rPr>
                <w:rFonts w:hint="default" w:ascii="Times New Roman" w:hAnsi="Times New Roman" w:cs="Times New Roman"/>
                <w:b/>
                <w:bCs/>
                <w:color w:val="000000" w:themeColor="text1"/>
                <w:sz w:val="24"/>
                <w:highlight w:val="none"/>
                <w14:textFill>
                  <w14:solidFill>
                    <w14:schemeClr w14:val="tx1"/>
                  </w14:solidFill>
                </w14:textFill>
              </w:rPr>
              <w:t>运营期</w:t>
            </w:r>
          </w:p>
          <w:p>
            <w:pPr>
              <w:pStyle w:val="94"/>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i w:val="0"/>
                <w:iCs w:val="0"/>
                <w:color w:val="auto"/>
                <w:kern w:val="2"/>
                <w:sz w:val="24"/>
                <w:szCs w:val="24"/>
                <w:lang w:val="en-US" w:eastAsia="zh-CN" w:bidi="ar-SA"/>
              </w:rPr>
            </w:pPr>
            <w:r>
              <w:rPr>
                <w:rFonts w:hint="default" w:ascii="Times New Roman" w:hAnsi="Times New Roman" w:eastAsia="宋体" w:cs="Times New Roman"/>
                <w:i w:val="0"/>
                <w:iCs w:val="0"/>
                <w:color w:val="auto"/>
                <w:kern w:val="2"/>
                <w:sz w:val="24"/>
                <w:szCs w:val="24"/>
                <w:lang w:val="en-US" w:eastAsia="zh-CN" w:bidi="ar-SA"/>
              </w:rPr>
              <w:t>运营期工艺流程及产污环节</w:t>
            </w:r>
            <w:r>
              <w:rPr>
                <w:rFonts w:hint="eastAsia" w:ascii="Times New Roman" w:hAnsi="Times New Roman" w:eastAsia="宋体" w:cs="Times New Roman"/>
                <w:i w:val="0"/>
                <w:iCs w:val="0"/>
                <w:color w:val="auto"/>
                <w:kern w:val="2"/>
                <w:sz w:val="24"/>
                <w:szCs w:val="24"/>
                <w:lang w:val="en-US" w:eastAsia="zh-CN" w:bidi="ar-SA"/>
              </w:rPr>
              <w:t>图见图2-3。</w:t>
            </w:r>
          </w:p>
          <w:p>
            <w:pPr>
              <w:numPr>
                <w:ilvl w:val="0"/>
                <w:numId w:val="0"/>
              </w:numPr>
              <w:adjustRightInd w:val="0"/>
              <w:snapToGrid w:val="0"/>
              <w:spacing w:line="360" w:lineRule="auto"/>
              <w:jc w:val="both"/>
              <w:textAlignment w:val="baseline"/>
              <w:rPr>
                <w:rFonts w:hint="default" w:ascii="Times New Roman" w:hAnsi="Times New Roman" w:eastAsia="宋体" w:cs="Times New Roman"/>
                <w:b/>
                <w:bCs/>
                <w:i w:val="0"/>
                <w:iCs w:val="0"/>
                <w:color w:val="000000" w:themeColor="text1"/>
                <w:sz w:val="21"/>
                <w:szCs w:val="21"/>
                <w:lang w:val="en-US" w:eastAsia="zh-CN"/>
                <w14:textFill>
                  <w14:solidFill>
                    <w14:schemeClr w14:val="tx1"/>
                  </w14:solidFill>
                </w14:textFill>
              </w:rPr>
            </w:pPr>
            <w:r>
              <w:rPr>
                <w:rFonts w:hint="default" w:ascii="Times New Roman" w:hAnsi="Times New Roman" w:cs="Times New Roman"/>
                <w:i w:val="0"/>
                <w:iCs w:val="0"/>
                <w:color w:val="auto"/>
                <w:sz w:val="24"/>
                <w:szCs w:val="24"/>
                <w:lang w:val="en-US" w:eastAsia="zh-CN"/>
              </w:rPr>
              <w:object>
                <v:shape id="_x0000_i1027" o:spt="75" type="#_x0000_t75" style="height:193.3pt;width:392.5pt;" o:ole="t" filled="f" o:preferrelative="t" stroked="f" coordsize="21600,21600">
                  <v:path/>
                  <v:fill on="f" focussize="0,0"/>
                  <v:stroke on="f"/>
                  <v:imagedata r:id="rId17" o:title=""/>
                  <o:lock v:ext="edit" aspectratio="f"/>
                  <w10:wrap type="none"/>
                  <w10:anchorlock/>
                </v:shape>
                <o:OLEObject Type="Embed" ProgID="Visio.Drawing.11" ShapeID="_x0000_i1027" DrawAspect="Content" ObjectID="_1468075727" r:id="rId16">
                  <o:LockedField>false</o:LockedField>
                </o:OLEObject>
              </w:object>
            </w:r>
            <w:r>
              <w:rPr>
                <w:rFonts w:hint="eastAsia" w:cs="Times New Roman"/>
                <w:i w:val="0"/>
                <w:iCs w:val="0"/>
                <w:color w:val="auto"/>
                <w:sz w:val="24"/>
                <w:szCs w:val="24"/>
                <w:lang w:val="en-US" w:eastAsia="zh-CN"/>
              </w:rPr>
              <w:t xml:space="preserve">                  </w:t>
            </w:r>
            <w:r>
              <w:rPr>
                <w:rFonts w:hint="default" w:ascii="Times New Roman" w:hAnsi="Times New Roman" w:eastAsia="宋体" w:cs="Times New Roman"/>
                <w:b/>
                <w:bCs/>
                <w:i w:val="0"/>
                <w:iCs w:val="0"/>
                <w:color w:val="000000" w:themeColor="text1"/>
                <w:sz w:val="21"/>
                <w:szCs w:val="21"/>
                <w:lang w:val="en-US" w:eastAsia="zh-CN"/>
                <w14:textFill>
                  <w14:solidFill>
                    <w14:schemeClr w14:val="tx1"/>
                  </w14:solidFill>
                </w14:textFill>
              </w:rPr>
              <w:t>图2-</w:t>
            </w:r>
            <w:r>
              <w:rPr>
                <w:rFonts w:hint="eastAsia" w:cs="Times New Roman"/>
                <w:b/>
                <w:bCs/>
                <w:i w:val="0"/>
                <w:iCs w:val="0"/>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b/>
                <w:bCs/>
                <w:i w:val="0"/>
                <w:iCs w:val="0"/>
                <w:color w:val="000000" w:themeColor="text1"/>
                <w:sz w:val="21"/>
                <w:szCs w:val="21"/>
                <w:lang w:val="en-US" w:eastAsia="zh-CN"/>
                <w14:textFill>
                  <w14:solidFill>
                    <w14:schemeClr w14:val="tx1"/>
                  </w14:solidFill>
                </w14:textFill>
              </w:rPr>
              <w:t xml:space="preserve">  生产工艺流程及产污环节图</w:t>
            </w:r>
          </w:p>
          <w:p>
            <w:pPr>
              <w:numPr>
                <w:ilvl w:val="0"/>
                <w:numId w:val="0"/>
              </w:numPr>
              <w:adjustRightInd w:val="0"/>
              <w:snapToGrid w:val="0"/>
              <w:spacing w:line="360" w:lineRule="auto"/>
              <w:jc w:val="both"/>
              <w:textAlignment w:val="baseline"/>
              <w:rPr>
                <w:rFonts w:hint="default" w:ascii="Times New Roman" w:hAnsi="Times New Roman" w:eastAsia="宋体" w:cs="Times New Roman"/>
                <w:b/>
                <w:bCs/>
                <w:i w:val="0"/>
                <w:iCs w:val="0"/>
                <w:color w:val="auto"/>
                <w:sz w:val="24"/>
                <w:szCs w:val="24"/>
                <w:lang w:val="en-US" w:eastAsia="zh-CN"/>
              </w:rPr>
            </w:pPr>
            <w:r>
              <w:rPr>
                <w:rFonts w:hint="default" w:ascii="Times New Roman" w:hAnsi="Times New Roman" w:eastAsia="宋体" w:cs="Times New Roman"/>
                <w:b/>
                <w:bCs/>
                <w:i w:val="0"/>
                <w:iCs w:val="0"/>
                <w:color w:val="auto"/>
                <w:sz w:val="24"/>
                <w:szCs w:val="24"/>
                <w:lang w:val="en-US" w:eastAsia="zh-CN"/>
              </w:rPr>
              <w:t>工艺流程简述：</w:t>
            </w:r>
          </w:p>
          <w:p>
            <w:pPr>
              <w:pStyle w:val="6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i w:val="0"/>
                <w:iCs w:val="0"/>
                <w:snapToGrid/>
                <w:color w:val="auto"/>
                <w:kern w:val="2"/>
                <w:sz w:val="24"/>
                <w:szCs w:val="24"/>
                <w:lang w:val="en-US" w:eastAsia="zh-CN" w:bidi="ar-SA"/>
              </w:rPr>
            </w:pPr>
            <w:r>
              <w:rPr>
                <w:rFonts w:hint="default" w:ascii="Times New Roman" w:hAnsi="Times New Roman" w:eastAsia="宋体" w:cs="Times New Roman"/>
                <w:i w:val="0"/>
                <w:iCs w:val="0"/>
                <w:snapToGrid/>
                <w:color w:val="auto"/>
                <w:kern w:val="2"/>
                <w:sz w:val="24"/>
                <w:szCs w:val="24"/>
                <w:lang w:val="en-US" w:eastAsia="zh-CN" w:bidi="ar-SA"/>
              </w:rPr>
              <w:t>（1）</w:t>
            </w:r>
            <w:r>
              <w:rPr>
                <w:rFonts w:hint="eastAsia" w:ascii="Times New Roman" w:hAnsi="Times New Roman" w:eastAsia="宋体" w:cs="Times New Roman"/>
                <w:i w:val="0"/>
                <w:iCs w:val="0"/>
                <w:snapToGrid/>
                <w:color w:val="auto"/>
                <w:kern w:val="2"/>
                <w:sz w:val="24"/>
                <w:szCs w:val="24"/>
                <w:lang w:val="en-US" w:eastAsia="zh-CN" w:bidi="ar-SA"/>
              </w:rPr>
              <w:t>宠物诊疗</w:t>
            </w:r>
          </w:p>
          <w:p>
            <w:pPr>
              <w:pStyle w:val="6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i w:val="0"/>
                <w:iCs w:val="0"/>
                <w:snapToGrid/>
                <w:color w:val="auto"/>
                <w:kern w:val="2"/>
                <w:sz w:val="24"/>
                <w:szCs w:val="24"/>
                <w:lang w:val="en-US" w:eastAsia="zh-CN" w:bidi="ar-SA"/>
              </w:rPr>
            </w:pPr>
            <w:r>
              <w:rPr>
                <w:rFonts w:hint="default" w:ascii="Times New Roman" w:hAnsi="Times New Roman" w:eastAsia="宋体" w:cs="Times New Roman"/>
                <w:i w:val="0"/>
                <w:iCs w:val="0"/>
                <w:snapToGrid/>
                <w:color w:val="auto"/>
                <w:kern w:val="2"/>
                <w:sz w:val="24"/>
                <w:szCs w:val="24"/>
                <w:lang w:val="en-US" w:eastAsia="zh-CN" w:bidi="ar-SA"/>
              </w:rPr>
              <w:t>基础检查</w:t>
            </w:r>
            <w:r>
              <w:rPr>
                <w:rFonts w:hint="eastAsia" w:ascii="Times New Roman" w:hAnsi="Times New Roman" w:eastAsia="宋体" w:cs="Times New Roman"/>
                <w:i w:val="0"/>
                <w:iCs w:val="0"/>
                <w:snapToGrid/>
                <w:color w:val="auto"/>
                <w:kern w:val="2"/>
                <w:sz w:val="24"/>
                <w:szCs w:val="24"/>
                <w:lang w:val="en-US" w:eastAsia="zh-CN" w:bidi="ar-SA"/>
              </w:rPr>
              <w:t>：</w:t>
            </w:r>
            <w:r>
              <w:rPr>
                <w:rFonts w:hint="default" w:ascii="Times New Roman" w:hAnsi="Times New Roman" w:eastAsia="宋体" w:cs="Times New Roman"/>
                <w:i w:val="0"/>
                <w:iCs w:val="0"/>
                <w:snapToGrid/>
                <w:color w:val="auto"/>
                <w:kern w:val="2"/>
                <w:sz w:val="24"/>
                <w:szCs w:val="24"/>
                <w:lang w:val="en-US" w:eastAsia="zh-CN" w:bidi="ar-SA"/>
              </w:rPr>
              <w:t>医护人员对宠物进行预检，用到医用酒精棉进行消毒，</w:t>
            </w:r>
            <w:r>
              <w:rPr>
                <w:rFonts w:hint="eastAsia" w:ascii="Times New Roman" w:hAnsi="Times New Roman" w:eastAsia="宋体" w:cs="Times New Roman"/>
                <w:i w:val="0"/>
                <w:iCs w:val="0"/>
                <w:snapToGrid/>
                <w:color w:val="auto"/>
                <w:kern w:val="2"/>
                <w:sz w:val="24"/>
                <w:szCs w:val="24"/>
                <w:lang w:val="en-US" w:eastAsia="zh-CN" w:bidi="ar-SA"/>
              </w:rPr>
              <w:t>本工序产生的污染物为</w:t>
            </w:r>
            <w:r>
              <w:rPr>
                <w:rFonts w:hint="default" w:ascii="Times New Roman" w:hAnsi="Times New Roman" w:eastAsia="宋体" w:cs="Times New Roman"/>
                <w:i w:val="0"/>
                <w:iCs w:val="0"/>
                <w:snapToGrid/>
                <w:color w:val="auto"/>
                <w:kern w:val="2"/>
                <w:sz w:val="24"/>
                <w:szCs w:val="24"/>
                <w:lang w:val="en-US" w:eastAsia="zh-CN" w:bidi="ar-SA"/>
              </w:rPr>
              <w:t>使用后的酒精棉</w:t>
            </w:r>
            <w:r>
              <w:rPr>
                <w:rFonts w:hint="eastAsia" w:ascii="Times New Roman" w:hAnsi="Times New Roman" w:eastAsia="宋体" w:cs="Times New Roman"/>
                <w:i w:val="0"/>
                <w:iCs w:val="0"/>
                <w:snapToGrid/>
                <w:color w:val="auto"/>
                <w:kern w:val="2"/>
                <w:sz w:val="24"/>
                <w:szCs w:val="24"/>
                <w:lang w:val="en-US" w:eastAsia="zh-CN" w:bidi="ar-SA"/>
              </w:rPr>
              <w:t>等动物诊疗废物</w:t>
            </w:r>
            <w:r>
              <w:rPr>
                <w:rFonts w:hint="default" w:ascii="Times New Roman" w:hAnsi="Times New Roman" w:eastAsia="宋体" w:cs="Times New Roman"/>
                <w:i w:val="0"/>
                <w:iCs w:val="0"/>
                <w:snapToGrid/>
                <w:color w:val="auto"/>
                <w:kern w:val="2"/>
                <w:sz w:val="24"/>
                <w:szCs w:val="24"/>
                <w:lang w:val="en-US" w:eastAsia="zh-CN" w:bidi="ar-SA"/>
              </w:rPr>
              <w:t>。</w:t>
            </w:r>
          </w:p>
          <w:p>
            <w:pPr>
              <w:pStyle w:val="6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i w:val="0"/>
                <w:iCs w:val="0"/>
                <w:snapToGrid/>
                <w:color w:val="auto"/>
                <w:kern w:val="2"/>
                <w:sz w:val="24"/>
                <w:szCs w:val="24"/>
                <w:lang w:val="en-US" w:eastAsia="zh-CN" w:bidi="ar-SA"/>
              </w:rPr>
            </w:pPr>
            <w:r>
              <w:rPr>
                <w:rFonts w:hint="default" w:ascii="Times New Roman" w:hAnsi="Times New Roman" w:eastAsia="宋体" w:cs="Times New Roman"/>
                <w:i w:val="0"/>
                <w:iCs w:val="0"/>
                <w:snapToGrid/>
                <w:color w:val="auto"/>
                <w:kern w:val="2"/>
                <w:sz w:val="24"/>
                <w:szCs w:val="24"/>
                <w:lang w:val="en-US" w:eastAsia="zh-CN" w:bidi="ar-SA"/>
              </w:rPr>
              <w:t>化验诊断</w:t>
            </w:r>
            <w:r>
              <w:rPr>
                <w:rFonts w:hint="eastAsia" w:ascii="Times New Roman" w:hAnsi="Times New Roman" w:eastAsia="宋体" w:cs="Times New Roman"/>
                <w:i w:val="0"/>
                <w:iCs w:val="0"/>
                <w:snapToGrid/>
                <w:color w:val="auto"/>
                <w:kern w:val="2"/>
                <w:sz w:val="24"/>
                <w:szCs w:val="24"/>
                <w:lang w:val="en-US" w:eastAsia="zh-CN" w:bidi="ar-SA"/>
              </w:rPr>
              <w:t>：</w:t>
            </w:r>
            <w:r>
              <w:rPr>
                <w:rFonts w:hint="default" w:ascii="Times New Roman" w:hAnsi="Times New Roman" w:eastAsia="宋体" w:cs="Times New Roman"/>
                <w:i w:val="0"/>
                <w:iCs w:val="0"/>
                <w:snapToGrid/>
                <w:color w:val="auto"/>
                <w:kern w:val="2"/>
                <w:sz w:val="24"/>
                <w:szCs w:val="24"/>
                <w:lang w:val="en-US" w:eastAsia="zh-CN" w:bidi="ar-SA"/>
              </w:rPr>
              <w:t>为宠物安排化验，主要为宠物进行血常规检查，且采用成品试剂，此外，建设单位购置医用X摄影系统，得到数字图像供医生观看</w:t>
            </w:r>
            <w:r>
              <w:rPr>
                <w:rFonts w:hint="eastAsia" w:ascii="Times New Roman" w:hAnsi="Times New Roman" w:eastAsia="宋体" w:cs="Times New Roman"/>
                <w:i w:val="0"/>
                <w:iCs w:val="0"/>
                <w:snapToGrid/>
                <w:color w:val="auto"/>
                <w:kern w:val="2"/>
                <w:sz w:val="24"/>
                <w:szCs w:val="24"/>
                <w:lang w:val="en-US" w:eastAsia="zh-CN" w:bidi="ar-SA"/>
              </w:rPr>
              <w:t>，</w:t>
            </w:r>
            <w:r>
              <w:rPr>
                <w:rFonts w:hint="default" w:ascii="Times New Roman" w:hAnsi="Times New Roman" w:eastAsia="宋体" w:cs="Times New Roman"/>
                <w:i w:val="0"/>
                <w:iCs w:val="0"/>
                <w:snapToGrid/>
                <w:color w:val="auto"/>
                <w:kern w:val="2"/>
                <w:sz w:val="24"/>
                <w:szCs w:val="24"/>
                <w:lang w:val="en-US" w:eastAsia="zh-CN" w:bidi="ar-SA"/>
              </w:rPr>
              <w:t>由宠物医生依据化验结果，结合问诊</w:t>
            </w:r>
            <w:r>
              <w:rPr>
                <w:rFonts w:hint="eastAsia" w:cs="Times New Roman"/>
                <w:i w:val="0"/>
                <w:iCs w:val="0"/>
                <w:snapToGrid/>
                <w:color w:val="auto"/>
                <w:kern w:val="2"/>
                <w:sz w:val="24"/>
                <w:szCs w:val="24"/>
                <w:lang w:val="en-US" w:eastAsia="zh-CN" w:bidi="ar-SA"/>
              </w:rPr>
              <w:t>（</w:t>
            </w:r>
            <w:r>
              <w:rPr>
                <w:rFonts w:hint="default" w:ascii="Times New Roman" w:hAnsi="Times New Roman" w:eastAsia="宋体" w:cs="Times New Roman"/>
                <w:i w:val="0"/>
                <w:iCs w:val="0"/>
                <w:snapToGrid/>
                <w:color w:val="auto"/>
                <w:kern w:val="2"/>
                <w:sz w:val="24"/>
                <w:szCs w:val="24"/>
                <w:lang w:val="en-US" w:eastAsia="zh-CN" w:bidi="ar-SA"/>
              </w:rPr>
              <w:t>宠物主人</w:t>
            </w:r>
            <w:r>
              <w:rPr>
                <w:rFonts w:hint="eastAsia" w:cs="Times New Roman"/>
                <w:i w:val="0"/>
                <w:iCs w:val="0"/>
                <w:snapToGrid/>
                <w:color w:val="auto"/>
                <w:kern w:val="2"/>
                <w:sz w:val="24"/>
                <w:szCs w:val="24"/>
                <w:lang w:val="en-US" w:eastAsia="zh-CN" w:bidi="ar-SA"/>
              </w:rPr>
              <w:t>）</w:t>
            </w:r>
            <w:r>
              <w:rPr>
                <w:rFonts w:hint="default" w:ascii="Times New Roman" w:hAnsi="Times New Roman" w:eastAsia="宋体" w:cs="Times New Roman"/>
                <w:i w:val="0"/>
                <w:iCs w:val="0"/>
                <w:snapToGrid/>
                <w:color w:val="auto"/>
                <w:kern w:val="2"/>
                <w:sz w:val="24"/>
                <w:szCs w:val="24"/>
                <w:lang w:val="en-US" w:eastAsia="zh-CN" w:bidi="ar-SA"/>
              </w:rPr>
              <w:t>、触诊及听诊等得出诊断结果</w:t>
            </w:r>
            <w:r>
              <w:rPr>
                <w:rFonts w:hint="eastAsia" w:ascii="Times New Roman" w:hAnsi="Times New Roman" w:eastAsia="宋体" w:cs="Times New Roman"/>
                <w:i w:val="0"/>
                <w:iCs w:val="0"/>
                <w:snapToGrid/>
                <w:color w:val="auto"/>
                <w:kern w:val="2"/>
                <w:sz w:val="24"/>
                <w:szCs w:val="24"/>
                <w:lang w:val="en-US" w:eastAsia="zh-CN" w:bidi="ar-SA"/>
              </w:rPr>
              <w:t>，</w:t>
            </w:r>
            <w:r>
              <w:rPr>
                <w:rFonts w:hint="default" w:ascii="Times New Roman" w:hAnsi="Times New Roman" w:eastAsia="宋体" w:cs="Times New Roman"/>
                <w:i w:val="0"/>
                <w:iCs w:val="0"/>
                <w:snapToGrid/>
                <w:color w:val="auto"/>
                <w:kern w:val="2"/>
                <w:sz w:val="24"/>
                <w:szCs w:val="24"/>
                <w:lang w:val="en-US" w:eastAsia="zh-CN" w:bidi="ar-SA"/>
              </w:rPr>
              <w:t>制定具体治疗方案</w:t>
            </w:r>
            <w:r>
              <w:rPr>
                <w:rFonts w:hint="eastAsia" w:cs="Times New Roman"/>
                <w:i w:val="0"/>
                <w:iCs w:val="0"/>
                <w:snapToGrid/>
                <w:color w:val="auto"/>
                <w:kern w:val="2"/>
                <w:sz w:val="24"/>
                <w:szCs w:val="24"/>
                <w:lang w:val="en-US" w:eastAsia="zh-CN" w:bidi="ar-SA"/>
              </w:rPr>
              <w:t>（</w:t>
            </w:r>
            <w:r>
              <w:rPr>
                <w:rFonts w:hint="default" w:ascii="Times New Roman" w:hAnsi="Times New Roman" w:eastAsia="宋体" w:cs="Times New Roman"/>
                <w:i w:val="0"/>
                <w:iCs w:val="0"/>
                <w:snapToGrid/>
                <w:color w:val="auto"/>
                <w:kern w:val="2"/>
                <w:sz w:val="24"/>
                <w:szCs w:val="24"/>
                <w:lang w:val="en-US" w:eastAsia="zh-CN" w:bidi="ar-SA"/>
              </w:rPr>
              <w:t>主要为配药、输液和手术</w:t>
            </w:r>
            <w:r>
              <w:rPr>
                <w:rFonts w:hint="eastAsia" w:cs="Times New Roman"/>
                <w:i w:val="0"/>
                <w:iCs w:val="0"/>
                <w:snapToGrid/>
                <w:color w:val="auto"/>
                <w:kern w:val="2"/>
                <w:sz w:val="24"/>
                <w:szCs w:val="24"/>
                <w:lang w:val="en-US" w:eastAsia="zh-CN" w:bidi="ar-SA"/>
              </w:rPr>
              <w:t>）</w:t>
            </w:r>
            <w:r>
              <w:rPr>
                <w:rFonts w:hint="default" w:ascii="Times New Roman" w:hAnsi="Times New Roman" w:eastAsia="宋体" w:cs="Times New Roman"/>
                <w:i w:val="0"/>
                <w:iCs w:val="0"/>
                <w:snapToGrid/>
                <w:color w:val="auto"/>
                <w:kern w:val="2"/>
                <w:sz w:val="24"/>
                <w:szCs w:val="24"/>
                <w:lang w:val="en-US" w:eastAsia="zh-CN" w:bidi="ar-SA"/>
              </w:rPr>
              <w:t>。</w:t>
            </w:r>
            <w:r>
              <w:rPr>
                <w:rFonts w:hint="eastAsia" w:ascii="Times New Roman" w:hAnsi="Times New Roman" w:eastAsia="宋体" w:cs="Times New Roman"/>
                <w:i w:val="0"/>
                <w:iCs w:val="0"/>
                <w:snapToGrid/>
                <w:color w:val="auto"/>
                <w:kern w:val="2"/>
                <w:sz w:val="24"/>
                <w:szCs w:val="24"/>
                <w:lang w:val="en-US" w:eastAsia="zh-CN" w:bidi="ar-SA"/>
              </w:rPr>
              <w:t>本工序产生的污染物为</w:t>
            </w:r>
            <w:r>
              <w:rPr>
                <w:rFonts w:hint="default" w:ascii="Times New Roman" w:hAnsi="Times New Roman" w:eastAsia="宋体" w:cs="Times New Roman"/>
                <w:i w:val="0"/>
                <w:iCs w:val="0"/>
                <w:snapToGrid/>
                <w:color w:val="auto"/>
                <w:kern w:val="2"/>
                <w:sz w:val="24"/>
                <w:szCs w:val="24"/>
                <w:lang w:val="en-US" w:eastAsia="zh-CN" w:bidi="ar-SA"/>
              </w:rPr>
              <w:t>化验使用的一次性医疗</w:t>
            </w:r>
            <w:r>
              <w:rPr>
                <w:rFonts w:hint="eastAsia" w:ascii="Times New Roman" w:hAnsi="Times New Roman" w:eastAsia="宋体" w:cs="Times New Roman"/>
                <w:i w:val="0"/>
                <w:iCs w:val="0"/>
                <w:snapToGrid/>
                <w:color w:val="auto"/>
                <w:kern w:val="2"/>
                <w:sz w:val="24"/>
                <w:szCs w:val="24"/>
                <w:lang w:val="en-US" w:eastAsia="zh-CN" w:bidi="ar-SA"/>
              </w:rPr>
              <w:t>器械</w:t>
            </w:r>
            <w:r>
              <w:rPr>
                <w:rFonts w:hint="default" w:ascii="Times New Roman" w:hAnsi="Times New Roman" w:eastAsia="宋体" w:cs="Times New Roman"/>
                <w:i w:val="0"/>
                <w:iCs w:val="0"/>
                <w:snapToGrid/>
                <w:color w:val="auto"/>
                <w:kern w:val="2"/>
                <w:sz w:val="24"/>
                <w:szCs w:val="24"/>
                <w:lang w:val="en-US" w:eastAsia="zh-CN" w:bidi="ar-SA"/>
              </w:rPr>
              <w:t>、棉签、宠物血液、针管等</w:t>
            </w:r>
            <w:r>
              <w:rPr>
                <w:rFonts w:hint="eastAsia" w:ascii="Times New Roman" w:hAnsi="Times New Roman" w:eastAsia="宋体" w:cs="Times New Roman"/>
                <w:i w:val="0"/>
                <w:iCs w:val="0"/>
                <w:snapToGrid/>
                <w:color w:val="auto"/>
                <w:kern w:val="2"/>
                <w:sz w:val="24"/>
                <w:szCs w:val="24"/>
                <w:lang w:val="en-US" w:eastAsia="zh-CN" w:bidi="ar-SA"/>
              </w:rPr>
              <w:t>动物诊疗废物及</w:t>
            </w:r>
            <w:r>
              <w:rPr>
                <w:rFonts w:hint="default" w:ascii="Times New Roman" w:hAnsi="Times New Roman" w:eastAsia="宋体" w:cs="Times New Roman"/>
                <w:i w:val="0"/>
                <w:iCs w:val="0"/>
                <w:snapToGrid/>
                <w:color w:val="auto"/>
                <w:kern w:val="2"/>
                <w:sz w:val="24"/>
                <w:szCs w:val="24"/>
                <w:lang w:val="en-US" w:eastAsia="zh-CN" w:bidi="ar-SA"/>
              </w:rPr>
              <w:t>化验时仪器清洗及宠物医生洗手等产生</w:t>
            </w:r>
            <w:r>
              <w:rPr>
                <w:rFonts w:hint="eastAsia" w:ascii="Times New Roman" w:hAnsi="Times New Roman" w:eastAsia="宋体" w:cs="Times New Roman"/>
                <w:i w:val="0"/>
                <w:iCs w:val="0"/>
                <w:snapToGrid/>
                <w:color w:val="auto"/>
                <w:kern w:val="2"/>
                <w:sz w:val="24"/>
                <w:szCs w:val="24"/>
                <w:lang w:val="en-US" w:eastAsia="zh-CN" w:bidi="ar-SA"/>
              </w:rPr>
              <w:t>的宠物诊疗</w:t>
            </w:r>
            <w:r>
              <w:rPr>
                <w:rFonts w:hint="default" w:ascii="Times New Roman" w:hAnsi="Times New Roman" w:eastAsia="宋体" w:cs="Times New Roman"/>
                <w:i w:val="0"/>
                <w:iCs w:val="0"/>
                <w:snapToGrid/>
                <w:color w:val="auto"/>
                <w:kern w:val="2"/>
                <w:sz w:val="24"/>
                <w:szCs w:val="24"/>
                <w:lang w:val="en-US" w:eastAsia="zh-CN" w:bidi="ar-SA"/>
              </w:rPr>
              <w:t>废水。</w:t>
            </w:r>
          </w:p>
          <w:p>
            <w:pPr>
              <w:pStyle w:val="6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i w:val="0"/>
                <w:iCs w:val="0"/>
                <w:snapToGrid/>
                <w:color w:val="auto"/>
                <w:kern w:val="2"/>
                <w:sz w:val="24"/>
                <w:szCs w:val="24"/>
                <w:lang w:val="en-US" w:eastAsia="zh-CN" w:bidi="ar-SA"/>
              </w:rPr>
            </w:pPr>
            <w:r>
              <w:rPr>
                <w:rFonts w:hint="eastAsia" w:ascii="Times New Roman" w:hAnsi="Times New Roman" w:eastAsia="宋体" w:cs="Times New Roman"/>
                <w:i w:val="0"/>
                <w:iCs w:val="0"/>
                <w:snapToGrid/>
                <w:color w:val="auto"/>
                <w:kern w:val="2"/>
                <w:sz w:val="24"/>
                <w:szCs w:val="24"/>
                <w:lang w:val="en-US" w:eastAsia="zh-CN" w:bidi="ar-SA"/>
              </w:rPr>
              <w:t>配药、输液、手术：医生根据就诊结果，确定病情较轻，直接拿药或输液后离开，病情严重或有特殊要求的宠物需进行手术治疗，术后病情好转的宠物，拿药或输液后离开，未好转的宠物进行住院观察。本工序产生的污染物为</w:t>
            </w:r>
            <w:r>
              <w:rPr>
                <w:rFonts w:hint="default" w:ascii="Times New Roman" w:hAnsi="Times New Roman" w:eastAsia="宋体" w:cs="Times New Roman"/>
                <w:i w:val="0"/>
                <w:iCs w:val="0"/>
                <w:snapToGrid/>
                <w:color w:val="auto"/>
                <w:kern w:val="2"/>
                <w:sz w:val="24"/>
                <w:szCs w:val="24"/>
                <w:lang w:val="en-US" w:eastAsia="zh-CN" w:bidi="ar-SA"/>
              </w:rPr>
              <w:t>手术过程中手术台上铺的医用纱布、垫料，手术过程中产生的血液、废弃医用棉花、宠物医生的一次性手套、输液及手术过程中的一次性注射器、缝合针</w:t>
            </w:r>
            <w:r>
              <w:rPr>
                <w:rFonts w:hint="eastAsia" w:ascii="Times New Roman" w:hAnsi="Times New Roman" w:eastAsia="宋体" w:cs="Times New Roman"/>
                <w:i w:val="0"/>
                <w:iCs w:val="0"/>
                <w:snapToGrid/>
                <w:color w:val="auto"/>
                <w:kern w:val="2"/>
                <w:sz w:val="24"/>
                <w:szCs w:val="24"/>
                <w:lang w:val="en-US" w:eastAsia="zh-CN" w:bidi="ar-SA"/>
              </w:rPr>
              <w:t>及</w:t>
            </w:r>
            <w:r>
              <w:rPr>
                <w:rFonts w:hint="default" w:ascii="Times New Roman" w:hAnsi="Times New Roman" w:eastAsia="宋体" w:cs="Times New Roman"/>
                <w:i w:val="0"/>
                <w:iCs w:val="0"/>
                <w:snapToGrid/>
                <w:color w:val="auto"/>
                <w:kern w:val="2"/>
                <w:sz w:val="24"/>
                <w:szCs w:val="24"/>
                <w:lang w:val="en-US" w:eastAsia="zh-CN" w:bidi="ar-SA"/>
              </w:rPr>
              <w:t>切除的</w:t>
            </w:r>
            <w:r>
              <w:rPr>
                <w:rFonts w:hint="eastAsia" w:ascii="Times New Roman" w:hAnsi="Times New Roman" w:eastAsia="宋体" w:cs="Times New Roman"/>
                <w:i w:val="0"/>
                <w:iCs w:val="0"/>
                <w:snapToGrid/>
                <w:color w:val="auto"/>
                <w:kern w:val="2"/>
                <w:sz w:val="24"/>
                <w:szCs w:val="24"/>
                <w:lang w:val="en-US" w:eastAsia="zh-CN" w:bidi="ar-SA"/>
              </w:rPr>
              <w:t>器官</w:t>
            </w:r>
            <w:r>
              <w:rPr>
                <w:rFonts w:hint="default" w:ascii="Times New Roman" w:hAnsi="Times New Roman" w:eastAsia="宋体" w:cs="Times New Roman"/>
                <w:i w:val="0"/>
                <w:iCs w:val="0"/>
                <w:snapToGrid/>
                <w:color w:val="auto"/>
                <w:kern w:val="2"/>
                <w:sz w:val="24"/>
                <w:szCs w:val="24"/>
                <w:lang w:val="en-US" w:eastAsia="zh-CN" w:bidi="ar-SA"/>
              </w:rPr>
              <w:t>组织等</w:t>
            </w:r>
            <w:r>
              <w:rPr>
                <w:rFonts w:hint="eastAsia" w:ascii="Times New Roman" w:hAnsi="Times New Roman" w:eastAsia="宋体" w:cs="Times New Roman"/>
                <w:i w:val="0"/>
                <w:iCs w:val="0"/>
                <w:snapToGrid/>
                <w:color w:val="auto"/>
                <w:kern w:val="2"/>
                <w:sz w:val="24"/>
                <w:szCs w:val="24"/>
                <w:lang w:val="en-US" w:eastAsia="zh-CN" w:bidi="ar-SA"/>
              </w:rPr>
              <w:t>动物诊疗废物、</w:t>
            </w:r>
            <w:r>
              <w:rPr>
                <w:rFonts w:hint="default" w:ascii="Times New Roman" w:hAnsi="Times New Roman" w:eastAsia="宋体" w:cs="Times New Roman"/>
                <w:i w:val="0"/>
                <w:iCs w:val="0"/>
                <w:snapToGrid/>
                <w:color w:val="auto"/>
                <w:kern w:val="2"/>
                <w:sz w:val="24"/>
                <w:szCs w:val="24"/>
                <w:lang w:val="en-US" w:eastAsia="zh-CN" w:bidi="ar-SA"/>
              </w:rPr>
              <w:t>宠物医生手术后的清洗</w:t>
            </w:r>
            <w:r>
              <w:rPr>
                <w:rFonts w:hint="eastAsia" w:ascii="Times New Roman" w:hAnsi="Times New Roman" w:eastAsia="宋体" w:cs="Times New Roman"/>
                <w:i w:val="0"/>
                <w:iCs w:val="0"/>
                <w:snapToGrid/>
                <w:color w:val="auto"/>
                <w:kern w:val="2"/>
                <w:sz w:val="24"/>
                <w:szCs w:val="24"/>
                <w:lang w:val="en-US" w:eastAsia="zh-CN" w:bidi="ar-SA"/>
              </w:rPr>
              <w:t>设备及洗手产生的宠物诊疗</w:t>
            </w:r>
            <w:r>
              <w:rPr>
                <w:rFonts w:hint="default" w:ascii="Times New Roman" w:hAnsi="Times New Roman" w:eastAsia="宋体" w:cs="Times New Roman"/>
                <w:i w:val="0"/>
                <w:iCs w:val="0"/>
                <w:snapToGrid/>
                <w:color w:val="auto"/>
                <w:kern w:val="2"/>
                <w:sz w:val="24"/>
                <w:szCs w:val="24"/>
                <w:lang w:val="en-US" w:eastAsia="zh-CN" w:bidi="ar-SA"/>
              </w:rPr>
              <w:t>废水</w:t>
            </w:r>
            <w:r>
              <w:rPr>
                <w:rFonts w:hint="eastAsia" w:ascii="Times New Roman" w:hAnsi="Times New Roman" w:eastAsia="宋体" w:cs="Times New Roman"/>
                <w:i w:val="0"/>
                <w:iCs w:val="0"/>
                <w:snapToGrid/>
                <w:color w:val="auto"/>
                <w:kern w:val="2"/>
                <w:sz w:val="24"/>
                <w:szCs w:val="24"/>
                <w:lang w:val="en-US" w:eastAsia="zh-CN" w:bidi="ar-SA"/>
              </w:rPr>
              <w:t>及宠物偶发的叫声</w:t>
            </w:r>
            <w:r>
              <w:rPr>
                <w:rFonts w:hint="default" w:ascii="Times New Roman" w:hAnsi="Times New Roman" w:eastAsia="宋体" w:cs="Times New Roman"/>
                <w:i w:val="0"/>
                <w:iCs w:val="0"/>
                <w:snapToGrid/>
                <w:color w:val="auto"/>
                <w:kern w:val="2"/>
                <w:sz w:val="24"/>
                <w:szCs w:val="24"/>
                <w:lang w:val="en-US" w:eastAsia="zh-CN" w:bidi="ar-SA"/>
              </w:rPr>
              <w:t>。</w:t>
            </w:r>
          </w:p>
          <w:p>
            <w:pPr>
              <w:pStyle w:val="6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i w:val="0"/>
                <w:iCs w:val="0"/>
                <w:snapToGrid/>
                <w:color w:val="auto"/>
                <w:kern w:val="2"/>
                <w:sz w:val="24"/>
                <w:szCs w:val="24"/>
                <w:lang w:val="en-US" w:eastAsia="zh-CN" w:bidi="ar-SA"/>
              </w:rPr>
            </w:pPr>
            <w:r>
              <w:rPr>
                <w:rFonts w:hint="default" w:ascii="Times New Roman" w:hAnsi="Times New Roman" w:eastAsia="宋体" w:cs="Times New Roman"/>
                <w:i w:val="0"/>
                <w:iCs w:val="0"/>
                <w:snapToGrid/>
                <w:color w:val="auto"/>
                <w:kern w:val="2"/>
                <w:sz w:val="24"/>
                <w:szCs w:val="24"/>
                <w:lang w:val="en-US" w:eastAsia="zh-CN" w:bidi="ar-SA"/>
              </w:rPr>
              <w:t>住院观察</w:t>
            </w:r>
            <w:r>
              <w:rPr>
                <w:rFonts w:hint="eastAsia" w:ascii="Times New Roman" w:hAnsi="Times New Roman" w:eastAsia="宋体" w:cs="Times New Roman"/>
                <w:i w:val="0"/>
                <w:iCs w:val="0"/>
                <w:snapToGrid/>
                <w:color w:val="auto"/>
                <w:kern w:val="2"/>
                <w:sz w:val="24"/>
                <w:szCs w:val="24"/>
                <w:lang w:val="en-US" w:eastAsia="zh-CN" w:bidi="ar-SA"/>
              </w:rPr>
              <w:t>：</w:t>
            </w:r>
            <w:r>
              <w:rPr>
                <w:rFonts w:hint="default" w:ascii="Times New Roman" w:hAnsi="Times New Roman" w:eastAsia="宋体" w:cs="Times New Roman"/>
                <w:i w:val="0"/>
                <w:iCs w:val="0"/>
                <w:snapToGrid/>
                <w:color w:val="auto"/>
                <w:kern w:val="2"/>
                <w:sz w:val="24"/>
                <w:szCs w:val="24"/>
                <w:lang w:val="en-US" w:eastAsia="zh-CN" w:bidi="ar-SA"/>
              </w:rPr>
              <w:t>主要为</w:t>
            </w:r>
            <w:r>
              <w:rPr>
                <w:rFonts w:hint="eastAsia" w:ascii="Times New Roman" w:hAnsi="Times New Roman" w:eastAsia="宋体" w:cs="Times New Roman"/>
                <w:i w:val="0"/>
                <w:iCs w:val="0"/>
                <w:snapToGrid/>
                <w:color w:val="auto"/>
                <w:kern w:val="2"/>
                <w:sz w:val="24"/>
                <w:szCs w:val="24"/>
                <w:lang w:val="en-US" w:eastAsia="zh-CN" w:bidi="ar-SA"/>
              </w:rPr>
              <w:t>治疗后需要进一步住院的</w:t>
            </w:r>
            <w:r>
              <w:rPr>
                <w:rFonts w:hint="default" w:ascii="Times New Roman" w:hAnsi="Times New Roman" w:eastAsia="宋体" w:cs="Times New Roman"/>
                <w:i w:val="0"/>
                <w:iCs w:val="0"/>
                <w:snapToGrid/>
                <w:color w:val="auto"/>
                <w:kern w:val="2"/>
                <w:sz w:val="24"/>
                <w:szCs w:val="24"/>
                <w:lang w:val="en-US" w:eastAsia="zh-CN" w:bidi="ar-SA"/>
              </w:rPr>
              <w:t>宠物提供住院服务，产生的污染物主要为棉球、纱布等</w:t>
            </w:r>
            <w:r>
              <w:rPr>
                <w:rFonts w:hint="eastAsia" w:ascii="Times New Roman" w:hAnsi="Times New Roman" w:eastAsia="宋体" w:cs="Times New Roman"/>
                <w:i w:val="0"/>
                <w:iCs w:val="0"/>
                <w:snapToGrid/>
                <w:color w:val="auto"/>
                <w:kern w:val="2"/>
                <w:sz w:val="24"/>
                <w:szCs w:val="24"/>
                <w:lang w:val="en-US" w:eastAsia="zh-CN" w:bidi="ar-SA"/>
              </w:rPr>
              <w:t>动物诊疗废物、</w:t>
            </w:r>
            <w:r>
              <w:rPr>
                <w:rFonts w:hint="default" w:ascii="Times New Roman" w:hAnsi="Times New Roman" w:eastAsia="宋体" w:cs="Times New Roman"/>
                <w:i w:val="0"/>
                <w:iCs w:val="0"/>
                <w:snapToGrid/>
                <w:color w:val="auto"/>
                <w:kern w:val="2"/>
                <w:sz w:val="24"/>
                <w:szCs w:val="24"/>
                <w:lang w:val="en-US" w:eastAsia="zh-CN" w:bidi="ar-SA"/>
              </w:rPr>
              <w:t>动物粪便</w:t>
            </w:r>
            <w:r>
              <w:rPr>
                <w:rFonts w:hint="eastAsia" w:ascii="Times New Roman" w:hAnsi="Times New Roman" w:eastAsia="宋体" w:cs="Times New Roman"/>
                <w:i w:val="0"/>
                <w:iCs w:val="0"/>
                <w:snapToGrid/>
                <w:color w:val="auto"/>
                <w:kern w:val="2"/>
                <w:sz w:val="24"/>
                <w:szCs w:val="24"/>
                <w:lang w:val="en-US" w:eastAsia="zh-CN" w:bidi="ar-SA"/>
              </w:rPr>
              <w:t>、尿垫、排泄物散发的少量异味及宠物偶发的叫声。</w:t>
            </w:r>
          </w:p>
          <w:p>
            <w:pPr>
              <w:pStyle w:val="6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i w:val="0"/>
                <w:iCs w:val="0"/>
                <w:snapToGrid/>
                <w:color w:val="auto"/>
                <w:kern w:val="2"/>
                <w:sz w:val="24"/>
                <w:szCs w:val="24"/>
                <w:lang w:val="en-US" w:eastAsia="zh-CN" w:bidi="ar-SA"/>
              </w:rPr>
            </w:pPr>
            <w:r>
              <w:rPr>
                <w:rFonts w:hint="default" w:ascii="Times New Roman" w:hAnsi="Times New Roman" w:eastAsia="宋体" w:cs="Times New Roman"/>
                <w:i w:val="0"/>
                <w:iCs w:val="0"/>
                <w:snapToGrid/>
                <w:color w:val="auto"/>
                <w:kern w:val="2"/>
                <w:sz w:val="24"/>
                <w:szCs w:val="24"/>
                <w:lang w:val="en-US" w:eastAsia="zh-CN" w:bidi="ar-SA"/>
              </w:rPr>
              <w:t>出院</w:t>
            </w:r>
            <w:r>
              <w:rPr>
                <w:rFonts w:hint="eastAsia" w:ascii="Times New Roman" w:hAnsi="Times New Roman" w:eastAsia="宋体" w:cs="Times New Roman"/>
                <w:i w:val="0"/>
                <w:iCs w:val="0"/>
                <w:snapToGrid/>
                <w:color w:val="auto"/>
                <w:kern w:val="2"/>
                <w:sz w:val="24"/>
                <w:szCs w:val="24"/>
                <w:lang w:val="en-US" w:eastAsia="zh-CN" w:bidi="ar-SA"/>
              </w:rPr>
              <w:t>：</w:t>
            </w:r>
            <w:r>
              <w:rPr>
                <w:rFonts w:hint="default" w:ascii="Times New Roman" w:hAnsi="Times New Roman" w:eastAsia="宋体" w:cs="Times New Roman"/>
                <w:i w:val="0"/>
                <w:iCs w:val="0"/>
                <w:snapToGrid/>
                <w:color w:val="auto"/>
                <w:kern w:val="2"/>
                <w:sz w:val="24"/>
                <w:szCs w:val="24"/>
                <w:lang w:val="en-US" w:eastAsia="zh-CN" w:bidi="ar-SA"/>
              </w:rPr>
              <w:t>观察一段时间后，宠物恢复，离开医院。</w:t>
            </w:r>
            <w:r>
              <w:rPr>
                <w:rFonts w:hint="eastAsia" w:ascii="Times New Roman" w:hAnsi="Times New Roman" w:eastAsia="宋体" w:cs="Times New Roman"/>
                <w:i w:val="0"/>
                <w:iCs w:val="0"/>
                <w:snapToGrid/>
                <w:color w:val="auto"/>
                <w:kern w:val="2"/>
                <w:sz w:val="24"/>
                <w:szCs w:val="24"/>
                <w:lang w:val="en-US" w:eastAsia="zh-CN" w:bidi="ar-SA"/>
              </w:rPr>
              <w:t>（一般不会出现宠物死亡情况，若有宠物在治疗过程中因意外不幸死亡，尸体由宠物主带回妥善处理，本项目不进行宠物尸体处理。）</w:t>
            </w:r>
          </w:p>
          <w:p>
            <w:pPr>
              <w:pStyle w:val="6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i w:val="0"/>
                <w:iCs w:val="0"/>
                <w:snapToGrid/>
                <w:color w:val="auto"/>
                <w:kern w:val="2"/>
                <w:sz w:val="24"/>
                <w:szCs w:val="24"/>
                <w:lang w:val="en-US" w:eastAsia="zh-CN" w:bidi="ar-SA"/>
              </w:rPr>
            </w:pPr>
            <w:r>
              <w:rPr>
                <w:rFonts w:hint="default" w:ascii="Times New Roman" w:hAnsi="Times New Roman" w:eastAsia="宋体" w:cs="Times New Roman"/>
                <w:i w:val="0"/>
                <w:iCs w:val="0"/>
                <w:snapToGrid/>
                <w:color w:val="auto"/>
                <w:kern w:val="2"/>
                <w:sz w:val="24"/>
                <w:szCs w:val="24"/>
                <w:lang w:val="en-US" w:eastAsia="zh-CN" w:bidi="ar-SA"/>
              </w:rPr>
              <w:t>（</w:t>
            </w:r>
            <w:r>
              <w:rPr>
                <w:rFonts w:hint="eastAsia" w:ascii="Times New Roman" w:hAnsi="Times New Roman" w:eastAsia="宋体" w:cs="Times New Roman"/>
                <w:i w:val="0"/>
                <w:iCs w:val="0"/>
                <w:snapToGrid/>
                <w:color w:val="auto"/>
                <w:kern w:val="2"/>
                <w:sz w:val="24"/>
                <w:szCs w:val="24"/>
                <w:lang w:val="en-US" w:eastAsia="zh-CN" w:bidi="ar-SA"/>
              </w:rPr>
              <w:t>2</w:t>
            </w:r>
            <w:r>
              <w:rPr>
                <w:rFonts w:hint="default" w:ascii="Times New Roman" w:hAnsi="Times New Roman" w:eastAsia="宋体" w:cs="Times New Roman"/>
                <w:i w:val="0"/>
                <w:iCs w:val="0"/>
                <w:snapToGrid/>
                <w:color w:val="auto"/>
                <w:kern w:val="2"/>
                <w:sz w:val="24"/>
                <w:szCs w:val="24"/>
                <w:lang w:val="en-US" w:eastAsia="zh-CN" w:bidi="ar-SA"/>
              </w:rPr>
              <w:t>）</w:t>
            </w:r>
            <w:r>
              <w:rPr>
                <w:rFonts w:hint="eastAsia" w:ascii="Times New Roman" w:hAnsi="Times New Roman" w:eastAsia="宋体" w:cs="Times New Roman"/>
                <w:i w:val="0"/>
                <w:iCs w:val="0"/>
                <w:snapToGrid/>
                <w:color w:val="auto"/>
                <w:kern w:val="2"/>
                <w:sz w:val="24"/>
                <w:szCs w:val="24"/>
                <w:lang w:val="en-US" w:eastAsia="zh-CN" w:bidi="ar-SA"/>
              </w:rPr>
              <w:t>疫苗接种</w:t>
            </w:r>
          </w:p>
          <w:p>
            <w:pPr>
              <w:pStyle w:val="6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ascii="Times New Roman" w:hAnsi="Times New Roman" w:eastAsia="宋体" w:cs="Times New Roman"/>
                <w:i w:val="0"/>
                <w:iCs w:val="0"/>
                <w:snapToGrid/>
                <w:color w:val="auto"/>
                <w:kern w:val="2"/>
                <w:sz w:val="24"/>
                <w:szCs w:val="24"/>
                <w:lang w:val="en-US" w:eastAsia="zh-CN" w:bidi="ar-SA"/>
              </w:rPr>
            </w:pPr>
            <w:r>
              <w:rPr>
                <w:rFonts w:hint="default" w:ascii="Times New Roman" w:hAnsi="Times New Roman" w:eastAsia="宋体" w:cs="Times New Roman"/>
                <w:i w:val="0"/>
                <w:iCs w:val="0"/>
                <w:snapToGrid/>
                <w:color w:val="auto"/>
                <w:kern w:val="2"/>
                <w:sz w:val="24"/>
                <w:szCs w:val="24"/>
                <w:lang w:val="en-US" w:eastAsia="zh-CN" w:bidi="ar-SA"/>
              </w:rPr>
              <w:t>根据客户要求，对宠物进行狂犬病、犬瘟热病毒等疫苗的接种工作。</w:t>
            </w:r>
            <w:r>
              <w:rPr>
                <w:rFonts w:hint="eastAsia" w:ascii="Times New Roman" w:hAnsi="Times New Roman" w:eastAsia="宋体" w:cs="Times New Roman"/>
                <w:i w:val="0"/>
                <w:iCs w:val="0"/>
                <w:snapToGrid/>
                <w:color w:val="auto"/>
                <w:kern w:val="2"/>
                <w:sz w:val="24"/>
                <w:szCs w:val="24"/>
                <w:lang w:val="en-US" w:eastAsia="zh-CN" w:bidi="ar-SA"/>
              </w:rPr>
              <w:t>本工序产生的污染物为</w:t>
            </w:r>
            <w:r>
              <w:rPr>
                <w:rFonts w:hint="default" w:ascii="Times New Roman" w:hAnsi="Times New Roman" w:eastAsia="宋体" w:cs="Times New Roman"/>
                <w:i w:val="0"/>
                <w:iCs w:val="0"/>
                <w:snapToGrid/>
                <w:color w:val="auto"/>
                <w:kern w:val="2"/>
                <w:sz w:val="24"/>
                <w:szCs w:val="24"/>
                <w:lang w:val="en-US" w:eastAsia="zh-CN" w:bidi="ar-SA"/>
              </w:rPr>
              <w:t>废针管针头等</w:t>
            </w:r>
            <w:r>
              <w:rPr>
                <w:rFonts w:hint="eastAsia" w:ascii="Times New Roman" w:hAnsi="Times New Roman" w:eastAsia="宋体" w:cs="Times New Roman"/>
                <w:i w:val="0"/>
                <w:iCs w:val="0"/>
                <w:snapToGrid/>
                <w:color w:val="auto"/>
                <w:kern w:val="2"/>
                <w:sz w:val="24"/>
                <w:szCs w:val="24"/>
                <w:lang w:val="en-US" w:eastAsia="zh-CN" w:bidi="ar-SA"/>
              </w:rPr>
              <w:t>动物诊疗废物。</w:t>
            </w:r>
          </w:p>
          <w:p>
            <w:pPr>
              <w:keepNext w:val="0"/>
              <w:keepLines w:val="0"/>
              <w:suppressLineNumbers w:val="0"/>
              <w:adjustRightInd w:val="0"/>
              <w:snapToGrid w:val="0"/>
              <w:spacing w:before="0" w:beforeAutospacing="0" w:after="0" w:afterAutospacing="0" w:line="240" w:lineRule="auto"/>
              <w:ind w:left="0" w:right="0" w:firstLine="422" w:firstLineChars="200"/>
              <w:rPr>
                <w:rFonts w:hint="default"/>
                <w:b/>
                <w:bCs/>
                <w:sz w:val="21"/>
                <w:szCs w:val="21"/>
              </w:rPr>
            </w:pPr>
            <w:r>
              <w:rPr>
                <w:rFonts w:hint="eastAsia"/>
                <w:b/>
                <w:bCs/>
                <w:sz w:val="21"/>
                <w:szCs w:val="21"/>
              </w:rPr>
              <w:t>表2-</w:t>
            </w:r>
            <w:r>
              <w:rPr>
                <w:rFonts w:hint="eastAsia"/>
                <w:b/>
                <w:bCs/>
                <w:sz w:val="21"/>
                <w:szCs w:val="21"/>
                <w:lang w:val="en-US" w:eastAsia="zh-CN"/>
              </w:rPr>
              <w:t>7</w:t>
            </w:r>
            <w:r>
              <w:rPr>
                <w:rFonts w:hint="eastAsia"/>
                <w:b/>
                <w:bCs/>
                <w:sz w:val="21"/>
                <w:szCs w:val="21"/>
              </w:rPr>
              <w:t xml:space="preserve">                   </w:t>
            </w:r>
            <w:r>
              <w:rPr>
                <w:rFonts w:hint="eastAsia"/>
                <w:b/>
                <w:bCs/>
                <w:sz w:val="21"/>
                <w:szCs w:val="21"/>
                <w:lang w:val="en-US" w:eastAsia="zh-CN"/>
              </w:rPr>
              <w:t>排污节点一览表</w:t>
            </w:r>
          </w:p>
          <w:tbl>
            <w:tblPr>
              <w:tblStyle w:val="30"/>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4"/>
              <w:gridCol w:w="653"/>
              <w:gridCol w:w="649"/>
              <w:gridCol w:w="1314"/>
              <w:gridCol w:w="2179"/>
              <w:gridCol w:w="654"/>
              <w:gridCol w:w="193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1" w:type="pct"/>
                  <w:tcBorders>
                    <w:bottom w:val="single" w:color="auto" w:sz="1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b/>
                      <w:bCs/>
                      <w:sz w:val="21"/>
                      <w:szCs w:val="21"/>
                    </w:rPr>
                  </w:pPr>
                  <w:r>
                    <w:rPr>
                      <w:rFonts w:hint="default"/>
                      <w:b/>
                      <w:bCs/>
                      <w:sz w:val="21"/>
                      <w:szCs w:val="21"/>
                    </w:rPr>
                    <w:t>污染类别</w:t>
                  </w:r>
                </w:p>
              </w:tc>
              <w:tc>
                <w:tcPr>
                  <w:tcW w:w="418" w:type="pct"/>
                  <w:tcBorders>
                    <w:bottom w:val="single" w:color="auto" w:sz="1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b/>
                      <w:bCs/>
                      <w:sz w:val="21"/>
                      <w:szCs w:val="21"/>
                    </w:rPr>
                  </w:pPr>
                  <w:r>
                    <w:rPr>
                      <w:rFonts w:hint="eastAsia"/>
                      <w:b/>
                      <w:bCs/>
                      <w:sz w:val="21"/>
                      <w:szCs w:val="21"/>
                    </w:rPr>
                    <w:t>工艺</w:t>
                  </w:r>
                </w:p>
              </w:tc>
              <w:tc>
                <w:tcPr>
                  <w:tcW w:w="1257" w:type="pct"/>
                  <w:gridSpan w:val="2"/>
                  <w:tcBorders>
                    <w:bottom w:val="single" w:color="auto" w:sz="1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b/>
                      <w:bCs/>
                      <w:sz w:val="21"/>
                      <w:szCs w:val="21"/>
                    </w:rPr>
                  </w:pPr>
                  <w:r>
                    <w:rPr>
                      <w:rFonts w:hint="default"/>
                      <w:b/>
                      <w:bCs/>
                      <w:sz w:val="21"/>
                      <w:szCs w:val="21"/>
                    </w:rPr>
                    <w:t>污染物种类</w:t>
                  </w:r>
                </w:p>
              </w:tc>
              <w:tc>
                <w:tcPr>
                  <w:tcW w:w="1395" w:type="pct"/>
                  <w:tcBorders>
                    <w:bottom w:val="single" w:color="auto" w:sz="1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b/>
                      <w:bCs/>
                      <w:sz w:val="21"/>
                      <w:szCs w:val="21"/>
                    </w:rPr>
                  </w:pPr>
                  <w:r>
                    <w:rPr>
                      <w:rFonts w:hint="eastAsia"/>
                      <w:b/>
                      <w:bCs/>
                      <w:sz w:val="21"/>
                      <w:szCs w:val="21"/>
                    </w:rPr>
                    <w:t>治理设置</w:t>
                  </w:r>
                </w:p>
              </w:tc>
              <w:tc>
                <w:tcPr>
                  <w:tcW w:w="418" w:type="pct"/>
                  <w:tcBorders>
                    <w:bottom w:val="single" w:color="auto" w:sz="1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b/>
                      <w:bCs/>
                      <w:sz w:val="21"/>
                      <w:szCs w:val="21"/>
                    </w:rPr>
                  </w:pPr>
                  <w:r>
                    <w:rPr>
                      <w:rFonts w:hint="default"/>
                      <w:b/>
                      <w:bCs/>
                      <w:sz w:val="21"/>
                      <w:szCs w:val="21"/>
                    </w:rPr>
                    <w:t>排放方式</w:t>
                  </w:r>
                </w:p>
              </w:tc>
              <w:tc>
                <w:tcPr>
                  <w:tcW w:w="1238" w:type="pct"/>
                  <w:tcBorders>
                    <w:bottom w:val="single" w:color="auto" w:sz="1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b/>
                      <w:bCs/>
                      <w:sz w:val="21"/>
                      <w:szCs w:val="21"/>
                    </w:rPr>
                  </w:pPr>
                  <w:r>
                    <w:rPr>
                      <w:rFonts w:hint="eastAsia"/>
                      <w:b/>
                      <w:bCs/>
                      <w:sz w:val="21"/>
                      <w:szCs w:val="21"/>
                    </w:rPr>
                    <w:t>执行标准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271" w:type="pct"/>
                  <w:tcBorders>
                    <w:top w:val="single" w:color="auto" w:sz="1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eastAsia="宋体"/>
                      <w:sz w:val="21"/>
                      <w:szCs w:val="21"/>
                      <w:lang w:val="en-US" w:eastAsia="zh-CN"/>
                    </w:rPr>
                  </w:pPr>
                  <w:r>
                    <w:rPr>
                      <w:rFonts w:hint="eastAsia"/>
                      <w:sz w:val="21"/>
                      <w:szCs w:val="21"/>
                      <w:lang w:val="en-US" w:eastAsia="zh-CN"/>
                    </w:rPr>
                    <w:t>废气</w:t>
                  </w:r>
                </w:p>
              </w:tc>
              <w:tc>
                <w:tcPr>
                  <w:tcW w:w="418" w:type="pct"/>
                  <w:tcBorders>
                    <w:top w:val="single" w:color="auto" w:sz="1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eastAsia="宋体"/>
                      <w:sz w:val="21"/>
                      <w:szCs w:val="21"/>
                      <w:lang w:val="en-US" w:eastAsia="zh-CN"/>
                    </w:rPr>
                  </w:pPr>
                  <w:r>
                    <w:rPr>
                      <w:rFonts w:hint="eastAsia"/>
                      <w:sz w:val="21"/>
                      <w:szCs w:val="21"/>
                      <w:lang w:val="en-US" w:eastAsia="zh-CN"/>
                    </w:rPr>
                    <w:t>宠物诊疗</w:t>
                  </w:r>
                </w:p>
              </w:tc>
              <w:tc>
                <w:tcPr>
                  <w:tcW w:w="1257" w:type="pct"/>
                  <w:gridSpan w:val="2"/>
                  <w:tcBorders>
                    <w:top w:val="single" w:color="auto" w:sz="1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eastAsia="宋体"/>
                      <w:sz w:val="21"/>
                      <w:szCs w:val="21"/>
                      <w:lang w:val="en-US" w:eastAsia="zh-CN"/>
                    </w:rPr>
                  </w:pPr>
                  <w:r>
                    <w:rPr>
                      <w:rFonts w:hint="eastAsia"/>
                      <w:sz w:val="21"/>
                      <w:szCs w:val="21"/>
                      <w:lang w:val="en-US" w:eastAsia="zh-CN"/>
                    </w:rPr>
                    <w:t>臭气浓度</w:t>
                  </w:r>
                </w:p>
              </w:tc>
              <w:tc>
                <w:tcPr>
                  <w:tcW w:w="1395" w:type="pct"/>
                  <w:tcBorders>
                    <w:top w:val="single" w:color="auto" w:sz="1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sz w:val="21"/>
                      <w:szCs w:val="21"/>
                      <w:lang w:val="en-US"/>
                    </w:rPr>
                  </w:pPr>
                  <w:r>
                    <w:rPr>
                      <w:rFonts w:hint="default"/>
                      <w:sz w:val="21"/>
                      <w:szCs w:val="21"/>
                      <w:lang w:val="en-US" w:eastAsia="zh-CN"/>
                    </w:rPr>
                    <w:t>及时更换清理猫砂和狗笼内的排便排尿盒，废水在小型废水处理设施内停留时间极短且废水处理设施密闭，并定期使用除臭剂和紫外线消毒</w:t>
                  </w:r>
                  <w:r>
                    <w:rPr>
                      <w:rFonts w:hint="eastAsia"/>
                      <w:sz w:val="21"/>
                      <w:szCs w:val="21"/>
                      <w:lang w:val="en-US" w:eastAsia="zh-CN"/>
                    </w:rPr>
                    <w:t>灯</w:t>
                  </w:r>
                  <w:r>
                    <w:rPr>
                      <w:rFonts w:hint="default"/>
                      <w:sz w:val="21"/>
                      <w:szCs w:val="21"/>
                      <w:lang w:val="en-US" w:eastAsia="zh-CN"/>
                    </w:rPr>
                    <w:t>对院内空气及污水处理设施进行消毒</w:t>
                  </w:r>
                </w:p>
              </w:tc>
              <w:tc>
                <w:tcPr>
                  <w:tcW w:w="418" w:type="pct"/>
                  <w:tcBorders>
                    <w:top w:val="single" w:color="auto" w:sz="1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eastAsia="宋体"/>
                      <w:sz w:val="21"/>
                      <w:szCs w:val="21"/>
                      <w:lang w:val="en-US" w:eastAsia="zh-CN"/>
                    </w:rPr>
                  </w:pPr>
                  <w:r>
                    <w:rPr>
                      <w:rFonts w:hint="eastAsia"/>
                      <w:sz w:val="21"/>
                      <w:szCs w:val="21"/>
                      <w:lang w:val="en-US" w:eastAsia="zh-CN"/>
                    </w:rPr>
                    <w:t>无</w:t>
                  </w:r>
                  <w:r>
                    <w:rPr>
                      <w:rFonts w:hint="eastAsia"/>
                      <w:sz w:val="21"/>
                      <w:szCs w:val="21"/>
                    </w:rPr>
                    <w:t>组织</w:t>
                  </w:r>
                </w:p>
              </w:tc>
              <w:tc>
                <w:tcPr>
                  <w:tcW w:w="1238" w:type="pct"/>
                  <w:tcBorders>
                    <w:top w:val="single" w:color="auto" w:sz="1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color w:val="000000"/>
                      <w:sz w:val="21"/>
                      <w:szCs w:val="21"/>
                    </w:rPr>
                  </w:pPr>
                  <w:r>
                    <w:rPr>
                      <w:rFonts w:hint="eastAsia"/>
                      <w:color w:val="000000"/>
                      <w:sz w:val="21"/>
                      <w:szCs w:val="21"/>
                    </w:rPr>
                    <w:t>《恶臭污染物排放标准》</w:t>
                  </w:r>
                  <w:r>
                    <w:rPr>
                      <w:rFonts w:hint="eastAsia"/>
                      <w:color w:val="000000"/>
                      <w:sz w:val="21"/>
                      <w:szCs w:val="21"/>
                      <w:lang w:eastAsia="zh-CN"/>
                    </w:rPr>
                    <w:t>（</w:t>
                  </w:r>
                  <w:r>
                    <w:rPr>
                      <w:rFonts w:hint="eastAsia"/>
                      <w:color w:val="000000"/>
                      <w:sz w:val="21"/>
                      <w:szCs w:val="21"/>
                    </w:rPr>
                    <w:t>GB14554-93</w:t>
                  </w:r>
                  <w:r>
                    <w:rPr>
                      <w:rFonts w:hint="eastAsia"/>
                      <w:color w:val="000000"/>
                      <w:sz w:val="21"/>
                      <w:szCs w:val="21"/>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1" w:type="pct"/>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sz w:val="21"/>
                      <w:szCs w:val="21"/>
                    </w:rPr>
                  </w:pPr>
                  <w:r>
                    <w:rPr>
                      <w:rFonts w:hint="default"/>
                      <w:sz w:val="21"/>
                      <w:szCs w:val="21"/>
                    </w:rPr>
                    <w:t>废水</w:t>
                  </w:r>
                </w:p>
              </w:tc>
              <w:tc>
                <w:tcPr>
                  <w:tcW w:w="418"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eastAsia="宋体"/>
                      <w:sz w:val="21"/>
                      <w:szCs w:val="21"/>
                      <w:lang w:val="en-US" w:eastAsia="zh-CN"/>
                    </w:rPr>
                  </w:pPr>
                  <w:r>
                    <w:rPr>
                      <w:rFonts w:hint="eastAsia"/>
                      <w:sz w:val="21"/>
                      <w:szCs w:val="21"/>
                      <w:lang w:val="en-US" w:eastAsia="zh-CN"/>
                    </w:rPr>
                    <w:t>宠物服务</w:t>
                  </w:r>
                </w:p>
              </w:tc>
              <w:tc>
                <w:tcPr>
                  <w:tcW w:w="41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sz w:val="21"/>
                      <w:szCs w:val="21"/>
                    </w:rPr>
                  </w:pPr>
                  <w:r>
                    <w:rPr>
                      <w:rFonts w:hint="default"/>
                      <w:sz w:val="21"/>
                      <w:szCs w:val="21"/>
                    </w:rPr>
                    <w:t>生活污水</w:t>
                  </w:r>
                </w:p>
              </w:tc>
              <w:tc>
                <w:tcPr>
                  <w:tcW w:w="841"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sz w:val="21"/>
                      <w:szCs w:val="21"/>
                    </w:rPr>
                  </w:pPr>
                  <w:r>
                    <w:rPr>
                      <w:rFonts w:hint="default"/>
                      <w:sz w:val="21"/>
                      <w:szCs w:val="21"/>
                    </w:rPr>
                    <w:t>COD、BOD</w:t>
                  </w:r>
                  <w:r>
                    <w:rPr>
                      <w:rFonts w:hint="default"/>
                      <w:sz w:val="21"/>
                      <w:szCs w:val="21"/>
                      <w:vertAlign w:val="subscript"/>
                    </w:rPr>
                    <w:t>5</w:t>
                  </w:r>
                  <w:r>
                    <w:rPr>
                      <w:rFonts w:hint="default"/>
                      <w:sz w:val="21"/>
                      <w:szCs w:val="21"/>
                    </w:rPr>
                    <w:t>、NH</w:t>
                  </w:r>
                  <w:r>
                    <w:rPr>
                      <w:rFonts w:hint="default"/>
                      <w:sz w:val="21"/>
                      <w:szCs w:val="21"/>
                      <w:vertAlign w:val="subscript"/>
                    </w:rPr>
                    <w:t>3</w:t>
                  </w:r>
                  <w:r>
                    <w:rPr>
                      <w:rFonts w:hint="default"/>
                      <w:sz w:val="21"/>
                      <w:szCs w:val="21"/>
                    </w:rPr>
                    <w:t>-N、SS、pH</w:t>
                  </w:r>
                </w:p>
              </w:tc>
              <w:tc>
                <w:tcPr>
                  <w:tcW w:w="139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sz w:val="21"/>
                      <w:szCs w:val="21"/>
                    </w:rPr>
                  </w:pPr>
                  <w:r>
                    <w:rPr>
                      <w:rFonts w:hint="eastAsia"/>
                      <w:sz w:val="21"/>
                      <w:szCs w:val="21"/>
                    </w:rPr>
                    <w:t>/</w:t>
                  </w:r>
                </w:p>
              </w:tc>
              <w:tc>
                <w:tcPr>
                  <w:tcW w:w="418"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eastAsia="宋体"/>
                      <w:sz w:val="21"/>
                      <w:szCs w:val="21"/>
                      <w:lang w:eastAsia="zh-CN"/>
                    </w:rPr>
                  </w:pPr>
                  <w:r>
                    <w:rPr>
                      <w:rFonts w:hint="eastAsia"/>
                      <w:sz w:val="21"/>
                      <w:szCs w:val="21"/>
                      <w:lang w:val="en-US" w:eastAsia="zh-CN"/>
                    </w:rPr>
                    <w:t>间断</w:t>
                  </w:r>
                </w:p>
              </w:tc>
              <w:tc>
                <w:tcPr>
                  <w:tcW w:w="1238"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sz w:val="21"/>
                      <w:szCs w:val="21"/>
                    </w:rPr>
                  </w:pPr>
                  <w:r>
                    <w:rPr>
                      <w:rFonts w:hint="eastAsia"/>
                      <w:sz w:val="21"/>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1"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sz w:val="21"/>
                      <w:szCs w:val="21"/>
                    </w:rPr>
                  </w:pPr>
                </w:p>
              </w:tc>
              <w:tc>
                <w:tcPr>
                  <w:tcW w:w="418"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eastAsia="宋体"/>
                      <w:sz w:val="21"/>
                      <w:szCs w:val="21"/>
                      <w:lang w:val="en-US" w:eastAsia="zh-CN"/>
                    </w:rPr>
                  </w:pPr>
                  <w:r>
                    <w:rPr>
                      <w:rFonts w:hint="eastAsia"/>
                      <w:sz w:val="21"/>
                      <w:szCs w:val="21"/>
                      <w:lang w:val="en-US" w:eastAsia="zh-CN"/>
                    </w:rPr>
                    <w:t>宠物服务</w:t>
                  </w:r>
                </w:p>
              </w:tc>
              <w:tc>
                <w:tcPr>
                  <w:tcW w:w="41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eastAsia="宋体"/>
                      <w:sz w:val="21"/>
                      <w:szCs w:val="21"/>
                      <w:lang w:val="en-US" w:eastAsia="zh-CN"/>
                    </w:rPr>
                  </w:pPr>
                  <w:r>
                    <w:rPr>
                      <w:rFonts w:hint="eastAsia"/>
                      <w:sz w:val="21"/>
                      <w:szCs w:val="21"/>
                      <w:lang w:val="en-US" w:eastAsia="zh-CN"/>
                    </w:rPr>
                    <w:t>宠物诊疗废水</w:t>
                  </w:r>
                </w:p>
              </w:tc>
              <w:tc>
                <w:tcPr>
                  <w:tcW w:w="841"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sz w:val="21"/>
                      <w:szCs w:val="21"/>
                    </w:rPr>
                  </w:pPr>
                  <w:r>
                    <w:rPr>
                      <w:rFonts w:hint="default"/>
                      <w:sz w:val="21"/>
                      <w:szCs w:val="21"/>
                    </w:rPr>
                    <w:t>COD、BOD</w:t>
                  </w:r>
                  <w:r>
                    <w:rPr>
                      <w:rFonts w:hint="default"/>
                      <w:sz w:val="21"/>
                      <w:szCs w:val="21"/>
                      <w:vertAlign w:val="subscript"/>
                    </w:rPr>
                    <w:t>5</w:t>
                  </w:r>
                  <w:r>
                    <w:rPr>
                      <w:rFonts w:hint="default"/>
                      <w:sz w:val="21"/>
                      <w:szCs w:val="21"/>
                    </w:rPr>
                    <w:t>、NH</w:t>
                  </w:r>
                  <w:r>
                    <w:rPr>
                      <w:rFonts w:hint="default"/>
                      <w:sz w:val="21"/>
                      <w:szCs w:val="21"/>
                      <w:vertAlign w:val="subscript"/>
                    </w:rPr>
                    <w:t>3</w:t>
                  </w:r>
                  <w:r>
                    <w:rPr>
                      <w:rFonts w:hint="default"/>
                      <w:sz w:val="21"/>
                      <w:szCs w:val="21"/>
                    </w:rPr>
                    <w:t>-N、SS、pH</w:t>
                  </w:r>
                  <w:r>
                    <w:rPr>
                      <w:rFonts w:hint="eastAsia"/>
                      <w:sz w:val="21"/>
                      <w:szCs w:val="21"/>
                      <w:lang w:eastAsia="zh-CN"/>
                    </w:rPr>
                    <w:t>、</w:t>
                  </w:r>
                  <w:r>
                    <w:rPr>
                      <w:rFonts w:hint="eastAsia"/>
                      <w:sz w:val="21"/>
                      <w:szCs w:val="21"/>
                      <w:lang w:val="en-US" w:eastAsia="zh-CN"/>
                    </w:rPr>
                    <w:t>总余氯、粪大肠杆菌</w:t>
                  </w:r>
                </w:p>
              </w:tc>
              <w:tc>
                <w:tcPr>
                  <w:tcW w:w="139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eastAsia="宋体"/>
                      <w:sz w:val="21"/>
                      <w:szCs w:val="21"/>
                      <w:lang w:val="en-US" w:eastAsia="zh-CN"/>
                    </w:rPr>
                  </w:pPr>
                  <w:r>
                    <w:rPr>
                      <w:rFonts w:hint="eastAsia"/>
                      <w:sz w:val="21"/>
                      <w:szCs w:val="21"/>
                      <w:lang w:val="en-US" w:eastAsia="zh-CN"/>
                    </w:rPr>
                    <w:t>小型废水处理设施</w:t>
                  </w:r>
                </w:p>
              </w:tc>
              <w:tc>
                <w:tcPr>
                  <w:tcW w:w="418"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eastAsia="宋体"/>
                      <w:sz w:val="24"/>
                      <w:szCs w:val="24"/>
                      <w:lang w:eastAsia="zh-CN"/>
                    </w:rPr>
                  </w:pPr>
                  <w:r>
                    <w:rPr>
                      <w:rFonts w:hint="eastAsia"/>
                      <w:sz w:val="21"/>
                      <w:szCs w:val="21"/>
                      <w:lang w:val="en-US" w:eastAsia="zh-CN"/>
                    </w:rPr>
                    <w:t>间断</w:t>
                  </w:r>
                </w:p>
              </w:tc>
              <w:tc>
                <w:tcPr>
                  <w:tcW w:w="1238"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sz w:val="21"/>
                      <w:szCs w:val="21"/>
                      <w:lang w:eastAsia="zh-CN"/>
                    </w:rPr>
                  </w:pPr>
                  <w:r>
                    <w:rPr>
                      <w:rFonts w:hint="default"/>
                      <w:sz w:val="21"/>
                      <w:szCs w:val="21"/>
                      <w:lang w:val="en-US" w:eastAsia="zh-CN"/>
                    </w:rPr>
                    <w:t>《医疗机构水污染物排放标准》（GB18466-2005）表2中预处理标准限值</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1"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sz w:val="21"/>
                      <w:szCs w:val="21"/>
                    </w:rPr>
                  </w:pPr>
                  <w:r>
                    <w:rPr>
                      <w:rFonts w:hint="default"/>
                      <w:sz w:val="21"/>
                      <w:szCs w:val="21"/>
                    </w:rPr>
                    <w:t>噪声</w:t>
                  </w:r>
                </w:p>
              </w:tc>
              <w:tc>
                <w:tcPr>
                  <w:tcW w:w="418"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eastAsia="宋体"/>
                      <w:sz w:val="21"/>
                      <w:szCs w:val="21"/>
                      <w:lang w:val="en-US" w:eastAsia="zh-CN"/>
                    </w:rPr>
                  </w:pPr>
                  <w:r>
                    <w:rPr>
                      <w:rFonts w:hint="eastAsia"/>
                      <w:sz w:val="21"/>
                      <w:szCs w:val="21"/>
                      <w:lang w:val="en-US" w:eastAsia="zh-CN"/>
                    </w:rPr>
                    <w:t>宠物诊疗</w:t>
                  </w:r>
                </w:p>
              </w:tc>
              <w:tc>
                <w:tcPr>
                  <w:tcW w:w="1257" w:type="pct"/>
                  <w:gridSpan w:val="2"/>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sz w:val="21"/>
                      <w:szCs w:val="21"/>
                    </w:rPr>
                  </w:pPr>
                  <w:r>
                    <w:rPr>
                      <w:rFonts w:hint="default"/>
                      <w:sz w:val="21"/>
                      <w:szCs w:val="21"/>
                    </w:rPr>
                    <w:t>Leq</w:t>
                  </w:r>
                  <w:r>
                    <w:rPr>
                      <w:rFonts w:hint="eastAsia"/>
                      <w:sz w:val="21"/>
                      <w:szCs w:val="21"/>
                      <w:lang w:eastAsia="zh-CN"/>
                    </w:rPr>
                    <w:t>(</w:t>
                  </w:r>
                  <w:r>
                    <w:rPr>
                      <w:rFonts w:hint="default"/>
                      <w:sz w:val="21"/>
                      <w:szCs w:val="21"/>
                    </w:rPr>
                    <w:t>A</w:t>
                  </w:r>
                  <w:r>
                    <w:rPr>
                      <w:rFonts w:hint="eastAsia"/>
                      <w:sz w:val="21"/>
                      <w:szCs w:val="21"/>
                      <w:lang w:eastAsia="zh-CN"/>
                    </w:rPr>
                    <w:t>)</w:t>
                  </w:r>
                </w:p>
              </w:tc>
              <w:tc>
                <w:tcPr>
                  <w:tcW w:w="139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sz w:val="21"/>
                      <w:szCs w:val="21"/>
                    </w:rPr>
                  </w:pPr>
                  <w:r>
                    <w:rPr>
                      <w:rFonts w:hint="eastAsia"/>
                      <w:sz w:val="21"/>
                      <w:szCs w:val="21"/>
                      <w:lang w:val="en-US" w:eastAsia="zh-CN"/>
                    </w:rPr>
                    <w:t>采用低噪设备、</w:t>
                  </w:r>
                  <w:r>
                    <w:rPr>
                      <w:rFonts w:hint="default"/>
                      <w:sz w:val="21"/>
                      <w:szCs w:val="21"/>
                      <w:lang w:val="en-US" w:eastAsia="zh-CN"/>
                    </w:rPr>
                    <w:t>对宠物</w:t>
                  </w:r>
                  <w:r>
                    <w:rPr>
                      <w:rFonts w:hint="eastAsia"/>
                      <w:sz w:val="21"/>
                      <w:szCs w:val="21"/>
                      <w:lang w:val="en-US" w:eastAsia="zh-CN"/>
                    </w:rPr>
                    <w:t>进行安抚</w:t>
                  </w:r>
                  <w:r>
                    <w:rPr>
                      <w:rFonts w:hint="default"/>
                      <w:sz w:val="21"/>
                      <w:szCs w:val="21"/>
                      <w:lang w:val="en-US" w:eastAsia="zh-CN"/>
                    </w:rPr>
                    <w:t>，避免宠物处于饥饿状态，医院合理布局，采用墙体建筑降</w:t>
                  </w:r>
                  <w:r>
                    <w:rPr>
                      <w:rFonts w:hint="eastAsia"/>
                      <w:sz w:val="21"/>
                      <w:szCs w:val="21"/>
                      <w:lang w:val="en-US" w:eastAsia="zh-CN"/>
                    </w:rPr>
                    <w:t>噪</w:t>
                  </w:r>
                  <w:r>
                    <w:rPr>
                      <w:rFonts w:hint="default"/>
                      <w:sz w:val="21"/>
                      <w:szCs w:val="21"/>
                      <w:lang w:val="en-US" w:eastAsia="zh-CN"/>
                    </w:rPr>
                    <w:t>，夜间关闭门窗，减少宠物可能产生的噪声影响</w:t>
                  </w:r>
                </w:p>
              </w:tc>
              <w:tc>
                <w:tcPr>
                  <w:tcW w:w="418"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sz w:val="21"/>
                      <w:szCs w:val="21"/>
                    </w:rPr>
                  </w:pPr>
                  <w:r>
                    <w:rPr>
                      <w:rFonts w:hint="default"/>
                      <w:sz w:val="21"/>
                      <w:szCs w:val="21"/>
                    </w:rPr>
                    <w:t>连续</w:t>
                  </w:r>
                </w:p>
              </w:tc>
              <w:tc>
                <w:tcPr>
                  <w:tcW w:w="1238"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eastAsia="宋体"/>
                      <w:sz w:val="21"/>
                      <w:szCs w:val="21"/>
                      <w:lang w:val="en-US" w:eastAsia="zh-CN"/>
                    </w:rPr>
                  </w:pPr>
                  <w:r>
                    <w:rPr>
                      <w:rFonts w:hint="eastAsia"/>
                      <w:sz w:val="21"/>
                      <w:szCs w:val="21"/>
                    </w:rPr>
                    <w:t>《</w:t>
                  </w:r>
                  <w:r>
                    <w:rPr>
                      <w:rFonts w:hint="default"/>
                      <w:sz w:val="21"/>
                      <w:szCs w:val="21"/>
                    </w:rPr>
                    <w:t>工业企业厂界环境噪声排放标准》（GB 12348-2008）</w:t>
                  </w:r>
                  <w:r>
                    <w:rPr>
                      <w:rFonts w:hint="eastAsia"/>
                      <w:sz w:val="21"/>
                      <w:szCs w:val="21"/>
                      <w:lang w:val="en-US" w:eastAsia="zh-CN"/>
                    </w:rPr>
                    <w:t>2</w:t>
                  </w:r>
                  <w:r>
                    <w:rPr>
                      <w:rFonts w:hint="default"/>
                      <w:sz w:val="21"/>
                      <w:szCs w:val="21"/>
                    </w:rPr>
                    <w:t>类标准</w:t>
                  </w:r>
                  <w:r>
                    <w:rPr>
                      <w:rFonts w:hint="eastAsia"/>
                      <w:sz w:val="21"/>
                      <w:szCs w:val="21"/>
                      <w:lang w:eastAsia="zh-CN"/>
                    </w:rPr>
                    <w:t>、</w:t>
                  </w:r>
                  <w:r>
                    <w:rPr>
                      <w:rFonts w:hint="eastAsia"/>
                      <w:sz w:val="21"/>
                      <w:szCs w:val="21"/>
                      <w:lang w:val="en-US" w:eastAsia="zh-CN"/>
                    </w:rPr>
                    <w:t>4a类标准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1" w:type="pct"/>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sz w:val="21"/>
                      <w:szCs w:val="21"/>
                    </w:rPr>
                  </w:pPr>
                  <w:r>
                    <w:rPr>
                      <w:rFonts w:hint="default"/>
                      <w:sz w:val="21"/>
                      <w:szCs w:val="21"/>
                    </w:rPr>
                    <w:t>固废</w:t>
                  </w:r>
                </w:p>
              </w:tc>
              <w:tc>
                <w:tcPr>
                  <w:tcW w:w="418" w:type="pct"/>
                  <w:vMerge w:val="restar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eastAsia="宋体"/>
                      <w:sz w:val="21"/>
                      <w:szCs w:val="21"/>
                      <w:lang w:val="en-US" w:eastAsia="zh-CN"/>
                    </w:rPr>
                  </w:pPr>
                  <w:r>
                    <w:rPr>
                      <w:rFonts w:hint="eastAsia"/>
                      <w:sz w:val="21"/>
                      <w:szCs w:val="21"/>
                      <w:lang w:val="en-US" w:eastAsia="zh-CN"/>
                    </w:rPr>
                    <w:t>宠物服务</w:t>
                  </w:r>
                </w:p>
              </w:tc>
              <w:tc>
                <w:tcPr>
                  <w:tcW w:w="1257" w:type="pct"/>
                  <w:gridSpan w:val="2"/>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eastAsia="宋体"/>
                      <w:sz w:val="21"/>
                      <w:szCs w:val="21"/>
                      <w:lang w:val="en-US" w:eastAsia="zh-CN"/>
                    </w:rPr>
                  </w:pPr>
                  <w:r>
                    <w:rPr>
                      <w:rFonts w:hint="eastAsia"/>
                      <w:sz w:val="21"/>
                      <w:szCs w:val="21"/>
                      <w:lang w:val="en-US" w:eastAsia="zh-CN"/>
                    </w:rPr>
                    <w:t>宠物粪便、尿垫</w:t>
                  </w:r>
                </w:p>
              </w:tc>
              <w:tc>
                <w:tcPr>
                  <w:tcW w:w="139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sz w:val="21"/>
                      <w:szCs w:val="21"/>
                      <w:lang w:val="en-US" w:eastAsia="zh-CN"/>
                    </w:rPr>
                  </w:pPr>
                  <w:r>
                    <w:rPr>
                      <w:rFonts w:hint="eastAsia"/>
                      <w:sz w:val="21"/>
                      <w:szCs w:val="21"/>
                      <w:lang w:val="en-US" w:eastAsia="zh-CN"/>
                    </w:rPr>
                    <w:t>交由环卫部门统一清运</w:t>
                  </w:r>
                </w:p>
              </w:tc>
              <w:tc>
                <w:tcPr>
                  <w:tcW w:w="418"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sz w:val="21"/>
                      <w:szCs w:val="21"/>
                    </w:rPr>
                  </w:pPr>
                  <w:r>
                    <w:rPr>
                      <w:rFonts w:hint="default"/>
                      <w:sz w:val="21"/>
                      <w:szCs w:val="21"/>
                    </w:rPr>
                    <w:t>间歇</w:t>
                  </w:r>
                </w:p>
              </w:tc>
              <w:tc>
                <w:tcPr>
                  <w:tcW w:w="1238"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sz w:val="21"/>
                      <w:szCs w:val="21"/>
                    </w:rPr>
                  </w:pPr>
                  <w:r>
                    <w:rPr>
                      <w:rFonts w:hint="default"/>
                      <w:sz w:val="21"/>
                      <w:szCs w:val="21"/>
                    </w:rPr>
                    <w:t>《</w:t>
                  </w:r>
                  <w:r>
                    <w:rPr>
                      <w:rFonts w:hint="default"/>
                      <w:sz w:val="21"/>
                      <w:szCs w:val="21"/>
                      <w:lang w:val="en-US" w:eastAsia="zh-CN"/>
                    </w:rPr>
                    <w:t>中华人民共和国固体废物污染环境防治法</w:t>
                  </w:r>
                  <w:r>
                    <w:rPr>
                      <w:rFonts w:hint="default"/>
                      <w:sz w:val="21"/>
                      <w:szCs w:val="21"/>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1"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sz w:val="21"/>
                      <w:szCs w:val="21"/>
                    </w:rPr>
                  </w:pPr>
                </w:p>
              </w:tc>
              <w:tc>
                <w:tcPr>
                  <w:tcW w:w="418" w:type="pct"/>
                  <w:vMerge w:val="continue"/>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sz w:val="21"/>
                      <w:szCs w:val="21"/>
                    </w:rPr>
                  </w:pPr>
                </w:p>
              </w:tc>
              <w:tc>
                <w:tcPr>
                  <w:tcW w:w="1257" w:type="pct"/>
                  <w:gridSpan w:val="2"/>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eastAsia="宋体"/>
                      <w:sz w:val="21"/>
                      <w:szCs w:val="21"/>
                      <w:lang w:val="en-US" w:eastAsia="zh-CN"/>
                    </w:rPr>
                  </w:pPr>
                  <w:r>
                    <w:rPr>
                      <w:rFonts w:hint="eastAsia"/>
                      <w:sz w:val="21"/>
                      <w:szCs w:val="21"/>
                      <w:lang w:val="en-US" w:eastAsia="zh-CN"/>
                    </w:rPr>
                    <w:t>动物诊疗废物</w:t>
                  </w:r>
                </w:p>
              </w:tc>
              <w:tc>
                <w:tcPr>
                  <w:tcW w:w="139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sz w:val="21"/>
                      <w:szCs w:val="21"/>
                      <w:lang w:val="en-US" w:eastAsia="zh-CN"/>
                    </w:rPr>
                  </w:pPr>
                  <w:r>
                    <w:rPr>
                      <w:rFonts w:hint="eastAsia"/>
                      <w:sz w:val="21"/>
                      <w:szCs w:val="21"/>
                      <w:lang w:val="en-US" w:eastAsia="zh-CN"/>
                    </w:rPr>
                    <w:t>按照医疗废物进行管理，收集至废物暂时贮存库房，委托库尔勒天达环卫有限责任公司集中处置</w:t>
                  </w:r>
                </w:p>
              </w:tc>
              <w:tc>
                <w:tcPr>
                  <w:tcW w:w="418"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sz w:val="21"/>
                      <w:szCs w:val="21"/>
                    </w:rPr>
                  </w:pPr>
                  <w:r>
                    <w:rPr>
                      <w:rFonts w:hint="default"/>
                      <w:sz w:val="21"/>
                      <w:szCs w:val="21"/>
                    </w:rPr>
                    <w:t>间歇</w:t>
                  </w:r>
                </w:p>
              </w:tc>
              <w:tc>
                <w:tcPr>
                  <w:tcW w:w="1238"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sz w:val="21"/>
                      <w:szCs w:val="21"/>
                    </w:rPr>
                  </w:pPr>
                  <w:r>
                    <w:rPr>
                      <w:rFonts w:hint="default"/>
                      <w:sz w:val="21"/>
                      <w:szCs w:val="21"/>
                      <w:lang w:val="en-US" w:eastAsia="zh-CN"/>
                    </w:rPr>
                    <w:t>《医院废物专用包装物、容器标准和警示标准》《医疗废物管理条例》</w:t>
                  </w:r>
                  <w:r>
                    <w:rPr>
                      <w:rFonts w:hint="default"/>
                      <w:sz w:val="21"/>
                      <w:szCs w:val="21"/>
                    </w:rPr>
                    <w:t>《危险废物贮存污染控制标准》（GB18597-2023）</w:t>
                  </w:r>
                </w:p>
              </w:tc>
            </w:tr>
          </w:tbl>
          <w:p>
            <w:pPr>
              <w:snapToGrid w:val="0"/>
              <w:spacing w:line="360" w:lineRule="auto"/>
              <w:rPr>
                <w:rFonts w:hint="default" w:ascii="Times New Roman" w:hAnsi="Times New Roman" w:cs="Times New Roman"/>
                <w:color w:val="000000" w:themeColor="text1"/>
                <w:sz w:val="24"/>
                <w:szCs w:val="24"/>
                <w:lang w:val="en-US" w:eastAsia="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294" w:type="pct"/>
            <w:noWrap w:val="0"/>
            <w:vAlign w:val="center"/>
          </w:tcPr>
          <w:p>
            <w:pPr>
              <w:pStyle w:val="26"/>
              <w:adjustRightInd w:val="0"/>
              <w:snapToGrid w:val="0"/>
              <w:spacing w:before="0" w:beforeAutospacing="0" w:after="0" w:afterAutospacing="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bCs/>
                <w:color w:val="000000" w:themeColor="text1"/>
                <w:kern w:val="2"/>
                <w:sz w:val="24"/>
                <w:szCs w:val="24"/>
                <w14:textFill>
                  <w14:solidFill>
                    <w14:schemeClr w14:val="tx1"/>
                  </w14:solidFill>
                </w14:textFill>
              </w:rPr>
              <w:t>与项目有关的原有环境污染问题</w:t>
            </w:r>
          </w:p>
        </w:tc>
        <w:tc>
          <w:tcPr>
            <w:tcW w:w="4705" w:type="pct"/>
            <w:noWrap w:val="0"/>
            <w:vAlign w:val="top"/>
          </w:tcPr>
          <w:p>
            <w:pPr>
              <w:pStyle w:val="13"/>
              <w:spacing w:line="360" w:lineRule="auto"/>
              <w:ind w:firstLine="480" w:firstLineChars="200"/>
              <w:rPr>
                <w:rFonts w:hint="default"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b w:val="0"/>
                <w:bCs w:val="0"/>
                <w:color w:val="auto"/>
                <w:spacing w:val="0"/>
                <w:w w:val="100"/>
                <w:position w:val="0"/>
                <w:sz w:val="24"/>
                <w:szCs w:val="24"/>
                <w:highlight w:val="none"/>
                <w:lang w:val="en-US" w:eastAsia="zh-CN"/>
              </w:rPr>
              <w:t>本项目为新建项目，不存在与项目有关的原有污染情况</w:t>
            </w:r>
            <w:r>
              <w:rPr>
                <w:rFonts w:hint="eastAsia" w:ascii="Times New Roman" w:hAnsi="Times New Roman" w:cs="Times New Roman"/>
                <w:b/>
                <w:bCs/>
                <w:color w:val="auto"/>
                <w:spacing w:val="0"/>
                <w:w w:val="100"/>
                <w:position w:val="0"/>
                <w:sz w:val="24"/>
                <w:szCs w:val="24"/>
                <w:highlight w:val="none"/>
                <w:lang w:val="en-US" w:eastAsia="zh-CN"/>
              </w:rPr>
              <w:t>。</w:t>
            </w:r>
          </w:p>
          <w:p>
            <w:pPr>
              <w:pStyle w:val="13"/>
              <w:spacing w:line="360" w:lineRule="auto"/>
              <w:ind w:firstLine="480" w:firstLineChars="200"/>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ind w:firstLine="480" w:firstLineChars="200"/>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p>
            <w:pPr>
              <w:pStyle w:val="13"/>
              <w:spacing w:line="360" w:lineRule="auto"/>
              <w:rPr>
                <w:rFonts w:hint="default" w:ascii="Times New Roman" w:hAnsi="Times New Roman" w:cs="Times New Roman"/>
                <w:color w:val="000000" w:themeColor="text1"/>
                <w:lang w:eastAsia="zh-CN"/>
                <w14:textFill>
                  <w14:solidFill>
                    <w14:schemeClr w14:val="tx1"/>
                  </w14:solidFill>
                </w14:textFill>
              </w:rPr>
            </w:pPr>
          </w:p>
        </w:tc>
      </w:tr>
    </w:tbl>
    <w:p>
      <w:pPr>
        <w:pStyle w:val="26"/>
        <w:spacing w:before="0" w:beforeAutospacing="0" w:after="0" w:afterAutospacing="0" w:line="360" w:lineRule="auto"/>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bookmarkStart w:id="10" w:name="_Toc9329"/>
      <w:bookmarkStart w:id="11" w:name="_Toc12217"/>
      <w:r>
        <w:rPr>
          <w:rFonts w:hint="default" w:ascii="Times New Roman" w:hAnsi="Times New Roman" w:eastAsia="黑体" w:cs="Times New Roman"/>
          <w:snapToGrid w:val="0"/>
          <w:color w:val="000000" w:themeColor="text1"/>
          <w:sz w:val="30"/>
          <w:szCs w:val="30"/>
          <w14:textFill>
            <w14:solidFill>
              <w14:schemeClr w14:val="tx1"/>
            </w14:solidFill>
          </w14:textFill>
        </w:rPr>
        <w:t>三、区域环境质量现状、环境保护目标及评价标准</w:t>
      </w:r>
      <w:bookmarkEnd w:id="10"/>
      <w:bookmarkEnd w:id="11"/>
    </w:p>
    <w:tbl>
      <w:tblPr>
        <w:tblStyle w:val="29"/>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77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6" w:hRule="atLeast"/>
          <w:jc w:val="center"/>
        </w:trPr>
        <w:tc>
          <w:tcPr>
            <w:tcW w:w="444" w:type="pct"/>
            <w:noWrap w:val="0"/>
            <w:vAlign w:val="center"/>
          </w:tcPr>
          <w:p>
            <w:pPr>
              <w:adjustRightInd w:val="0"/>
              <w:snapToGrid w:val="0"/>
              <w:spacing w:beforeAutospacing="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区域</w:t>
            </w:r>
          </w:p>
          <w:p>
            <w:pPr>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环境</w:t>
            </w:r>
          </w:p>
          <w:p>
            <w:pPr>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质量</w:t>
            </w:r>
          </w:p>
          <w:p>
            <w:pPr>
              <w:adjustRightInd w:val="0"/>
              <w:snapToGrid w:val="0"/>
              <w:jc w:val="center"/>
              <w:rPr>
                <w:rFonts w:hint="default" w:ascii="Times New Roman" w:hAnsi="Times New Roman" w:cs="Times New Roman"/>
                <w:color w:val="FF0000"/>
                <w:kern w:val="0"/>
                <w:szCs w:val="21"/>
              </w:rPr>
            </w:pPr>
            <w:r>
              <w:rPr>
                <w:rFonts w:hint="default" w:ascii="Times New Roman" w:hAnsi="Times New Roman" w:cs="Times New Roman"/>
                <w:color w:val="000000" w:themeColor="text1"/>
                <w:kern w:val="0"/>
                <w:sz w:val="24"/>
                <w:szCs w:val="24"/>
                <w14:textFill>
                  <w14:solidFill>
                    <w14:schemeClr w14:val="tx1"/>
                  </w14:solidFill>
                </w14:textFill>
              </w:rPr>
              <w:t>现状</w:t>
            </w:r>
          </w:p>
        </w:tc>
        <w:tc>
          <w:tcPr>
            <w:tcW w:w="4555" w:type="pct"/>
            <w:noWrap w:val="0"/>
            <w:vAlign w:val="center"/>
          </w:tcPr>
          <w:p>
            <w:pPr>
              <w:tabs>
                <w:tab w:val="left" w:pos="5954"/>
              </w:tabs>
              <w:spacing w:before="120" w:beforeLines="50" w:line="360" w:lineRule="auto"/>
              <w:rPr>
                <w:rFonts w:hint="default" w:ascii="Times New Roman" w:hAnsi="Times New Roman" w:cs="Times New Roman"/>
                <w:color w:val="000000" w:themeColor="text1"/>
                <w:sz w:val="24"/>
                <w:highlight w:val="none"/>
                <w14:textFill>
                  <w14:solidFill>
                    <w14:schemeClr w14:val="tx1"/>
                  </w14:solidFill>
                </w14:textFill>
              </w:rPr>
            </w:pPr>
            <w:bookmarkStart w:id="12" w:name="_Toc67229124"/>
            <w:bookmarkStart w:id="13" w:name="_Toc85024403"/>
            <w:bookmarkStart w:id="14" w:name="_Toc67387948"/>
            <w:bookmarkStart w:id="15" w:name="_Toc85528908"/>
            <w:bookmarkStart w:id="16" w:name="_Toc86921891"/>
            <w:bookmarkStart w:id="17" w:name="_Toc66694739"/>
            <w:bookmarkStart w:id="18" w:name="_Toc85024334"/>
            <w:bookmarkStart w:id="19" w:name="_Toc67285843"/>
            <w:r>
              <w:rPr>
                <w:rFonts w:hint="default" w:ascii="Times New Roman" w:hAnsi="Times New Roman" w:cs="Times New Roman"/>
                <w:b/>
                <w:color w:val="000000" w:themeColor="text1"/>
                <w:sz w:val="24"/>
                <w:highlight w:val="none"/>
                <w:lang w:val="en-US" w:eastAsia="zh-CN"/>
                <w14:textFill>
                  <w14:solidFill>
                    <w14:schemeClr w14:val="tx1"/>
                  </w14:solidFill>
                </w14:textFill>
              </w:rPr>
              <w:t>3.1</w:t>
            </w:r>
            <w:r>
              <w:rPr>
                <w:rFonts w:hint="default" w:ascii="Times New Roman" w:hAnsi="Times New Roman" w:cs="Times New Roman"/>
                <w:b/>
                <w:color w:val="000000" w:themeColor="text1"/>
                <w:sz w:val="24"/>
                <w:highlight w:val="none"/>
                <w14:textFill>
                  <w14:solidFill>
                    <w14:schemeClr w14:val="tx1"/>
                  </w14:solidFill>
                </w14:textFill>
              </w:rPr>
              <w:t>环境空气质量现状</w:t>
            </w:r>
            <w:bookmarkEnd w:id="12"/>
            <w:bookmarkEnd w:id="13"/>
            <w:bookmarkEnd w:id="14"/>
            <w:bookmarkEnd w:id="15"/>
            <w:bookmarkEnd w:id="16"/>
            <w:bookmarkEnd w:id="17"/>
            <w:bookmarkEnd w:id="18"/>
            <w:bookmarkEnd w:id="19"/>
          </w:p>
          <w:p>
            <w:pPr>
              <w:keepNext w:val="0"/>
              <w:keepLines w:val="0"/>
              <w:suppressLineNumbers w:val="0"/>
              <w:spacing w:before="0" w:beforeAutospacing="0" w:after="0" w:afterAutospacing="0" w:line="360" w:lineRule="auto"/>
              <w:ind w:left="0" w:right="0" w:firstLine="48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本次环境空气质量现</w:t>
            </w:r>
            <w:r>
              <w:rPr>
                <w:rFonts w:hint="default" w:ascii="Times New Roman" w:hAnsi="Times New Roman" w:eastAsia="宋体" w:cs="Times New Roman"/>
                <w:color w:val="000000"/>
                <w:sz w:val="24"/>
                <w:szCs w:val="24"/>
              </w:rPr>
              <w:t>状采用</w:t>
            </w:r>
            <w:r>
              <w:rPr>
                <w:rFonts w:hint="default" w:ascii="Times New Roman" w:hAnsi="Times New Roman" w:eastAsia="宋体" w:cs="Times New Roman"/>
                <w:color w:val="000000"/>
                <w:sz w:val="24"/>
                <w:szCs w:val="24"/>
                <w:lang w:val="en-US" w:eastAsia="zh-CN"/>
              </w:rPr>
              <w:t>库尔勒市棉纺厂</w:t>
            </w:r>
            <w:r>
              <w:rPr>
                <w:rFonts w:hint="default" w:ascii="Times New Roman" w:hAnsi="Times New Roman" w:eastAsia="宋体" w:cs="Times New Roman"/>
                <w:color w:val="000000"/>
                <w:sz w:val="24"/>
                <w:szCs w:val="24"/>
                <w:lang w:eastAsia="zh-CN"/>
              </w:rPr>
              <w:t>自动监测站</w:t>
            </w:r>
            <w:r>
              <w:rPr>
                <w:rFonts w:hint="default" w:ascii="Times New Roman" w:hAnsi="Times New Roman" w:cs="Times New Roman"/>
                <w:color w:val="000000"/>
                <w:sz w:val="24"/>
                <w:szCs w:val="24"/>
                <w:lang w:val="en-US" w:eastAsia="zh-CN"/>
              </w:rPr>
              <w:t>202</w:t>
            </w:r>
            <w:r>
              <w:rPr>
                <w:rFonts w:hint="eastAsia" w:cs="Times New Roman"/>
                <w:color w:val="000000"/>
                <w:sz w:val="24"/>
                <w:szCs w:val="24"/>
                <w:lang w:val="en-US" w:eastAsia="zh-CN"/>
              </w:rPr>
              <w:t>4</w:t>
            </w:r>
            <w:r>
              <w:rPr>
                <w:rFonts w:hint="default" w:ascii="Times New Roman" w:hAnsi="Times New Roman" w:cs="Times New Roman"/>
                <w:color w:val="000000"/>
                <w:sz w:val="24"/>
                <w:szCs w:val="24"/>
              </w:rPr>
              <w:t>年SO</w:t>
            </w:r>
            <w:r>
              <w:rPr>
                <w:rFonts w:hint="default" w:ascii="Times New Roman" w:hAnsi="Times New Roman" w:cs="Times New Roman"/>
                <w:color w:val="000000"/>
                <w:sz w:val="24"/>
                <w:szCs w:val="24"/>
                <w:vertAlign w:val="subscript"/>
              </w:rPr>
              <w:t>2</w:t>
            </w:r>
            <w:r>
              <w:rPr>
                <w:rFonts w:hint="default" w:ascii="Times New Roman" w:hAnsi="Times New Roman" w:cs="Times New Roman"/>
                <w:color w:val="000000"/>
                <w:sz w:val="24"/>
                <w:szCs w:val="24"/>
              </w:rPr>
              <w:t>、NO</w:t>
            </w:r>
            <w:r>
              <w:rPr>
                <w:rFonts w:hint="default" w:ascii="Times New Roman" w:hAnsi="Times New Roman" w:cs="Times New Roman"/>
                <w:color w:val="000000"/>
                <w:sz w:val="24"/>
                <w:szCs w:val="24"/>
                <w:vertAlign w:val="subscript"/>
              </w:rPr>
              <w:t>2</w:t>
            </w:r>
            <w:r>
              <w:rPr>
                <w:rFonts w:hint="default" w:ascii="Times New Roman" w:hAnsi="Times New Roman" w:cs="Times New Roman"/>
                <w:color w:val="000000"/>
                <w:sz w:val="24"/>
                <w:szCs w:val="24"/>
              </w:rPr>
              <w:t>、CO、O</w:t>
            </w:r>
            <w:r>
              <w:rPr>
                <w:rFonts w:hint="default" w:ascii="Times New Roman" w:hAnsi="Times New Roman" w:cs="Times New Roman"/>
                <w:color w:val="000000"/>
                <w:sz w:val="24"/>
                <w:szCs w:val="24"/>
                <w:vertAlign w:val="subscript"/>
              </w:rPr>
              <w:t>3</w:t>
            </w:r>
            <w:r>
              <w:rPr>
                <w:rFonts w:hint="default" w:ascii="Times New Roman" w:hAnsi="Times New Roman" w:cs="Times New Roman"/>
                <w:color w:val="000000"/>
                <w:sz w:val="24"/>
                <w:szCs w:val="24"/>
              </w:rPr>
              <w:t>、PM</w:t>
            </w:r>
            <w:r>
              <w:rPr>
                <w:rFonts w:hint="default" w:ascii="Times New Roman" w:hAnsi="Times New Roman" w:cs="Times New Roman"/>
                <w:color w:val="000000"/>
                <w:sz w:val="24"/>
                <w:szCs w:val="24"/>
                <w:vertAlign w:val="subscript"/>
              </w:rPr>
              <w:t>10</w:t>
            </w:r>
            <w:r>
              <w:rPr>
                <w:rFonts w:hint="default" w:ascii="Times New Roman" w:hAnsi="Times New Roman" w:cs="Times New Roman"/>
                <w:color w:val="000000"/>
                <w:sz w:val="24"/>
                <w:szCs w:val="24"/>
              </w:rPr>
              <w:t>、PM</w:t>
            </w:r>
            <w:r>
              <w:rPr>
                <w:rFonts w:hint="default" w:ascii="Times New Roman" w:hAnsi="Times New Roman" w:cs="Times New Roman"/>
                <w:color w:val="000000"/>
                <w:sz w:val="24"/>
                <w:szCs w:val="24"/>
                <w:vertAlign w:val="subscript"/>
              </w:rPr>
              <w:t>2.5</w:t>
            </w:r>
            <w:r>
              <w:rPr>
                <w:rFonts w:hint="default" w:ascii="Times New Roman" w:hAnsi="Times New Roman" w:cs="Times New Roman"/>
                <w:color w:val="000000"/>
                <w:sz w:val="24"/>
                <w:szCs w:val="24"/>
              </w:rPr>
              <w:t>等六项基本污染物环境空气质量现状数据，详见下表</w:t>
            </w:r>
            <w:r>
              <w:rPr>
                <w:rFonts w:hint="eastAsia" w:cs="Times New Roman"/>
                <w:color w:val="000000"/>
                <w:sz w:val="24"/>
                <w:szCs w:val="24"/>
                <w:lang w:val="en-US" w:eastAsia="zh-CN"/>
              </w:rPr>
              <w:t>3-1</w:t>
            </w:r>
            <w:r>
              <w:rPr>
                <w:rFonts w:hint="default" w:ascii="Times New Roman" w:hAnsi="Times New Roman" w:cs="Times New Roman"/>
                <w:color w:val="000000"/>
                <w:sz w:val="24"/>
                <w:szCs w:val="24"/>
              </w:rPr>
              <w:t>。</w:t>
            </w:r>
          </w:p>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1054" w:firstLineChars="500"/>
              <w:jc w:val="both"/>
              <w:textAlignment w:val="auto"/>
              <w:rPr>
                <w:rFonts w:hint="default" w:ascii="Times New Roman" w:hAnsi="Times New Roman" w:eastAsia="宋体" w:cs="Times New Roman"/>
                <w:b/>
                <w:bCs/>
                <w:color w:val="000000" w:themeColor="text1"/>
                <w:spacing w:val="0"/>
                <w:kern w:val="0"/>
                <w:position w:val="0"/>
                <w:sz w:val="21"/>
                <w:szCs w:val="21"/>
                <w:highlight w:val="none"/>
                <w:lang w:val="en-US" w:eastAsia="zh-CN" w:bidi="ar"/>
                <w14:textFill>
                  <w14:solidFill>
                    <w14:schemeClr w14:val="tx1"/>
                  </w14:solidFill>
                </w14:textFill>
              </w:rPr>
            </w:pPr>
            <w:r>
              <w:rPr>
                <w:rFonts w:hint="default" w:ascii="Times New Roman" w:hAnsi="Times New Roman" w:eastAsia="宋体" w:cs="Times New Roman"/>
                <w:b/>
                <w:bCs/>
                <w:color w:val="000000" w:themeColor="text1"/>
                <w:spacing w:val="0"/>
                <w:kern w:val="0"/>
                <w:position w:val="0"/>
                <w:sz w:val="21"/>
                <w:szCs w:val="21"/>
                <w:highlight w:val="none"/>
                <w:lang w:val="en-US" w:eastAsia="zh-CN" w:bidi="ar"/>
                <w14:textFill>
                  <w14:solidFill>
                    <w14:schemeClr w14:val="tx1"/>
                  </w14:solidFill>
                </w14:textFill>
              </w:rPr>
              <w:t>表</w:t>
            </w:r>
            <w:r>
              <w:rPr>
                <w:rFonts w:hint="eastAsia" w:cs="Times New Roman"/>
                <w:b/>
                <w:bCs/>
                <w:color w:val="000000" w:themeColor="text1"/>
                <w:spacing w:val="0"/>
                <w:kern w:val="0"/>
                <w:position w:val="0"/>
                <w:sz w:val="21"/>
                <w:szCs w:val="21"/>
                <w:highlight w:val="none"/>
                <w:lang w:val="en-US" w:eastAsia="zh-CN" w:bidi="ar"/>
                <w14:textFill>
                  <w14:solidFill>
                    <w14:schemeClr w14:val="tx1"/>
                  </w14:solidFill>
                </w14:textFill>
              </w:rPr>
              <w:t>3</w:t>
            </w:r>
            <w:r>
              <w:rPr>
                <w:rFonts w:hint="default" w:ascii="Times New Roman" w:hAnsi="Times New Roman" w:eastAsia="宋体" w:cs="Times New Roman"/>
                <w:b/>
                <w:bCs/>
                <w:color w:val="000000" w:themeColor="text1"/>
                <w:spacing w:val="0"/>
                <w:kern w:val="0"/>
                <w:position w:val="0"/>
                <w:sz w:val="21"/>
                <w:szCs w:val="21"/>
                <w:highlight w:val="none"/>
                <w:lang w:val="en-US" w:eastAsia="zh-CN" w:bidi="ar"/>
                <w14:textFill>
                  <w14:solidFill>
                    <w14:schemeClr w14:val="tx1"/>
                  </w14:solidFill>
                </w14:textFill>
              </w:rPr>
              <w:t>-1        库尔勒市棉纺厂</w:t>
            </w:r>
            <w:r>
              <w:rPr>
                <w:rFonts w:hint="eastAsia" w:ascii="Times New Roman" w:hAnsi="Times New Roman" w:eastAsia="宋体" w:cs="Times New Roman"/>
                <w:b/>
                <w:bCs/>
                <w:color w:val="000000" w:themeColor="text1"/>
                <w:spacing w:val="0"/>
                <w:kern w:val="0"/>
                <w:position w:val="0"/>
                <w:sz w:val="21"/>
                <w:szCs w:val="21"/>
                <w:highlight w:val="none"/>
                <w:lang w:val="en-US" w:eastAsia="zh-CN" w:bidi="ar"/>
                <w14:textFill>
                  <w14:solidFill>
                    <w14:schemeClr w14:val="tx1"/>
                  </w14:solidFill>
                </w14:textFill>
              </w:rPr>
              <w:t>2024年</w:t>
            </w:r>
            <w:r>
              <w:rPr>
                <w:rFonts w:hint="default" w:ascii="Times New Roman" w:hAnsi="Times New Roman" w:eastAsia="宋体" w:cs="Times New Roman"/>
                <w:b/>
                <w:bCs/>
                <w:color w:val="000000" w:themeColor="text1"/>
                <w:spacing w:val="0"/>
                <w:kern w:val="0"/>
                <w:position w:val="0"/>
                <w:sz w:val="21"/>
                <w:szCs w:val="21"/>
                <w:highlight w:val="none"/>
                <w:lang w:val="en-US" w:eastAsia="zh-CN" w:bidi="ar"/>
                <w14:textFill>
                  <w14:solidFill>
                    <w14:schemeClr w14:val="tx1"/>
                  </w14:solidFill>
                </w14:textFill>
              </w:rPr>
              <w:t>环境空气质量数据</w:t>
            </w:r>
          </w:p>
          <w:tbl>
            <w:tblPr>
              <w:tblStyle w:val="30"/>
              <w:tblW w:w="5000" w:type="pct"/>
              <w:tblInd w:w="17"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46"/>
              <w:gridCol w:w="2322"/>
              <w:gridCol w:w="1039"/>
              <w:gridCol w:w="1205"/>
              <w:gridCol w:w="829"/>
              <w:gridCol w:w="80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6"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污染物</w:t>
                  </w:r>
                </w:p>
              </w:tc>
              <w:tc>
                <w:tcPr>
                  <w:tcW w:w="159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评价项目</w:t>
                  </w:r>
                </w:p>
              </w:tc>
              <w:tc>
                <w:tcPr>
                  <w:tcW w:w="63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浓度（μg/m</w:t>
                  </w:r>
                  <w:r>
                    <w:rPr>
                      <w:rFonts w:hint="default" w:ascii="Times New Roman" w:hAnsi="Times New Roman" w:eastAsia="宋体" w:cs="Times New Roman"/>
                      <w:b w:val="0"/>
                      <w:bCs w:val="0"/>
                      <w:spacing w:val="0"/>
                      <w:kern w:val="2"/>
                      <w:position w:val="0"/>
                      <w:sz w:val="21"/>
                      <w:szCs w:val="21"/>
                      <w:vertAlign w:val="superscript"/>
                      <w:lang w:val="en-US" w:eastAsia="zh-CN" w:bidi="ar-SA"/>
                    </w:rPr>
                    <w:t>3</w:t>
                  </w:r>
                  <w:r>
                    <w:rPr>
                      <w:rFonts w:hint="default" w:ascii="Times New Roman" w:hAnsi="Times New Roman" w:eastAsia="宋体" w:cs="Times New Roman"/>
                      <w:b w:val="0"/>
                      <w:bCs w:val="0"/>
                      <w:spacing w:val="0"/>
                      <w:kern w:val="2"/>
                      <w:position w:val="0"/>
                      <w:sz w:val="21"/>
                      <w:szCs w:val="21"/>
                      <w:lang w:val="en-US" w:eastAsia="zh-CN" w:bidi="ar-SA"/>
                    </w:rPr>
                    <w:t>）</w:t>
                  </w:r>
                </w:p>
              </w:tc>
              <w:tc>
                <w:tcPr>
                  <w:tcW w:w="85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标准（二级）（μg/m</w:t>
                  </w:r>
                  <w:r>
                    <w:rPr>
                      <w:rFonts w:hint="default" w:ascii="Times New Roman" w:hAnsi="Times New Roman" w:eastAsia="宋体" w:cs="Times New Roman"/>
                      <w:b w:val="0"/>
                      <w:bCs w:val="0"/>
                      <w:spacing w:val="0"/>
                      <w:kern w:val="2"/>
                      <w:position w:val="0"/>
                      <w:sz w:val="21"/>
                      <w:szCs w:val="21"/>
                      <w:vertAlign w:val="superscript"/>
                      <w:lang w:val="en-US" w:eastAsia="zh-CN" w:bidi="ar-SA"/>
                    </w:rPr>
                    <w:t>3</w:t>
                  </w:r>
                  <w:r>
                    <w:rPr>
                      <w:rFonts w:hint="default" w:ascii="Times New Roman" w:hAnsi="Times New Roman" w:eastAsia="宋体" w:cs="Times New Roman"/>
                      <w:b w:val="0"/>
                      <w:bCs w:val="0"/>
                      <w:spacing w:val="0"/>
                      <w:kern w:val="2"/>
                      <w:position w:val="0"/>
                      <w:sz w:val="21"/>
                      <w:szCs w:val="21"/>
                      <w:lang w:val="en-US" w:eastAsia="zh-CN" w:bidi="ar-SA"/>
                    </w:rPr>
                    <w:t>）</w:t>
                  </w:r>
                </w:p>
              </w:tc>
              <w:tc>
                <w:tcPr>
                  <w:tcW w:w="602"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占标率%</w:t>
                  </w:r>
                </w:p>
              </w:tc>
              <w:tc>
                <w:tcPr>
                  <w:tcW w:w="58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6" w:type="pct"/>
                  <w:vMerge w:val="restar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SO</w:t>
                  </w:r>
                  <w:r>
                    <w:rPr>
                      <w:rFonts w:hint="default" w:ascii="Times New Roman" w:hAnsi="Times New Roman" w:eastAsia="宋体" w:cs="Times New Roman"/>
                      <w:b w:val="0"/>
                      <w:bCs w:val="0"/>
                      <w:spacing w:val="0"/>
                      <w:kern w:val="2"/>
                      <w:position w:val="0"/>
                      <w:sz w:val="21"/>
                      <w:szCs w:val="21"/>
                      <w:vertAlign w:val="subscript"/>
                      <w:lang w:val="en-US" w:eastAsia="zh-CN" w:bidi="ar-SA"/>
                    </w:rPr>
                    <w:t>2</w:t>
                  </w:r>
                </w:p>
              </w:tc>
              <w:tc>
                <w:tcPr>
                  <w:tcW w:w="159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年平均</w:t>
                  </w:r>
                </w:p>
              </w:tc>
              <w:tc>
                <w:tcPr>
                  <w:tcW w:w="63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3.9</w:t>
                  </w:r>
                </w:p>
              </w:tc>
              <w:tc>
                <w:tcPr>
                  <w:tcW w:w="85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60</w:t>
                  </w:r>
                </w:p>
              </w:tc>
              <w:tc>
                <w:tcPr>
                  <w:tcW w:w="602"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6.5</w:t>
                  </w:r>
                </w:p>
              </w:tc>
              <w:tc>
                <w:tcPr>
                  <w:tcW w:w="58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6" w:type="pct"/>
                  <w:vMerge w:val="continue"/>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p>
              </w:tc>
              <w:tc>
                <w:tcPr>
                  <w:tcW w:w="159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24h平均第98百分位数</w:t>
                  </w:r>
                </w:p>
              </w:tc>
              <w:tc>
                <w:tcPr>
                  <w:tcW w:w="63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7</w:t>
                  </w:r>
                </w:p>
              </w:tc>
              <w:tc>
                <w:tcPr>
                  <w:tcW w:w="85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150</w:t>
                  </w:r>
                </w:p>
              </w:tc>
              <w:tc>
                <w:tcPr>
                  <w:tcW w:w="602"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4.7</w:t>
                  </w:r>
                </w:p>
              </w:tc>
              <w:tc>
                <w:tcPr>
                  <w:tcW w:w="58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c>
                <w:tcPr>
                  <w:tcW w:w="726" w:type="pct"/>
                  <w:vMerge w:val="restar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NO</w:t>
                  </w:r>
                  <w:r>
                    <w:rPr>
                      <w:rFonts w:hint="default" w:ascii="Times New Roman" w:hAnsi="Times New Roman" w:eastAsia="宋体" w:cs="Times New Roman"/>
                      <w:b w:val="0"/>
                      <w:bCs w:val="0"/>
                      <w:spacing w:val="0"/>
                      <w:kern w:val="2"/>
                      <w:position w:val="0"/>
                      <w:sz w:val="21"/>
                      <w:szCs w:val="21"/>
                      <w:vertAlign w:val="subscript"/>
                      <w:lang w:val="en-US" w:eastAsia="zh-CN" w:bidi="ar-SA"/>
                    </w:rPr>
                    <w:t>2</w:t>
                  </w:r>
                </w:p>
              </w:tc>
              <w:tc>
                <w:tcPr>
                  <w:tcW w:w="159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年平均</w:t>
                  </w:r>
                </w:p>
              </w:tc>
              <w:tc>
                <w:tcPr>
                  <w:tcW w:w="63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25</w:t>
                  </w:r>
                </w:p>
              </w:tc>
              <w:tc>
                <w:tcPr>
                  <w:tcW w:w="85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40</w:t>
                  </w:r>
                </w:p>
              </w:tc>
              <w:tc>
                <w:tcPr>
                  <w:tcW w:w="602"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62.5</w:t>
                  </w:r>
                </w:p>
              </w:tc>
              <w:tc>
                <w:tcPr>
                  <w:tcW w:w="58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6" w:type="pct"/>
                  <w:vMerge w:val="continue"/>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p>
              </w:tc>
              <w:tc>
                <w:tcPr>
                  <w:tcW w:w="159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24h平均第98百分位数</w:t>
                  </w:r>
                </w:p>
              </w:tc>
              <w:tc>
                <w:tcPr>
                  <w:tcW w:w="63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58</w:t>
                  </w:r>
                </w:p>
              </w:tc>
              <w:tc>
                <w:tcPr>
                  <w:tcW w:w="85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80</w:t>
                  </w:r>
                </w:p>
              </w:tc>
              <w:tc>
                <w:tcPr>
                  <w:tcW w:w="602"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72.5</w:t>
                  </w:r>
                </w:p>
              </w:tc>
              <w:tc>
                <w:tcPr>
                  <w:tcW w:w="58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6"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CO</w:t>
                  </w:r>
                  <w:r>
                    <w:rPr>
                      <w:rFonts w:hint="eastAsia" w:cs="Times New Roman"/>
                      <w:b w:val="0"/>
                      <w:bCs w:val="0"/>
                      <w:spacing w:val="0"/>
                      <w:kern w:val="2"/>
                      <w:position w:val="0"/>
                      <w:sz w:val="21"/>
                      <w:szCs w:val="21"/>
                      <w:lang w:val="en-US" w:eastAsia="zh-CN" w:bidi="ar-SA"/>
                    </w:rPr>
                    <w:t>(</w:t>
                  </w:r>
                  <w:r>
                    <w:rPr>
                      <w:rFonts w:hint="default" w:ascii="Times New Roman" w:hAnsi="Times New Roman" w:eastAsia="宋体" w:cs="Times New Roman"/>
                      <w:b w:val="0"/>
                      <w:bCs w:val="0"/>
                      <w:spacing w:val="0"/>
                      <w:kern w:val="2"/>
                      <w:position w:val="0"/>
                      <w:sz w:val="21"/>
                      <w:szCs w:val="21"/>
                      <w:lang w:val="en-US" w:eastAsia="zh-CN" w:bidi="ar-SA"/>
                    </w:rPr>
                    <w:t>mg/m</w:t>
                  </w:r>
                  <w:r>
                    <w:rPr>
                      <w:rFonts w:hint="default" w:ascii="Times New Roman" w:hAnsi="Times New Roman" w:eastAsia="宋体" w:cs="Times New Roman"/>
                      <w:b w:val="0"/>
                      <w:bCs w:val="0"/>
                      <w:spacing w:val="0"/>
                      <w:kern w:val="2"/>
                      <w:position w:val="0"/>
                      <w:sz w:val="21"/>
                      <w:szCs w:val="21"/>
                      <w:vertAlign w:val="superscript"/>
                      <w:lang w:val="en-US" w:eastAsia="zh-CN" w:bidi="ar-SA"/>
                    </w:rPr>
                    <w:t>3</w:t>
                  </w:r>
                  <w:r>
                    <w:rPr>
                      <w:rFonts w:hint="default" w:ascii="Times New Roman" w:hAnsi="Times New Roman" w:eastAsia="宋体" w:cs="Times New Roman"/>
                      <w:b w:val="0"/>
                      <w:bCs w:val="0"/>
                      <w:spacing w:val="0"/>
                      <w:kern w:val="2"/>
                      <w:position w:val="0"/>
                      <w:sz w:val="21"/>
                      <w:szCs w:val="21"/>
                      <w:vertAlign w:val="baseline"/>
                      <w:lang w:val="en-US" w:eastAsia="zh-CN" w:bidi="ar-SA"/>
                    </w:rPr>
                    <w:t>）</w:t>
                  </w:r>
                </w:p>
              </w:tc>
              <w:tc>
                <w:tcPr>
                  <w:tcW w:w="159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24h平均第95百分位数</w:t>
                  </w:r>
                </w:p>
              </w:tc>
              <w:tc>
                <w:tcPr>
                  <w:tcW w:w="63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0.9</w:t>
                  </w:r>
                </w:p>
              </w:tc>
              <w:tc>
                <w:tcPr>
                  <w:tcW w:w="85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4</w:t>
                  </w:r>
                </w:p>
              </w:tc>
              <w:tc>
                <w:tcPr>
                  <w:tcW w:w="602"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22.5</w:t>
                  </w:r>
                </w:p>
              </w:tc>
              <w:tc>
                <w:tcPr>
                  <w:tcW w:w="58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6"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O</w:t>
                  </w:r>
                  <w:r>
                    <w:rPr>
                      <w:rFonts w:hint="default" w:ascii="Times New Roman" w:hAnsi="Times New Roman" w:eastAsia="宋体" w:cs="Times New Roman"/>
                      <w:b w:val="0"/>
                      <w:bCs w:val="0"/>
                      <w:spacing w:val="0"/>
                      <w:kern w:val="2"/>
                      <w:position w:val="0"/>
                      <w:sz w:val="21"/>
                      <w:szCs w:val="21"/>
                      <w:vertAlign w:val="subscript"/>
                      <w:lang w:val="en-US" w:eastAsia="zh-CN" w:bidi="ar-SA"/>
                    </w:rPr>
                    <w:t>3</w:t>
                  </w:r>
                </w:p>
              </w:tc>
              <w:tc>
                <w:tcPr>
                  <w:tcW w:w="159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最大8小时滑动平均值的第90百分位数</w:t>
                  </w:r>
                </w:p>
              </w:tc>
              <w:tc>
                <w:tcPr>
                  <w:tcW w:w="63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120</w:t>
                  </w:r>
                </w:p>
              </w:tc>
              <w:tc>
                <w:tcPr>
                  <w:tcW w:w="85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160</w:t>
                  </w:r>
                </w:p>
              </w:tc>
              <w:tc>
                <w:tcPr>
                  <w:tcW w:w="602"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75</w:t>
                  </w:r>
                </w:p>
              </w:tc>
              <w:tc>
                <w:tcPr>
                  <w:tcW w:w="58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726" w:type="pct"/>
                  <w:vMerge w:val="restar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PM</w:t>
                  </w:r>
                  <w:r>
                    <w:rPr>
                      <w:rFonts w:hint="default" w:ascii="Times New Roman" w:hAnsi="Times New Roman" w:eastAsia="宋体" w:cs="Times New Roman"/>
                      <w:b w:val="0"/>
                      <w:bCs w:val="0"/>
                      <w:spacing w:val="0"/>
                      <w:kern w:val="2"/>
                      <w:position w:val="0"/>
                      <w:sz w:val="21"/>
                      <w:szCs w:val="21"/>
                      <w:vertAlign w:val="subscript"/>
                      <w:lang w:val="en-US" w:eastAsia="zh-CN" w:bidi="ar-SA"/>
                    </w:rPr>
                    <w:t>10</w:t>
                  </w:r>
                </w:p>
              </w:tc>
              <w:tc>
                <w:tcPr>
                  <w:tcW w:w="159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年平均</w:t>
                  </w:r>
                </w:p>
              </w:tc>
              <w:tc>
                <w:tcPr>
                  <w:tcW w:w="63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149</w:t>
                  </w:r>
                </w:p>
              </w:tc>
              <w:tc>
                <w:tcPr>
                  <w:tcW w:w="85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eastAsia" w:ascii="Times New Roman" w:hAnsi="Times New Roman" w:eastAsia="宋体" w:cs="Times New Roman"/>
                      <w:b w:val="0"/>
                      <w:bCs w:val="0"/>
                      <w:spacing w:val="0"/>
                      <w:kern w:val="2"/>
                      <w:position w:val="0"/>
                      <w:sz w:val="21"/>
                      <w:szCs w:val="21"/>
                      <w:lang w:val="en-US" w:eastAsia="zh-CN" w:bidi="ar-SA"/>
                    </w:rPr>
                    <w:t>60</w:t>
                  </w:r>
                </w:p>
              </w:tc>
              <w:tc>
                <w:tcPr>
                  <w:tcW w:w="602"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eastAsia" w:ascii="Times New Roman" w:hAnsi="Times New Roman" w:eastAsia="宋体" w:cs="Times New Roman"/>
                      <w:b w:val="0"/>
                      <w:bCs w:val="0"/>
                      <w:spacing w:val="0"/>
                      <w:kern w:val="2"/>
                      <w:position w:val="0"/>
                      <w:sz w:val="21"/>
                      <w:szCs w:val="21"/>
                      <w:lang w:val="en-US" w:eastAsia="zh-CN" w:bidi="ar-SA"/>
                    </w:rPr>
                    <w:t>248.3</w:t>
                  </w:r>
                </w:p>
              </w:tc>
              <w:tc>
                <w:tcPr>
                  <w:tcW w:w="58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不达标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6" w:type="pct"/>
                  <w:vMerge w:val="continue"/>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p>
              </w:tc>
              <w:tc>
                <w:tcPr>
                  <w:tcW w:w="159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24h平均第95百分位数</w:t>
                  </w:r>
                </w:p>
              </w:tc>
              <w:tc>
                <w:tcPr>
                  <w:tcW w:w="63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451</w:t>
                  </w:r>
                </w:p>
              </w:tc>
              <w:tc>
                <w:tcPr>
                  <w:tcW w:w="85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1</w:t>
                  </w:r>
                  <w:r>
                    <w:rPr>
                      <w:rFonts w:hint="eastAsia" w:ascii="Times New Roman" w:hAnsi="Times New Roman" w:eastAsia="宋体" w:cs="Times New Roman"/>
                      <w:b w:val="0"/>
                      <w:bCs w:val="0"/>
                      <w:spacing w:val="0"/>
                      <w:kern w:val="2"/>
                      <w:position w:val="0"/>
                      <w:sz w:val="21"/>
                      <w:szCs w:val="21"/>
                      <w:lang w:val="en-US" w:eastAsia="zh-CN" w:bidi="ar-SA"/>
                    </w:rPr>
                    <w:t>2</w:t>
                  </w:r>
                  <w:r>
                    <w:rPr>
                      <w:rFonts w:hint="default" w:ascii="Times New Roman" w:hAnsi="Times New Roman" w:eastAsia="宋体" w:cs="Times New Roman"/>
                      <w:b w:val="0"/>
                      <w:bCs w:val="0"/>
                      <w:spacing w:val="0"/>
                      <w:kern w:val="2"/>
                      <w:position w:val="0"/>
                      <w:sz w:val="21"/>
                      <w:szCs w:val="21"/>
                      <w:lang w:val="en-US" w:eastAsia="zh-CN" w:bidi="ar-SA"/>
                    </w:rPr>
                    <w:t>0</w:t>
                  </w:r>
                </w:p>
              </w:tc>
              <w:tc>
                <w:tcPr>
                  <w:tcW w:w="602"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eastAsia" w:ascii="Times New Roman" w:hAnsi="Times New Roman" w:eastAsia="宋体" w:cs="Times New Roman"/>
                      <w:b w:val="0"/>
                      <w:bCs w:val="0"/>
                      <w:spacing w:val="0"/>
                      <w:kern w:val="2"/>
                      <w:position w:val="0"/>
                      <w:sz w:val="21"/>
                      <w:szCs w:val="21"/>
                      <w:lang w:val="en-US" w:eastAsia="zh-CN" w:bidi="ar-SA"/>
                    </w:rPr>
                    <w:t>375.8</w:t>
                  </w:r>
                </w:p>
              </w:tc>
              <w:tc>
                <w:tcPr>
                  <w:tcW w:w="58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不达标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6" w:type="pct"/>
                  <w:vMerge w:val="restar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PM</w:t>
                  </w:r>
                  <w:r>
                    <w:rPr>
                      <w:rFonts w:hint="default" w:ascii="Times New Roman" w:hAnsi="Times New Roman" w:eastAsia="宋体" w:cs="Times New Roman"/>
                      <w:b w:val="0"/>
                      <w:bCs w:val="0"/>
                      <w:spacing w:val="0"/>
                      <w:kern w:val="2"/>
                      <w:position w:val="0"/>
                      <w:sz w:val="21"/>
                      <w:szCs w:val="21"/>
                      <w:vertAlign w:val="subscript"/>
                      <w:lang w:val="en-US" w:eastAsia="zh-CN" w:bidi="ar-SA"/>
                    </w:rPr>
                    <w:t>2.5</w:t>
                  </w:r>
                </w:p>
              </w:tc>
              <w:tc>
                <w:tcPr>
                  <w:tcW w:w="159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年平均</w:t>
                  </w:r>
                </w:p>
              </w:tc>
              <w:tc>
                <w:tcPr>
                  <w:tcW w:w="63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37</w:t>
                  </w:r>
                </w:p>
              </w:tc>
              <w:tc>
                <w:tcPr>
                  <w:tcW w:w="85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eastAsia" w:ascii="Times New Roman" w:hAnsi="Times New Roman" w:eastAsia="宋体" w:cs="Times New Roman"/>
                      <w:b w:val="0"/>
                      <w:bCs w:val="0"/>
                      <w:spacing w:val="0"/>
                      <w:kern w:val="2"/>
                      <w:position w:val="0"/>
                      <w:sz w:val="21"/>
                      <w:szCs w:val="21"/>
                      <w:lang w:val="en-US" w:eastAsia="zh-CN" w:bidi="ar-SA"/>
                    </w:rPr>
                    <w:t>30</w:t>
                  </w:r>
                </w:p>
              </w:tc>
              <w:tc>
                <w:tcPr>
                  <w:tcW w:w="602"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eastAsia" w:ascii="Times New Roman" w:hAnsi="Times New Roman" w:eastAsia="宋体" w:cs="Times New Roman"/>
                      <w:b w:val="0"/>
                      <w:bCs w:val="0"/>
                      <w:spacing w:val="0"/>
                      <w:kern w:val="2"/>
                      <w:position w:val="0"/>
                      <w:sz w:val="21"/>
                      <w:szCs w:val="21"/>
                      <w:lang w:val="en-US" w:eastAsia="zh-CN" w:bidi="ar-SA"/>
                    </w:rPr>
                    <w:t>123.3</w:t>
                  </w:r>
                </w:p>
              </w:tc>
              <w:tc>
                <w:tcPr>
                  <w:tcW w:w="58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不达标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6" w:type="pct"/>
                  <w:vMerge w:val="continue"/>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p>
              </w:tc>
              <w:tc>
                <w:tcPr>
                  <w:tcW w:w="159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24h平均第95百分位数</w:t>
                  </w:r>
                </w:p>
              </w:tc>
              <w:tc>
                <w:tcPr>
                  <w:tcW w:w="63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82</w:t>
                  </w:r>
                </w:p>
              </w:tc>
              <w:tc>
                <w:tcPr>
                  <w:tcW w:w="851"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eastAsia" w:ascii="Times New Roman" w:hAnsi="Times New Roman" w:eastAsia="宋体" w:cs="Times New Roman"/>
                      <w:b w:val="0"/>
                      <w:bCs w:val="0"/>
                      <w:spacing w:val="0"/>
                      <w:kern w:val="2"/>
                      <w:position w:val="0"/>
                      <w:sz w:val="21"/>
                      <w:szCs w:val="21"/>
                      <w:lang w:val="en-US" w:eastAsia="zh-CN" w:bidi="ar-SA"/>
                    </w:rPr>
                    <w:t>60</w:t>
                  </w:r>
                </w:p>
              </w:tc>
              <w:tc>
                <w:tcPr>
                  <w:tcW w:w="602"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eastAsia" w:ascii="Times New Roman" w:hAnsi="Times New Roman" w:eastAsia="宋体" w:cs="Times New Roman"/>
                      <w:b w:val="0"/>
                      <w:bCs w:val="0"/>
                      <w:spacing w:val="0"/>
                      <w:kern w:val="2"/>
                      <w:position w:val="0"/>
                      <w:sz w:val="21"/>
                      <w:szCs w:val="21"/>
                      <w:lang w:val="en-US" w:eastAsia="zh-CN" w:bidi="ar-SA"/>
                    </w:rPr>
                    <w:t>136.7</w:t>
                  </w:r>
                </w:p>
              </w:tc>
              <w:tc>
                <w:tcPr>
                  <w:tcW w:w="588" w:type="pct"/>
                  <w:tcBorders>
                    <w:tl2br w:val="nil"/>
                    <w:tr2bl w:val="nil"/>
                  </w:tcBorders>
                  <w:noWrap w:val="0"/>
                  <w:vAlign w:val="center"/>
                </w:tcPr>
                <w:p>
                  <w:pPr>
                    <w:keepNext/>
                    <w:keepLines w:val="0"/>
                    <w:pageBreakBefore w:val="0"/>
                    <w:widowControl/>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outlineLvl w:val="9"/>
                    <w:rPr>
                      <w:rFonts w:hint="default" w:ascii="Times New Roman" w:hAnsi="Times New Roman" w:eastAsia="宋体" w:cs="Times New Roman"/>
                      <w:b w:val="0"/>
                      <w:bCs w:val="0"/>
                      <w:spacing w:val="0"/>
                      <w:kern w:val="2"/>
                      <w:position w:val="0"/>
                      <w:sz w:val="21"/>
                      <w:szCs w:val="21"/>
                      <w:lang w:val="en-US" w:eastAsia="zh-CN" w:bidi="ar-SA"/>
                    </w:rPr>
                  </w:pPr>
                  <w:r>
                    <w:rPr>
                      <w:rFonts w:hint="default" w:ascii="Times New Roman" w:hAnsi="Times New Roman" w:eastAsia="宋体" w:cs="Times New Roman"/>
                      <w:b w:val="0"/>
                      <w:bCs w:val="0"/>
                      <w:spacing w:val="0"/>
                      <w:kern w:val="2"/>
                      <w:position w:val="0"/>
                      <w:sz w:val="21"/>
                      <w:szCs w:val="21"/>
                      <w:lang w:val="en-US" w:eastAsia="zh-CN" w:bidi="ar-SA"/>
                    </w:rPr>
                    <w:t>不达标</w:t>
                  </w:r>
                </w:p>
              </w:tc>
            </w:tr>
          </w:tbl>
          <w:p>
            <w:pPr>
              <w:pStyle w:val="16"/>
              <w:keepNext w:val="0"/>
              <w:keepLines w:val="0"/>
              <w:widowControl w:val="0"/>
              <w:numPr>
                <w:ilvl w:val="0"/>
                <w:numId w:val="0"/>
              </w:numPr>
              <w:suppressLineNumbers w:val="0"/>
              <w:adjustRightInd w:val="0"/>
              <w:snapToGrid w:val="0"/>
              <w:spacing w:before="0" w:beforeAutospacing="0" w:after="0" w:afterAutospacing="0" w:line="360" w:lineRule="auto"/>
              <w:ind w:left="0" w:right="0" w:firstLine="480" w:firstLineChars="200"/>
              <w:jc w:val="both"/>
              <w:rPr>
                <w:rFonts w:hint="default" w:ascii="Times New Roman" w:hAnsi="Times New Roman" w:eastAsia="宋体" w:cs="Times New Roman"/>
                <w:color w:val="000000" w:themeColor="text1"/>
                <w:sz w:val="24"/>
                <w:szCs w:val="22"/>
                <w:highlight w:val="none"/>
                <w:vertAlign w:val="baseli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2"/>
                <w:sz w:val="24"/>
                <w:szCs w:val="24"/>
                <w:vertAlign w:val="baseline"/>
                <w:lang w:val="en-US" w:eastAsia="zh-CN" w:bidi="ar-SA"/>
                <w14:textFill>
                  <w14:solidFill>
                    <w14:schemeClr w14:val="tx1"/>
                  </w14:solidFill>
                </w14:textFill>
              </w:rPr>
              <w:t>库尔勒市棉纺厂2024年空气质量监测总天数为365天，原因受沙尘天气影响，PM</w:t>
            </w:r>
            <w:r>
              <w:rPr>
                <w:rFonts w:hint="default" w:ascii="Times New Roman" w:hAnsi="Times New Roman" w:eastAsia="宋体" w:cs="Times New Roman"/>
                <w:i w:val="0"/>
                <w:iCs w:val="0"/>
                <w:color w:val="000000" w:themeColor="text1"/>
                <w:kern w:val="2"/>
                <w:sz w:val="24"/>
                <w:szCs w:val="24"/>
                <w:vertAlign w:val="subscript"/>
                <w:lang w:val="en-US" w:eastAsia="zh-CN" w:bidi="ar-SA"/>
                <w14:textFill>
                  <w14:solidFill>
                    <w14:schemeClr w14:val="tx1"/>
                  </w14:solidFill>
                </w14:textFill>
              </w:rPr>
              <w:t>10</w:t>
            </w:r>
            <w:r>
              <w:rPr>
                <w:rFonts w:hint="default" w:ascii="Times New Roman" w:hAnsi="Times New Roman" w:eastAsia="宋体" w:cs="Times New Roman"/>
                <w:i w:val="0"/>
                <w:iCs w:val="0"/>
                <w:color w:val="000000" w:themeColor="text1"/>
                <w:kern w:val="2"/>
                <w:sz w:val="24"/>
                <w:szCs w:val="24"/>
                <w:vertAlign w:val="baseline"/>
                <w:lang w:val="en-US" w:eastAsia="zh-CN" w:bidi="ar-SA"/>
                <w14:textFill>
                  <w14:solidFill>
                    <w14:schemeClr w14:val="tx1"/>
                  </w14:solidFill>
                </w14:textFill>
              </w:rPr>
              <w:t>、PM</w:t>
            </w:r>
            <w:r>
              <w:rPr>
                <w:rFonts w:hint="default" w:ascii="Times New Roman" w:hAnsi="Times New Roman" w:eastAsia="宋体" w:cs="Times New Roman"/>
                <w:i w:val="0"/>
                <w:iCs w:val="0"/>
                <w:color w:val="000000" w:themeColor="text1"/>
                <w:kern w:val="2"/>
                <w:sz w:val="24"/>
                <w:szCs w:val="24"/>
                <w:vertAlign w:val="subscript"/>
                <w:lang w:val="en-US" w:eastAsia="zh-CN" w:bidi="ar-SA"/>
                <w14:textFill>
                  <w14:solidFill>
                    <w14:schemeClr w14:val="tx1"/>
                  </w14:solidFill>
                </w14:textFill>
              </w:rPr>
              <w:t>2.5</w:t>
            </w:r>
            <w:r>
              <w:rPr>
                <w:rFonts w:hint="default" w:ascii="Times New Roman" w:hAnsi="Times New Roman" w:eastAsia="宋体" w:cs="Times New Roman"/>
                <w:i w:val="0"/>
                <w:iCs w:val="0"/>
                <w:color w:val="000000" w:themeColor="text1"/>
                <w:kern w:val="2"/>
                <w:sz w:val="24"/>
                <w:szCs w:val="24"/>
                <w:vertAlign w:val="baseline"/>
                <w:lang w:val="en-US" w:eastAsia="zh-CN" w:bidi="ar-SA"/>
                <w14:textFill>
                  <w14:solidFill>
                    <w14:schemeClr w14:val="tx1"/>
                  </w14:solidFill>
                </w14:textFill>
              </w:rPr>
              <w:t>年平均及24h平均第95百分位数浓度超过</w:t>
            </w:r>
            <w:r>
              <w:rPr>
                <w:rFonts w:hint="default" w:ascii="Times New Roman" w:hAnsi="Times New Roman" w:eastAsia="宋体" w:cs="Times New Roman"/>
                <w:i w:val="0"/>
                <w:iCs w:val="0"/>
                <w:color w:val="000000" w:themeColor="text1"/>
                <w:sz w:val="24"/>
                <w:szCs w:val="24"/>
                <w:vertAlign w:val="baseline"/>
                <w:lang w:val="en-US" w:eastAsia="zh-CN"/>
                <w14:textFill>
                  <w14:solidFill>
                    <w14:schemeClr w14:val="tx1"/>
                  </w14:solidFill>
                </w14:textFill>
              </w:rPr>
              <w:t>《环境空气质量标准》（GB3095-2026）中过渡阶段浓度限值的二级标准要求</w:t>
            </w:r>
            <w:r>
              <w:rPr>
                <w:rFonts w:hint="default" w:ascii="Times New Roman" w:hAnsi="Times New Roman" w:eastAsia="宋体" w:cs="Times New Roman"/>
                <w:i w:val="0"/>
                <w:iCs w:val="0"/>
                <w:color w:val="000000" w:themeColor="text1"/>
                <w:kern w:val="2"/>
                <w:sz w:val="24"/>
                <w:szCs w:val="24"/>
                <w:vertAlign w:val="baseline"/>
                <w:lang w:val="en-US" w:eastAsia="zh-CN" w:bidi="ar-SA"/>
                <w14:textFill>
                  <w14:solidFill>
                    <w14:schemeClr w14:val="tx1"/>
                  </w14:solidFill>
                </w14:textFill>
              </w:rPr>
              <w:t>，SO</w:t>
            </w:r>
            <w:r>
              <w:rPr>
                <w:rFonts w:hint="default" w:ascii="Times New Roman" w:hAnsi="Times New Roman" w:eastAsia="宋体" w:cs="Times New Roman"/>
                <w:i w:val="0"/>
                <w:iCs w:val="0"/>
                <w:color w:val="000000" w:themeColor="text1"/>
                <w:kern w:val="2"/>
                <w:sz w:val="24"/>
                <w:szCs w:val="24"/>
                <w:vertAlign w:val="subscript"/>
                <w:lang w:val="en-US" w:eastAsia="zh-CN" w:bidi="ar-SA"/>
                <w14:textFill>
                  <w14:solidFill>
                    <w14:schemeClr w14:val="tx1"/>
                  </w14:solidFill>
                </w14:textFill>
              </w:rPr>
              <w:t>2</w:t>
            </w:r>
            <w:r>
              <w:rPr>
                <w:rFonts w:hint="default" w:ascii="Times New Roman" w:hAnsi="Times New Roman" w:eastAsia="宋体" w:cs="Times New Roman"/>
                <w:i w:val="0"/>
                <w:iCs w:val="0"/>
                <w:color w:val="000000" w:themeColor="text1"/>
                <w:kern w:val="2"/>
                <w:sz w:val="24"/>
                <w:szCs w:val="24"/>
                <w:vertAlign w:val="baseline"/>
                <w:lang w:val="en-US" w:eastAsia="zh-CN" w:bidi="ar-SA"/>
                <w14:textFill>
                  <w14:solidFill>
                    <w14:schemeClr w14:val="tx1"/>
                  </w14:solidFill>
                </w14:textFill>
              </w:rPr>
              <w:t>、NO</w:t>
            </w:r>
            <w:r>
              <w:rPr>
                <w:rFonts w:hint="default" w:ascii="Times New Roman" w:hAnsi="Times New Roman" w:eastAsia="宋体" w:cs="Times New Roman"/>
                <w:i w:val="0"/>
                <w:iCs w:val="0"/>
                <w:color w:val="000000" w:themeColor="text1"/>
                <w:kern w:val="2"/>
                <w:sz w:val="24"/>
                <w:szCs w:val="24"/>
                <w:vertAlign w:val="subscript"/>
                <w:lang w:val="en-US" w:eastAsia="zh-CN" w:bidi="ar-SA"/>
                <w14:textFill>
                  <w14:solidFill>
                    <w14:schemeClr w14:val="tx1"/>
                  </w14:solidFill>
                </w14:textFill>
              </w:rPr>
              <w:t>2</w:t>
            </w:r>
            <w:r>
              <w:rPr>
                <w:rFonts w:hint="default" w:ascii="Times New Roman" w:hAnsi="Times New Roman" w:eastAsia="宋体" w:cs="Times New Roman"/>
                <w:i w:val="0"/>
                <w:iCs w:val="0"/>
                <w:color w:val="000000" w:themeColor="text1"/>
                <w:kern w:val="2"/>
                <w:sz w:val="24"/>
                <w:szCs w:val="24"/>
                <w:vertAlign w:val="baseline"/>
                <w:lang w:val="en-US" w:eastAsia="zh-CN" w:bidi="ar-SA"/>
                <w14:textFill>
                  <w14:solidFill>
                    <w14:schemeClr w14:val="tx1"/>
                  </w14:solidFill>
                </w14:textFill>
              </w:rPr>
              <w:t>、CO、O</w:t>
            </w:r>
            <w:r>
              <w:rPr>
                <w:rFonts w:hint="default" w:ascii="Times New Roman" w:hAnsi="Times New Roman" w:eastAsia="宋体" w:cs="Times New Roman"/>
                <w:i w:val="0"/>
                <w:iCs w:val="0"/>
                <w:color w:val="000000" w:themeColor="text1"/>
                <w:kern w:val="2"/>
                <w:sz w:val="24"/>
                <w:szCs w:val="24"/>
                <w:vertAlign w:val="subscript"/>
                <w:lang w:val="en-US" w:eastAsia="zh-CN" w:bidi="ar-SA"/>
                <w14:textFill>
                  <w14:solidFill>
                    <w14:schemeClr w14:val="tx1"/>
                  </w14:solidFill>
                </w14:textFill>
              </w:rPr>
              <w:t>3</w:t>
            </w:r>
            <w:r>
              <w:rPr>
                <w:rFonts w:hint="default" w:ascii="Times New Roman" w:hAnsi="Times New Roman" w:eastAsia="宋体" w:cs="Times New Roman"/>
                <w:i w:val="0"/>
                <w:iCs w:val="0"/>
                <w:color w:val="000000" w:themeColor="text1"/>
                <w:kern w:val="2"/>
                <w:sz w:val="24"/>
                <w:szCs w:val="24"/>
                <w:vertAlign w:val="baseline"/>
                <w:lang w:val="en-US" w:eastAsia="zh-CN" w:bidi="ar-SA"/>
                <w14:textFill>
                  <w14:solidFill>
                    <w14:schemeClr w14:val="tx1"/>
                  </w14:solidFill>
                </w14:textFill>
              </w:rPr>
              <w:t>等其他监测指标均满足</w:t>
            </w:r>
            <w:r>
              <w:rPr>
                <w:rFonts w:hint="default" w:ascii="Times New Roman" w:hAnsi="Times New Roman" w:eastAsia="宋体" w:cs="Times New Roman"/>
                <w:i w:val="0"/>
                <w:iCs w:val="0"/>
                <w:color w:val="000000" w:themeColor="text1"/>
                <w:sz w:val="24"/>
                <w:szCs w:val="24"/>
                <w:vertAlign w:val="baseline"/>
                <w:lang w:val="en-US" w:eastAsia="zh-CN"/>
                <w14:textFill>
                  <w14:solidFill>
                    <w14:schemeClr w14:val="tx1"/>
                  </w14:solidFill>
                </w14:textFill>
              </w:rPr>
              <w:t>《环境空气质量标准》（GB3095-2026）中过渡阶段浓度限值的二级标准要求</w:t>
            </w:r>
            <w:r>
              <w:rPr>
                <w:rFonts w:hint="default" w:ascii="Times New Roman" w:hAnsi="Times New Roman" w:eastAsia="宋体" w:cs="Times New Roman"/>
                <w:i w:val="0"/>
                <w:iCs w:val="0"/>
                <w:color w:val="000000" w:themeColor="text1"/>
                <w:kern w:val="2"/>
                <w:sz w:val="24"/>
                <w:szCs w:val="24"/>
                <w:vertAlign w:val="baseline"/>
                <w:lang w:val="en-US" w:eastAsia="zh-CN" w:bidi="ar-SA"/>
                <w14:textFill>
                  <w14:solidFill>
                    <w14:schemeClr w14:val="tx1"/>
                  </w14:solidFill>
                </w14:textFill>
              </w:rPr>
              <w:t>，因此判断本项目所在区域为不达标区。</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PM</w:t>
            </w:r>
            <w:r>
              <w:rPr>
                <w:rFonts w:hint="default" w:ascii="Times New Roman" w:hAnsi="Times New Roman" w:cs="Times New Roman"/>
                <w:b w:val="0"/>
                <w:bCs w:val="0"/>
                <w:color w:val="000000" w:themeColor="text1"/>
                <w:sz w:val="24"/>
                <w:szCs w:val="24"/>
                <w:vertAlign w:val="subscript"/>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、PM</w:t>
            </w:r>
            <w:r>
              <w:rPr>
                <w:rFonts w:hint="default" w:ascii="Times New Roman" w:hAnsi="Times New Roman" w:eastAsia="宋体" w:cs="Times New Roman"/>
                <w:color w:val="000000" w:themeColor="text1"/>
                <w:sz w:val="24"/>
                <w:szCs w:val="22"/>
                <w:highlight w:val="none"/>
                <w:vertAlign w:val="subscript"/>
                <w:lang w:val="en-US" w:eastAsia="zh-CN"/>
                <w14:textFill>
                  <w14:solidFill>
                    <w14:schemeClr w14:val="tx1"/>
                  </w14:solidFill>
                </w14:textFill>
              </w:rPr>
              <w:t>2.5</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超标原因为项目区地处南疆，位于沙漠边缘，受沙尘天气影响，PM</w:t>
            </w:r>
            <w:r>
              <w:rPr>
                <w:rFonts w:hint="default" w:ascii="Times New Roman" w:hAnsi="Times New Roman" w:cs="Times New Roman"/>
                <w:b w:val="0"/>
                <w:bCs w:val="0"/>
                <w:color w:val="000000" w:themeColor="text1"/>
                <w:sz w:val="24"/>
                <w:szCs w:val="24"/>
                <w:vertAlign w:val="subscript"/>
                <w:lang w:val="en-US" w:eastAsia="zh-CN"/>
                <w14:textFill>
                  <w14:solidFill>
                    <w14:schemeClr w14:val="tx1"/>
                  </w14:solidFill>
                </w14:textFill>
              </w:rPr>
              <w:t>10</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、PM</w:t>
            </w:r>
            <w:r>
              <w:rPr>
                <w:rFonts w:hint="default" w:ascii="Times New Roman" w:hAnsi="Times New Roman" w:eastAsia="宋体" w:cs="Times New Roman"/>
                <w:color w:val="000000" w:themeColor="text1"/>
                <w:sz w:val="24"/>
                <w:szCs w:val="22"/>
                <w:highlight w:val="none"/>
                <w:vertAlign w:val="subscript"/>
                <w:lang w:val="en-US" w:eastAsia="zh-CN"/>
                <w14:textFill>
                  <w14:solidFill>
                    <w14:schemeClr w14:val="tx1"/>
                  </w14:solidFill>
                </w14:textFill>
              </w:rPr>
              <w:t>2.5</w:t>
            </w:r>
            <w:r>
              <w:rPr>
                <w:rFonts w:hint="default" w:ascii="Times New Roman" w:hAnsi="Times New Roman" w:cs="Times New Roman"/>
                <w:color w:val="000000" w:themeColor="text1"/>
                <w:sz w:val="24"/>
                <w:szCs w:val="22"/>
                <w:highlight w:val="none"/>
                <w:lang w:val="en-US" w:eastAsia="zh-CN"/>
                <w14:textFill>
                  <w14:solidFill>
                    <w14:schemeClr w14:val="tx1"/>
                  </w14:solidFill>
                </w14:textFill>
              </w:rPr>
              <w:t>年平均浓度值</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，由背景因素所致。</w:t>
            </w:r>
          </w:p>
          <w:p>
            <w:pPr>
              <w:spacing w:line="360" w:lineRule="auto"/>
              <w:ind w:firstLine="480" w:firstLineChars="200"/>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对于环境空气质量不达标区域需提</w:t>
            </w:r>
            <w:r>
              <w:rPr>
                <w:rFonts w:hint="default" w:ascii="Times New Roman" w:hAnsi="Times New Roman" w:cs="Times New Roman"/>
                <w:color w:val="000000" w:themeColor="text1"/>
                <w:sz w:val="24"/>
                <w:szCs w:val="22"/>
                <w:highlight w:val="none"/>
                <w:lang w:val="en-US" w:eastAsia="zh-CN"/>
                <w14:textFill>
                  <w14:solidFill>
                    <w14:schemeClr w14:val="tx1"/>
                  </w14:solidFill>
                </w14:textFill>
              </w:rPr>
              <w:t>供</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《大气环境不达标区域削减方案》，根据生态环境部办公厅出具的《关于将巴音郭楞蒙古自治州</w:t>
            </w:r>
            <w:r>
              <w:rPr>
                <w:rFonts w:hint="eastAsia" w:cs="Times New Roman"/>
                <w:color w:val="000000" w:themeColor="text1"/>
                <w:sz w:val="24"/>
                <w:szCs w:val="22"/>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吐鲁番市</w:t>
            </w:r>
            <w:r>
              <w:rPr>
                <w:rFonts w:hint="eastAsia" w:cs="Times New Roman"/>
                <w:color w:val="000000" w:themeColor="text1"/>
                <w:sz w:val="24"/>
                <w:szCs w:val="22"/>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哈密市纳入执〈环境影响评价技术导则大气环境（HJ2.2-2018）〉差别化政策范围的复函》（环办环评函〔2020〕341号），</w:t>
            </w:r>
            <w:r>
              <w:rPr>
                <w:rFonts w:hint="default" w:ascii="Times New Roman" w:hAnsi="Times New Roman" w:cs="Times New Roman"/>
                <w:color w:val="000000" w:themeColor="text1"/>
                <w:sz w:val="24"/>
                <w:szCs w:val="22"/>
                <w:highlight w:val="none"/>
                <w:lang w:val="en-US" w:eastAsia="zh-CN"/>
                <w14:textFill>
                  <w14:solidFill>
                    <w14:schemeClr w14:val="tx1"/>
                  </w14:solidFill>
                </w14:textFill>
              </w:rPr>
              <w:t>南疆五地州新建项目可不提供颗粒物区域削减方案，因此本项目</w:t>
            </w:r>
            <w:r>
              <w:rPr>
                <w:rFonts w:hint="default" w:ascii="Times New Roman" w:hAnsi="Times New Roman" w:eastAsia="宋体" w:cs="Times New Roman"/>
                <w:color w:val="000000" w:themeColor="text1"/>
                <w:sz w:val="24"/>
                <w:szCs w:val="22"/>
                <w:highlight w:val="none"/>
                <w:lang w:val="en-US" w:eastAsia="zh-CN"/>
                <w14:textFill>
                  <w14:solidFill>
                    <w14:schemeClr w14:val="tx1"/>
                  </w14:solidFill>
                </w14:textFill>
              </w:rPr>
              <w:t>可不提供颗粒物区域削减方案｡</w:t>
            </w:r>
          </w:p>
          <w:p>
            <w:pPr>
              <w:spacing w:line="360" w:lineRule="auto"/>
              <w:rPr>
                <w:rFonts w:hint="default" w:ascii="Times New Roman" w:hAnsi="Times New Roman" w:cs="Times New Roman"/>
                <w:b/>
                <w:color w:val="000000" w:themeColor="text1"/>
                <w:sz w:val="24"/>
                <w:highlight w:val="none"/>
                <w14:textFill>
                  <w14:solidFill>
                    <w14:schemeClr w14:val="tx1"/>
                  </w14:solidFill>
                </w14:textFill>
              </w:rPr>
            </w:pPr>
            <w:r>
              <w:rPr>
                <w:rFonts w:hint="default" w:ascii="Times New Roman" w:hAnsi="Times New Roman" w:cs="Times New Roman"/>
                <w:b/>
                <w:color w:val="000000" w:themeColor="text1"/>
                <w:sz w:val="24"/>
                <w:highlight w:val="none"/>
                <w:lang w:val="en-US" w:eastAsia="zh-CN"/>
                <w14:textFill>
                  <w14:solidFill>
                    <w14:schemeClr w14:val="tx1"/>
                  </w14:solidFill>
                </w14:textFill>
              </w:rPr>
              <w:t>3.</w:t>
            </w:r>
            <w:r>
              <w:rPr>
                <w:rFonts w:hint="eastAsia" w:cs="Times New Roman"/>
                <w:b/>
                <w:color w:val="000000" w:themeColor="text1"/>
                <w:sz w:val="24"/>
                <w:highlight w:val="none"/>
                <w:lang w:val="en-US" w:eastAsia="zh-CN"/>
                <w14:textFill>
                  <w14:solidFill>
                    <w14:schemeClr w14:val="tx1"/>
                  </w14:solidFill>
                </w14:textFill>
              </w:rPr>
              <w:t>2</w:t>
            </w:r>
            <w:r>
              <w:rPr>
                <w:rFonts w:hint="default" w:ascii="Times New Roman" w:hAnsi="Times New Roman" w:cs="Times New Roman"/>
                <w:b/>
                <w:color w:val="000000" w:themeColor="text1"/>
                <w:sz w:val="24"/>
                <w:highlight w:val="none"/>
                <w14:textFill>
                  <w14:solidFill>
                    <w14:schemeClr w14:val="tx1"/>
                  </w14:solidFill>
                </w14:textFill>
              </w:rPr>
              <w:t>地表水水环境质量现状调查与评价</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根据《202</w:t>
            </w:r>
            <w:r>
              <w:rPr>
                <w:rFonts w:hint="default"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rPr>
              <w:t>巴音郭楞蒙古自治州生态环境状况公报》，全州地表水监测的31个考核断面</w:t>
            </w:r>
            <w:r>
              <w:rPr>
                <w:rFonts w:hint="eastAsia" w:cs="Times New Roman"/>
                <w:sz w:val="24"/>
                <w:szCs w:val="24"/>
                <w:lang w:eastAsia="zh-CN"/>
              </w:rPr>
              <w:t>（</w:t>
            </w:r>
            <w:r>
              <w:rPr>
                <w:rFonts w:hint="default" w:ascii="Times New Roman" w:hAnsi="Times New Roman" w:eastAsia="宋体" w:cs="Times New Roman"/>
                <w:sz w:val="24"/>
                <w:szCs w:val="24"/>
              </w:rPr>
              <w:t>点位</w:t>
            </w:r>
            <w:r>
              <w:rPr>
                <w:rFonts w:hint="eastAsia" w:cs="Times New Roman"/>
                <w:sz w:val="24"/>
                <w:szCs w:val="24"/>
                <w:lang w:eastAsia="zh-CN"/>
              </w:rPr>
              <w:t>）</w:t>
            </w:r>
            <w:r>
              <w:rPr>
                <w:rFonts w:hint="default" w:ascii="Times New Roman" w:hAnsi="Times New Roman" w:eastAsia="宋体" w:cs="Times New Roman"/>
                <w:sz w:val="24"/>
                <w:szCs w:val="24"/>
              </w:rPr>
              <w:t>中，I~Ⅲ类优良水质断面</w:t>
            </w:r>
            <w:r>
              <w:rPr>
                <w:rFonts w:hint="eastAsia" w:cs="Times New Roman"/>
                <w:sz w:val="24"/>
                <w:szCs w:val="24"/>
                <w:lang w:eastAsia="zh-CN"/>
              </w:rPr>
              <w:t>（</w:t>
            </w:r>
            <w:r>
              <w:rPr>
                <w:rFonts w:hint="default" w:ascii="Times New Roman" w:hAnsi="Times New Roman" w:eastAsia="宋体" w:cs="Times New Roman"/>
                <w:sz w:val="24"/>
                <w:szCs w:val="24"/>
              </w:rPr>
              <w:t>点位</w:t>
            </w:r>
            <w:r>
              <w:rPr>
                <w:rFonts w:hint="eastAsia" w:cs="Times New Roman"/>
                <w:sz w:val="24"/>
                <w:szCs w:val="24"/>
                <w:lang w:eastAsia="zh-CN"/>
              </w:rPr>
              <w:t>）</w:t>
            </w:r>
            <w:r>
              <w:rPr>
                <w:rFonts w:hint="default" w:ascii="Times New Roman" w:hAnsi="Times New Roman" w:eastAsia="宋体" w:cs="Times New Roman"/>
                <w:sz w:val="24"/>
                <w:szCs w:val="24"/>
              </w:rPr>
              <w:t>占比90.3%，无</w:t>
            </w:r>
            <w:r>
              <w:rPr>
                <w:rFonts w:hint="eastAsia" w:cs="Times New Roman"/>
                <w:sz w:val="24"/>
                <w:szCs w:val="24"/>
                <w:lang w:eastAsia="zh-CN"/>
              </w:rPr>
              <w:t>Ⅳ类</w:t>
            </w:r>
            <w:r>
              <w:rPr>
                <w:rFonts w:hint="default" w:ascii="Times New Roman" w:hAnsi="Times New Roman" w:eastAsia="宋体" w:cs="Times New Roman"/>
                <w:sz w:val="24"/>
                <w:szCs w:val="24"/>
              </w:rPr>
              <w:t>水质。6条主要河流19个监测断面中I~Ⅲ类优良水质断面占100%，3个重要湖泊</w:t>
            </w:r>
            <w:r>
              <w:rPr>
                <w:rFonts w:hint="eastAsia" w:cs="Times New Roman"/>
                <w:sz w:val="24"/>
                <w:szCs w:val="24"/>
                <w:lang w:eastAsia="zh-CN"/>
              </w:rPr>
              <w:t>（</w:t>
            </w:r>
            <w:r>
              <w:rPr>
                <w:rFonts w:hint="default" w:ascii="Times New Roman" w:hAnsi="Times New Roman" w:eastAsia="宋体" w:cs="Times New Roman"/>
                <w:sz w:val="24"/>
                <w:szCs w:val="24"/>
              </w:rPr>
              <w:t>水库</w:t>
            </w:r>
            <w:r>
              <w:rPr>
                <w:rFonts w:hint="eastAsia" w:cs="Times New Roman"/>
                <w:sz w:val="24"/>
                <w:szCs w:val="24"/>
                <w:lang w:eastAsia="zh-CN"/>
              </w:rPr>
              <w:t>）</w:t>
            </w:r>
            <w:r>
              <w:rPr>
                <w:rFonts w:hint="default" w:ascii="Times New Roman" w:hAnsi="Times New Roman" w:eastAsia="宋体" w:cs="Times New Roman"/>
                <w:sz w:val="24"/>
                <w:szCs w:val="24"/>
              </w:rPr>
              <w:t>12个监测点位中I~Ⅲ类优良水质断面占75%，无V类水体，湖泊水质影响因子为化学需氧量。</w:t>
            </w:r>
          </w:p>
          <w:p>
            <w:pPr>
              <w:spacing w:line="360" w:lineRule="auto"/>
              <w:ind w:firstLine="456"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eastAsia="宋体" w:cs="Times New Roman"/>
                <w:spacing w:val="-6"/>
                <w:sz w:val="24"/>
                <w:szCs w:val="24"/>
                <w:lang w:val="en-US" w:eastAsia="zh-CN"/>
              </w:rPr>
              <w:t>距离项目区最近的地表水体</w:t>
            </w:r>
            <w:r>
              <w:rPr>
                <w:rFonts w:hint="eastAsia" w:cs="Times New Roman"/>
                <w:spacing w:val="-6"/>
                <w:sz w:val="24"/>
                <w:szCs w:val="24"/>
                <w:lang w:val="en-US" w:eastAsia="zh-CN"/>
              </w:rPr>
              <w:t>为杜鹃河</w:t>
            </w:r>
            <w:r>
              <w:rPr>
                <w:rFonts w:hint="default" w:ascii="Times New Roman" w:hAnsi="Times New Roman" w:eastAsia="宋体" w:cs="Times New Roman"/>
                <w:spacing w:val="-6"/>
                <w:sz w:val="24"/>
                <w:szCs w:val="24"/>
                <w:lang w:val="en-US" w:eastAsia="zh-CN"/>
              </w:rPr>
              <w:t>，</w:t>
            </w:r>
            <w:r>
              <w:rPr>
                <w:rFonts w:hint="eastAsia" w:cs="Times New Roman"/>
                <w:spacing w:val="-6"/>
                <w:sz w:val="24"/>
                <w:szCs w:val="24"/>
                <w:lang w:val="en-US" w:eastAsia="zh-CN"/>
              </w:rPr>
              <w:t>杜鹃河河水来源于孔雀河</w:t>
            </w:r>
            <w:r>
              <w:rPr>
                <w:rFonts w:hint="default" w:ascii="Times New Roman" w:hAnsi="Times New Roman" w:eastAsia="宋体" w:cs="Times New Roman"/>
                <w:spacing w:val="-6"/>
                <w:sz w:val="24"/>
                <w:szCs w:val="24"/>
                <w:lang w:val="en-US" w:eastAsia="zh-CN"/>
              </w:rPr>
              <w:t>，位于项目区东侧1.4km处，孔雀河水质可满足《地表水环境质量标准》（GB3838-2002）中Ⅲ类水质标准。</w:t>
            </w:r>
            <w:r>
              <w:rPr>
                <w:rFonts w:hint="default" w:ascii="Times New Roman" w:hAnsi="Times New Roman" w:eastAsia="宋体" w:cs="Times New Roman"/>
                <w:spacing w:val="-6"/>
                <w:sz w:val="24"/>
                <w:szCs w:val="24"/>
              </w:rPr>
              <w:t>本项目不向周边地表水体排放废水，对水体环境影响较小。</w:t>
            </w:r>
          </w:p>
          <w:p>
            <w:pPr>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根据《环境影响评价技术导则 地表水环境》（HJ2.3-2018）</w:t>
            </w:r>
            <w:r>
              <w:rPr>
                <w:rFonts w:hint="default" w:ascii="Times New Roman" w:hAnsi="Times New Roman" w:cs="Times New Roman"/>
                <w:color w:val="000000" w:themeColor="text1"/>
                <w:sz w:val="24"/>
                <w:highlight w:val="none"/>
                <w:lang w:val="en-US" w:eastAsia="zh-CN"/>
                <w14:textFill>
                  <w14:solidFill>
                    <w14:schemeClr w14:val="tx1"/>
                  </w14:solidFill>
                </w14:textFill>
              </w:rPr>
              <w:t>中表1水污染型建设项目评价等级判定表判定</w:t>
            </w:r>
            <w:r>
              <w:rPr>
                <w:rFonts w:hint="default" w:ascii="Times New Roman" w:hAnsi="Times New Roman" w:cs="Times New Roman"/>
                <w:color w:val="000000" w:themeColor="text1"/>
                <w:sz w:val="24"/>
                <w:szCs w:val="22"/>
                <w:highlight w:val="none"/>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地表水环境评价工作等级为三级B，</w:t>
            </w:r>
            <w:r>
              <w:rPr>
                <w:rFonts w:hint="default" w:ascii="Times New Roman" w:hAnsi="Times New Roman" w:cs="Times New Roman"/>
                <w:color w:val="000000" w:themeColor="text1"/>
                <w:sz w:val="24"/>
                <w:highlight w:val="none"/>
                <w:lang w:val="en-US" w:eastAsia="zh-CN"/>
                <w14:textFill>
                  <w14:solidFill>
                    <w14:schemeClr w14:val="tx1"/>
                  </w14:solidFill>
                </w14:textFill>
              </w:rPr>
              <w:t>根据7.1.2三级B评价可不进行地表水环境影响评价</w:t>
            </w:r>
            <w:r>
              <w:rPr>
                <w:rFonts w:hint="default" w:ascii="Times New Roman" w:hAnsi="Times New Roman" w:cs="Times New Roman"/>
                <w:color w:val="000000" w:themeColor="text1"/>
                <w:sz w:val="24"/>
                <w:szCs w:val="22"/>
                <w:highlight w:val="none"/>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故本</w:t>
            </w:r>
            <w:r>
              <w:rPr>
                <w:rFonts w:hint="default" w:ascii="Times New Roman" w:hAnsi="Times New Roman" w:cs="Times New Roman"/>
                <w:color w:val="000000"/>
                <w:sz w:val="24"/>
                <w:highlight w:val="none"/>
              </w:rPr>
              <w:t>次评价</w:t>
            </w:r>
            <w:r>
              <w:rPr>
                <w:rFonts w:hint="default" w:ascii="Times New Roman" w:hAnsi="Times New Roman" w:cs="Times New Roman"/>
                <w:color w:val="000000" w:themeColor="text1"/>
                <w:sz w:val="24"/>
                <w:highlight w:val="none"/>
                <w14:textFill>
                  <w14:solidFill>
                    <w14:schemeClr w14:val="tx1"/>
                  </w14:solidFill>
                </w14:textFill>
              </w:rPr>
              <w:t>不对区域地表水环境情况开展调查与评价。</w:t>
            </w:r>
          </w:p>
          <w:p>
            <w:pPr>
              <w:keepNext w:val="0"/>
              <w:keepLines w:val="0"/>
              <w:pageBreakBefore w:val="0"/>
              <w:widowControl w:val="0"/>
              <w:numPr>
                <w:ilvl w:val="0"/>
                <w:numId w:val="0"/>
              </w:numPr>
              <w:kinsoku/>
              <w:wordWrap/>
              <w:overflowPunct/>
              <w:topLinePunct w:val="0"/>
              <w:autoSpaceDE/>
              <w:autoSpaceDN/>
              <w:bidi w:val="0"/>
              <w:spacing w:line="360" w:lineRule="auto"/>
              <w:ind w:left="0" w:leftChars="0" w:firstLine="0" w:firstLineChars="0"/>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kern w:val="2"/>
                <w:sz w:val="24"/>
                <w:szCs w:val="24"/>
                <w:lang w:val="en-US" w:eastAsia="zh-CN" w:bidi="ar-SA"/>
                <w14:textFill>
                  <w14:solidFill>
                    <w14:schemeClr w14:val="tx1"/>
                  </w14:solidFill>
                </w14:textFill>
              </w:rPr>
              <w:t>3.</w:t>
            </w:r>
            <w:r>
              <w:rPr>
                <w:rFonts w:hint="eastAsia" w:cs="Times New Roman"/>
                <w:b/>
                <w:color w:val="000000" w:themeColor="text1"/>
                <w:kern w:val="2"/>
                <w:sz w:val="24"/>
                <w:szCs w:val="24"/>
                <w:lang w:val="en-US" w:eastAsia="zh-CN" w:bidi="ar-SA"/>
                <w14:textFill>
                  <w14:solidFill>
                    <w14:schemeClr w14:val="tx1"/>
                  </w14:solidFill>
                </w14:textFill>
              </w:rPr>
              <w:t>3</w:t>
            </w:r>
            <w:r>
              <w:rPr>
                <w:rFonts w:hint="default" w:ascii="Times New Roman" w:hAnsi="Times New Roman" w:cs="Times New Roman"/>
                <w:b/>
                <w:color w:val="000000" w:themeColor="text1"/>
                <w:sz w:val="24"/>
                <w:highlight w:val="none"/>
                <w14:textFill>
                  <w14:solidFill>
                    <w14:schemeClr w14:val="tx1"/>
                  </w14:solidFill>
                </w14:textFill>
              </w:rPr>
              <w:t>声环境</w:t>
            </w:r>
            <w:r>
              <w:rPr>
                <w:rFonts w:hint="default" w:ascii="Times New Roman" w:hAnsi="Times New Roman" w:cs="Times New Roman"/>
                <w:b/>
                <w:color w:val="000000" w:themeColor="text1"/>
                <w:sz w:val="24"/>
                <w:szCs w:val="24"/>
                <w:highlight w:val="none"/>
                <w14:textFill>
                  <w14:solidFill>
                    <w14:schemeClr w14:val="tx1"/>
                  </w14:solidFill>
                </w14:textFill>
              </w:rPr>
              <w:t>质量现状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kern w:val="0"/>
                <w:sz w:val="24"/>
                <w:szCs w:val="24"/>
                <w:highlight w:val="none"/>
                <w:lang w:val="en-US" w:eastAsia="zh-CN"/>
              </w:rPr>
            </w:pPr>
            <w:r>
              <w:rPr>
                <w:rFonts w:hint="default" w:ascii="Times New Roman" w:hAnsi="Times New Roman" w:eastAsia="宋体" w:cs="Times New Roman"/>
                <w:kern w:val="0"/>
                <w:sz w:val="24"/>
                <w:szCs w:val="24"/>
                <w:highlight w:val="none"/>
                <w:lang w:val="en-US" w:eastAsia="zh-CN"/>
              </w:rPr>
              <w:t>项目周边50m范围内声环境敏感目标为</w:t>
            </w:r>
            <w:r>
              <w:rPr>
                <w:rFonts w:hint="eastAsia" w:ascii="Times New Roman" w:hAnsi="Times New Roman" w:eastAsia="宋体" w:cs="Times New Roman"/>
                <w:kern w:val="0"/>
                <w:sz w:val="24"/>
                <w:szCs w:val="24"/>
                <w:highlight w:val="none"/>
                <w:lang w:val="en-US" w:eastAsia="zh-CN"/>
              </w:rPr>
              <w:t>天福名庭</w:t>
            </w:r>
            <w:r>
              <w:rPr>
                <w:rFonts w:hint="default" w:ascii="Times New Roman" w:hAnsi="Times New Roman" w:eastAsia="宋体" w:cs="Times New Roman"/>
                <w:kern w:val="0"/>
                <w:sz w:val="24"/>
                <w:szCs w:val="24"/>
                <w:highlight w:val="none"/>
                <w:lang w:val="en-US" w:eastAsia="zh-CN"/>
              </w:rPr>
              <w:t>小区，本次对项目区声敏感点处声环境质量进行调查。</w:t>
            </w:r>
          </w:p>
          <w:p>
            <w:pPr>
              <w:spacing w:line="360" w:lineRule="auto"/>
              <w:ind w:firstLine="480" w:firstLineChars="200"/>
              <w:rPr>
                <w:rFonts w:hint="default" w:eastAsia="宋体"/>
                <w:sz w:val="24"/>
                <w:lang w:val="en-US" w:eastAsia="zh-CN"/>
              </w:rPr>
            </w:pPr>
            <w:r>
              <w:rPr>
                <w:rFonts w:hint="eastAsia"/>
                <w:sz w:val="24"/>
              </w:rPr>
              <w:t>（1）</w:t>
            </w:r>
            <w:r>
              <w:rPr>
                <w:sz w:val="24"/>
              </w:rPr>
              <w:t>监测时间及</w:t>
            </w:r>
            <w:r>
              <w:rPr>
                <w:rFonts w:hint="eastAsia"/>
                <w:sz w:val="24"/>
                <w:lang w:val="en-US" w:eastAsia="zh-CN"/>
              </w:rPr>
              <w:t>监测方法</w:t>
            </w:r>
          </w:p>
          <w:p>
            <w:pPr>
              <w:spacing w:line="360" w:lineRule="auto"/>
              <w:ind w:firstLine="480"/>
              <w:rPr>
                <w:sz w:val="24"/>
              </w:rPr>
            </w:pPr>
            <w:r>
              <w:rPr>
                <w:rFonts w:hint="eastAsia"/>
                <w:sz w:val="24"/>
              </w:rPr>
              <w:t>声环境</w:t>
            </w:r>
            <w:r>
              <w:rPr>
                <w:sz w:val="24"/>
              </w:rPr>
              <w:t>现状监测主要为厂界</w:t>
            </w:r>
            <w:r>
              <w:rPr>
                <w:rFonts w:hint="eastAsia"/>
                <w:sz w:val="24"/>
              </w:rPr>
              <w:t>现状声环境</w:t>
            </w:r>
            <w:r>
              <w:rPr>
                <w:sz w:val="24"/>
              </w:rPr>
              <w:t>，监测时间为</w:t>
            </w:r>
            <w:r>
              <w:rPr>
                <w:rFonts w:hint="eastAsia"/>
                <w:sz w:val="24"/>
                <w:lang w:val="en-US" w:eastAsia="zh-CN"/>
              </w:rPr>
              <w:t>2026</w:t>
            </w:r>
            <w:r>
              <w:rPr>
                <w:rFonts w:hint="eastAsia"/>
                <w:sz w:val="24"/>
              </w:rPr>
              <w:t>年</w:t>
            </w:r>
            <w:r>
              <w:rPr>
                <w:rFonts w:hint="eastAsia"/>
                <w:sz w:val="24"/>
                <w:lang w:val="en-US" w:eastAsia="zh-CN"/>
              </w:rPr>
              <w:t>5</w:t>
            </w:r>
            <w:r>
              <w:rPr>
                <w:rFonts w:hint="eastAsia"/>
                <w:sz w:val="24"/>
              </w:rPr>
              <w:t>月</w:t>
            </w:r>
            <w:r>
              <w:rPr>
                <w:rFonts w:hint="eastAsia"/>
                <w:sz w:val="24"/>
                <w:lang w:val="en-US" w:eastAsia="zh-CN"/>
              </w:rPr>
              <w:t>26</w:t>
            </w:r>
            <w:r>
              <w:rPr>
                <w:rFonts w:hint="eastAsia"/>
                <w:sz w:val="24"/>
              </w:rPr>
              <w:t>日</w:t>
            </w:r>
            <w:r>
              <w:rPr>
                <w:rFonts w:hint="eastAsia"/>
                <w:sz w:val="24"/>
                <w:lang w:val="en-US" w:eastAsia="zh-CN"/>
              </w:rPr>
              <w:t>~2026</w:t>
            </w:r>
            <w:r>
              <w:rPr>
                <w:rFonts w:hint="eastAsia"/>
                <w:sz w:val="24"/>
              </w:rPr>
              <w:t>年</w:t>
            </w:r>
            <w:r>
              <w:rPr>
                <w:rFonts w:hint="eastAsia"/>
                <w:sz w:val="24"/>
                <w:lang w:val="en-US" w:eastAsia="zh-CN"/>
              </w:rPr>
              <w:t>5</w:t>
            </w:r>
            <w:r>
              <w:rPr>
                <w:rFonts w:hint="eastAsia"/>
                <w:sz w:val="24"/>
              </w:rPr>
              <w:t>月</w:t>
            </w:r>
            <w:r>
              <w:rPr>
                <w:rFonts w:hint="eastAsia"/>
                <w:sz w:val="24"/>
                <w:lang w:val="en-US" w:eastAsia="zh-CN"/>
              </w:rPr>
              <w:t>27</w:t>
            </w:r>
            <w:r>
              <w:rPr>
                <w:rFonts w:hint="eastAsia"/>
                <w:sz w:val="24"/>
              </w:rPr>
              <w:t>日</w:t>
            </w:r>
            <w:r>
              <w:rPr>
                <w:sz w:val="24"/>
              </w:rPr>
              <w:t>，监测时段分昼间、夜间各监测一次。</w:t>
            </w:r>
            <w:r>
              <w:rPr>
                <w:rFonts w:hint="default"/>
                <w:sz w:val="24"/>
              </w:rPr>
              <w:t>监测方法采用《声环境质量标准》（GB3096-2008）中的有关规定进行监测。</w:t>
            </w:r>
          </w:p>
          <w:p>
            <w:pPr>
              <w:spacing w:line="360" w:lineRule="auto"/>
              <w:ind w:firstLine="480" w:firstLineChars="200"/>
              <w:rPr>
                <w:sz w:val="24"/>
              </w:rPr>
            </w:pPr>
            <w:r>
              <w:rPr>
                <w:rFonts w:hint="eastAsia"/>
                <w:sz w:val="24"/>
              </w:rPr>
              <w:t>（2）</w:t>
            </w:r>
            <w:r>
              <w:rPr>
                <w:sz w:val="24"/>
              </w:rPr>
              <w:t>监测布点</w:t>
            </w:r>
          </w:p>
          <w:p>
            <w:pPr>
              <w:spacing w:line="360" w:lineRule="auto"/>
              <w:ind w:firstLine="480"/>
              <w:rPr>
                <w:bCs/>
                <w:sz w:val="24"/>
              </w:rPr>
            </w:pPr>
            <w:r>
              <w:rPr>
                <w:rFonts w:hint="default" w:ascii="Times New Roman" w:hAnsi="Times New Roman" w:eastAsia="宋体" w:cs="Times New Roman"/>
                <w:sz w:val="24"/>
                <w:szCs w:val="24"/>
                <w:highlight w:val="none"/>
              </w:rPr>
              <w:t>本项目噪声现状监测主要为</w:t>
            </w:r>
            <w:r>
              <w:rPr>
                <w:rFonts w:hint="default" w:ascii="Times New Roman" w:hAnsi="Times New Roman" w:eastAsia="宋体" w:cs="Times New Roman"/>
                <w:sz w:val="24"/>
                <w:szCs w:val="24"/>
                <w:highlight w:val="none"/>
                <w:lang w:eastAsia="zh-CN"/>
              </w:rPr>
              <w:t>调查敏感点处声环境质量，在项目区</w:t>
            </w:r>
            <w:r>
              <w:rPr>
                <w:rFonts w:hint="default" w:ascii="Times New Roman" w:hAnsi="Times New Roman" w:eastAsia="宋体" w:cs="Times New Roman"/>
                <w:sz w:val="24"/>
                <w:szCs w:val="24"/>
                <w:highlight w:val="none"/>
                <w:lang w:val="en-US" w:eastAsia="zh-CN"/>
              </w:rPr>
              <w:t>东侧设置1个监测点</w:t>
            </w:r>
            <w:r>
              <w:rPr>
                <w:rFonts w:hint="eastAsia" w:eastAsia="宋体" w:cs="Times New Roman"/>
                <w:sz w:val="24"/>
                <w:szCs w:val="24"/>
                <w:highlight w:val="none"/>
                <w:lang w:val="en-US" w:eastAsia="zh-CN"/>
              </w:rPr>
              <w:t>。</w:t>
            </w:r>
            <w:r>
              <w:rPr>
                <w:b/>
                <w:bCs w:val="0"/>
                <w:sz w:val="24"/>
              </w:rPr>
              <w:t>项目</w:t>
            </w:r>
            <w:r>
              <w:rPr>
                <w:rFonts w:hint="eastAsia"/>
                <w:b/>
                <w:bCs w:val="0"/>
                <w:sz w:val="24"/>
              </w:rPr>
              <w:t>声环境</w:t>
            </w:r>
            <w:r>
              <w:rPr>
                <w:b/>
                <w:bCs w:val="0"/>
                <w:sz w:val="24"/>
              </w:rPr>
              <w:t>监测布点见附</w:t>
            </w:r>
            <w:r>
              <w:rPr>
                <w:b/>
                <w:bCs w:val="0"/>
                <w:snapToGrid w:val="0"/>
                <w:kern w:val="0"/>
                <w:sz w:val="24"/>
              </w:rPr>
              <w:t>图</w:t>
            </w:r>
            <w:r>
              <w:rPr>
                <w:rFonts w:hint="eastAsia"/>
                <w:b/>
                <w:bCs w:val="0"/>
                <w:snapToGrid w:val="0"/>
                <w:kern w:val="0"/>
                <w:sz w:val="24"/>
                <w:lang w:val="en-US" w:eastAsia="zh-CN"/>
              </w:rPr>
              <w:t>4</w:t>
            </w:r>
            <w:r>
              <w:rPr>
                <w:rFonts w:hint="eastAsia"/>
                <w:bCs/>
                <w:sz w:val="24"/>
              </w:rPr>
              <w:t>。</w:t>
            </w:r>
          </w:p>
          <w:p>
            <w:pPr>
              <w:spacing w:line="360" w:lineRule="auto"/>
              <w:ind w:firstLine="480" w:firstLineChars="200"/>
              <w:rPr>
                <w:sz w:val="24"/>
              </w:rPr>
            </w:pPr>
            <w:r>
              <w:rPr>
                <w:rFonts w:hint="eastAsia"/>
                <w:sz w:val="24"/>
              </w:rPr>
              <w:t>（3）</w:t>
            </w:r>
            <w:r>
              <w:rPr>
                <w:sz w:val="24"/>
              </w:rPr>
              <w:t>评价标准</w:t>
            </w:r>
          </w:p>
          <w:p>
            <w:pPr>
              <w:pStyle w:val="9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b w:val="0"/>
                <w:kern w:val="2"/>
                <w:sz w:val="24"/>
                <w:szCs w:val="24"/>
                <w:lang w:val="en-US" w:eastAsia="zh-CN" w:bidi="ar-SA"/>
              </w:rPr>
              <w:t>本项目周边50m范围内声环境敏感目标为</w:t>
            </w:r>
            <w:r>
              <w:rPr>
                <w:rFonts w:hint="eastAsia" w:eastAsia="宋体" w:cs="Times New Roman"/>
                <w:b w:val="0"/>
                <w:kern w:val="2"/>
                <w:sz w:val="24"/>
                <w:szCs w:val="24"/>
                <w:lang w:val="en-US" w:eastAsia="zh-CN" w:bidi="ar-SA"/>
              </w:rPr>
              <w:t>天福名庭</w:t>
            </w:r>
            <w:r>
              <w:rPr>
                <w:rFonts w:hint="default" w:ascii="Times New Roman" w:hAnsi="Times New Roman" w:eastAsia="宋体" w:cs="Times New Roman"/>
                <w:b w:val="0"/>
                <w:kern w:val="2"/>
                <w:sz w:val="24"/>
                <w:szCs w:val="24"/>
                <w:lang w:val="en-US" w:eastAsia="zh-CN" w:bidi="ar-SA"/>
              </w:rPr>
              <w:t>小区内居民住宅及办公楼，根据《声环境质量标准》（GB3096-2008），本项目声环境功能区分类属于</w:t>
            </w:r>
            <w:r>
              <w:rPr>
                <w:rFonts w:hint="eastAsia" w:ascii="Times New Roman" w:hAnsi="Times New Roman" w:eastAsia="宋体" w:cs="Times New Roman"/>
                <w:b w:val="0"/>
                <w:kern w:val="2"/>
                <w:sz w:val="24"/>
                <w:szCs w:val="24"/>
                <w:lang w:val="en-US" w:eastAsia="zh-CN" w:bidi="ar-SA"/>
              </w:rPr>
              <w:t>2</w:t>
            </w:r>
            <w:r>
              <w:rPr>
                <w:rFonts w:hint="default" w:ascii="Times New Roman" w:hAnsi="Times New Roman" w:eastAsia="宋体" w:cs="Times New Roman"/>
                <w:b w:val="0"/>
                <w:kern w:val="2"/>
                <w:sz w:val="24"/>
                <w:szCs w:val="24"/>
                <w:lang w:val="en-US" w:eastAsia="zh-CN" w:bidi="ar-SA"/>
              </w:rPr>
              <w:t>类区，本项目执行《声环境质量标准》（GB3096-2008）</w:t>
            </w:r>
            <w:r>
              <w:rPr>
                <w:rFonts w:hint="eastAsia" w:ascii="Times New Roman" w:hAnsi="Times New Roman" w:eastAsia="宋体" w:cs="Times New Roman"/>
                <w:b w:val="0"/>
                <w:kern w:val="2"/>
                <w:sz w:val="24"/>
                <w:szCs w:val="24"/>
                <w:lang w:val="en-US" w:eastAsia="zh-CN" w:bidi="ar-SA"/>
              </w:rPr>
              <w:t>2</w:t>
            </w:r>
            <w:r>
              <w:rPr>
                <w:rFonts w:hint="default" w:ascii="Times New Roman" w:hAnsi="Times New Roman" w:eastAsia="宋体" w:cs="Times New Roman"/>
                <w:b w:val="0"/>
                <w:kern w:val="2"/>
                <w:sz w:val="24"/>
                <w:szCs w:val="24"/>
                <w:lang w:val="en-US" w:eastAsia="zh-CN" w:bidi="ar-SA"/>
              </w:rPr>
              <w:t>类标准。</w:t>
            </w:r>
          </w:p>
          <w:p>
            <w:pPr>
              <w:spacing w:line="360" w:lineRule="auto"/>
              <w:ind w:firstLine="480" w:firstLineChars="200"/>
              <w:rPr>
                <w:sz w:val="24"/>
              </w:rPr>
            </w:pPr>
            <w:r>
              <w:rPr>
                <w:rFonts w:hint="eastAsia"/>
                <w:sz w:val="24"/>
              </w:rPr>
              <w:t>（4）</w:t>
            </w:r>
            <w:r>
              <w:rPr>
                <w:sz w:val="24"/>
              </w:rPr>
              <w:t>评价结果</w:t>
            </w:r>
          </w:p>
          <w:p>
            <w:pPr>
              <w:spacing w:line="360" w:lineRule="auto"/>
              <w:ind w:firstLine="480"/>
              <w:rPr>
                <w:rFonts w:hint="eastAsia"/>
                <w:bCs/>
                <w:sz w:val="24"/>
              </w:rPr>
            </w:pPr>
            <w:r>
              <w:rPr>
                <w:bCs/>
                <w:sz w:val="24"/>
              </w:rPr>
              <w:t>声环境现状监测及评价结果见表</w:t>
            </w:r>
            <w:r>
              <w:rPr>
                <w:rFonts w:hint="eastAsia"/>
                <w:bCs/>
                <w:sz w:val="24"/>
                <w:lang w:val="en-US" w:eastAsia="zh-CN"/>
              </w:rPr>
              <w:t>3-2</w:t>
            </w:r>
            <w:r>
              <w:rPr>
                <w:bCs/>
                <w:sz w:val="24"/>
              </w:rPr>
              <w:t>。</w:t>
            </w:r>
          </w:p>
          <w:p>
            <w:pPr>
              <w:adjustRightInd w:val="0"/>
              <w:jc w:val="center"/>
              <w:textAlignment w:val="baseline"/>
              <w:rPr>
                <w:bCs/>
                <w:kern w:val="0"/>
                <w:sz w:val="21"/>
                <w:szCs w:val="21"/>
              </w:rPr>
            </w:pPr>
            <w:r>
              <w:rPr>
                <w:b/>
                <w:bCs/>
                <w:kern w:val="0"/>
                <w:sz w:val="21"/>
                <w:szCs w:val="21"/>
              </w:rPr>
              <w:t>表</w:t>
            </w:r>
            <w:r>
              <w:rPr>
                <w:rFonts w:hint="eastAsia"/>
                <w:b/>
                <w:bCs/>
                <w:kern w:val="0"/>
                <w:sz w:val="21"/>
                <w:szCs w:val="21"/>
                <w:lang w:val="en-US" w:eastAsia="zh-CN"/>
              </w:rPr>
              <w:t>3-2</w:t>
            </w:r>
            <w:r>
              <w:rPr>
                <w:b/>
                <w:bCs/>
                <w:kern w:val="0"/>
                <w:sz w:val="21"/>
                <w:szCs w:val="21"/>
              </w:rPr>
              <w:t xml:space="preserve"> </w:t>
            </w:r>
            <w:r>
              <w:rPr>
                <w:bCs/>
                <w:kern w:val="0"/>
                <w:sz w:val="21"/>
                <w:szCs w:val="21"/>
              </w:rPr>
              <w:t xml:space="preserve"> </w:t>
            </w:r>
            <w:r>
              <w:rPr>
                <w:b/>
                <w:bCs w:val="0"/>
                <w:kern w:val="0"/>
                <w:sz w:val="21"/>
                <w:szCs w:val="21"/>
              </w:rPr>
              <w:t xml:space="preserve">    </w:t>
            </w:r>
            <w:r>
              <w:rPr>
                <w:rFonts w:hint="default"/>
                <w:b/>
                <w:bCs w:val="0"/>
                <w:kern w:val="0"/>
                <w:sz w:val="21"/>
                <w:szCs w:val="21"/>
              </w:rPr>
              <w:t xml:space="preserve">项目区声环境质量现状监测结果及评价结果表 </w:t>
            </w:r>
            <w:r>
              <w:rPr>
                <w:b/>
                <w:bCs w:val="0"/>
                <w:kern w:val="0"/>
                <w:sz w:val="21"/>
                <w:szCs w:val="21"/>
              </w:rPr>
              <w:t xml:space="preserve"> </w:t>
            </w:r>
            <w:r>
              <w:rPr>
                <w:bCs/>
                <w:kern w:val="0"/>
                <w:sz w:val="21"/>
                <w:szCs w:val="21"/>
              </w:rPr>
              <w:t xml:space="preserve">     </w:t>
            </w:r>
            <w:r>
              <w:rPr>
                <w:b/>
                <w:bCs/>
                <w:kern w:val="0"/>
                <w:sz w:val="21"/>
                <w:szCs w:val="21"/>
              </w:rPr>
              <w:t>单位：dB</w:t>
            </w:r>
            <w:r>
              <w:rPr>
                <w:rFonts w:hint="eastAsia"/>
                <w:b/>
                <w:bCs/>
                <w:kern w:val="0"/>
                <w:sz w:val="21"/>
                <w:szCs w:val="21"/>
              </w:rPr>
              <w:t>（</w:t>
            </w:r>
            <w:r>
              <w:rPr>
                <w:b/>
                <w:bCs/>
                <w:kern w:val="0"/>
                <w:sz w:val="21"/>
                <w:szCs w:val="21"/>
              </w:rPr>
              <w:t>A</w:t>
            </w:r>
            <w:r>
              <w:rPr>
                <w:rFonts w:hint="eastAsia"/>
                <w:b/>
                <w:bCs/>
                <w:kern w:val="0"/>
                <w:sz w:val="21"/>
                <w:szCs w:val="21"/>
              </w:rPr>
              <w:t>）</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426"/>
              <w:gridCol w:w="519"/>
              <w:gridCol w:w="1131"/>
              <w:gridCol w:w="1176"/>
              <w:gridCol w:w="773"/>
              <w:gridCol w:w="778"/>
              <w:gridCol w:w="795"/>
              <w:gridCol w:w="78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61" w:type="pct"/>
                  <w:vMerge w:val="restart"/>
                  <w:noWrap w:val="0"/>
                  <w:vAlign w:val="center"/>
                </w:tcPr>
                <w:p>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lang w:val="en-US" w:eastAsia="zh-CN"/>
                    </w:rPr>
                  </w:pPr>
                  <w:r>
                    <w:rPr>
                      <w:rFonts w:hint="default" w:ascii="Times New Roman" w:hAnsi="Times New Roman" w:eastAsia="宋体" w:cs="Times New Roman"/>
                      <w:snapToGrid w:val="0"/>
                      <w:kern w:val="0"/>
                      <w:sz w:val="21"/>
                      <w:szCs w:val="21"/>
                      <w:lang w:val="en-US" w:eastAsia="zh-CN"/>
                    </w:rPr>
                    <w:t>监测时间</w:t>
                  </w:r>
                </w:p>
              </w:tc>
              <w:tc>
                <w:tcPr>
                  <w:tcW w:w="256" w:type="pct"/>
                  <w:vMerge w:val="restart"/>
                  <w:noWrap w:val="0"/>
                  <w:vAlign w:val="center"/>
                </w:tcPr>
                <w:p>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监测点</w:t>
                  </w:r>
                </w:p>
              </w:tc>
              <w:tc>
                <w:tcPr>
                  <w:tcW w:w="349" w:type="pct"/>
                  <w:vMerge w:val="restart"/>
                  <w:noWrap w:val="0"/>
                  <w:vAlign w:val="center"/>
                </w:tcPr>
                <w:p>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lang w:val="en-US" w:eastAsia="zh-CN"/>
                    </w:rPr>
                    <w:t>相对场址方位</w:t>
                  </w:r>
                </w:p>
              </w:tc>
              <w:tc>
                <w:tcPr>
                  <w:tcW w:w="1538" w:type="pct"/>
                  <w:gridSpan w:val="2"/>
                  <w:noWrap w:val="0"/>
                  <w:vAlign w:val="center"/>
                </w:tcPr>
                <w:p>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监测值</w:t>
                  </w:r>
                </w:p>
              </w:tc>
              <w:tc>
                <w:tcPr>
                  <w:tcW w:w="1037" w:type="pct"/>
                  <w:gridSpan w:val="2"/>
                  <w:noWrap w:val="0"/>
                  <w:vAlign w:val="center"/>
                </w:tcPr>
                <w:p>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标准值</w:t>
                  </w:r>
                </w:p>
              </w:tc>
              <w:tc>
                <w:tcPr>
                  <w:tcW w:w="1056" w:type="pct"/>
                  <w:gridSpan w:val="2"/>
                  <w:noWrap w:val="0"/>
                  <w:vAlign w:val="center"/>
                </w:tcPr>
                <w:p>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评价结论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61" w:type="pct"/>
                  <w:vMerge w:val="continue"/>
                  <w:noWrap w:val="0"/>
                  <w:vAlign w:val="center"/>
                </w:tcPr>
                <w:p>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rPr>
                  </w:pPr>
                </w:p>
              </w:tc>
              <w:tc>
                <w:tcPr>
                  <w:tcW w:w="256" w:type="pct"/>
                  <w:vMerge w:val="continue"/>
                  <w:noWrap w:val="0"/>
                  <w:vAlign w:val="center"/>
                </w:tcPr>
                <w:p>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rPr>
                  </w:pPr>
                </w:p>
              </w:tc>
              <w:tc>
                <w:tcPr>
                  <w:tcW w:w="349" w:type="pct"/>
                  <w:vMerge w:val="continue"/>
                  <w:noWrap w:val="0"/>
                  <w:vAlign w:val="center"/>
                </w:tcPr>
                <w:p>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rPr>
                  </w:pPr>
                </w:p>
              </w:tc>
              <w:tc>
                <w:tcPr>
                  <w:tcW w:w="754" w:type="pct"/>
                  <w:noWrap w:val="0"/>
                  <w:vAlign w:val="center"/>
                </w:tcPr>
                <w:p>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昼间</w:t>
                  </w:r>
                  <w:r>
                    <w:rPr>
                      <w:rFonts w:hint="default" w:ascii="Times New Roman" w:hAnsi="Times New Roman" w:eastAsia="宋体" w:cs="Times New Roman"/>
                      <w:sz w:val="21"/>
                      <w:szCs w:val="21"/>
                    </w:rPr>
                    <w:t>dB(A)</w:t>
                  </w:r>
                </w:p>
              </w:tc>
              <w:tc>
                <w:tcPr>
                  <w:tcW w:w="784" w:type="pct"/>
                  <w:noWrap w:val="0"/>
                  <w:vAlign w:val="center"/>
                </w:tcPr>
                <w:p>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夜间</w:t>
                  </w:r>
                  <w:r>
                    <w:rPr>
                      <w:rFonts w:hint="default" w:ascii="Times New Roman" w:hAnsi="Times New Roman" w:eastAsia="宋体" w:cs="Times New Roman"/>
                      <w:sz w:val="21"/>
                      <w:szCs w:val="21"/>
                    </w:rPr>
                    <w:t>dB(A)</w:t>
                  </w:r>
                </w:p>
              </w:tc>
              <w:tc>
                <w:tcPr>
                  <w:tcW w:w="517" w:type="pct"/>
                  <w:noWrap w:val="0"/>
                  <w:vAlign w:val="center"/>
                </w:tcPr>
                <w:p>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昼间</w:t>
                  </w:r>
                  <w:r>
                    <w:rPr>
                      <w:rFonts w:hint="default" w:ascii="Times New Roman" w:hAnsi="Times New Roman" w:eastAsia="宋体" w:cs="Times New Roman"/>
                      <w:sz w:val="21"/>
                      <w:szCs w:val="21"/>
                    </w:rPr>
                    <w:t>dB(A)</w:t>
                  </w:r>
                </w:p>
              </w:tc>
              <w:tc>
                <w:tcPr>
                  <w:tcW w:w="520" w:type="pct"/>
                  <w:noWrap w:val="0"/>
                  <w:vAlign w:val="center"/>
                </w:tcPr>
                <w:p>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夜间</w:t>
                  </w:r>
                  <w:r>
                    <w:rPr>
                      <w:rFonts w:hint="default" w:ascii="Times New Roman" w:hAnsi="Times New Roman" w:eastAsia="宋体" w:cs="Times New Roman"/>
                      <w:sz w:val="21"/>
                      <w:szCs w:val="21"/>
                    </w:rPr>
                    <w:t>dB(A)</w:t>
                  </w:r>
                </w:p>
              </w:tc>
              <w:tc>
                <w:tcPr>
                  <w:tcW w:w="531" w:type="pct"/>
                  <w:noWrap w:val="0"/>
                  <w:vAlign w:val="center"/>
                </w:tcPr>
                <w:p>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昼间</w:t>
                  </w:r>
                  <w:r>
                    <w:rPr>
                      <w:rFonts w:hint="default" w:ascii="Times New Roman" w:hAnsi="Times New Roman" w:eastAsia="宋体" w:cs="Times New Roman"/>
                      <w:sz w:val="21"/>
                      <w:szCs w:val="21"/>
                    </w:rPr>
                    <w:t>dB(A)</w:t>
                  </w:r>
                </w:p>
              </w:tc>
              <w:tc>
                <w:tcPr>
                  <w:tcW w:w="525" w:type="pct"/>
                  <w:noWrap w:val="0"/>
                  <w:vAlign w:val="center"/>
                </w:tcPr>
                <w:p>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夜间</w:t>
                  </w:r>
                  <w:r>
                    <w:rPr>
                      <w:rFonts w:hint="default" w:ascii="Times New Roman" w:hAnsi="Times New Roman" w:eastAsia="宋体" w:cs="Times New Roman"/>
                      <w:sz w:val="21"/>
                      <w:szCs w:val="21"/>
                    </w:rPr>
                    <w:t>dB(A)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761" w:type="pct"/>
                  <w:noWrap w:val="0"/>
                  <w:vAlign w:val="center"/>
                </w:tcPr>
                <w:p>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202</w:t>
                  </w:r>
                  <w:r>
                    <w:rPr>
                      <w:rFonts w:hint="eastAsia" w:ascii="Times New Roman" w:cs="Times New Roman"/>
                      <w:snapToGrid w:val="0"/>
                      <w:kern w:val="0"/>
                      <w:sz w:val="21"/>
                      <w:szCs w:val="21"/>
                      <w:highlight w:val="none"/>
                      <w:lang w:val="en-US" w:eastAsia="zh-CN"/>
                    </w:rPr>
                    <w:t>6</w:t>
                  </w:r>
                  <w:r>
                    <w:rPr>
                      <w:rFonts w:hint="default" w:ascii="Times New Roman" w:hAnsi="Times New Roman" w:eastAsia="宋体" w:cs="Times New Roman"/>
                      <w:snapToGrid w:val="0"/>
                      <w:kern w:val="0"/>
                      <w:sz w:val="21"/>
                      <w:szCs w:val="21"/>
                      <w:highlight w:val="none"/>
                      <w:lang w:val="en-US" w:eastAsia="zh-CN"/>
                    </w:rPr>
                    <w:t>.05.2</w:t>
                  </w:r>
                  <w:r>
                    <w:rPr>
                      <w:rFonts w:hint="eastAsia" w:ascii="Times New Roman" w:cs="Times New Roman"/>
                      <w:snapToGrid w:val="0"/>
                      <w:kern w:val="0"/>
                      <w:sz w:val="21"/>
                      <w:szCs w:val="21"/>
                      <w:highlight w:val="none"/>
                      <w:lang w:val="en-US" w:eastAsia="zh-CN"/>
                    </w:rPr>
                    <w:t>6</w:t>
                  </w:r>
                </w:p>
              </w:tc>
              <w:tc>
                <w:tcPr>
                  <w:tcW w:w="256" w:type="pct"/>
                  <w:noWrap w:val="0"/>
                  <w:vAlign w:val="center"/>
                </w:tcPr>
                <w:p>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1#敏感点</w:t>
                  </w:r>
                </w:p>
              </w:tc>
              <w:tc>
                <w:tcPr>
                  <w:tcW w:w="349" w:type="pct"/>
                  <w:noWrap w:val="0"/>
                  <w:vAlign w:val="center"/>
                </w:tcPr>
                <w:p>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东侧</w:t>
                  </w:r>
                </w:p>
              </w:tc>
              <w:tc>
                <w:tcPr>
                  <w:tcW w:w="754" w:type="pct"/>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highlight w:val="none"/>
                      <w:lang w:val="en-US" w:eastAsia="zh-CN"/>
                    </w:rPr>
                  </w:pPr>
                  <w:r>
                    <w:rPr>
                      <w:rFonts w:hint="eastAsia" w:cs="Times New Roman"/>
                      <w:color w:val="auto"/>
                      <w:szCs w:val="21"/>
                      <w:highlight w:val="none"/>
                      <w:lang w:val="en-US" w:eastAsia="zh-CN"/>
                    </w:rPr>
                    <w:t>48</w:t>
                  </w:r>
                </w:p>
              </w:tc>
              <w:tc>
                <w:tcPr>
                  <w:tcW w:w="784" w:type="pct"/>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color w:val="auto"/>
                      <w:szCs w:val="21"/>
                      <w:highlight w:val="none"/>
                      <w:lang w:val="en-US" w:eastAsia="zh-CN"/>
                    </w:rPr>
                    <w:t>4</w:t>
                  </w:r>
                  <w:r>
                    <w:rPr>
                      <w:rFonts w:hint="eastAsia" w:cs="Times New Roman"/>
                      <w:color w:val="auto"/>
                      <w:szCs w:val="21"/>
                      <w:highlight w:val="none"/>
                      <w:lang w:val="en-US" w:eastAsia="zh-CN"/>
                    </w:rPr>
                    <w:t>1</w:t>
                  </w:r>
                </w:p>
              </w:tc>
              <w:tc>
                <w:tcPr>
                  <w:tcW w:w="517" w:type="pct"/>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lang w:val="en-US" w:eastAsia="zh-CN"/>
                    </w:rPr>
                  </w:pPr>
                  <w:r>
                    <w:rPr>
                      <w:rFonts w:hint="eastAsia" w:ascii="Times New Roman" w:hAnsi="Times New Roman" w:eastAsia="宋体" w:cs="Times New Roman"/>
                      <w:lang w:val="en-US" w:eastAsia="zh-CN"/>
                    </w:rPr>
                    <w:t>60</w:t>
                  </w:r>
                </w:p>
              </w:tc>
              <w:tc>
                <w:tcPr>
                  <w:tcW w:w="520" w:type="pct"/>
                  <w:noWrap w:val="0"/>
                  <w:vAlign w:val="center"/>
                </w:tcPr>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lang w:val="en-US" w:eastAsia="zh-CN"/>
                    </w:rPr>
                  </w:pPr>
                  <w:r>
                    <w:rPr>
                      <w:rFonts w:hint="eastAsia" w:ascii="Times New Roman" w:hAnsi="Times New Roman" w:eastAsia="宋体" w:cs="Times New Roman"/>
                      <w:lang w:val="en-US" w:eastAsia="zh-CN"/>
                    </w:rPr>
                    <w:t>50</w:t>
                  </w:r>
                </w:p>
              </w:tc>
              <w:tc>
                <w:tcPr>
                  <w:tcW w:w="531" w:type="pct"/>
                  <w:noWrap w:val="0"/>
                  <w:vAlign w:val="center"/>
                </w:tcPr>
                <w:p>
                  <w:pPr>
                    <w:pStyle w:val="15"/>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 w:val="21"/>
                      <w:szCs w:val="21"/>
                    </w:rPr>
                  </w:pPr>
                  <w:r>
                    <w:rPr>
                      <w:rFonts w:hint="default" w:ascii="Times New Roman" w:hAnsi="Times New Roman" w:eastAsia="宋体" w:cs="Times New Roman"/>
                      <w:snapToGrid w:val="0"/>
                      <w:kern w:val="0"/>
                      <w:sz w:val="21"/>
                      <w:szCs w:val="21"/>
                    </w:rPr>
                    <w:t>达标</w:t>
                  </w:r>
                </w:p>
              </w:tc>
              <w:tc>
                <w:tcPr>
                  <w:tcW w:w="525"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napToGrid w:val="0"/>
                      <w:kern w:val="0"/>
                      <w:szCs w:val="21"/>
                    </w:rPr>
                  </w:pPr>
                  <w:r>
                    <w:rPr>
                      <w:rFonts w:hint="default" w:ascii="Times New Roman" w:hAnsi="Times New Roman" w:eastAsia="宋体" w:cs="Times New Roman"/>
                      <w:snapToGrid w:val="0"/>
                      <w:kern w:val="0"/>
                      <w:szCs w:val="21"/>
                    </w:rPr>
                    <w:t>达标</w:t>
                  </w:r>
                </w:p>
              </w:tc>
            </w:tr>
          </w:tbl>
          <w:p>
            <w:pPr>
              <w:adjustRightInd w:val="0"/>
              <w:snapToGrid w:val="0"/>
              <w:spacing w:line="360" w:lineRule="auto"/>
              <w:ind w:firstLine="480" w:firstLineChars="200"/>
              <w:rPr>
                <w:rFonts w:hint="eastAsia" w:ascii="宋体" w:hAnsi="宋体" w:cs="宋体"/>
                <w:kern w:val="0"/>
                <w:sz w:val="24"/>
              </w:rPr>
            </w:pPr>
            <w:r>
              <w:rPr>
                <w:rFonts w:hint="eastAsia"/>
                <w:bCs/>
                <w:sz w:val="24"/>
                <w:lang w:eastAsia="zh-CN"/>
              </w:rPr>
              <w:t>由上表可知</w:t>
            </w:r>
            <w:r>
              <w:rPr>
                <w:rFonts w:hint="eastAsia"/>
                <w:bCs/>
                <w:sz w:val="24"/>
              </w:rPr>
              <w:t>，项目厂界声环境质量现状能满足《声环境质量标准》（GB 3096</w:t>
            </w:r>
            <w:r>
              <w:rPr>
                <w:rFonts w:hint="eastAsia"/>
              </w:rPr>
              <w:t>—</w:t>
            </w:r>
            <w:r>
              <w:rPr>
                <w:rFonts w:hint="eastAsia"/>
                <w:bCs/>
                <w:sz w:val="24"/>
              </w:rPr>
              <w:t>2008）</w:t>
            </w:r>
            <w:r>
              <w:rPr>
                <w:rFonts w:hint="eastAsia"/>
                <w:bCs/>
                <w:sz w:val="24"/>
                <w:lang w:val="en-US" w:eastAsia="zh-CN"/>
              </w:rPr>
              <w:t>2</w:t>
            </w:r>
            <w:r>
              <w:rPr>
                <w:rFonts w:hint="eastAsia"/>
                <w:bCs/>
                <w:sz w:val="24"/>
              </w:rPr>
              <w:t>类（即昼间6</w:t>
            </w:r>
            <w:r>
              <w:rPr>
                <w:rFonts w:hint="eastAsia"/>
                <w:bCs/>
                <w:sz w:val="24"/>
                <w:lang w:val="en-US" w:eastAsia="zh-CN"/>
              </w:rPr>
              <w:t>0</w:t>
            </w:r>
            <w:r>
              <w:rPr>
                <w:rFonts w:hint="eastAsia"/>
                <w:bCs/>
                <w:sz w:val="24"/>
              </w:rPr>
              <w:t>dB（A），夜间5</w:t>
            </w:r>
            <w:r>
              <w:rPr>
                <w:rFonts w:hint="eastAsia"/>
                <w:bCs/>
                <w:sz w:val="24"/>
                <w:lang w:val="en-US" w:eastAsia="zh-CN"/>
              </w:rPr>
              <w:t>0</w:t>
            </w:r>
            <w:r>
              <w:rPr>
                <w:rFonts w:hint="eastAsia"/>
                <w:bCs/>
                <w:sz w:val="24"/>
              </w:rPr>
              <w:t>dB（A））标准。</w:t>
            </w:r>
          </w:p>
          <w:p>
            <w:pPr>
              <w:keepNext w:val="0"/>
              <w:keepLines w:val="0"/>
              <w:pageBreakBefore w:val="0"/>
              <w:widowControl w:val="0"/>
              <w:kinsoku/>
              <w:wordWrap/>
              <w:overflowPunct/>
              <w:topLinePunct w:val="0"/>
              <w:autoSpaceDE/>
              <w:autoSpaceDN/>
              <w:bidi w:val="0"/>
              <w:spacing w:line="360" w:lineRule="auto"/>
              <w:textAlignment w:val="auto"/>
              <w:rPr>
                <w:rFonts w:hint="default" w:ascii="Times New Roman" w:hAnsi="Times New Roman" w:cs="Times New Roman"/>
                <w:b/>
                <w:color w:val="000000" w:themeColor="text1"/>
                <w:sz w:val="24"/>
                <w:szCs w:val="24"/>
                <w:highlight w:val="none"/>
                <w:lang w:val="en-US" w:eastAsia="zh-CN"/>
                <w14:textFill>
                  <w14:solidFill>
                    <w14:schemeClr w14:val="tx1"/>
                  </w14:solidFill>
                </w14:textFill>
              </w:rPr>
            </w:pPr>
            <w:r>
              <w:rPr>
                <w:rFonts w:hint="eastAsia" w:cs="Times New Roman"/>
                <w:b/>
                <w:color w:val="000000" w:themeColor="text1"/>
                <w:sz w:val="24"/>
                <w:szCs w:val="24"/>
                <w:highlight w:val="none"/>
                <w:lang w:val="en-US" w:eastAsia="zh-CN"/>
                <w14:textFill>
                  <w14:solidFill>
                    <w14:schemeClr w14:val="tx1"/>
                  </w14:solidFill>
                </w14:textFill>
              </w:rPr>
              <w:t>3.4生态环境现状</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b/>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本项目位于库尔勒市城建区内，不涉及生态环境保护目标，故不进行生态现状调查。</w:t>
            </w:r>
          </w:p>
          <w:p>
            <w:pPr>
              <w:keepNext w:val="0"/>
              <w:keepLines w:val="0"/>
              <w:pageBreakBefore w:val="0"/>
              <w:widowControl w:val="0"/>
              <w:kinsoku/>
              <w:wordWrap/>
              <w:overflowPunct/>
              <w:topLinePunct w:val="0"/>
              <w:autoSpaceDE/>
              <w:autoSpaceDN/>
              <w:bidi w:val="0"/>
              <w:spacing w:line="360" w:lineRule="auto"/>
              <w:textAlignment w:val="auto"/>
              <w:rPr>
                <w:rFonts w:hint="default" w:ascii="Times New Roman" w:hAnsi="Times New Roman" w:cs="Times New Roman"/>
                <w:b/>
                <w:color w:val="000000" w:themeColor="text1"/>
                <w:sz w:val="24"/>
                <w:szCs w:val="24"/>
                <w:highlight w:val="none"/>
                <w14:textFill>
                  <w14:solidFill>
                    <w14:schemeClr w14:val="tx1"/>
                  </w14:solidFill>
                </w14:textFill>
              </w:rPr>
            </w:pPr>
            <w:r>
              <w:rPr>
                <w:rFonts w:hint="default" w:ascii="Times New Roman" w:hAnsi="Times New Roman" w:cs="Times New Roman"/>
                <w:b/>
                <w:color w:val="000000" w:themeColor="text1"/>
                <w:sz w:val="24"/>
                <w:szCs w:val="24"/>
                <w:highlight w:val="none"/>
                <w:lang w:val="en-US" w:eastAsia="zh-CN"/>
                <w14:textFill>
                  <w14:solidFill>
                    <w14:schemeClr w14:val="tx1"/>
                  </w14:solidFill>
                </w14:textFill>
              </w:rPr>
              <w:t>3.5地下水、土壤环境现状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outlineLvl w:val="9"/>
              <w:rPr>
                <w:rFonts w:hint="default"/>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根据《建设项目环境影响报告表编制技术指南（污染影响类）（试行）》：</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地下水、土壤环境，原则上不开展环境质量现状调查，建设项目存在土壤、地下水环境污染途径的，应结合污染源、保护目标分布情况开展现状调查以留作背景值</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。项目在设计过程中已经按照《危险废物贮存污染控制标准》（GB18597-2023）设计了防渗措施，正常工况下不存在地下水污染途径。故不开展地下水及土壤现状调查。</w:t>
            </w: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bCs/>
                <w:color w:val="000000" w:themeColor="text1"/>
                <w:sz w:val="24"/>
                <w:szCs w:val="24"/>
                <w:highlight w:val="none"/>
                <w:lang w:val="en-US" w:eastAsia="zh-CN"/>
                <w14:textFill>
                  <w14:solidFill>
                    <w14:schemeClr w14:val="tx1"/>
                  </w14:solidFill>
                </w14:textFill>
              </w:rPr>
              <w:t>3.6</w:t>
            </w:r>
            <w:r>
              <w:rPr>
                <w:rFonts w:hint="default" w:ascii="Times New Roman" w:hAnsi="Times New Roman" w:eastAsia="宋体" w:cs="Times New Roman"/>
                <w:b/>
                <w:bCs/>
                <w:kern w:val="2"/>
                <w:sz w:val="24"/>
                <w:szCs w:val="32"/>
                <w:lang w:val="en-US" w:eastAsia="zh-CN" w:bidi="ar-SA"/>
              </w:rPr>
              <w:t>土地沙化现状</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根据《新疆第六次沙化监测报告》本项目位于新</w:t>
            </w:r>
            <w:r>
              <w:rPr>
                <w:rFonts w:hint="eastAsia" w:cs="Times New Roman"/>
                <w:color w:val="000000" w:themeColor="text1"/>
                <w:sz w:val="24"/>
                <w:szCs w:val="24"/>
                <w:highlight w:val="none"/>
                <w:lang w:val="en-US" w:eastAsia="zh-CN"/>
                <w14:textFill>
                  <w14:solidFill>
                    <w14:schemeClr w14:val="tx1"/>
                  </w14:solidFill>
                </w14:textFill>
              </w:rPr>
              <w:t>疆巴音郭楞蒙古自治州</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库尔勒市民生路天福名庭商铺55-24号，</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不属于沙化土地</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eastAsia" w:ascii="Times New Roman" w:hAnsi="Times New Roman" w:eastAsia="宋体" w:cs="Times New Roman"/>
                <w:b/>
                <w:bCs/>
                <w:color w:val="000000" w:themeColor="text1"/>
                <w:sz w:val="24"/>
                <w:szCs w:val="24"/>
                <w:highlight w:val="none"/>
                <w:lang w:val="en-US" w:eastAsia="zh-CN"/>
                <w14:textFill>
                  <w14:solidFill>
                    <w14:schemeClr w14:val="tx1"/>
                  </w14:solidFill>
                </w14:textFill>
              </w:rPr>
              <w:t>项目在防沙固沙区分布图相对位置见附图5。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444" w:type="pct"/>
            <w:noWrap w:val="0"/>
            <w:vAlign w:val="center"/>
          </w:tcPr>
          <w:p>
            <w:pPr>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环境</w:t>
            </w:r>
          </w:p>
          <w:p>
            <w:pPr>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保护</w:t>
            </w:r>
          </w:p>
          <w:p>
            <w:pPr>
              <w:adjustRightInd w:val="0"/>
              <w:snapToGrid w:val="0"/>
              <w:jc w:val="center"/>
              <w:rPr>
                <w:rFonts w:hint="default" w:ascii="Times New Roman" w:hAnsi="Times New Roman" w:cs="Times New Roman"/>
                <w:color w:val="FF0000"/>
                <w:kern w:val="0"/>
                <w:szCs w:val="21"/>
              </w:rPr>
            </w:pPr>
            <w:r>
              <w:rPr>
                <w:rFonts w:hint="default" w:ascii="Times New Roman" w:hAnsi="Times New Roman" w:cs="Times New Roman"/>
                <w:color w:val="000000" w:themeColor="text1"/>
                <w:kern w:val="0"/>
                <w:sz w:val="24"/>
                <w:szCs w:val="24"/>
                <w14:textFill>
                  <w14:solidFill>
                    <w14:schemeClr w14:val="tx1"/>
                  </w14:solidFill>
                </w14:textFill>
              </w:rPr>
              <w:t>目标</w:t>
            </w:r>
          </w:p>
        </w:tc>
        <w:tc>
          <w:tcPr>
            <w:tcW w:w="4555" w:type="pct"/>
            <w:noWrap w:val="0"/>
            <w:vAlign w:val="center"/>
          </w:tcPr>
          <w:p>
            <w:pPr>
              <w:spacing w:before="120" w:beforeLines="50" w:line="360" w:lineRule="auto"/>
              <w:rPr>
                <w:rFonts w:hint="default" w:ascii="Times New Roman" w:hAnsi="Times New Roman" w:cs="Times New Roman"/>
                <w:b/>
                <w:bCs/>
                <w:color w:val="000000" w:themeColor="text1"/>
                <w:sz w:val="24"/>
                <w:highlight w:val="none"/>
                <w14:textFill>
                  <w14:solidFill>
                    <w14:schemeClr w14:val="tx1"/>
                  </w14:solidFill>
                </w14:textFill>
              </w:rPr>
            </w:pPr>
            <w:r>
              <w:rPr>
                <w:rFonts w:hint="default" w:ascii="Times New Roman" w:hAnsi="Times New Roman" w:cs="Times New Roman"/>
                <w:b/>
                <w:bCs/>
                <w:color w:val="000000" w:themeColor="text1"/>
                <w:sz w:val="24"/>
                <w:highlight w:val="none"/>
                <w14:textFill>
                  <w14:solidFill>
                    <w14:schemeClr w14:val="tx1"/>
                  </w14:solidFill>
                </w14:textFill>
              </w:rPr>
              <w:t>主要环境保护目标（列出名单及保护级别）：</w:t>
            </w:r>
          </w:p>
          <w:p>
            <w:pPr>
              <w:numPr>
                <w:ilvl w:val="0"/>
                <w:numId w:val="0"/>
              </w:numPr>
              <w:adjustRightInd w:val="0"/>
              <w:snapToGrid w:val="0"/>
              <w:spacing w:line="360" w:lineRule="auto"/>
              <w:ind w:firstLine="480" w:firstLineChars="200"/>
              <w:jc w:val="both"/>
              <w:rPr>
                <w:rFonts w:hint="default" w:ascii="Times New Roman" w:hAnsi="Times New Roman" w:cs="Times New Roman"/>
                <w:color w:val="000000" w:themeColor="text1"/>
                <w:sz w:val="24"/>
                <w:highlight w:val="none"/>
                <w:lang w:val="en-US" w:eastAsia="zh-CN"/>
                <w14:textFill>
                  <w14:solidFill>
                    <w14:schemeClr w14:val="tx1"/>
                  </w14:solidFill>
                </w14:textFill>
              </w:rPr>
            </w:pPr>
            <w:r>
              <w:rPr>
                <w:rFonts w:hint="eastAsia" w:cs="Times New Roman"/>
                <w:color w:val="000000" w:themeColor="text1"/>
                <w:sz w:val="24"/>
                <w:highlight w:val="none"/>
                <w:lang w:val="en-US" w:eastAsia="zh-CN"/>
                <w14:textFill>
                  <w14:solidFill>
                    <w14:schemeClr w14:val="tx1"/>
                  </w14:solidFill>
                </w14:textFill>
              </w:rPr>
              <w:t>项</w:t>
            </w:r>
            <w:r>
              <w:rPr>
                <w:rFonts w:hint="default" w:ascii="Times New Roman" w:hAnsi="Times New Roman" w:cs="Times New Roman"/>
                <w:color w:val="000000" w:themeColor="text1"/>
                <w:sz w:val="24"/>
                <w:highlight w:val="none"/>
                <w:lang w:val="en-US" w:eastAsia="zh-CN"/>
                <w14:textFill>
                  <w14:solidFill>
                    <w14:schemeClr w14:val="tx1"/>
                  </w14:solidFill>
                </w14:textFill>
              </w:rPr>
              <w:t>目周边50m范围内声环境敏感目标为</w:t>
            </w:r>
            <w:r>
              <w:rPr>
                <w:rFonts w:hint="eastAsia" w:cs="Times New Roman"/>
                <w:color w:val="000000" w:themeColor="text1"/>
                <w:sz w:val="24"/>
                <w:highlight w:val="none"/>
                <w:lang w:val="en-US" w:eastAsia="zh-CN"/>
                <w14:textFill>
                  <w14:solidFill>
                    <w14:schemeClr w14:val="tx1"/>
                  </w14:solidFill>
                </w14:textFill>
              </w:rPr>
              <w:t>天福名庭</w:t>
            </w:r>
            <w:r>
              <w:rPr>
                <w:rFonts w:hint="default" w:ascii="Times New Roman" w:hAnsi="Times New Roman" w:cs="Times New Roman"/>
                <w:color w:val="000000" w:themeColor="text1"/>
                <w:sz w:val="24"/>
                <w:highlight w:val="none"/>
                <w:lang w:val="en-US" w:eastAsia="zh-CN"/>
                <w14:textFill>
                  <w14:solidFill>
                    <w14:schemeClr w14:val="tx1"/>
                  </w14:solidFill>
                </w14:textFill>
              </w:rPr>
              <w:t>小区，项目周边500m范围内大气环境敏感目标为天福名庭小区、圣马润泽园</w:t>
            </w:r>
            <w:r>
              <w:rPr>
                <w:rFonts w:hint="eastAsia" w:cs="Times New Roman"/>
                <w:color w:val="000000" w:themeColor="text1"/>
                <w:sz w:val="24"/>
                <w:highlight w:val="none"/>
                <w:lang w:val="en-US" w:eastAsia="zh-CN"/>
                <w14:textFill>
                  <w14:solidFill>
                    <w14:schemeClr w14:val="tx1"/>
                  </w14:solidFill>
                </w14:textFill>
              </w:rPr>
              <w:t>小区</w:t>
            </w:r>
            <w:r>
              <w:rPr>
                <w:rFonts w:hint="default" w:ascii="Times New Roman" w:hAnsi="Times New Roman" w:cs="Times New Roman"/>
                <w:color w:val="000000" w:themeColor="text1"/>
                <w:sz w:val="24"/>
                <w:highlight w:val="none"/>
                <w:lang w:val="en-US" w:eastAsia="zh-CN"/>
                <w14:textFill>
                  <w14:solidFill>
                    <w14:schemeClr w14:val="tx1"/>
                  </w14:solidFill>
                </w14:textFill>
              </w:rPr>
              <w:t>、博雅家园小区、昱景苑小区</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坤源美地公寓</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在建七星·星河湾小区</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名仕华府小区</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库尔勒市融媒体中心</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华景BOBO小区</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cs="Times New Roman"/>
                <w:color w:val="000000" w:themeColor="text1"/>
                <w:sz w:val="24"/>
                <w:highlight w:val="none"/>
                <w:lang w:val="en-US" w:eastAsia="zh-CN"/>
                <w14:textFill>
                  <w14:solidFill>
                    <w14:schemeClr w14:val="tx1"/>
                  </w14:solidFill>
                </w14:textFill>
              </w:rPr>
              <w:t>美克家园小区，本项目环境敏感保护目标见下表，</w:t>
            </w:r>
            <w:r>
              <w:rPr>
                <w:rFonts w:hint="eastAsia" w:ascii="Times New Roman" w:hAnsi="Times New Roman" w:eastAsia="宋体" w:cs="Times New Roman"/>
                <w:b/>
                <w:bCs/>
                <w:snapToGrid w:val="0"/>
                <w:color w:val="000000" w:themeColor="text1"/>
                <w:kern w:val="0"/>
                <w:sz w:val="24"/>
                <w:szCs w:val="24"/>
                <w:lang w:val="en-US" w:eastAsia="zh-CN" w:bidi="ar-SA"/>
                <w14:textFill>
                  <w14:solidFill>
                    <w14:schemeClr w14:val="tx1"/>
                  </w14:solidFill>
                </w14:textFill>
              </w:rPr>
              <w:t>敏感点分布图</w:t>
            </w:r>
            <w:r>
              <w:rPr>
                <w:rFonts w:hint="default" w:ascii="Times New Roman" w:hAnsi="Times New Roman" w:eastAsia="宋体" w:cs="Times New Roman"/>
                <w:b/>
                <w:bCs/>
                <w:snapToGrid w:val="0"/>
                <w:color w:val="000000" w:themeColor="text1"/>
                <w:kern w:val="0"/>
                <w:sz w:val="24"/>
                <w:szCs w:val="24"/>
                <w:lang w:val="en-US" w:eastAsia="zh-CN" w:bidi="ar-SA"/>
                <w14:textFill>
                  <w14:solidFill>
                    <w14:schemeClr w14:val="tx1"/>
                  </w14:solidFill>
                </w14:textFill>
              </w:rPr>
              <w:t>见附图6、7</w:t>
            </w:r>
            <w:r>
              <w:rPr>
                <w:rFonts w:hint="default" w:ascii="Times New Roman" w:hAnsi="Times New Roman" w:cs="Times New Roman"/>
                <w:color w:val="000000" w:themeColor="text1"/>
                <w:sz w:val="24"/>
                <w:highlight w:val="none"/>
                <w:lang w:val="en-US" w:eastAsia="zh-CN"/>
                <w14:textFill>
                  <w14:solidFill>
                    <w14:schemeClr w14:val="tx1"/>
                  </w14:solidFill>
                </w14:textFill>
              </w:rPr>
              <w:t>。</w:t>
            </w:r>
          </w:p>
          <w:p>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2" w:firstLineChars="200"/>
              <w:jc w:val="both"/>
              <w:textAlignment w:val="auto"/>
              <w:rPr>
                <w:rFonts w:hint="default" w:ascii="Times New Roman" w:hAnsi="Times New Roman" w:eastAsia="宋体" w:cs="Times New Roman"/>
                <w:b/>
                <w:bCs w:val="0"/>
                <w:color w:val="auto"/>
                <w:sz w:val="21"/>
                <w:szCs w:val="21"/>
                <w:lang w:val="en-US" w:eastAsia="zh-CN"/>
              </w:rPr>
            </w:pPr>
            <w:r>
              <w:rPr>
                <w:rFonts w:hint="default" w:ascii="Times New Roman" w:hAnsi="Times New Roman" w:eastAsia="宋体" w:cs="Times New Roman"/>
                <w:b/>
                <w:bCs w:val="0"/>
                <w:color w:val="auto"/>
                <w:sz w:val="21"/>
                <w:szCs w:val="21"/>
                <w:lang w:val="en-US" w:eastAsia="zh-CN"/>
              </w:rPr>
              <w:t>表</w:t>
            </w:r>
            <w:r>
              <w:rPr>
                <w:rFonts w:hint="eastAsia" w:cs="Times New Roman"/>
                <w:b/>
                <w:bCs w:val="0"/>
                <w:color w:val="auto"/>
                <w:sz w:val="21"/>
                <w:szCs w:val="21"/>
                <w:lang w:val="en-US" w:eastAsia="zh-CN"/>
              </w:rPr>
              <w:t>3-3</w:t>
            </w:r>
            <w:r>
              <w:rPr>
                <w:rFonts w:hint="default" w:ascii="Times New Roman" w:hAnsi="Times New Roman" w:eastAsia="宋体" w:cs="Times New Roman"/>
                <w:b/>
                <w:bCs w:val="0"/>
                <w:color w:val="auto"/>
                <w:sz w:val="21"/>
                <w:szCs w:val="21"/>
                <w:lang w:val="en-US" w:eastAsia="zh-CN"/>
              </w:rPr>
              <w:t xml:space="preserve">           主要环境敏感点及保护目标</w:t>
            </w:r>
            <w:r>
              <w:rPr>
                <w:rFonts w:hint="eastAsia" w:cs="Times New Roman"/>
                <w:b/>
                <w:bCs w:val="0"/>
                <w:color w:val="auto"/>
                <w:sz w:val="21"/>
                <w:szCs w:val="21"/>
                <w:lang w:val="en-US" w:eastAsia="zh-CN"/>
              </w:rPr>
              <w:t xml:space="preserve"> </w:t>
            </w:r>
          </w:p>
          <w:tbl>
            <w:tblPr>
              <w:tblStyle w:val="30"/>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846"/>
              <w:gridCol w:w="1793"/>
              <w:gridCol w:w="507"/>
              <w:gridCol w:w="698"/>
              <w:gridCol w:w="589"/>
              <w:gridCol w:w="849"/>
              <w:gridCol w:w="183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272" w:type="pct"/>
                  <w:tcBorders>
                    <w:bottom w:val="single" w:color="auto" w:sz="12" w:space="0"/>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bCs/>
                      <w:snapToGrid w:val="0"/>
                      <w:color w:val="000000" w:themeColor="text1"/>
                      <w:spacing w:val="0"/>
                      <w:kern w:val="0"/>
                      <w:position w:val="0"/>
                      <w:sz w:val="21"/>
                      <w:szCs w:val="21"/>
                      <w:highlight w:val="none"/>
                      <w:lang w:val="en-US" w:eastAsia="zh-CN"/>
                      <w14:textFill>
                        <w14:solidFill>
                          <w14:schemeClr w14:val="tx1"/>
                        </w14:solidFill>
                      </w14:textFill>
                    </w:rPr>
                    <w:t>名称</w:t>
                  </w:r>
                </w:p>
              </w:tc>
              <w:tc>
                <w:tcPr>
                  <w:tcW w:w="579" w:type="pct"/>
                  <w:tcBorders>
                    <w:bottom w:val="single" w:color="auto" w:sz="12" w:space="0"/>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sz w:val="21"/>
                      <w:szCs w:val="21"/>
                      <w:highlight w:val="none"/>
                      <w:lang w:val="en-US"/>
                    </w:rPr>
                  </w:pPr>
                  <w:r>
                    <w:rPr>
                      <w:rFonts w:hint="default" w:ascii="Times New Roman" w:hAnsi="Times New Roman" w:eastAsia="宋体" w:cs="Times New Roman"/>
                      <w:b/>
                      <w:bCs/>
                      <w:sz w:val="21"/>
                      <w:szCs w:val="21"/>
                      <w:highlight w:val="none"/>
                      <w:lang w:val="en-US" w:eastAsia="zh-CN"/>
                    </w:rPr>
                    <w:t>环境敏感保护目标名称</w:t>
                  </w:r>
                </w:p>
              </w:tc>
              <w:tc>
                <w:tcPr>
                  <w:tcW w:w="1220" w:type="pct"/>
                  <w:tcBorders>
                    <w:bottom w:val="single" w:color="auto" w:sz="12" w:space="0"/>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snapToGrid w:val="0"/>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snapToGrid w:val="0"/>
                      <w:color w:val="000000" w:themeColor="text1"/>
                      <w:spacing w:val="0"/>
                      <w:kern w:val="0"/>
                      <w:position w:val="0"/>
                      <w:sz w:val="21"/>
                      <w:szCs w:val="21"/>
                      <w:highlight w:val="none"/>
                      <w:lang w:val="en-US" w:eastAsia="zh-CN"/>
                      <w14:textFill>
                        <w14:solidFill>
                          <w14:schemeClr w14:val="tx1"/>
                        </w14:solidFill>
                      </w14:textFill>
                    </w:rPr>
                    <w:t>坐标</w:t>
                  </w:r>
                </w:p>
              </w:tc>
              <w:tc>
                <w:tcPr>
                  <w:tcW w:w="581" w:type="pct"/>
                  <w:tcBorders>
                    <w:bottom w:val="single" w:color="auto" w:sz="12" w:space="0"/>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bCs/>
                      <w:snapToGrid w:val="0"/>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snapToGrid w:val="0"/>
                      <w:color w:val="000000" w:themeColor="text1"/>
                      <w:spacing w:val="0"/>
                      <w:kern w:val="0"/>
                      <w:position w:val="0"/>
                      <w:sz w:val="21"/>
                      <w:szCs w:val="21"/>
                      <w:highlight w:val="none"/>
                      <w:lang w:val="en-US" w:eastAsia="zh-CN"/>
                      <w14:textFill>
                        <w14:solidFill>
                          <w14:schemeClr w14:val="tx1"/>
                        </w14:solidFill>
                      </w14:textFill>
                    </w:rPr>
                    <w:t>保护内容</w:t>
                  </w:r>
                </w:p>
              </w:tc>
              <w:tc>
                <w:tcPr>
                  <w:tcW w:w="561" w:type="pct"/>
                  <w:tcBorders>
                    <w:bottom w:val="single" w:color="auto" w:sz="12" w:space="0"/>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snapToGrid w:val="0"/>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snapToGrid w:val="0"/>
                      <w:color w:val="000000" w:themeColor="text1"/>
                      <w:spacing w:val="0"/>
                      <w:kern w:val="0"/>
                      <w:position w:val="0"/>
                      <w:sz w:val="21"/>
                      <w:szCs w:val="21"/>
                      <w:highlight w:val="none"/>
                      <w:lang w:val="en-US" w:eastAsia="zh-CN"/>
                      <w14:textFill>
                        <w14:solidFill>
                          <w14:schemeClr w14:val="tx1"/>
                        </w14:solidFill>
                      </w14:textFill>
                    </w:rPr>
                    <w:t>相对场址方位</w:t>
                  </w:r>
                </w:p>
              </w:tc>
              <w:tc>
                <w:tcPr>
                  <w:tcW w:w="489" w:type="pct"/>
                  <w:tcBorders>
                    <w:bottom w:val="single" w:color="auto" w:sz="12" w:space="0"/>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snapToGrid w:val="0"/>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auto"/>
                      <w:sz w:val="21"/>
                      <w:szCs w:val="21"/>
                      <w:highlight w:val="none"/>
                    </w:rPr>
                    <w:t>相对距离/m</w:t>
                  </w:r>
                </w:p>
              </w:tc>
              <w:tc>
                <w:tcPr>
                  <w:tcW w:w="447" w:type="pct"/>
                  <w:tcBorders>
                    <w:bottom w:val="single" w:color="auto" w:sz="12" w:space="0"/>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snapToGrid w:val="0"/>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snapToGrid w:val="0"/>
                      <w:color w:val="000000" w:themeColor="text1"/>
                      <w:spacing w:val="0"/>
                      <w:kern w:val="0"/>
                      <w:position w:val="0"/>
                      <w:sz w:val="21"/>
                      <w:szCs w:val="21"/>
                      <w:highlight w:val="none"/>
                      <w:lang w:val="en-US" w:eastAsia="zh-CN"/>
                      <w14:textFill>
                        <w14:solidFill>
                          <w14:schemeClr w14:val="tx1"/>
                        </w14:solidFill>
                      </w14:textFill>
                    </w:rPr>
                    <w:t>规模（人）</w:t>
                  </w:r>
                </w:p>
              </w:tc>
              <w:tc>
                <w:tcPr>
                  <w:tcW w:w="847" w:type="pct"/>
                  <w:tcBorders>
                    <w:bottom w:val="single" w:color="auto" w:sz="12" w:space="0"/>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bCs/>
                      <w:snapToGrid w:val="0"/>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snapToGrid w:val="0"/>
                      <w:color w:val="000000" w:themeColor="text1"/>
                      <w:spacing w:val="0"/>
                      <w:kern w:val="0"/>
                      <w:position w:val="0"/>
                      <w:sz w:val="21"/>
                      <w:szCs w:val="21"/>
                      <w:highlight w:val="none"/>
                      <w:lang w:val="en-US" w:eastAsia="zh-CN"/>
                      <w14:textFill>
                        <w14:solidFill>
                          <w14:schemeClr w14:val="tx1"/>
                        </w14:solidFill>
                      </w14:textFill>
                    </w:rPr>
                    <w:t>环境功能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2" w:type="pct"/>
                  <w:tcBorders>
                    <w:top w:val="single" w:color="auto" w:sz="12" w:space="0"/>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声环境</w:t>
                  </w:r>
                </w:p>
              </w:tc>
              <w:tc>
                <w:tcPr>
                  <w:tcW w:w="579" w:type="pct"/>
                  <w:tcBorders>
                    <w:top w:val="single" w:color="auto" w:sz="12" w:space="0"/>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天福名庭</w:t>
                  </w:r>
                </w:p>
              </w:tc>
              <w:tc>
                <w:tcPr>
                  <w:tcW w:w="1220" w:type="pct"/>
                  <w:tcBorders>
                    <w:top w:val="single" w:color="auto" w:sz="12" w:space="0"/>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E</w:t>
                  </w:r>
                  <w:r>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86°10′57.22749″</w:t>
                  </w:r>
                </w:p>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N</w:t>
                  </w:r>
                  <w:r>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41°43′47.87319″</w:t>
                  </w:r>
                </w:p>
              </w:tc>
              <w:tc>
                <w:tcPr>
                  <w:tcW w:w="581" w:type="pct"/>
                  <w:tcBorders>
                    <w:top w:val="single" w:color="auto" w:sz="12" w:space="0"/>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人群</w:t>
                  </w:r>
                </w:p>
              </w:tc>
              <w:tc>
                <w:tcPr>
                  <w:tcW w:w="561" w:type="pct"/>
                  <w:tcBorders>
                    <w:top w:val="single" w:color="auto" w:sz="12" w:space="0"/>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color w:val="000000"/>
                      <w:sz w:val="21"/>
                      <w:szCs w:val="21"/>
                      <w:highlight w:val="none"/>
                      <w:lang w:val="en-US" w:eastAsia="zh-CN"/>
                    </w:rPr>
                    <w:t>东南</w:t>
                  </w:r>
                  <w:r>
                    <w:rPr>
                      <w:rFonts w:hint="default" w:ascii="Times New Roman" w:hAnsi="Times New Roman" w:eastAsia="宋体" w:cs="Times New Roman"/>
                      <w:color w:val="000000"/>
                      <w:sz w:val="21"/>
                      <w:szCs w:val="21"/>
                      <w:highlight w:val="none"/>
                      <w:lang w:val="en-US" w:eastAsia="zh-CN"/>
                    </w:rPr>
                    <w:t>侧</w:t>
                  </w:r>
                </w:p>
              </w:tc>
              <w:tc>
                <w:tcPr>
                  <w:tcW w:w="489" w:type="pct"/>
                  <w:tcBorders>
                    <w:top w:val="single" w:color="auto" w:sz="12" w:space="0"/>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20</w:t>
                  </w:r>
                </w:p>
              </w:tc>
              <w:tc>
                <w:tcPr>
                  <w:tcW w:w="447" w:type="pct"/>
                  <w:tcBorders>
                    <w:top w:val="single" w:color="auto" w:sz="12" w:space="0"/>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2000</w:t>
                  </w:r>
                </w:p>
              </w:tc>
              <w:tc>
                <w:tcPr>
                  <w:tcW w:w="847" w:type="pct"/>
                  <w:tcBorders>
                    <w:top w:val="single" w:color="auto" w:sz="12" w:space="0"/>
                    <w:tl2br w:val="nil"/>
                    <w:tr2bl w:val="nil"/>
                  </w:tcBorders>
                  <w:vAlign w:val="center"/>
                </w:tcPr>
                <w:p>
                  <w:pPr>
                    <w:pStyle w:val="13"/>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sz w:val="21"/>
                      <w:szCs w:val="21"/>
                      <w:highlight w:val="none"/>
                    </w:rPr>
                    <w:t>《声环境质量标准标准》（GB3096-2008）的</w:t>
                  </w:r>
                  <w:r>
                    <w:rPr>
                      <w:rFonts w:hint="eastAsia" w:cs="Times New Roman"/>
                      <w:color w:val="000000"/>
                      <w:sz w:val="21"/>
                      <w:szCs w:val="21"/>
                      <w:highlight w:val="none"/>
                      <w:lang w:val="en-US" w:eastAsia="zh-CN"/>
                    </w:rPr>
                    <w:t>2</w:t>
                  </w:r>
                  <w:r>
                    <w:rPr>
                      <w:rFonts w:hint="default" w:ascii="Times New Roman" w:hAnsi="Times New Roman" w:eastAsia="宋体" w:cs="Times New Roman"/>
                      <w:color w:val="000000"/>
                      <w:sz w:val="21"/>
                      <w:szCs w:val="21"/>
                      <w:highlight w:val="none"/>
                    </w:rPr>
                    <w:t>类标准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72"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大气环境</w:t>
                  </w:r>
                </w:p>
              </w:tc>
              <w:tc>
                <w:tcPr>
                  <w:tcW w:w="579" w:type="pct"/>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auto"/>
                      <w:spacing w:val="0"/>
                      <w:kern w:val="0"/>
                      <w:position w:val="0"/>
                      <w:sz w:val="21"/>
                      <w:szCs w:val="21"/>
                      <w:highlight w:val="none"/>
                      <w:lang w:val="en-US" w:eastAsia="zh-CN"/>
                    </w:rPr>
                  </w:pPr>
                  <w:r>
                    <w:rPr>
                      <w:rFonts w:hint="eastAsia" w:cs="Times New Roman"/>
                      <w:b w:val="0"/>
                      <w:bCs w:val="0"/>
                      <w:snapToGrid w:val="0"/>
                      <w:color w:val="auto"/>
                      <w:spacing w:val="0"/>
                      <w:kern w:val="0"/>
                      <w:position w:val="0"/>
                      <w:sz w:val="21"/>
                      <w:szCs w:val="21"/>
                      <w:highlight w:val="none"/>
                      <w:lang w:val="en-US" w:eastAsia="zh-CN"/>
                    </w:rPr>
                    <w:t>圣马润泽园</w:t>
                  </w:r>
                </w:p>
              </w:tc>
              <w:tc>
                <w:tcPr>
                  <w:tcW w:w="1220" w:type="pct"/>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E</w:t>
                  </w:r>
                  <w:r>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86°10′47.64878″</w:t>
                  </w:r>
                </w:p>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N</w:t>
                  </w:r>
                  <w:r>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41°43′58.41748″</w:t>
                  </w:r>
                </w:p>
              </w:tc>
              <w:tc>
                <w:tcPr>
                  <w:tcW w:w="58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人群</w:t>
                  </w:r>
                </w:p>
              </w:tc>
              <w:tc>
                <w:tcPr>
                  <w:tcW w:w="56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西</w:t>
                  </w:r>
                  <w:r>
                    <w:rPr>
                      <w:rFonts w:hint="eastAsia" w:cs="Times New Roman"/>
                      <w:color w:val="000000"/>
                      <w:sz w:val="21"/>
                      <w:szCs w:val="21"/>
                      <w:highlight w:val="none"/>
                      <w:lang w:val="en-US" w:eastAsia="zh-CN"/>
                    </w:rPr>
                    <w:t>北</w:t>
                  </w:r>
                  <w:r>
                    <w:rPr>
                      <w:rFonts w:hint="default" w:ascii="Times New Roman" w:hAnsi="Times New Roman" w:eastAsia="宋体" w:cs="Times New Roman"/>
                      <w:color w:val="000000"/>
                      <w:sz w:val="21"/>
                      <w:szCs w:val="21"/>
                      <w:highlight w:val="none"/>
                      <w:lang w:val="en-US" w:eastAsia="zh-CN"/>
                    </w:rPr>
                    <w:t>侧</w:t>
                  </w:r>
                </w:p>
              </w:tc>
              <w:tc>
                <w:tcPr>
                  <w:tcW w:w="489" w:type="pct"/>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80</w:t>
                  </w:r>
                </w:p>
              </w:tc>
              <w:tc>
                <w:tcPr>
                  <w:tcW w:w="447" w:type="pct"/>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10000</w:t>
                  </w:r>
                </w:p>
              </w:tc>
              <w:tc>
                <w:tcPr>
                  <w:tcW w:w="847"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sz w:val="21"/>
                      <w:szCs w:val="21"/>
                      <w:highlight w:val="none"/>
                    </w:rPr>
                    <w:t>《环境空气质量标准》（GB3095-2012）中二级标准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272"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p>
              </w:tc>
              <w:tc>
                <w:tcPr>
                  <w:tcW w:w="579" w:type="pct"/>
                  <w:tcBorders>
                    <w:tl2br w:val="nil"/>
                    <w:tr2bl w:val="nil"/>
                  </w:tcBorders>
                  <w:vAlign w:val="center"/>
                </w:tcPr>
                <w:p>
                  <w:pPr>
                    <w:numPr>
                      <w:ilvl w:val="0"/>
                      <w:numId w:val="0"/>
                    </w:numPr>
                    <w:jc w:val="center"/>
                    <w:rPr>
                      <w:rFonts w:hint="default"/>
                      <w:b w:val="0"/>
                      <w:bCs w:val="0"/>
                      <w:color w:val="auto"/>
                      <w:sz w:val="21"/>
                      <w:szCs w:val="21"/>
                      <w:lang w:val="en-US" w:eastAsia="zh-CN"/>
                    </w:rPr>
                  </w:pPr>
                  <w:r>
                    <w:rPr>
                      <w:rFonts w:hint="eastAsia"/>
                      <w:b w:val="0"/>
                      <w:bCs w:val="0"/>
                      <w:color w:val="auto"/>
                      <w:sz w:val="21"/>
                      <w:szCs w:val="21"/>
                      <w:lang w:val="en-US" w:eastAsia="zh-CN"/>
                    </w:rPr>
                    <w:t>博雅家园小区</w:t>
                  </w:r>
                </w:p>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auto"/>
                      <w:spacing w:val="0"/>
                      <w:kern w:val="0"/>
                      <w:position w:val="0"/>
                      <w:sz w:val="21"/>
                      <w:szCs w:val="21"/>
                      <w:highlight w:val="none"/>
                      <w:lang w:val="en-US" w:eastAsia="zh-CN"/>
                    </w:rPr>
                  </w:pPr>
                </w:p>
              </w:tc>
              <w:tc>
                <w:tcPr>
                  <w:tcW w:w="1220" w:type="pct"/>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E</w:t>
                  </w:r>
                  <w:r>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86°10′57.76822″</w:t>
                  </w:r>
                </w:p>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N</w:t>
                  </w:r>
                  <w:r>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41°44′2.85922″</w:t>
                  </w:r>
                </w:p>
              </w:tc>
              <w:tc>
                <w:tcPr>
                  <w:tcW w:w="58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人群</w:t>
                  </w:r>
                </w:p>
              </w:tc>
              <w:tc>
                <w:tcPr>
                  <w:tcW w:w="56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color w:val="000000"/>
                      <w:sz w:val="21"/>
                      <w:szCs w:val="21"/>
                      <w:highlight w:val="none"/>
                      <w:lang w:val="en-US" w:eastAsia="zh-CN"/>
                    </w:rPr>
                    <w:t>东北</w:t>
                  </w:r>
                  <w:r>
                    <w:rPr>
                      <w:rFonts w:hint="default" w:ascii="Times New Roman" w:hAnsi="Times New Roman" w:eastAsia="宋体" w:cs="Times New Roman"/>
                      <w:color w:val="000000"/>
                      <w:sz w:val="21"/>
                      <w:szCs w:val="21"/>
                      <w:highlight w:val="none"/>
                      <w:lang w:val="en-US" w:eastAsia="zh-CN"/>
                    </w:rPr>
                    <w:t>侧</w:t>
                  </w:r>
                </w:p>
              </w:tc>
              <w:tc>
                <w:tcPr>
                  <w:tcW w:w="489" w:type="pct"/>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color w:val="000000"/>
                      <w:sz w:val="21"/>
                      <w:szCs w:val="21"/>
                      <w:highlight w:val="none"/>
                      <w:lang w:val="en-US" w:eastAsia="zh-CN"/>
                    </w:rPr>
                    <w:t>320</w:t>
                  </w:r>
                </w:p>
              </w:tc>
              <w:tc>
                <w:tcPr>
                  <w:tcW w:w="447" w:type="pct"/>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1000</w:t>
                  </w:r>
                </w:p>
              </w:tc>
              <w:tc>
                <w:tcPr>
                  <w:tcW w:w="847"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2"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p>
              </w:tc>
              <w:tc>
                <w:tcPr>
                  <w:tcW w:w="579" w:type="pct"/>
                  <w:tcBorders>
                    <w:tl2br w:val="nil"/>
                    <w:tr2bl w:val="nil"/>
                  </w:tcBorders>
                  <w:vAlign w:val="center"/>
                </w:tcPr>
                <w:p>
                  <w:pPr>
                    <w:pStyle w:val="36"/>
                    <w:numPr>
                      <w:ilvl w:val="0"/>
                      <w:numId w:val="0"/>
                    </w:numPr>
                    <w:ind w:leftChars="0"/>
                    <w:jc w:val="center"/>
                    <w:rPr>
                      <w:rFonts w:hint="default" w:ascii="Times New Roman" w:hAnsi="Times New Roman" w:eastAsia="宋体" w:cs="Times New Roman"/>
                      <w:b w:val="0"/>
                      <w:bCs w:val="0"/>
                      <w:color w:val="auto"/>
                      <w:sz w:val="21"/>
                      <w:szCs w:val="21"/>
                      <w:highlight w:val="none"/>
                      <w:lang w:val="en-US" w:eastAsia="zh-CN"/>
                    </w:rPr>
                  </w:pPr>
                  <w:r>
                    <w:rPr>
                      <w:rFonts w:hint="eastAsia"/>
                      <w:b w:val="0"/>
                      <w:bCs w:val="0"/>
                      <w:color w:val="auto"/>
                      <w:sz w:val="21"/>
                      <w:szCs w:val="21"/>
                      <w:lang w:val="en-US" w:eastAsia="zh-CN"/>
                    </w:rPr>
                    <w:t>昱景苑小区</w:t>
                  </w:r>
                </w:p>
              </w:tc>
              <w:tc>
                <w:tcPr>
                  <w:tcW w:w="122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E</w:t>
                  </w:r>
                  <w:r>
                    <w:rPr>
                      <w:rFonts w:hint="default" w:ascii="Times New Roman" w:hAnsi="Times New Roman" w:eastAsia="宋体" w:cs="Times New Roman"/>
                      <w:kern w:val="2"/>
                      <w:sz w:val="21"/>
                      <w:szCs w:val="21"/>
                      <w:highlight w:val="none"/>
                      <w:lang w:val="en-US" w:eastAsia="zh-CN" w:bidi="ar-SA"/>
                    </w:rPr>
                    <w:t>86°11′3.87078″</w:t>
                  </w:r>
                </w:p>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N</w:t>
                  </w:r>
                  <w:r>
                    <w:rPr>
                      <w:rFonts w:hint="default" w:ascii="Times New Roman" w:hAnsi="Times New Roman" w:eastAsia="宋体" w:cs="Times New Roman"/>
                      <w:kern w:val="2"/>
                      <w:sz w:val="21"/>
                      <w:szCs w:val="21"/>
                      <w:highlight w:val="none"/>
                      <w:lang w:val="en-US" w:eastAsia="zh-CN" w:bidi="ar-SA"/>
                    </w:rPr>
                    <w:t>41°43′54.47785″</w:t>
                  </w:r>
                </w:p>
              </w:tc>
              <w:tc>
                <w:tcPr>
                  <w:tcW w:w="58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yellow"/>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人群</w:t>
                  </w:r>
                </w:p>
              </w:tc>
              <w:tc>
                <w:tcPr>
                  <w:tcW w:w="56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东侧</w:t>
                  </w:r>
                </w:p>
              </w:tc>
              <w:tc>
                <w:tcPr>
                  <w:tcW w:w="489" w:type="pct"/>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160</w:t>
                  </w:r>
                </w:p>
              </w:tc>
              <w:tc>
                <w:tcPr>
                  <w:tcW w:w="447" w:type="pct"/>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1000</w:t>
                  </w:r>
                </w:p>
              </w:tc>
              <w:tc>
                <w:tcPr>
                  <w:tcW w:w="847"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yellow"/>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2"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p>
              </w:tc>
              <w:tc>
                <w:tcPr>
                  <w:tcW w:w="579" w:type="pct"/>
                  <w:tcBorders>
                    <w:tl2br w:val="nil"/>
                    <w:tr2bl w:val="nil"/>
                  </w:tcBorders>
                  <w:vAlign w:val="center"/>
                </w:tcPr>
                <w:p>
                  <w:pPr>
                    <w:numPr>
                      <w:ilvl w:val="0"/>
                      <w:numId w:val="0"/>
                    </w:numPr>
                    <w:ind w:leftChars="0"/>
                    <w:jc w:val="center"/>
                    <w:rPr>
                      <w:rFonts w:hint="default" w:ascii="Times New Roman" w:hAnsi="Times New Roman" w:eastAsia="宋体" w:cs="Times New Roman"/>
                      <w:b w:val="0"/>
                      <w:bCs w:val="0"/>
                      <w:color w:val="auto"/>
                      <w:sz w:val="21"/>
                      <w:szCs w:val="21"/>
                      <w:highlight w:val="none"/>
                      <w:lang w:val="en-US" w:eastAsia="zh-CN"/>
                    </w:rPr>
                  </w:pPr>
                  <w:r>
                    <w:rPr>
                      <w:rFonts w:hint="eastAsia"/>
                      <w:b w:val="0"/>
                      <w:bCs w:val="0"/>
                      <w:color w:val="auto"/>
                      <w:sz w:val="21"/>
                      <w:szCs w:val="21"/>
                      <w:lang w:val="en-US" w:eastAsia="zh-CN"/>
                    </w:rPr>
                    <w:t>坤源美地公寓</w:t>
                  </w:r>
                </w:p>
              </w:tc>
              <w:tc>
                <w:tcPr>
                  <w:tcW w:w="122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E</w:t>
                  </w:r>
                  <w:r>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86°10′57.45923″</w:t>
                  </w:r>
                </w:p>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N</w:t>
                  </w:r>
                  <w:r>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41°43′42.07961″</w:t>
                  </w:r>
                </w:p>
              </w:tc>
              <w:tc>
                <w:tcPr>
                  <w:tcW w:w="58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人群</w:t>
                  </w:r>
                </w:p>
              </w:tc>
              <w:tc>
                <w:tcPr>
                  <w:tcW w:w="56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东南侧</w:t>
                  </w:r>
                </w:p>
              </w:tc>
              <w:tc>
                <w:tcPr>
                  <w:tcW w:w="489" w:type="pct"/>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220</w:t>
                  </w:r>
                </w:p>
              </w:tc>
              <w:tc>
                <w:tcPr>
                  <w:tcW w:w="447" w:type="pct"/>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1000</w:t>
                  </w:r>
                </w:p>
              </w:tc>
              <w:tc>
                <w:tcPr>
                  <w:tcW w:w="847"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sz w:val="21"/>
                      <w:szCs w:val="21"/>
                      <w:highlight w:val="yellow"/>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272"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p>
              </w:tc>
              <w:tc>
                <w:tcPr>
                  <w:tcW w:w="579" w:type="pct"/>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cs="Times New Roman"/>
                      <w:b w:val="0"/>
                      <w:bCs w:val="0"/>
                      <w:color w:val="auto"/>
                      <w:sz w:val="21"/>
                      <w:szCs w:val="21"/>
                      <w:highlight w:val="none"/>
                      <w:lang w:val="en-US" w:eastAsia="zh-CN" w:bidi="ar-SA"/>
                    </w:rPr>
                  </w:pPr>
                  <w:r>
                    <w:rPr>
                      <w:rFonts w:hint="eastAsia"/>
                      <w:b w:val="0"/>
                      <w:bCs w:val="0"/>
                      <w:color w:val="auto"/>
                      <w:sz w:val="21"/>
                      <w:szCs w:val="21"/>
                      <w:lang w:val="en-US" w:eastAsia="zh-CN"/>
                    </w:rPr>
                    <w:t>在建七星·星河湾小区</w:t>
                  </w:r>
                </w:p>
              </w:tc>
              <w:tc>
                <w:tcPr>
                  <w:tcW w:w="122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E</w:t>
                  </w:r>
                  <w:r>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86°11′5.33849″</w:t>
                  </w:r>
                </w:p>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N</w:t>
                  </w:r>
                  <w:r>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41°43′42.65897″</w:t>
                  </w:r>
                </w:p>
              </w:tc>
              <w:tc>
                <w:tcPr>
                  <w:tcW w:w="58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人群</w:t>
                  </w:r>
                </w:p>
              </w:tc>
              <w:tc>
                <w:tcPr>
                  <w:tcW w:w="56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color w:val="000000"/>
                      <w:sz w:val="21"/>
                      <w:szCs w:val="21"/>
                      <w:highlight w:val="none"/>
                      <w:lang w:val="en-US" w:eastAsia="zh-CN"/>
                    </w:rPr>
                  </w:pPr>
                  <w:r>
                    <w:rPr>
                      <w:rFonts w:hint="eastAsia" w:cs="Times New Roman"/>
                      <w:color w:val="000000"/>
                      <w:sz w:val="21"/>
                      <w:szCs w:val="21"/>
                      <w:highlight w:val="none"/>
                      <w:lang w:val="en-US" w:eastAsia="zh-CN"/>
                    </w:rPr>
                    <w:t>东南侧</w:t>
                  </w:r>
                </w:p>
              </w:tc>
              <w:tc>
                <w:tcPr>
                  <w:tcW w:w="489" w:type="pct"/>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290</w:t>
                  </w:r>
                </w:p>
              </w:tc>
              <w:tc>
                <w:tcPr>
                  <w:tcW w:w="447" w:type="pct"/>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default"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50</w:t>
                  </w:r>
                </w:p>
              </w:tc>
              <w:tc>
                <w:tcPr>
                  <w:tcW w:w="847"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2"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p>
              </w:tc>
              <w:tc>
                <w:tcPr>
                  <w:tcW w:w="579" w:type="pct"/>
                  <w:tcBorders>
                    <w:tl2br w:val="nil"/>
                    <w:tr2bl w:val="nil"/>
                  </w:tcBorders>
                  <w:vAlign w:val="center"/>
                </w:tcPr>
                <w:p>
                  <w:pPr>
                    <w:numPr>
                      <w:ilvl w:val="0"/>
                      <w:numId w:val="0"/>
                    </w:numPr>
                    <w:ind w:leftChars="0"/>
                    <w:jc w:val="center"/>
                    <w:rPr>
                      <w:rFonts w:hint="default" w:cs="Times New Roman"/>
                      <w:b w:val="0"/>
                      <w:bCs w:val="0"/>
                      <w:color w:val="auto"/>
                      <w:sz w:val="21"/>
                      <w:szCs w:val="21"/>
                      <w:highlight w:val="none"/>
                      <w:lang w:val="en-US" w:eastAsia="zh-CN" w:bidi="ar-SA"/>
                    </w:rPr>
                  </w:pPr>
                  <w:r>
                    <w:rPr>
                      <w:rFonts w:hint="eastAsia"/>
                      <w:b w:val="0"/>
                      <w:bCs w:val="0"/>
                      <w:color w:val="auto"/>
                      <w:sz w:val="21"/>
                      <w:szCs w:val="21"/>
                      <w:lang w:val="en-US" w:eastAsia="zh-CN"/>
                    </w:rPr>
                    <w:t>天福名庭小区</w:t>
                  </w:r>
                </w:p>
              </w:tc>
              <w:tc>
                <w:tcPr>
                  <w:tcW w:w="122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E</w:t>
                  </w:r>
                  <w:r>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86°10′57.22749″</w:t>
                  </w:r>
                </w:p>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N</w:t>
                  </w:r>
                  <w:r>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41°43′47.87319″</w:t>
                  </w:r>
                </w:p>
              </w:tc>
              <w:tc>
                <w:tcPr>
                  <w:tcW w:w="58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人群</w:t>
                  </w:r>
                </w:p>
              </w:tc>
              <w:tc>
                <w:tcPr>
                  <w:tcW w:w="56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color w:val="000000"/>
                      <w:sz w:val="21"/>
                      <w:szCs w:val="21"/>
                      <w:highlight w:val="none"/>
                      <w:lang w:val="en-US" w:eastAsia="zh-CN"/>
                    </w:rPr>
                  </w:pPr>
                  <w:r>
                    <w:rPr>
                      <w:rFonts w:hint="eastAsia" w:cs="Times New Roman"/>
                      <w:color w:val="000000"/>
                      <w:sz w:val="21"/>
                      <w:szCs w:val="21"/>
                      <w:highlight w:val="none"/>
                      <w:lang w:val="en-US" w:eastAsia="zh-CN"/>
                    </w:rPr>
                    <w:t>东南</w:t>
                  </w:r>
                  <w:r>
                    <w:rPr>
                      <w:rFonts w:hint="default" w:ascii="Times New Roman" w:hAnsi="Times New Roman" w:eastAsia="宋体" w:cs="Times New Roman"/>
                      <w:color w:val="000000"/>
                      <w:sz w:val="21"/>
                      <w:szCs w:val="21"/>
                      <w:highlight w:val="none"/>
                      <w:lang w:val="en-US" w:eastAsia="zh-CN"/>
                    </w:rPr>
                    <w:t>侧</w:t>
                  </w:r>
                </w:p>
              </w:tc>
              <w:tc>
                <w:tcPr>
                  <w:tcW w:w="489" w:type="pct"/>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cs="Times New Roman"/>
                      <w:color w:val="000000"/>
                      <w:sz w:val="21"/>
                      <w:szCs w:val="21"/>
                      <w:highlight w:val="none"/>
                      <w:lang w:val="en-US" w:eastAsia="zh-CN"/>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20</w:t>
                  </w:r>
                </w:p>
              </w:tc>
              <w:tc>
                <w:tcPr>
                  <w:tcW w:w="447" w:type="pct"/>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default"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2000</w:t>
                  </w:r>
                </w:p>
              </w:tc>
              <w:tc>
                <w:tcPr>
                  <w:tcW w:w="847"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2"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p>
              </w:tc>
              <w:tc>
                <w:tcPr>
                  <w:tcW w:w="579" w:type="pct"/>
                  <w:tcBorders>
                    <w:tl2br w:val="nil"/>
                    <w:tr2bl w:val="nil"/>
                  </w:tcBorders>
                  <w:vAlign w:val="center"/>
                </w:tcPr>
                <w:p>
                  <w:pPr>
                    <w:pStyle w:val="36"/>
                    <w:numPr>
                      <w:ilvl w:val="0"/>
                      <w:numId w:val="0"/>
                    </w:numPr>
                    <w:ind w:leftChars="0"/>
                    <w:jc w:val="center"/>
                    <w:rPr>
                      <w:rFonts w:hint="default" w:cs="Times New Roman"/>
                      <w:b w:val="0"/>
                      <w:bCs w:val="0"/>
                      <w:color w:val="auto"/>
                      <w:sz w:val="21"/>
                      <w:szCs w:val="21"/>
                      <w:highlight w:val="none"/>
                      <w:lang w:val="en-US" w:eastAsia="zh-CN" w:bidi="ar-SA"/>
                    </w:rPr>
                  </w:pPr>
                  <w:r>
                    <w:rPr>
                      <w:rFonts w:hint="eastAsia"/>
                      <w:b w:val="0"/>
                      <w:bCs w:val="0"/>
                      <w:color w:val="auto"/>
                      <w:sz w:val="21"/>
                      <w:szCs w:val="21"/>
                      <w:lang w:val="en-US" w:eastAsia="zh-CN"/>
                    </w:rPr>
                    <w:t>名仕华府小区</w:t>
                  </w:r>
                </w:p>
              </w:tc>
              <w:tc>
                <w:tcPr>
                  <w:tcW w:w="122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E</w:t>
                  </w:r>
                  <w:r>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86°10′50.04346″</w:t>
                  </w:r>
                </w:p>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N</w:t>
                  </w:r>
                  <w:r>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41°43′47.52557″</w:t>
                  </w:r>
                </w:p>
              </w:tc>
              <w:tc>
                <w:tcPr>
                  <w:tcW w:w="58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人群</w:t>
                  </w:r>
                </w:p>
              </w:tc>
              <w:tc>
                <w:tcPr>
                  <w:tcW w:w="561"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西</w:t>
                  </w:r>
                  <w:r>
                    <w:rPr>
                      <w:rFonts w:hint="eastAsia" w:cs="Times New Roman"/>
                      <w:color w:val="000000"/>
                      <w:sz w:val="21"/>
                      <w:szCs w:val="21"/>
                      <w:highlight w:val="none"/>
                      <w:lang w:val="en-US" w:eastAsia="zh-CN"/>
                    </w:rPr>
                    <w:t>南</w:t>
                  </w:r>
                  <w:r>
                    <w:rPr>
                      <w:rFonts w:hint="default" w:ascii="Times New Roman" w:hAnsi="Times New Roman" w:eastAsia="宋体" w:cs="Times New Roman"/>
                      <w:color w:val="000000"/>
                      <w:sz w:val="21"/>
                      <w:szCs w:val="21"/>
                      <w:highlight w:val="none"/>
                      <w:lang w:val="en-US" w:eastAsia="zh-CN"/>
                    </w:rPr>
                    <w:t>侧</w:t>
                  </w:r>
                </w:p>
              </w:tc>
              <w:tc>
                <w:tcPr>
                  <w:tcW w:w="489" w:type="pct"/>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50</w:t>
                  </w:r>
                </w:p>
              </w:tc>
              <w:tc>
                <w:tcPr>
                  <w:tcW w:w="447" w:type="pct"/>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default"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1000</w:t>
                  </w:r>
                </w:p>
              </w:tc>
              <w:tc>
                <w:tcPr>
                  <w:tcW w:w="847"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2"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p>
              </w:tc>
              <w:tc>
                <w:tcPr>
                  <w:tcW w:w="579" w:type="pct"/>
                  <w:tcBorders>
                    <w:tl2br w:val="nil"/>
                    <w:tr2bl w:val="nil"/>
                  </w:tcBorders>
                  <w:vAlign w:val="center"/>
                </w:tcPr>
                <w:p>
                  <w:pPr>
                    <w:pStyle w:val="36"/>
                    <w:numPr>
                      <w:ilvl w:val="0"/>
                      <w:numId w:val="0"/>
                    </w:numPr>
                    <w:ind w:leftChars="0"/>
                    <w:jc w:val="center"/>
                    <w:rPr>
                      <w:rFonts w:hint="default" w:cs="Times New Roman"/>
                      <w:b w:val="0"/>
                      <w:bCs w:val="0"/>
                      <w:color w:val="auto"/>
                      <w:sz w:val="21"/>
                      <w:szCs w:val="21"/>
                      <w:highlight w:val="none"/>
                      <w:lang w:val="en-US" w:eastAsia="zh-CN" w:bidi="ar-SA"/>
                    </w:rPr>
                  </w:pPr>
                  <w:r>
                    <w:rPr>
                      <w:rFonts w:hint="eastAsia"/>
                      <w:b w:val="0"/>
                      <w:bCs w:val="0"/>
                      <w:color w:val="auto"/>
                      <w:sz w:val="21"/>
                      <w:szCs w:val="21"/>
                      <w:lang w:val="en-US" w:eastAsia="zh-CN"/>
                    </w:rPr>
                    <w:t>库尔勒市融媒体中心</w:t>
                  </w:r>
                </w:p>
              </w:tc>
              <w:tc>
                <w:tcPr>
                  <w:tcW w:w="122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E</w:t>
                  </w:r>
                  <w:r>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86°10′56.14603″</w:t>
                  </w:r>
                </w:p>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N</w:t>
                  </w:r>
                  <w:r>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41°43′36.17018″</w:t>
                  </w:r>
                </w:p>
              </w:tc>
              <w:tc>
                <w:tcPr>
                  <w:tcW w:w="581"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snapToGrid w:val="0"/>
                      <w:color w:val="000000" w:themeColor="text1"/>
                      <w:spacing w:val="0"/>
                      <w:kern w:val="0"/>
                      <w:position w:val="0"/>
                      <w:sz w:val="21"/>
                      <w:szCs w:val="21"/>
                      <w:highlight w:val="none"/>
                      <w:lang w:val="en-US" w:eastAsia="zh-CN" w:bidi="ar-SA"/>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人群</w:t>
                  </w:r>
                </w:p>
              </w:tc>
              <w:tc>
                <w:tcPr>
                  <w:tcW w:w="561"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sz w:val="21"/>
                      <w:szCs w:val="21"/>
                      <w:highlight w:val="none"/>
                      <w:lang w:val="en-US" w:eastAsia="zh-CN"/>
                    </w:rPr>
                    <w:t>南侧</w:t>
                  </w:r>
                </w:p>
              </w:tc>
              <w:tc>
                <w:tcPr>
                  <w:tcW w:w="489"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sz w:val="21"/>
                      <w:szCs w:val="21"/>
                      <w:highlight w:val="none"/>
                      <w:lang w:val="en-US" w:eastAsia="zh-CN"/>
                    </w:rPr>
                    <w:t>330</w:t>
                  </w:r>
                </w:p>
              </w:tc>
              <w:tc>
                <w:tcPr>
                  <w:tcW w:w="44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bidi="ar-SA"/>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bidi="ar-SA"/>
                      <w14:textFill>
                        <w14:solidFill>
                          <w14:schemeClr w14:val="tx1"/>
                        </w14:solidFill>
                      </w14:textFill>
                    </w:rPr>
                    <w:t>100</w:t>
                  </w:r>
                </w:p>
              </w:tc>
              <w:tc>
                <w:tcPr>
                  <w:tcW w:w="847" w:type="pct"/>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2"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p>
              </w:tc>
              <w:tc>
                <w:tcPr>
                  <w:tcW w:w="579" w:type="pct"/>
                  <w:tcBorders>
                    <w:tl2br w:val="nil"/>
                    <w:tr2bl w:val="nil"/>
                  </w:tcBorders>
                  <w:vAlign w:val="center"/>
                </w:tcPr>
                <w:p>
                  <w:pPr>
                    <w:numPr>
                      <w:ilvl w:val="0"/>
                      <w:numId w:val="0"/>
                    </w:numPr>
                    <w:ind w:leftChars="0"/>
                    <w:jc w:val="center"/>
                    <w:rPr>
                      <w:rFonts w:hint="default" w:cs="Times New Roman"/>
                      <w:b w:val="0"/>
                      <w:bCs w:val="0"/>
                      <w:color w:val="auto"/>
                      <w:sz w:val="21"/>
                      <w:szCs w:val="21"/>
                      <w:highlight w:val="none"/>
                      <w:lang w:val="en-US" w:eastAsia="zh-CN" w:bidi="ar-SA"/>
                    </w:rPr>
                  </w:pPr>
                  <w:r>
                    <w:rPr>
                      <w:rFonts w:hint="eastAsia"/>
                      <w:b w:val="0"/>
                      <w:bCs w:val="0"/>
                      <w:color w:val="auto"/>
                      <w:sz w:val="21"/>
                      <w:szCs w:val="21"/>
                      <w:lang w:val="en-US" w:eastAsia="zh-CN"/>
                    </w:rPr>
                    <w:t>华景BOBO小区</w:t>
                  </w:r>
                </w:p>
              </w:tc>
              <w:tc>
                <w:tcPr>
                  <w:tcW w:w="122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lang w:val="en-US" w:eastAsia="zh-CN"/>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E</w:t>
                  </w:r>
                  <w:r>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86°10′49.27098″</w:t>
                  </w:r>
                </w:p>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N</w:t>
                  </w:r>
                  <w:r>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41°43′37.40613″</w:t>
                  </w:r>
                </w:p>
              </w:tc>
              <w:tc>
                <w:tcPr>
                  <w:tcW w:w="581"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snapToGrid w:val="0"/>
                      <w:color w:val="000000" w:themeColor="text1"/>
                      <w:spacing w:val="0"/>
                      <w:kern w:val="0"/>
                      <w:position w:val="0"/>
                      <w:sz w:val="21"/>
                      <w:szCs w:val="21"/>
                      <w:highlight w:val="none"/>
                      <w:lang w:val="en-US" w:eastAsia="zh-CN" w:bidi="ar-SA"/>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人群</w:t>
                  </w:r>
                </w:p>
              </w:tc>
              <w:tc>
                <w:tcPr>
                  <w:tcW w:w="561"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sz w:val="21"/>
                      <w:szCs w:val="21"/>
                      <w:highlight w:val="none"/>
                      <w:lang w:val="en-US" w:eastAsia="zh-CN"/>
                    </w:rPr>
                    <w:t>南侧</w:t>
                  </w:r>
                </w:p>
              </w:tc>
              <w:tc>
                <w:tcPr>
                  <w:tcW w:w="489"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sz w:val="21"/>
                      <w:szCs w:val="21"/>
                      <w:highlight w:val="none"/>
                      <w:lang w:val="en-US" w:eastAsia="zh-CN"/>
                    </w:rPr>
                    <w:t>280</w:t>
                  </w:r>
                </w:p>
              </w:tc>
              <w:tc>
                <w:tcPr>
                  <w:tcW w:w="44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ascii="Times New Roman" w:hAnsi="Times New Roman" w:eastAsia="宋体" w:cs="Times New Roman"/>
                      <w:b w:val="0"/>
                      <w:bCs w:val="0"/>
                      <w:snapToGrid w:val="0"/>
                      <w:color w:val="000000" w:themeColor="text1"/>
                      <w:spacing w:val="0"/>
                      <w:kern w:val="0"/>
                      <w:position w:val="0"/>
                      <w:sz w:val="21"/>
                      <w:szCs w:val="21"/>
                      <w:highlight w:val="none"/>
                      <w:lang w:val="en-US" w:eastAsia="zh-CN" w:bidi="ar-SA"/>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3000</w:t>
                  </w:r>
                </w:p>
              </w:tc>
              <w:tc>
                <w:tcPr>
                  <w:tcW w:w="847" w:type="pct"/>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2"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firstLine="0" w:firstLineChars="0"/>
                    <w:jc w:val="center"/>
                    <w:textAlignment w:val="baseline"/>
                    <w:rPr>
                      <w:rFonts w:hint="default"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p>
              </w:tc>
              <w:tc>
                <w:tcPr>
                  <w:tcW w:w="579" w:type="pct"/>
                  <w:tcBorders>
                    <w:tl2br w:val="nil"/>
                    <w:tr2bl w:val="nil"/>
                  </w:tcBorders>
                  <w:vAlign w:val="center"/>
                </w:tcPr>
                <w:p>
                  <w:pPr>
                    <w:pStyle w:val="36"/>
                    <w:numPr>
                      <w:ilvl w:val="0"/>
                      <w:numId w:val="0"/>
                    </w:numPr>
                    <w:ind w:leftChars="0"/>
                    <w:jc w:val="center"/>
                    <w:rPr>
                      <w:rFonts w:hint="eastAsia" w:cs="Times New Roman"/>
                      <w:b w:val="0"/>
                      <w:bCs w:val="0"/>
                      <w:color w:val="auto"/>
                      <w:sz w:val="21"/>
                      <w:szCs w:val="21"/>
                      <w:highlight w:val="none"/>
                      <w:lang w:val="en-US" w:eastAsia="zh-CN" w:bidi="ar-SA"/>
                    </w:rPr>
                  </w:pPr>
                  <w:r>
                    <w:rPr>
                      <w:rFonts w:hint="eastAsia"/>
                      <w:b w:val="0"/>
                      <w:bCs w:val="0"/>
                      <w:color w:val="auto"/>
                      <w:sz w:val="21"/>
                      <w:szCs w:val="21"/>
                      <w:lang w:val="en-US" w:eastAsia="zh-CN"/>
                    </w:rPr>
                    <w:t>美克家园小区</w:t>
                  </w:r>
                </w:p>
              </w:tc>
              <w:tc>
                <w:tcPr>
                  <w:tcW w:w="122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E</w:t>
                  </w:r>
                  <w:r>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86°10′43.40017″</w:t>
                  </w:r>
                </w:p>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N</w:t>
                  </w:r>
                  <w:r>
                    <w:rPr>
                      <w:rFonts w:hint="default" w:ascii="Times New Roman" w:hAnsi="Times New Roman" w:eastAsia="宋体"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41°43′39.80081″</w:t>
                  </w:r>
                </w:p>
              </w:tc>
              <w:tc>
                <w:tcPr>
                  <w:tcW w:w="581"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t>人群</w:t>
                  </w:r>
                </w:p>
              </w:tc>
              <w:tc>
                <w:tcPr>
                  <w:tcW w:w="561"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西南侧</w:t>
                  </w:r>
                </w:p>
              </w:tc>
              <w:tc>
                <w:tcPr>
                  <w:tcW w:w="489"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240" w:lineRule="auto"/>
                    <w:ind w:left="0" w:leftChars="0" w:right="0" w:rightChars="0" w:firstLine="0" w:firstLineChars="0"/>
                    <w:jc w:val="center"/>
                    <w:textAlignment w:val="auto"/>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240</w:t>
                  </w:r>
                </w:p>
              </w:tc>
              <w:tc>
                <w:tcPr>
                  <w:tcW w:w="44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firstLine="0" w:firstLineChars="0"/>
                    <w:jc w:val="center"/>
                    <w:textAlignment w:val="baseline"/>
                    <w:rPr>
                      <w:rFonts w:hint="eastAsia" w:cs="Times New Roman"/>
                      <w:b w:val="0"/>
                      <w:bCs w:val="0"/>
                      <w:snapToGrid w:val="0"/>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color w:val="000000"/>
                      <w:sz w:val="21"/>
                      <w:szCs w:val="21"/>
                      <w:highlight w:val="none"/>
                      <w:lang w:val="en-US" w:eastAsia="zh-CN"/>
                    </w:rPr>
                    <w:t>1300</w:t>
                  </w:r>
                </w:p>
              </w:tc>
              <w:tc>
                <w:tcPr>
                  <w:tcW w:w="847" w:type="pct"/>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2"/>
                      <w:sz w:val="21"/>
                      <w:szCs w:val="21"/>
                      <w:highlight w:val="none"/>
                      <w:lang w:val="en-US" w:eastAsia="zh-CN" w:bidi="ar-SA"/>
                    </w:rPr>
                  </w:pPr>
                </w:p>
              </w:tc>
            </w:tr>
          </w:tbl>
          <w:p>
            <w:pPr>
              <w:numPr>
                <w:ilvl w:val="0"/>
                <w:numId w:val="0"/>
              </w:numPr>
              <w:adjustRightInd w:val="0"/>
              <w:snapToGrid w:val="0"/>
              <w:spacing w:line="360" w:lineRule="auto"/>
              <w:ind w:leftChars="200"/>
              <w:jc w:val="both"/>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4" w:type="pct"/>
            <w:noWrap w:val="0"/>
            <w:tcMar>
              <w:left w:w="28" w:type="dxa"/>
              <w:right w:w="28" w:type="dxa"/>
            </w:tcMar>
            <w:vAlign w:val="center"/>
          </w:tcPr>
          <w:p>
            <w:pPr>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污染</w:t>
            </w:r>
          </w:p>
          <w:p>
            <w:pPr>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物排</w:t>
            </w:r>
          </w:p>
          <w:p>
            <w:pPr>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放控</w:t>
            </w:r>
          </w:p>
          <w:p>
            <w:pPr>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制标</w:t>
            </w:r>
          </w:p>
          <w:p>
            <w:pPr>
              <w:adjustRightInd w:val="0"/>
              <w:snapToGrid w:val="0"/>
              <w:jc w:val="center"/>
              <w:rPr>
                <w:rFonts w:hint="default" w:ascii="Times New Roman" w:hAnsi="Times New Roman" w:cs="Times New Roman"/>
                <w:color w:val="FF0000"/>
                <w:kern w:val="0"/>
                <w:szCs w:val="21"/>
              </w:rPr>
            </w:pPr>
            <w:r>
              <w:rPr>
                <w:rFonts w:hint="default" w:ascii="Times New Roman" w:hAnsi="Times New Roman" w:cs="Times New Roman"/>
                <w:color w:val="000000" w:themeColor="text1"/>
                <w:kern w:val="0"/>
                <w:sz w:val="24"/>
                <w:szCs w:val="24"/>
                <w14:textFill>
                  <w14:solidFill>
                    <w14:schemeClr w14:val="tx1"/>
                  </w14:solidFill>
                </w14:textFill>
              </w:rPr>
              <w:t>准</w:t>
            </w:r>
          </w:p>
        </w:tc>
        <w:tc>
          <w:tcPr>
            <w:tcW w:w="4555" w:type="pct"/>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1、大气污染物排放标准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本项目产生的废气主要为宠物粪便、尿液及动物诊疗废物等产生的异味，执行《恶臭污染物排放标准》</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GB14554-93</w:t>
            </w:r>
            <w:r>
              <w:rPr>
                <w:rFonts w:hint="eastAsia"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中表1二级新扩改建标准，具体见下表3-</w:t>
            </w:r>
            <w:r>
              <w:rPr>
                <w:rFonts w:hint="eastAsia" w:cs="Times New Roman"/>
                <w:color w:val="000000" w:themeColor="text1"/>
                <w:sz w:val="24"/>
                <w:szCs w:val="24"/>
                <w:lang w:val="en-US" w:eastAsia="zh-CN"/>
                <w14:textFill>
                  <w14:solidFill>
                    <w14:schemeClr w14:val="tx1"/>
                  </w14:solidFill>
                </w14:textFill>
              </w:rPr>
              <w:t>4</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pPr>
              <w:pStyle w:val="8"/>
              <w:keepNext/>
              <w:keepLines/>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2" w:firstLineChars="200"/>
              <w:textAlignment w:val="auto"/>
              <w:rPr>
                <w:rFonts w:hint="eastAsia"/>
                <w:sz w:val="21"/>
                <w:szCs w:val="21"/>
                <w:lang w:eastAsia="zh-CN"/>
              </w:rPr>
            </w:pPr>
            <w:r>
              <w:rPr>
                <w:rFonts w:hint="default"/>
                <w:color w:val="auto"/>
                <w:sz w:val="21"/>
                <w:szCs w:val="21"/>
                <w:lang w:val="en-US" w:eastAsia="zh-CN"/>
              </w:rPr>
              <w:t>表</w:t>
            </w:r>
            <w:r>
              <w:rPr>
                <w:rFonts w:hint="eastAsia"/>
                <w:color w:val="auto"/>
                <w:sz w:val="21"/>
                <w:szCs w:val="21"/>
                <w:lang w:val="en-US" w:eastAsia="zh-CN"/>
              </w:rPr>
              <w:t xml:space="preserve">3-4                 </w:t>
            </w:r>
            <w:r>
              <w:rPr>
                <w:rFonts w:hint="default"/>
                <w:color w:val="auto"/>
                <w:sz w:val="21"/>
                <w:szCs w:val="21"/>
                <w:lang w:val="en-US" w:eastAsia="zh-CN"/>
              </w:rPr>
              <w:t>大气污染排放</w:t>
            </w:r>
            <w:r>
              <w:rPr>
                <w:rFonts w:hint="eastAsia"/>
                <w:color w:val="auto"/>
                <w:sz w:val="21"/>
                <w:szCs w:val="21"/>
                <w:lang w:val="en-US" w:eastAsia="zh-CN"/>
              </w:rPr>
              <w:t>限值</w:t>
            </w:r>
            <w:r>
              <w:rPr>
                <w:rFonts w:hint="default"/>
                <w:color w:val="auto"/>
                <w:sz w:val="21"/>
                <w:szCs w:val="21"/>
                <w:lang w:val="en-US" w:eastAsia="zh-CN"/>
              </w:rPr>
              <w:t xml:space="preserve">     </w:t>
            </w:r>
            <w:r>
              <w:rPr>
                <w:rFonts w:hint="eastAsia"/>
                <w:color w:val="auto"/>
                <w:sz w:val="21"/>
                <w:szCs w:val="21"/>
                <w:lang w:val="en-US" w:eastAsia="zh-CN"/>
              </w:rPr>
              <w:t xml:space="preserve">          单位：mg/m</w:t>
            </w:r>
            <w:r>
              <w:rPr>
                <w:rFonts w:hint="eastAsia"/>
                <w:color w:val="auto"/>
                <w:sz w:val="21"/>
                <w:szCs w:val="21"/>
                <w:vertAlign w:val="superscript"/>
                <w:lang w:val="en-US" w:eastAsia="zh-CN"/>
              </w:rPr>
              <w:t xml:space="preserve">3  </w:t>
            </w:r>
            <w:r>
              <w:rPr>
                <w:rFonts w:hint="eastAsia"/>
                <w:color w:val="auto"/>
                <w:sz w:val="21"/>
                <w:szCs w:val="21"/>
                <w:lang w:val="en-US" w:eastAsia="zh-CN"/>
              </w:rPr>
              <w:t xml:space="preserve"> </w:t>
            </w:r>
          </w:p>
          <w:tbl>
            <w:tblPr>
              <w:tblStyle w:val="29"/>
              <w:tblW w:w="499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28" w:type="dxa"/>
                <w:bottom w:w="0" w:type="dxa"/>
                <w:right w:w="28" w:type="dxa"/>
              </w:tblCellMar>
            </w:tblPr>
            <w:tblGrid>
              <w:gridCol w:w="2721"/>
              <w:gridCol w:w="1336"/>
              <w:gridCol w:w="832"/>
              <w:gridCol w:w="2657"/>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0" w:hRule="atLeast"/>
                <w:jc w:val="center"/>
              </w:trPr>
              <w:tc>
                <w:tcPr>
                  <w:tcW w:w="1802" w:type="pct"/>
                  <w:vMerge w:val="restart"/>
                  <w:tcBorders>
                    <w:tl2br w:val="nil"/>
                    <w:tr2bl w:val="nil"/>
                  </w:tcBorders>
                  <w:noWrap w:val="0"/>
                  <w:vAlign w:val="center"/>
                </w:tcPr>
                <w:p>
                  <w:pPr>
                    <w:pStyle w:val="4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rPr>
                    <w:t>污染物</w:t>
                  </w:r>
                  <w:r>
                    <w:rPr>
                      <w:rFonts w:hint="default" w:ascii="Times New Roman" w:hAnsi="Times New Roman" w:eastAsia="宋体" w:cs="Times New Roman"/>
                      <w:b/>
                      <w:bCs/>
                      <w:sz w:val="21"/>
                      <w:szCs w:val="21"/>
                      <w:lang w:eastAsia="zh-CN"/>
                    </w:rPr>
                    <w:t>项目</w:t>
                  </w:r>
                </w:p>
              </w:tc>
              <w:tc>
                <w:tcPr>
                  <w:tcW w:w="1436" w:type="pct"/>
                  <w:gridSpan w:val="2"/>
                  <w:tcBorders>
                    <w:tl2br w:val="nil"/>
                    <w:tr2bl w:val="nil"/>
                  </w:tcBorders>
                  <w:noWrap w:val="0"/>
                  <w:vAlign w:val="center"/>
                </w:tcPr>
                <w:p>
                  <w:pPr>
                    <w:pStyle w:val="4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无组织排放限值</w:t>
                  </w:r>
                </w:p>
              </w:tc>
              <w:tc>
                <w:tcPr>
                  <w:tcW w:w="1760" w:type="pct"/>
                  <w:vMerge w:val="restart"/>
                  <w:tcBorders>
                    <w:tl2br w:val="nil"/>
                    <w:tr2bl w:val="nil"/>
                  </w:tcBorders>
                  <w:noWrap w:val="0"/>
                  <w:vAlign w:val="center"/>
                </w:tcPr>
                <w:p>
                  <w:pPr>
                    <w:pStyle w:val="4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bCs/>
                      <w:sz w:val="21"/>
                      <w:szCs w:val="21"/>
                      <w:lang w:eastAsia="zh-CN"/>
                    </w:rPr>
                  </w:pPr>
                  <w:r>
                    <w:rPr>
                      <w:rFonts w:hint="default" w:ascii="Times New Roman" w:hAnsi="Times New Roman" w:eastAsia="宋体" w:cs="Times New Roman"/>
                      <w:b/>
                      <w:bCs/>
                      <w:sz w:val="21"/>
                      <w:szCs w:val="21"/>
                      <w:lang w:eastAsia="zh-CN"/>
                    </w:rPr>
                    <w:t>标准来源</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0" w:hRule="atLeast"/>
                <w:jc w:val="center"/>
              </w:trPr>
              <w:tc>
                <w:tcPr>
                  <w:tcW w:w="1802" w:type="pct"/>
                  <w:vMerge w:val="continue"/>
                  <w:tcBorders>
                    <w:tl2br w:val="nil"/>
                    <w:tr2bl w:val="nil"/>
                  </w:tcBorders>
                  <w:noWrap w:val="0"/>
                  <w:vAlign w:val="center"/>
                </w:tcPr>
                <w:p>
                  <w:pPr>
                    <w:pStyle w:val="4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sz w:val="21"/>
                      <w:szCs w:val="21"/>
                    </w:rPr>
                  </w:pPr>
                </w:p>
              </w:tc>
              <w:tc>
                <w:tcPr>
                  <w:tcW w:w="885" w:type="pct"/>
                  <w:tcBorders>
                    <w:tl2br w:val="nil"/>
                    <w:tr2bl w:val="nil"/>
                  </w:tcBorders>
                  <w:shd w:val="clear" w:color="auto" w:fill="auto"/>
                  <w:noWrap w:val="0"/>
                  <w:vAlign w:val="center"/>
                </w:tcPr>
                <w:p>
                  <w:pPr>
                    <w:pStyle w:val="4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b/>
                      <w:bCs/>
                      <w:snapToGrid w:val="0"/>
                      <w:kern w:val="0"/>
                      <w:sz w:val="21"/>
                      <w:szCs w:val="21"/>
                      <w:lang w:val="en-US" w:eastAsia="zh-CN" w:bidi="ar-SA"/>
                    </w:rPr>
                  </w:pPr>
                  <w:r>
                    <w:rPr>
                      <w:rFonts w:hint="eastAsia" w:ascii="Times New Roman" w:hAnsi="Times New Roman" w:eastAsia="宋体" w:cs="Times New Roman"/>
                      <w:b/>
                      <w:bCs/>
                      <w:sz w:val="21"/>
                      <w:szCs w:val="21"/>
                      <w:lang w:val="en-US" w:eastAsia="zh-CN"/>
                    </w:rPr>
                    <w:t>标准值</w:t>
                  </w:r>
                </w:p>
              </w:tc>
              <w:tc>
                <w:tcPr>
                  <w:tcW w:w="551" w:type="pct"/>
                  <w:tcBorders>
                    <w:tl2br w:val="nil"/>
                    <w:tr2bl w:val="nil"/>
                  </w:tcBorders>
                  <w:noWrap w:val="0"/>
                  <w:vAlign w:val="center"/>
                </w:tcPr>
                <w:p>
                  <w:pPr>
                    <w:pStyle w:val="4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单位</w:t>
                  </w:r>
                </w:p>
              </w:tc>
              <w:tc>
                <w:tcPr>
                  <w:tcW w:w="1760" w:type="pct"/>
                  <w:vMerge w:val="continue"/>
                  <w:tcBorders>
                    <w:tl2br w:val="nil"/>
                    <w:tr2bl w:val="nil"/>
                  </w:tcBorders>
                  <w:noWrap w:val="0"/>
                  <w:vAlign w:val="center"/>
                </w:tcPr>
                <w:p>
                  <w:pPr>
                    <w:pStyle w:val="4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sz w:val="21"/>
                      <w:szCs w:val="21"/>
                      <w:lang w:eastAsia="zh-CN"/>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0" w:hRule="atLeast"/>
                <w:jc w:val="center"/>
              </w:trPr>
              <w:tc>
                <w:tcPr>
                  <w:tcW w:w="1802" w:type="pct"/>
                  <w:tcBorders>
                    <w:tl2br w:val="nil"/>
                    <w:tr2bl w:val="nil"/>
                  </w:tcBorders>
                  <w:noWrap w:val="0"/>
                  <w:vAlign w:val="center"/>
                </w:tcPr>
                <w:p>
                  <w:pPr>
                    <w:pStyle w:val="4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臭气浓度</w:t>
                  </w:r>
                </w:p>
              </w:tc>
              <w:tc>
                <w:tcPr>
                  <w:tcW w:w="885" w:type="pct"/>
                  <w:tcBorders>
                    <w:tl2br w:val="nil"/>
                    <w:tr2bl w:val="nil"/>
                  </w:tcBorders>
                  <w:shd w:val="clear" w:color="auto" w:fill="auto"/>
                  <w:noWrap w:val="0"/>
                  <w:vAlign w:val="center"/>
                </w:tcPr>
                <w:p>
                  <w:pPr>
                    <w:pStyle w:val="4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snapToGrid w:val="0"/>
                      <w:kern w:val="0"/>
                      <w:sz w:val="21"/>
                      <w:szCs w:val="21"/>
                      <w:lang w:val="en-US" w:eastAsia="zh-CN" w:bidi="ar-SA"/>
                    </w:rPr>
                  </w:pPr>
                  <w:r>
                    <w:rPr>
                      <w:rFonts w:hint="eastAsia" w:ascii="Times New Roman" w:hAnsi="Times New Roman" w:eastAsia="宋体" w:cs="Times New Roman"/>
                      <w:sz w:val="21"/>
                      <w:szCs w:val="21"/>
                      <w:lang w:val="en-US" w:eastAsia="zh-CN"/>
                    </w:rPr>
                    <w:t>20</w:t>
                  </w:r>
                </w:p>
              </w:tc>
              <w:tc>
                <w:tcPr>
                  <w:tcW w:w="551" w:type="pct"/>
                  <w:tcBorders>
                    <w:tl2br w:val="nil"/>
                    <w:tr2bl w:val="nil"/>
                  </w:tcBorders>
                  <w:noWrap w:val="0"/>
                  <w:vAlign w:val="center"/>
                </w:tcPr>
                <w:p>
                  <w:pPr>
                    <w:pStyle w:val="4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无量纲</w:t>
                  </w:r>
                </w:p>
              </w:tc>
              <w:tc>
                <w:tcPr>
                  <w:tcW w:w="1760" w:type="pct"/>
                  <w:vMerge w:val="restart"/>
                  <w:tcBorders>
                    <w:tl2br w:val="nil"/>
                    <w:tr2bl w:val="nil"/>
                  </w:tcBorders>
                  <w:noWrap w:val="0"/>
                  <w:vAlign w:val="center"/>
                </w:tcPr>
                <w:p>
                  <w:pPr>
                    <w:pStyle w:val="4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color w:val="auto"/>
                      <w:sz w:val="21"/>
                      <w:szCs w:val="21"/>
                    </w:rPr>
                    <w:t>《大气污染物综合排放标准》</w:t>
                  </w:r>
                  <w:r>
                    <w:rPr>
                      <w:rFonts w:hint="default" w:ascii="Times New Roman" w:hAnsi="Times New Roman" w:eastAsia="宋体" w:cs="Times New Roman"/>
                      <w:color w:val="auto"/>
                      <w:sz w:val="21"/>
                      <w:szCs w:val="21"/>
                      <w:lang w:eastAsia="zh-CN"/>
                    </w:rPr>
                    <w:t>（GB16297-1996）</w:t>
                  </w:r>
                  <w:r>
                    <w:rPr>
                      <w:rFonts w:hint="default" w:ascii="Times New Roman" w:hAnsi="Times New Roman" w:eastAsia="宋体" w:cs="Times New Roman"/>
                      <w:color w:val="auto"/>
                      <w:sz w:val="21"/>
                      <w:szCs w:val="21"/>
                    </w:rPr>
                    <w:t>中</w:t>
                  </w:r>
                  <w:r>
                    <w:rPr>
                      <w:rFonts w:hint="default" w:ascii="Times New Roman" w:hAnsi="Times New Roman" w:eastAsia="宋体" w:cs="Times New Roman"/>
                      <w:color w:val="auto"/>
                      <w:sz w:val="21"/>
                      <w:szCs w:val="21"/>
                      <w:lang w:eastAsia="zh-CN"/>
                    </w:rPr>
                    <w:t>表</w:t>
                  </w: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rPr>
                    <w:t>的二级标准</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0" w:hRule="atLeast"/>
                <w:jc w:val="center"/>
              </w:trPr>
              <w:tc>
                <w:tcPr>
                  <w:tcW w:w="1802" w:type="pct"/>
                  <w:tcBorders>
                    <w:tl2br w:val="nil"/>
                    <w:tr2bl w:val="nil"/>
                  </w:tcBorders>
                  <w:noWrap w:val="0"/>
                  <w:vAlign w:val="center"/>
                </w:tcPr>
                <w:p>
                  <w:pPr>
                    <w:pStyle w:val="4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硫化氢</w:t>
                  </w:r>
                </w:p>
              </w:tc>
              <w:tc>
                <w:tcPr>
                  <w:tcW w:w="885" w:type="pct"/>
                  <w:tcBorders>
                    <w:tl2br w:val="nil"/>
                    <w:tr2bl w:val="nil"/>
                  </w:tcBorders>
                  <w:shd w:val="clear" w:color="auto" w:fill="auto"/>
                  <w:noWrap w:val="0"/>
                  <w:vAlign w:val="center"/>
                </w:tcPr>
                <w:p>
                  <w:pPr>
                    <w:pStyle w:val="4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0.06</w:t>
                  </w:r>
                </w:p>
              </w:tc>
              <w:tc>
                <w:tcPr>
                  <w:tcW w:w="551" w:type="pct"/>
                  <w:tcBorders>
                    <w:tl2br w:val="nil"/>
                    <w:tr2bl w:val="nil"/>
                  </w:tcBorders>
                  <w:noWrap w:val="0"/>
                  <w:vAlign w:val="center"/>
                </w:tcPr>
                <w:p>
                  <w:pPr>
                    <w:pStyle w:val="4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mg/m</w:t>
                  </w:r>
                  <w:r>
                    <w:rPr>
                      <w:rFonts w:hint="eastAsia" w:ascii="Times New Roman" w:hAnsi="Times New Roman" w:eastAsia="宋体" w:cs="Times New Roman"/>
                      <w:sz w:val="21"/>
                      <w:szCs w:val="21"/>
                      <w:vertAlign w:val="superscript"/>
                      <w:lang w:val="en-US" w:eastAsia="zh-CN"/>
                    </w:rPr>
                    <w:t>3</w:t>
                  </w:r>
                </w:p>
              </w:tc>
              <w:tc>
                <w:tcPr>
                  <w:tcW w:w="1760" w:type="pct"/>
                  <w:vMerge w:val="continue"/>
                  <w:tcBorders>
                    <w:tl2br w:val="nil"/>
                    <w:tr2bl w:val="nil"/>
                  </w:tcBorders>
                  <w:noWrap w:val="0"/>
                  <w:vAlign w:val="center"/>
                </w:tcPr>
                <w:p>
                  <w:pPr>
                    <w:pStyle w:val="4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color w:val="auto"/>
                      <w:sz w:val="21"/>
                      <w:szCs w:val="21"/>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28" w:type="dxa"/>
                  <w:bottom w:w="0" w:type="dxa"/>
                  <w:right w:w="28" w:type="dxa"/>
                </w:tblCellMar>
              </w:tblPrEx>
              <w:trPr>
                <w:cantSplit/>
                <w:trHeight w:val="0" w:hRule="atLeast"/>
                <w:jc w:val="center"/>
              </w:trPr>
              <w:tc>
                <w:tcPr>
                  <w:tcW w:w="1802" w:type="pct"/>
                  <w:tcBorders>
                    <w:tl2br w:val="nil"/>
                    <w:tr2bl w:val="nil"/>
                  </w:tcBorders>
                  <w:noWrap w:val="0"/>
                  <w:vAlign w:val="center"/>
                </w:tcPr>
                <w:p>
                  <w:pPr>
                    <w:pStyle w:val="4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氨</w:t>
                  </w:r>
                </w:p>
              </w:tc>
              <w:tc>
                <w:tcPr>
                  <w:tcW w:w="885" w:type="pct"/>
                  <w:tcBorders>
                    <w:tl2br w:val="nil"/>
                    <w:tr2bl w:val="nil"/>
                  </w:tcBorders>
                  <w:shd w:val="clear" w:color="auto" w:fill="auto"/>
                  <w:noWrap w:val="0"/>
                  <w:vAlign w:val="center"/>
                </w:tcPr>
                <w:p>
                  <w:pPr>
                    <w:pStyle w:val="4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w:t>
                  </w:r>
                </w:p>
              </w:tc>
              <w:tc>
                <w:tcPr>
                  <w:tcW w:w="551" w:type="pct"/>
                  <w:tcBorders>
                    <w:tl2br w:val="nil"/>
                    <w:tr2bl w:val="nil"/>
                  </w:tcBorders>
                  <w:noWrap w:val="0"/>
                  <w:vAlign w:val="center"/>
                </w:tcPr>
                <w:p>
                  <w:pPr>
                    <w:pStyle w:val="4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mg/m</w:t>
                  </w:r>
                  <w:r>
                    <w:rPr>
                      <w:rFonts w:hint="eastAsia" w:ascii="Times New Roman" w:hAnsi="Times New Roman" w:eastAsia="宋体" w:cs="Times New Roman"/>
                      <w:sz w:val="21"/>
                      <w:szCs w:val="21"/>
                      <w:vertAlign w:val="superscript"/>
                      <w:lang w:val="en-US" w:eastAsia="zh-CN"/>
                    </w:rPr>
                    <w:t>3</w:t>
                  </w:r>
                </w:p>
              </w:tc>
              <w:tc>
                <w:tcPr>
                  <w:tcW w:w="1760" w:type="pct"/>
                  <w:vMerge w:val="continue"/>
                  <w:tcBorders>
                    <w:tl2br w:val="nil"/>
                    <w:tr2bl w:val="nil"/>
                  </w:tcBorders>
                  <w:noWrap w:val="0"/>
                  <w:vAlign w:val="center"/>
                </w:tcPr>
                <w:p>
                  <w:pPr>
                    <w:pStyle w:val="4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color w:val="auto"/>
                      <w:sz w:val="21"/>
                      <w:szCs w:val="21"/>
                    </w:rPr>
                  </w:pPr>
                </w:p>
              </w:tc>
            </w:tr>
          </w:tbl>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2、水污染物排放标准</w:t>
            </w:r>
          </w:p>
          <w:p>
            <w:pPr>
              <w:pStyle w:val="23"/>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firstLine="456" w:firstLineChars="200"/>
              <w:jc w:val="both"/>
              <w:textAlignment w:val="auto"/>
              <w:rPr>
                <w:rFonts w:hint="default" w:ascii="Times New Roman" w:hAnsi="Times New Roman" w:eastAsia="宋体" w:cs="Times New Roman"/>
                <w:spacing w:val="-6"/>
                <w:sz w:val="24"/>
                <w:szCs w:val="24"/>
                <w:lang w:val="en-US" w:eastAsia="zh-CN"/>
              </w:rPr>
            </w:pPr>
            <w:r>
              <w:rPr>
                <w:rFonts w:hint="default" w:ascii="Times New Roman" w:hAnsi="Times New Roman" w:eastAsia="宋体" w:cs="Times New Roman"/>
                <w:spacing w:val="-6"/>
                <w:sz w:val="24"/>
                <w:szCs w:val="24"/>
                <w:lang w:val="en-US" w:eastAsia="zh-CN"/>
              </w:rPr>
              <w:t>运营期间，</w:t>
            </w:r>
            <w:r>
              <w:rPr>
                <w:rFonts w:hint="eastAsia" w:cs="Times New Roman"/>
                <w:spacing w:val="-6"/>
                <w:sz w:val="24"/>
                <w:szCs w:val="24"/>
                <w:lang w:val="en-US" w:eastAsia="zh-CN"/>
              </w:rPr>
              <w:t>动物诊疗</w:t>
            </w:r>
            <w:r>
              <w:rPr>
                <w:rFonts w:hint="default" w:ascii="Times New Roman" w:hAnsi="Times New Roman" w:eastAsia="宋体" w:cs="Times New Roman"/>
                <w:spacing w:val="-6"/>
                <w:sz w:val="24"/>
                <w:szCs w:val="24"/>
                <w:lang w:val="en-US" w:eastAsia="zh-CN"/>
              </w:rPr>
              <w:t>废水</w:t>
            </w:r>
            <w:r>
              <w:rPr>
                <w:rFonts w:hint="eastAsia" w:cs="Times New Roman"/>
                <w:spacing w:val="-6"/>
                <w:sz w:val="24"/>
                <w:szCs w:val="24"/>
                <w:lang w:val="en-US" w:eastAsia="zh-CN"/>
              </w:rPr>
              <w:t>参考</w:t>
            </w:r>
            <w:r>
              <w:rPr>
                <w:rFonts w:hint="default" w:ascii="Times New Roman" w:hAnsi="Times New Roman" w:eastAsia="宋体" w:cs="Times New Roman"/>
                <w:spacing w:val="-6"/>
                <w:sz w:val="24"/>
                <w:szCs w:val="24"/>
                <w:lang w:val="en-US" w:eastAsia="zh-CN"/>
              </w:rPr>
              <w:t>《医疗机构水污染物排放标准》（GB18466-2005）表2中综合医疗机构和其他医疗机构水污染物排放限值的预处理标准</w:t>
            </w:r>
            <w:r>
              <w:rPr>
                <w:rFonts w:hint="eastAsia" w:cs="Times New Roman"/>
                <w:spacing w:val="-6"/>
                <w:sz w:val="24"/>
                <w:szCs w:val="24"/>
                <w:lang w:val="en-US" w:eastAsia="zh-CN"/>
              </w:rPr>
              <w:t>限值</w:t>
            </w:r>
            <w:r>
              <w:rPr>
                <w:rFonts w:hint="default" w:ascii="Times New Roman" w:hAnsi="Times New Roman" w:eastAsia="宋体" w:cs="Times New Roman"/>
                <w:spacing w:val="-6"/>
                <w:sz w:val="24"/>
                <w:szCs w:val="24"/>
                <w:lang w:val="en-US" w:eastAsia="zh-CN"/>
              </w:rPr>
              <w:t>，详见表</w:t>
            </w:r>
            <w:r>
              <w:rPr>
                <w:rFonts w:hint="eastAsia" w:cs="Times New Roman"/>
                <w:spacing w:val="-6"/>
                <w:sz w:val="24"/>
                <w:szCs w:val="24"/>
                <w:lang w:val="en-US" w:eastAsia="zh-CN"/>
              </w:rPr>
              <w:t>3-5</w:t>
            </w:r>
            <w:r>
              <w:rPr>
                <w:rFonts w:hint="default" w:ascii="Times New Roman" w:hAnsi="Times New Roman" w:eastAsia="宋体" w:cs="Times New Roman"/>
                <w:spacing w:val="-6"/>
                <w:sz w:val="24"/>
                <w:szCs w:val="24"/>
                <w:lang w:val="en-US" w:eastAsia="zh-CN"/>
              </w:rPr>
              <w:t>。</w:t>
            </w:r>
          </w:p>
          <w:p>
            <w:pPr>
              <w:pStyle w:val="82"/>
              <w:keepNext w:val="0"/>
              <w:keepLines w:val="0"/>
              <w:suppressLineNumbers w:val="0"/>
              <w:spacing w:before="0" w:beforeAutospacing="0" w:after="0" w:afterAutospacing="0" w:line="212" w:lineRule="auto"/>
              <w:ind w:left="0" w:right="0" w:firstLine="414" w:firstLineChars="200"/>
              <w:jc w:val="both"/>
              <w:rPr>
                <w:rFonts w:hint="default" w:ascii="Times New Roman" w:hAnsi="Times New Roman" w:eastAsia="宋体" w:cs="Times New Roman"/>
                <w:sz w:val="21"/>
                <w:szCs w:val="21"/>
              </w:rPr>
            </w:pPr>
            <w:r>
              <w:rPr>
                <w:rFonts w:hint="default" w:ascii="Times New Roman" w:hAnsi="Times New Roman" w:eastAsia="宋体" w:cs="Times New Roman"/>
                <w:b/>
                <w:bCs/>
                <w:spacing w:val="-2"/>
                <w:sz w:val="21"/>
                <w:szCs w:val="21"/>
              </w:rPr>
              <w:t>表</w:t>
            </w:r>
            <w:r>
              <w:rPr>
                <w:rFonts w:hint="eastAsia" w:cs="Times New Roman"/>
                <w:b/>
                <w:bCs/>
                <w:spacing w:val="-2"/>
                <w:sz w:val="21"/>
                <w:szCs w:val="21"/>
                <w:lang w:val="en-US" w:eastAsia="zh-CN"/>
              </w:rPr>
              <w:t>3-5</w:t>
            </w:r>
            <w:r>
              <w:rPr>
                <w:rFonts w:hint="default" w:ascii="Times New Roman" w:hAnsi="Times New Roman" w:eastAsia="宋体" w:cs="Times New Roman"/>
                <w:b/>
                <w:bCs/>
                <w:spacing w:val="-2"/>
                <w:sz w:val="21"/>
                <w:szCs w:val="21"/>
                <w:lang w:val="en-US" w:eastAsia="zh-CN"/>
              </w:rPr>
              <w:t xml:space="preserve">    </w:t>
            </w:r>
            <w:r>
              <w:rPr>
                <w:rFonts w:hint="default" w:ascii="Times New Roman" w:hAnsi="Times New Roman" w:eastAsia="宋体" w:cs="Times New Roman"/>
                <w:b/>
                <w:bCs/>
                <w:spacing w:val="-2"/>
                <w:sz w:val="21"/>
                <w:szCs w:val="21"/>
              </w:rPr>
              <w:t>《医疗机构水污染物排放标准》的预处理标准单位：mg/L</w:t>
            </w:r>
          </w:p>
          <w:tbl>
            <w:tblPr>
              <w:tblStyle w:val="68"/>
              <w:tblW w:w="0" w:type="auto"/>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1099"/>
              <w:gridCol w:w="2704"/>
              <w:gridCol w:w="2162"/>
              <w:gridCol w:w="1583"/>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1217" w:type="dxa"/>
                  <w:tcBorders>
                    <w:bottom w:val="single" w:color="000000" w:sz="12" w:space="0"/>
                  </w:tcBorders>
                  <w:noWrap w:val="0"/>
                  <w:vAlign w:val="center"/>
                </w:tcPr>
                <w:p>
                  <w:pPr>
                    <w:spacing w:line="240" w:lineRule="auto"/>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序号</w:t>
                  </w:r>
                </w:p>
              </w:tc>
              <w:tc>
                <w:tcPr>
                  <w:tcW w:w="2995" w:type="dxa"/>
                  <w:tcBorders>
                    <w:bottom w:val="single" w:color="000000" w:sz="12" w:space="0"/>
                  </w:tcBorders>
                  <w:noWrap w:val="0"/>
                  <w:vAlign w:val="center"/>
                </w:tcPr>
                <w:p>
                  <w:pPr>
                    <w:spacing w:line="240" w:lineRule="auto"/>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项目</w:t>
                  </w:r>
                </w:p>
              </w:tc>
              <w:tc>
                <w:tcPr>
                  <w:tcW w:w="2363" w:type="dxa"/>
                  <w:tcBorders>
                    <w:bottom w:val="single" w:color="000000" w:sz="12" w:space="0"/>
                  </w:tcBorders>
                  <w:noWrap w:val="0"/>
                  <w:vAlign w:val="center"/>
                </w:tcPr>
                <w:p>
                  <w:pPr>
                    <w:spacing w:line="240" w:lineRule="auto"/>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单位</w:t>
                  </w:r>
                </w:p>
              </w:tc>
              <w:tc>
                <w:tcPr>
                  <w:tcW w:w="1737" w:type="dxa"/>
                  <w:tcBorders>
                    <w:bottom w:val="single" w:color="000000" w:sz="12" w:space="0"/>
                  </w:tcBorders>
                  <w:noWrap w:val="0"/>
                  <w:vAlign w:val="center"/>
                </w:tcPr>
                <w:p>
                  <w:pPr>
                    <w:spacing w:line="240" w:lineRule="auto"/>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标准值</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00" w:hRule="atLeast"/>
                <w:jc w:val="center"/>
              </w:trPr>
              <w:tc>
                <w:tcPr>
                  <w:tcW w:w="1217" w:type="dxa"/>
                  <w:tcBorders>
                    <w:top w:val="single" w:color="000000" w:sz="12" w:space="0"/>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2995" w:type="dxa"/>
                  <w:tcBorders>
                    <w:top w:val="single" w:color="000000" w:sz="12" w:space="0"/>
                    <w:tl2br w:val="nil"/>
                    <w:tr2bl w:val="nil"/>
                  </w:tcBorders>
                  <w:noWrap w:val="0"/>
                  <w:vAlign w:val="center"/>
                </w:tcPr>
                <w:p>
                  <w:pPr>
                    <w:spacing w:line="240"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pH</w:t>
                  </w:r>
                </w:p>
              </w:tc>
              <w:tc>
                <w:tcPr>
                  <w:tcW w:w="2363" w:type="dxa"/>
                  <w:tcBorders>
                    <w:top w:val="single" w:color="000000" w:sz="12" w:space="0"/>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（无量纲）</w:t>
                  </w:r>
                </w:p>
              </w:tc>
              <w:tc>
                <w:tcPr>
                  <w:tcW w:w="1737" w:type="dxa"/>
                  <w:tcBorders>
                    <w:top w:val="single" w:color="000000" w:sz="12" w:space="0"/>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6~9</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00" w:hRule="atLeast"/>
                <w:jc w:val="center"/>
              </w:trPr>
              <w:tc>
                <w:tcPr>
                  <w:tcW w:w="1217"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2995"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COD</w:t>
                  </w:r>
                </w:p>
              </w:tc>
              <w:tc>
                <w:tcPr>
                  <w:tcW w:w="2363"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mg/L</w:t>
                  </w:r>
                </w:p>
              </w:tc>
              <w:tc>
                <w:tcPr>
                  <w:tcW w:w="1737"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250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1217"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2995"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SS</w:t>
                  </w:r>
                </w:p>
              </w:tc>
              <w:tc>
                <w:tcPr>
                  <w:tcW w:w="2363"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mg/L</w:t>
                  </w:r>
                </w:p>
              </w:tc>
              <w:tc>
                <w:tcPr>
                  <w:tcW w:w="1737"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1217"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p>
              </w:tc>
              <w:tc>
                <w:tcPr>
                  <w:tcW w:w="2995"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BOD</w:t>
                  </w:r>
                  <w:r>
                    <w:rPr>
                      <w:rFonts w:hint="default" w:ascii="Times New Roman" w:hAnsi="Times New Roman" w:eastAsia="宋体" w:cs="Times New Roman"/>
                      <w:sz w:val="21"/>
                      <w:szCs w:val="21"/>
                      <w:vertAlign w:val="subscript"/>
                    </w:rPr>
                    <w:t>5</w:t>
                  </w:r>
                </w:p>
              </w:tc>
              <w:tc>
                <w:tcPr>
                  <w:tcW w:w="2363"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mg/L</w:t>
                  </w:r>
                </w:p>
              </w:tc>
              <w:tc>
                <w:tcPr>
                  <w:tcW w:w="1737"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00" w:hRule="atLeast"/>
                <w:jc w:val="center"/>
              </w:trPr>
              <w:tc>
                <w:tcPr>
                  <w:tcW w:w="1217"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2995"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氨氮</w:t>
                  </w:r>
                </w:p>
              </w:tc>
              <w:tc>
                <w:tcPr>
                  <w:tcW w:w="2363"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mg/L</w:t>
                  </w:r>
                </w:p>
              </w:tc>
              <w:tc>
                <w:tcPr>
                  <w:tcW w:w="1737"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1217"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w:t>
                  </w:r>
                </w:p>
              </w:tc>
              <w:tc>
                <w:tcPr>
                  <w:tcW w:w="2995"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粪</w:t>
                  </w:r>
                  <w:r>
                    <w:rPr>
                      <w:rFonts w:hint="default" w:ascii="Times New Roman" w:hAnsi="Times New Roman" w:eastAsia="宋体" w:cs="Times New Roman"/>
                      <w:sz w:val="21"/>
                      <w:szCs w:val="21"/>
                    </w:rPr>
                    <w:t>大肠菌群数</w:t>
                  </w:r>
                </w:p>
              </w:tc>
              <w:tc>
                <w:tcPr>
                  <w:tcW w:w="2363"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MPN/L</w:t>
                  </w:r>
                </w:p>
              </w:tc>
              <w:tc>
                <w:tcPr>
                  <w:tcW w:w="1737"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5000</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00" w:hRule="atLeast"/>
                <w:jc w:val="center"/>
              </w:trPr>
              <w:tc>
                <w:tcPr>
                  <w:tcW w:w="1217"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w:t>
                  </w:r>
                </w:p>
              </w:tc>
              <w:tc>
                <w:tcPr>
                  <w:tcW w:w="2995"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总余氯</w:t>
                  </w:r>
                </w:p>
              </w:tc>
              <w:tc>
                <w:tcPr>
                  <w:tcW w:w="2363"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mg/L</w:t>
                  </w:r>
                </w:p>
              </w:tc>
              <w:tc>
                <w:tcPr>
                  <w:tcW w:w="1737" w:type="dxa"/>
                  <w:tcBorders>
                    <w:tl2br w:val="nil"/>
                    <w:tr2bl w:val="nil"/>
                  </w:tcBorders>
                  <w:noWrap w:val="0"/>
                  <w:vAlign w:val="center"/>
                </w:tcPr>
                <w:p>
                  <w:pPr>
                    <w:spacing w:line="240" w:lineRule="auto"/>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r>
          </w:tbl>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3、噪声排放标准</w:t>
            </w:r>
          </w:p>
          <w:p>
            <w:pPr>
              <w:keepNext w:val="0"/>
              <w:keepLines w:val="0"/>
              <w:pageBreakBefore w:val="0"/>
              <w:widowControl w:val="0"/>
              <w:kinsoku/>
              <w:wordWrap/>
              <w:overflowPunct/>
              <w:topLinePunct w:val="0"/>
              <w:autoSpaceDE/>
              <w:autoSpaceDN/>
              <w:bidi w:val="0"/>
              <w:spacing w:line="360" w:lineRule="auto"/>
              <w:ind w:firstLine="480" w:firstLineChars="200"/>
              <w:jc w:val="both"/>
              <w:textAlignment w:val="auto"/>
              <w:rPr>
                <w:rFonts w:hint="default"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本项目东侧、南侧、西侧为居民区，北侧为民生路</w:t>
            </w:r>
            <w:r>
              <w:rPr>
                <w:rFonts w:hint="eastAsia" w:ascii="Times New Roman" w:hAnsi="Times New Roman" w:eastAsia="宋体" w:cs="Times New Roman"/>
                <w:b w:val="0"/>
                <w:kern w:val="2"/>
                <w:sz w:val="24"/>
                <w:szCs w:val="24"/>
                <w:lang w:val="en-US" w:eastAsia="zh-CN" w:bidi="ar-SA"/>
              </w:rPr>
              <w:t>根据《库尔勒市声环境功能区划》库政办发〔2019〕33号</w:t>
            </w:r>
            <w:r>
              <w:rPr>
                <w:rFonts w:hint="eastAsia" w:cs="Times New Roman"/>
                <w:b w:val="0"/>
                <w:kern w:val="2"/>
                <w:sz w:val="24"/>
                <w:szCs w:val="24"/>
                <w:lang w:val="en-US" w:eastAsia="zh-CN" w:bidi="ar-SA"/>
              </w:rPr>
              <w:t>，本项目厂界外声环境功能区分类属于2类区，</w:t>
            </w:r>
            <w:r>
              <w:rPr>
                <w:rFonts w:hint="default" w:ascii="Times New Roman" w:hAnsi="Times New Roman" w:eastAsia="宋体" w:cs="Times New Roman"/>
                <w:bCs/>
                <w:kern w:val="0"/>
                <w:sz w:val="24"/>
                <w:szCs w:val="24"/>
                <w:lang w:eastAsia="zh-CN"/>
              </w:rPr>
              <w:t>运营期</w:t>
            </w:r>
            <w:r>
              <w:rPr>
                <w:rFonts w:hint="eastAsia" w:cs="Times New Roman"/>
                <w:bCs/>
                <w:kern w:val="0"/>
                <w:sz w:val="24"/>
                <w:szCs w:val="24"/>
                <w:lang w:val="en-US" w:eastAsia="zh-CN"/>
              </w:rPr>
              <w:t>厂界</w:t>
            </w:r>
            <w:r>
              <w:rPr>
                <w:rFonts w:hint="eastAsia" w:cs="Times New Roman"/>
                <w:color w:val="000000" w:themeColor="text1"/>
                <w:sz w:val="24"/>
                <w:szCs w:val="24"/>
                <w:lang w:val="en-US" w:eastAsia="zh-CN"/>
                <w14:textFill>
                  <w14:solidFill>
                    <w14:schemeClr w14:val="tx1"/>
                  </w14:solidFill>
                </w14:textFill>
              </w:rPr>
              <w:t>东侧、南侧、西侧</w:t>
            </w:r>
            <w:r>
              <w:rPr>
                <w:rFonts w:hint="default" w:ascii="Times New Roman" w:hAnsi="Times New Roman" w:eastAsia="宋体" w:cs="Times New Roman"/>
                <w:bCs/>
                <w:kern w:val="0"/>
                <w:sz w:val="24"/>
                <w:szCs w:val="24"/>
                <w:lang w:eastAsia="zh-CN"/>
              </w:rPr>
              <w:t>噪声执行《工业企业厂界环境噪声排放标准》（GB 12348-2008）中</w:t>
            </w:r>
            <w:r>
              <w:rPr>
                <w:rFonts w:hint="eastAsia" w:cs="Times New Roman"/>
                <w:bCs/>
                <w:kern w:val="0"/>
                <w:sz w:val="24"/>
                <w:szCs w:val="24"/>
                <w:highlight w:val="none"/>
                <w:lang w:val="en-US" w:eastAsia="zh-CN"/>
              </w:rPr>
              <w:t>2</w:t>
            </w:r>
            <w:r>
              <w:rPr>
                <w:rFonts w:hint="eastAsia" w:ascii="Times New Roman" w:hAnsi="Times New Roman" w:eastAsia="宋体" w:cs="Times New Roman"/>
                <w:bCs/>
                <w:kern w:val="0"/>
                <w:sz w:val="24"/>
                <w:szCs w:val="24"/>
                <w:highlight w:val="none"/>
                <w:lang w:val="en-US" w:eastAsia="zh-CN"/>
              </w:rPr>
              <w:t>类</w:t>
            </w:r>
            <w:r>
              <w:rPr>
                <w:rFonts w:hint="default" w:ascii="Times New Roman" w:hAnsi="Times New Roman" w:eastAsia="宋体" w:cs="Times New Roman"/>
                <w:bCs/>
                <w:kern w:val="0"/>
                <w:sz w:val="24"/>
                <w:szCs w:val="24"/>
                <w:lang w:eastAsia="zh-CN"/>
              </w:rPr>
              <w:t>标准</w:t>
            </w:r>
            <w:r>
              <w:rPr>
                <w:rFonts w:hint="eastAsia" w:eastAsia="宋体" w:cs="Times New Roman"/>
                <w:bCs/>
                <w:kern w:val="0"/>
                <w:sz w:val="24"/>
                <w:szCs w:val="24"/>
                <w:lang w:eastAsia="zh-CN"/>
              </w:rPr>
              <w:t>，</w:t>
            </w:r>
            <w:r>
              <w:rPr>
                <w:rFonts w:hint="eastAsia" w:cs="Times New Roman"/>
                <w:color w:val="000000" w:themeColor="text1"/>
                <w:sz w:val="24"/>
                <w:szCs w:val="24"/>
                <w:lang w:val="en-US" w:eastAsia="zh-CN"/>
                <w14:textFill>
                  <w14:solidFill>
                    <w14:schemeClr w14:val="tx1"/>
                  </w14:solidFill>
                </w14:textFill>
              </w:rPr>
              <w:t>北</w:t>
            </w:r>
            <w:r>
              <w:rPr>
                <w:rFonts w:hint="eastAsia" w:eastAsia="宋体" w:cs="Times New Roman"/>
                <w:bCs/>
                <w:kern w:val="0"/>
                <w:sz w:val="24"/>
                <w:szCs w:val="24"/>
                <w:lang w:val="en-US" w:eastAsia="zh-CN"/>
              </w:rPr>
              <w:t>侧执行</w:t>
            </w:r>
            <w:r>
              <w:rPr>
                <w:rFonts w:hint="default" w:ascii="Times New Roman" w:hAnsi="Times New Roman" w:eastAsia="宋体" w:cs="Times New Roman"/>
                <w:bCs/>
                <w:kern w:val="0"/>
                <w:sz w:val="24"/>
                <w:szCs w:val="24"/>
                <w:lang w:eastAsia="zh-CN"/>
              </w:rPr>
              <w:t>《工业企业厂界环境噪声排放标准》（GB 12348-2008）中</w:t>
            </w:r>
            <w:r>
              <w:rPr>
                <w:rFonts w:hint="eastAsia" w:cs="Times New Roman"/>
                <w:bCs/>
                <w:kern w:val="0"/>
                <w:sz w:val="24"/>
                <w:szCs w:val="24"/>
                <w:highlight w:val="none"/>
                <w:lang w:val="en-US" w:eastAsia="zh-CN"/>
              </w:rPr>
              <w:t>4</w:t>
            </w:r>
            <w:r>
              <w:rPr>
                <w:rFonts w:hint="eastAsia" w:ascii="Times New Roman" w:hAnsi="Times New Roman" w:eastAsia="宋体" w:cs="Times New Roman"/>
                <w:bCs/>
                <w:kern w:val="0"/>
                <w:sz w:val="24"/>
                <w:szCs w:val="24"/>
                <w:highlight w:val="none"/>
                <w:lang w:val="en-US" w:eastAsia="zh-CN"/>
              </w:rPr>
              <w:t>类</w:t>
            </w:r>
            <w:r>
              <w:rPr>
                <w:rFonts w:hint="default" w:ascii="Times New Roman" w:hAnsi="Times New Roman" w:eastAsia="宋体" w:cs="Times New Roman"/>
                <w:bCs/>
                <w:kern w:val="0"/>
                <w:sz w:val="24"/>
                <w:szCs w:val="24"/>
                <w:lang w:eastAsia="zh-CN"/>
              </w:rPr>
              <w:t>标准</w:t>
            </w:r>
            <w:r>
              <w:rPr>
                <w:rFonts w:hint="eastAsia" w:eastAsia="宋体" w:cs="Times New Roman"/>
                <w:bCs/>
                <w:kern w:val="0"/>
                <w:sz w:val="24"/>
                <w:szCs w:val="24"/>
                <w:lang w:eastAsia="zh-CN"/>
              </w:rPr>
              <w:t>，</w:t>
            </w:r>
            <w:r>
              <w:rPr>
                <w:rFonts w:hint="default" w:ascii="Times New Roman" w:hAnsi="Times New Roman" w:eastAsia="宋体" w:cs="Times New Roman"/>
                <w:color w:val="000000" w:themeColor="text1"/>
                <w:sz w:val="24"/>
                <w:szCs w:val="24"/>
                <w14:textFill>
                  <w14:solidFill>
                    <w14:schemeClr w14:val="tx1"/>
                  </w14:solidFill>
                </w14:textFill>
              </w:rPr>
              <w:t xml:space="preserve">见表 </w:t>
            </w:r>
            <w:r>
              <w:rPr>
                <w:rFonts w:hint="eastAsia" w:cs="Times New Roman"/>
                <w:color w:val="000000" w:themeColor="text1"/>
                <w:sz w:val="24"/>
                <w:szCs w:val="24"/>
                <w:lang w:val="en-US" w:eastAsia="zh-CN"/>
                <w14:textFill>
                  <w14:solidFill>
                    <w14:schemeClr w14:val="tx1"/>
                  </w14:solidFill>
                </w14:textFill>
              </w:rPr>
              <w:t>3-6</w:t>
            </w:r>
            <w:r>
              <w:rPr>
                <w:rFonts w:hint="default" w:ascii="Times New Roman" w:hAnsi="Times New Roman" w:eastAsia="宋体" w:cs="Times New Roman"/>
                <w:color w:val="000000" w:themeColor="text1"/>
                <w:sz w:val="24"/>
                <w:szCs w:val="24"/>
                <w14:textFill>
                  <w14:solidFill>
                    <w14:schemeClr w14:val="tx1"/>
                  </w14:solidFill>
                </w14:textFill>
              </w:rPr>
              <w:t>。</w:t>
            </w:r>
          </w:p>
          <w:p>
            <w:pPr>
              <w:spacing w:line="223" w:lineRule="auto"/>
              <w:ind w:left="550"/>
              <w:rPr>
                <w:rFonts w:hint="default" w:ascii="Times New Roman" w:hAnsi="Times New Roman" w:eastAsia="宋体" w:cs="Times New Roman"/>
                <w:sz w:val="21"/>
                <w:szCs w:val="21"/>
              </w:rPr>
            </w:pPr>
            <w:r>
              <w:rPr>
                <w:rFonts w:hint="default" w:ascii="Times New Roman" w:hAnsi="Times New Roman" w:eastAsia="宋体" w:cs="Times New Roman"/>
                <w:b/>
                <w:bCs/>
                <w:spacing w:val="4"/>
                <w:sz w:val="21"/>
                <w:szCs w:val="21"/>
              </w:rPr>
              <w:t>表</w:t>
            </w:r>
            <w:r>
              <w:rPr>
                <w:rFonts w:hint="eastAsia" w:cs="Times New Roman"/>
                <w:b/>
                <w:bCs/>
                <w:spacing w:val="4"/>
                <w:sz w:val="21"/>
                <w:szCs w:val="21"/>
                <w:lang w:val="en-US" w:eastAsia="zh-CN"/>
              </w:rPr>
              <w:t>3-6</w:t>
            </w:r>
            <w:r>
              <w:rPr>
                <w:rFonts w:hint="default" w:ascii="Times New Roman" w:hAnsi="Times New Roman" w:eastAsia="Times New Roman" w:cs="Times New Roman"/>
                <w:b/>
                <w:bCs/>
                <w:spacing w:val="4"/>
                <w:sz w:val="21"/>
                <w:szCs w:val="21"/>
              </w:rPr>
              <w:t xml:space="preserve">                  </w:t>
            </w:r>
            <w:r>
              <w:rPr>
                <w:rFonts w:hint="default" w:ascii="Times New Roman" w:hAnsi="Times New Roman" w:eastAsia="宋体" w:cs="Times New Roman"/>
                <w:b/>
                <w:bCs/>
                <w:spacing w:val="4"/>
                <w:sz w:val="21"/>
                <w:szCs w:val="21"/>
              </w:rPr>
              <w:t>工业企业厂界环境噪声排放标准</w:t>
            </w:r>
          </w:p>
          <w:tbl>
            <w:tblPr>
              <w:tblStyle w:val="68"/>
              <w:tblW w:w="4999" w:type="pct"/>
              <w:tblInd w:w="12"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2520"/>
              <w:gridCol w:w="2506"/>
              <w:gridCol w:w="2520"/>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1669" w:type="pct"/>
                  <w:tcBorders>
                    <w:tl2br w:val="nil"/>
                    <w:tr2bl w:val="nil"/>
                  </w:tcBorders>
                  <w:vAlign w:val="top"/>
                </w:tcPr>
                <w:p>
                  <w:pPr>
                    <w:pStyle w:val="82"/>
                    <w:spacing w:before="35" w:line="206" w:lineRule="auto"/>
                    <w:ind w:left="1216"/>
                    <w:rPr>
                      <w:rFonts w:hint="default" w:ascii="Times New Roman" w:hAnsi="Times New Roman" w:cs="Times New Roman"/>
                      <w:b/>
                      <w:bCs/>
                      <w:sz w:val="21"/>
                      <w:szCs w:val="21"/>
                    </w:rPr>
                  </w:pPr>
                  <w:r>
                    <w:rPr>
                      <w:rFonts w:hint="default" w:ascii="Times New Roman" w:hAnsi="Times New Roman" w:cs="Times New Roman"/>
                      <w:b/>
                      <w:bCs/>
                      <w:spacing w:val="-1"/>
                      <w:sz w:val="21"/>
                      <w:szCs w:val="21"/>
                    </w:rPr>
                    <w:t>时段</w:t>
                  </w:r>
                </w:p>
              </w:tc>
              <w:tc>
                <w:tcPr>
                  <w:tcW w:w="1660" w:type="pct"/>
                  <w:tcBorders>
                    <w:tl2br w:val="nil"/>
                    <w:tr2bl w:val="nil"/>
                  </w:tcBorders>
                  <w:vAlign w:val="top"/>
                </w:tcPr>
                <w:p>
                  <w:pPr>
                    <w:pStyle w:val="82"/>
                    <w:spacing w:before="35" w:line="206" w:lineRule="auto"/>
                    <w:ind w:left="1210"/>
                    <w:rPr>
                      <w:rFonts w:hint="default" w:ascii="Times New Roman" w:hAnsi="Times New Roman" w:cs="Times New Roman"/>
                      <w:b/>
                      <w:bCs/>
                      <w:sz w:val="21"/>
                      <w:szCs w:val="21"/>
                    </w:rPr>
                  </w:pPr>
                  <w:r>
                    <w:rPr>
                      <w:rFonts w:hint="default" w:ascii="Times New Roman" w:hAnsi="Times New Roman" w:cs="Times New Roman"/>
                      <w:b/>
                      <w:bCs/>
                      <w:spacing w:val="5"/>
                      <w:sz w:val="21"/>
                      <w:szCs w:val="21"/>
                    </w:rPr>
                    <w:t>昼间</w:t>
                  </w:r>
                </w:p>
              </w:tc>
              <w:tc>
                <w:tcPr>
                  <w:tcW w:w="1669" w:type="pct"/>
                  <w:tcBorders>
                    <w:tl2br w:val="nil"/>
                    <w:tr2bl w:val="nil"/>
                  </w:tcBorders>
                  <w:vAlign w:val="top"/>
                </w:tcPr>
                <w:p>
                  <w:pPr>
                    <w:pStyle w:val="82"/>
                    <w:spacing w:before="35" w:line="206" w:lineRule="auto"/>
                    <w:ind w:left="1222"/>
                    <w:rPr>
                      <w:rFonts w:hint="default" w:ascii="Times New Roman" w:hAnsi="Times New Roman" w:cs="Times New Roman"/>
                      <w:b/>
                      <w:bCs/>
                      <w:sz w:val="21"/>
                      <w:szCs w:val="21"/>
                    </w:rPr>
                  </w:pPr>
                  <w:r>
                    <w:rPr>
                      <w:rFonts w:hint="default" w:ascii="Times New Roman" w:hAnsi="Times New Roman" w:cs="Times New Roman"/>
                      <w:b/>
                      <w:bCs/>
                      <w:spacing w:val="3"/>
                      <w:sz w:val="21"/>
                      <w:szCs w:val="21"/>
                    </w:rPr>
                    <w:t>夜间</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669" w:type="pct"/>
                  <w:tcBorders>
                    <w:tl2br w:val="nil"/>
                    <w:tr2bl w:val="nil"/>
                  </w:tcBorders>
                  <w:vAlign w:val="top"/>
                </w:tcPr>
                <w:p>
                  <w:pPr>
                    <w:pStyle w:val="82"/>
                    <w:spacing w:before="45" w:line="215" w:lineRule="auto"/>
                    <w:ind w:left="730"/>
                    <w:rPr>
                      <w:rFonts w:hint="default" w:ascii="Times New Roman" w:hAnsi="Times New Roman" w:cs="Times New Roman"/>
                      <w:sz w:val="21"/>
                      <w:szCs w:val="21"/>
                    </w:rPr>
                  </w:pPr>
                  <w:r>
                    <w:rPr>
                      <w:rFonts w:hint="default" w:ascii="Times New Roman" w:hAnsi="Times New Roman" w:cs="Times New Roman"/>
                      <w:spacing w:val="6"/>
                      <w:sz w:val="21"/>
                      <w:szCs w:val="21"/>
                    </w:rPr>
                    <w:t>标准</w:t>
                  </w:r>
                  <w:r>
                    <w:rPr>
                      <w:rFonts w:hint="eastAsia" w:ascii="Times New Roman" w:hAnsi="Times New Roman" w:cs="Times New Roman"/>
                      <w:spacing w:val="6"/>
                      <w:sz w:val="21"/>
                      <w:szCs w:val="21"/>
                      <w:lang w:val="en-US" w:eastAsia="zh-CN"/>
                    </w:rPr>
                    <w:t>2类</w:t>
                  </w:r>
                  <w:r>
                    <w:rPr>
                      <w:rFonts w:hint="default" w:ascii="Times New Roman" w:hAnsi="Times New Roman" w:cs="Times New Roman"/>
                      <w:spacing w:val="6"/>
                      <w:sz w:val="21"/>
                      <w:szCs w:val="21"/>
                    </w:rPr>
                    <w:t>（</w:t>
                  </w:r>
                  <w:r>
                    <w:rPr>
                      <w:rFonts w:hint="default" w:ascii="Times New Roman" w:hAnsi="Times New Roman" w:eastAsia="Times New Roman" w:cs="Times New Roman"/>
                      <w:sz w:val="21"/>
                      <w:szCs w:val="21"/>
                    </w:rPr>
                    <w:t>dB</w:t>
                  </w:r>
                  <w:r>
                    <w:rPr>
                      <w:rFonts w:hint="default" w:ascii="Times New Roman" w:hAnsi="Times New Roman" w:eastAsia="Times New Roman" w:cs="Times New Roman"/>
                      <w:spacing w:val="6"/>
                      <w:sz w:val="21"/>
                      <w:szCs w:val="21"/>
                    </w:rPr>
                    <w:t>(A)</w:t>
                  </w:r>
                  <w:r>
                    <w:rPr>
                      <w:rFonts w:hint="default" w:ascii="Times New Roman" w:hAnsi="Times New Roman" w:cs="Times New Roman"/>
                      <w:spacing w:val="6"/>
                      <w:sz w:val="21"/>
                      <w:szCs w:val="21"/>
                    </w:rPr>
                    <w:t>）</w:t>
                  </w:r>
                </w:p>
              </w:tc>
              <w:tc>
                <w:tcPr>
                  <w:tcW w:w="1660" w:type="pct"/>
                  <w:tcBorders>
                    <w:tl2br w:val="nil"/>
                    <w:tr2bl w:val="nil"/>
                  </w:tcBorders>
                  <w:vAlign w:val="top"/>
                </w:tcPr>
                <w:p>
                  <w:pPr>
                    <w:spacing w:before="80" w:line="195" w:lineRule="auto"/>
                    <w:ind w:left="1317"/>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60</w:t>
                  </w:r>
                </w:p>
              </w:tc>
              <w:tc>
                <w:tcPr>
                  <w:tcW w:w="1669" w:type="pct"/>
                  <w:tcBorders>
                    <w:tl2br w:val="nil"/>
                    <w:tr2bl w:val="nil"/>
                  </w:tcBorders>
                  <w:vAlign w:val="top"/>
                </w:tcPr>
                <w:p>
                  <w:pPr>
                    <w:spacing w:before="80" w:line="195" w:lineRule="auto"/>
                    <w:ind w:left="1327"/>
                    <w:rPr>
                      <w:rFonts w:hint="default" w:ascii="Times New Roman" w:hAnsi="Times New Roman" w:eastAsia="Times New Roman" w:cs="Times New Roman"/>
                      <w:sz w:val="21"/>
                      <w:szCs w:val="21"/>
                    </w:rPr>
                  </w:pPr>
                  <w:r>
                    <w:rPr>
                      <w:rFonts w:hint="default" w:ascii="Times New Roman" w:hAnsi="Times New Roman" w:eastAsia="Times New Roman" w:cs="Times New Roman"/>
                      <w:sz w:val="21"/>
                      <w:szCs w:val="21"/>
                    </w:rPr>
                    <w:t>50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669" w:type="pct"/>
                  <w:tcBorders>
                    <w:tl2br w:val="nil"/>
                    <w:tr2bl w:val="nil"/>
                  </w:tcBorders>
                  <w:vAlign w:val="top"/>
                </w:tcPr>
                <w:p>
                  <w:pPr>
                    <w:pStyle w:val="82"/>
                    <w:spacing w:before="45" w:line="215" w:lineRule="auto"/>
                    <w:ind w:left="730"/>
                    <w:rPr>
                      <w:rFonts w:hint="default" w:ascii="Times New Roman" w:hAnsi="Times New Roman" w:cs="Times New Roman"/>
                      <w:spacing w:val="6"/>
                      <w:sz w:val="21"/>
                      <w:szCs w:val="21"/>
                    </w:rPr>
                  </w:pPr>
                  <w:r>
                    <w:rPr>
                      <w:rFonts w:hint="default" w:ascii="Times New Roman" w:hAnsi="Times New Roman" w:cs="Times New Roman"/>
                      <w:spacing w:val="6"/>
                      <w:sz w:val="21"/>
                      <w:szCs w:val="21"/>
                    </w:rPr>
                    <w:t>标准</w:t>
                  </w:r>
                  <w:r>
                    <w:rPr>
                      <w:rFonts w:hint="eastAsia" w:ascii="Times New Roman" w:hAnsi="Times New Roman" w:cs="Times New Roman"/>
                      <w:spacing w:val="6"/>
                      <w:sz w:val="21"/>
                      <w:szCs w:val="21"/>
                      <w:lang w:val="en-US" w:eastAsia="zh-CN"/>
                    </w:rPr>
                    <w:t>4类</w:t>
                  </w:r>
                  <w:r>
                    <w:rPr>
                      <w:rFonts w:hint="default" w:ascii="Times New Roman" w:hAnsi="Times New Roman" w:cs="Times New Roman"/>
                      <w:spacing w:val="6"/>
                      <w:sz w:val="21"/>
                      <w:szCs w:val="21"/>
                    </w:rPr>
                    <w:t>（</w:t>
                  </w:r>
                  <w:r>
                    <w:rPr>
                      <w:rFonts w:hint="default" w:ascii="Times New Roman" w:hAnsi="Times New Roman" w:eastAsia="Times New Roman" w:cs="Times New Roman"/>
                      <w:sz w:val="21"/>
                      <w:szCs w:val="21"/>
                    </w:rPr>
                    <w:t>dB</w:t>
                  </w:r>
                  <w:r>
                    <w:rPr>
                      <w:rFonts w:hint="default" w:ascii="Times New Roman" w:hAnsi="Times New Roman" w:eastAsia="Times New Roman" w:cs="Times New Roman"/>
                      <w:spacing w:val="6"/>
                      <w:sz w:val="21"/>
                      <w:szCs w:val="21"/>
                    </w:rPr>
                    <w:t>(A)</w:t>
                  </w:r>
                  <w:r>
                    <w:rPr>
                      <w:rFonts w:hint="default" w:ascii="Times New Roman" w:hAnsi="Times New Roman" w:cs="Times New Roman"/>
                      <w:spacing w:val="6"/>
                      <w:sz w:val="21"/>
                      <w:szCs w:val="21"/>
                    </w:rPr>
                    <w:t>）</w:t>
                  </w:r>
                </w:p>
              </w:tc>
              <w:tc>
                <w:tcPr>
                  <w:tcW w:w="1660" w:type="pct"/>
                  <w:tcBorders>
                    <w:tl2br w:val="nil"/>
                    <w:tr2bl w:val="nil"/>
                  </w:tcBorders>
                  <w:vAlign w:val="top"/>
                </w:tcPr>
                <w:p>
                  <w:pPr>
                    <w:spacing w:before="80" w:line="195" w:lineRule="auto"/>
                    <w:ind w:left="1317"/>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70</w:t>
                  </w:r>
                </w:p>
              </w:tc>
              <w:tc>
                <w:tcPr>
                  <w:tcW w:w="1669" w:type="pct"/>
                  <w:tcBorders>
                    <w:tl2br w:val="nil"/>
                    <w:tr2bl w:val="nil"/>
                  </w:tcBorders>
                  <w:vAlign w:val="top"/>
                </w:tcPr>
                <w:p>
                  <w:pPr>
                    <w:spacing w:before="80" w:line="195" w:lineRule="auto"/>
                    <w:ind w:left="1327"/>
                    <w:rPr>
                      <w:rFonts w:hint="default" w:ascii="Times New Roman" w:hAnsi="Times New Roman" w:eastAsia="宋体" w:cs="Times New Roman"/>
                      <w:sz w:val="21"/>
                      <w:szCs w:val="21"/>
                      <w:lang w:val="en-US" w:eastAsia="zh-CN"/>
                    </w:rPr>
                  </w:pPr>
                  <w:r>
                    <w:rPr>
                      <w:rFonts w:hint="eastAsia" w:eastAsia="宋体" w:cs="Times New Roman"/>
                      <w:sz w:val="21"/>
                      <w:szCs w:val="21"/>
                      <w:lang w:val="en-US" w:eastAsia="zh-CN"/>
                    </w:rPr>
                    <w:t>55</w:t>
                  </w:r>
                </w:p>
              </w:tc>
            </w:tr>
          </w:tbl>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t>4、固体废物执行标准或规定</w:t>
            </w:r>
          </w:p>
          <w:p>
            <w:pPr>
              <w:numPr>
                <w:ilvl w:val="0"/>
                <w:numId w:val="0"/>
              </w:numPr>
              <w:spacing w:afterAutospacing="0" w:line="360" w:lineRule="auto"/>
              <w:ind w:left="0" w:leftChars="0" w:firstLine="420" w:firstLineChars="0"/>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（1）</w:t>
            </w:r>
            <w:r>
              <w:rPr>
                <w:rFonts w:hint="default" w:ascii="Times New Roman" w:hAnsi="Times New Roman" w:eastAsia="宋体" w:cs="Times New Roman"/>
                <w:color w:val="000000"/>
                <w:sz w:val="24"/>
                <w:szCs w:val="24"/>
                <w:lang w:val="en-US" w:eastAsia="zh-CN"/>
              </w:rPr>
              <w:t>一般工业固体废物的贮存</w:t>
            </w:r>
            <w:r>
              <w:rPr>
                <w:rFonts w:hint="default" w:ascii="Times New Roman" w:hAnsi="Times New Roman" w:eastAsia="宋体" w:cs="Times New Roman"/>
                <w:color w:val="auto"/>
                <w:sz w:val="24"/>
                <w:szCs w:val="24"/>
                <w:lang w:val="en-US" w:eastAsia="zh-CN"/>
              </w:rPr>
              <w:t>、处置参照执行《一般工业固体废物贮存和填埋污染控制标准》（GB 18599-2020）</w:t>
            </w:r>
            <w:r>
              <w:rPr>
                <w:rFonts w:hint="default" w:ascii="Times New Roman" w:hAnsi="Times New Roman" w:eastAsia="宋体" w:cs="Times New Roman"/>
                <w:color w:val="000000"/>
                <w:sz w:val="24"/>
                <w:szCs w:val="24"/>
                <w:lang w:val="en-US" w:eastAsia="zh-CN"/>
              </w:rPr>
              <w:t>中的相关规定</w:t>
            </w:r>
            <w:r>
              <w:rPr>
                <w:rFonts w:hint="default" w:ascii="Times New Roman" w:hAnsi="Times New Roman" w:cs="Times New Roman"/>
                <w:color w:val="000000"/>
                <w:sz w:val="24"/>
                <w:szCs w:val="24"/>
                <w:lang w:val="en-US" w:eastAsia="zh-CN"/>
              </w:rPr>
              <w:t>。</w:t>
            </w:r>
          </w:p>
          <w:p>
            <w:pPr>
              <w:numPr>
                <w:ilvl w:val="0"/>
                <w:numId w:val="0"/>
              </w:numPr>
              <w:spacing w:afterAutospacing="0" w:line="360" w:lineRule="auto"/>
              <w:ind w:left="0" w:leftChars="0" w:firstLine="420" w:firstLineChars="0"/>
              <w:rPr>
                <w:rFonts w:hint="default" w:ascii="Times New Roman" w:hAnsi="Times New Roman" w:cs="Times New Roman"/>
                <w:color w:val="FF0000"/>
                <w:lang w:eastAsia="zh-CN"/>
              </w:rPr>
            </w:pPr>
            <w:r>
              <w:rPr>
                <w:rFonts w:hint="default" w:ascii="Times New Roman" w:hAnsi="Times New Roman" w:cs="Times New Roman"/>
                <w:color w:val="000000"/>
                <w:sz w:val="24"/>
                <w:szCs w:val="24"/>
                <w:lang w:val="en-US" w:eastAsia="zh-CN"/>
              </w:rPr>
              <w:t>（2）动物诊疗废物按照《动物诊疗机构管理办法》中的规定</w:t>
            </w:r>
            <w:r>
              <w:rPr>
                <w:rFonts w:hint="eastAsia" w:cs="Times New Roman"/>
                <w:color w:val="000000"/>
                <w:sz w:val="24"/>
                <w:szCs w:val="24"/>
                <w:lang w:val="en-US" w:eastAsia="zh-CN"/>
              </w:rPr>
              <w:t>“</w:t>
            </w:r>
            <w:r>
              <w:rPr>
                <w:rFonts w:hint="default" w:ascii="Times New Roman" w:hAnsi="Times New Roman" w:cs="Times New Roman"/>
                <w:color w:val="000000"/>
                <w:sz w:val="24"/>
                <w:szCs w:val="24"/>
                <w:lang w:val="en-US" w:eastAsia="zh-CN"/>
              </w:rPr>
              <w:t>动物诊疗机构应当参照《医疗废物管理条例》的有关规定处理诊疗废弃物。</w:t>
            </w:r>
            <w:r>
              <w:rPr>
                <w:rFonts w:hint="eastAsia" w:cs="Times New Roman"/>
                <w:color w:val="000000"/>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44" w:hRule="atLeast"/>
          <w:jc w:val="center"/>
        </w:trPr>
        <w:tc>
          <w:tcPr>
            <w:tcW w:w="444" w:type="pct"/>
            <w:noWrap w:val="0"/>
            <w:vAlign w:val="center"/>
          </w:tcPr>
          <w:p>
            <w:pPr>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总量</w:t>
            </w:r>
          </w:p>
          <w:p>
            <w:pPr>
              <w:adjustRightInd w:val="0"/>
              <w:snapToGrid w:val="0"/>
              <w:jc w:val="center"/>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t>控制</w:t>
            </w:r>
          </w:p>
          <w:p>
            <w:pPr>
              <w:adjustRightInd w:val="0"/>
              <w:snapToGrid w:val="0"/>
              <w:jc w:val="center"/>
              <w:rPr>
                <w:rFonts w:hint="default" w:ascii="Times New Roman" w:hAnsi="Times New Roman" w:cs="Times New Roman"/>
                <w:color w:val="FF0000"/>
                <w:kern w:val="0"/>
                <w:szCs w:val="21"/>
              </w:rPr>
            </w:pPr>
            <w:r>
              <w:rPr>
                <w:rFonts w:hint="default" w:ascii="Times New Roman" w:hAnsi="Times New Roman" w:cs="Times New Roman"/>
                <w:color w:val="000000" w:themeColor="text1"/>
                <w:kern w:val="0"/>
                <w:sz w:val="24"/>
                <w:szCs w:val="24"/>
                <w14:textFill>
                  <w14:solidFill>
                    <w14:schemeClr w14:val="tx1"/>
                  </w14:solidFill>
                </w14:textFill>
              </w:rPr>
              <w:t>指标</w:t>
            </w:r>
          </w:p>
        </w:tc>
        <w:tc>
          <w:tcPr>
            <w:tcW w:w="4555" w:type="pct"/>
            <w:noWrap w:val="0"/>
            <w:vAlign w:val="center"/>
          </w:tcPr>
          <w:p>
            <w:pPr>
              <w:spacing w:line="360" w:lineRule="auto"/>
              <w:jc w:val="center"/>
              <w:rPr>
                <w:rFonts w:hint="default" w:ascii="Times New Roman" w:hAnsi="Times New Roman" w:cs="Times New Roman"/>
                <w:color w:val="FF0000"/>
                <w:sz w:val="24"/>
                <w:szCs w:val="24"/>
                <w:lang w:val="en-US" w:eastAsia="zh-CN"/>
              </w:rPr>
            </w:pPr>
            <w:r>
              <w:rPr>
                <w:rFonts w:hint="eastAsia" w:cs="Times New Roman"/>
                <w:color w:val="000000"/>
                <w:sz w:val="24"/>
                <w:szCs w:val="24"/>
                <w:lang w:val="en-US" w:eastAsia="zh-CN"/>
              </w:rPr>
              <w:t>无</w:t>
            </w:r>
          </w:p>
        </w:tc>
      </w:tr>
    </w:tbl>
    <w:p>
      <w:pPr>
        <w:pStyle w:val="26"/>
        <w:spacing w:before="0" w:beforeAutospacing="0" w:after="0" w:afterAutospacing="0" w:line="360" w:lineRule="auto"/>
        <w:jc w:val="center"/>
        <w:outlineLvl w:val="0"/>
        <w:rPr>
          <w:rFonts w:hint="default" w:ascii="Times New Roman" w:hAnsi="Times New Roman" w:eastAsia="黑体" w:cs="Times New Roman"/>
          <w:snapToGrid w:val="0"/>
          <w:color w:val="FF0000"/>
          <w:sz w:val="30"/>
          <w:szCs w:val="30"/>
        </w:rPr>
      </w:pPr>
      <w:r>
        <w:rPr>
          <w:rFonts w:hint="default" w:ascii="Times New Roman" w:hAnsi="Times New Roman" w:eastAsia="黑体" w:cs="Times New Roman"/>
          <w:snapToGrid w:val="0"/>
          <w:color w:val="FF0000"/>
          <w:sz w:val="36"/>
          <w:szCs w:val="36"/>
        </w:rPr>
        <w:br w:type="page"/>
      </w:r>
      <w:bookmarkStart w:id="20" w:name="_Toc24021"/>
      <w:bookmarkStart w:id="21" w:name="_Toc18420"/>
      <w:r>
        <w:rPr>
          <w:rFonts w:hint="default" w:ascii="Times New Roman" w:hAnsi="Times New Roman" w:eastAsia="黑体" w:cs="Times New Roman"/>
          <w:snapToGrid w:val="0"/>
          <w:color w:val="000000" w:themeColor="text1"/>
          <w:sz w:val="30"/>
          <w:szCs w:val="30"/>
          <w14:textFill>
            <w14:solidFill>
              <w14:schemeClr w14:val="tx1"/>
            </w14:solidFill>
          </w14:textFill>
        </w:rPr>
        <w:t>四、主要环境影响和保护措施</w:t>
      </w:r>
      <w:bookmarkEnd w:id="20"/>
      <w:bookmarkEnd w:id="21"/>
    </w:p>
    <w:tbl>
      <w:tblPr>
        <w:tblStyle w:val="29"/>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54"/>
        <w:gridCol w:w="81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339" w:type="pct"/>
            <w:noWrap w:val="0"/>
            <w:tcMar>
              <w:left w:w="28" w:type="dxa"/>
              <w:right w:w="28" w:type="dxa"/>
            </w:tcMar>
            <w:vAlign w:val="center"/>
          </w:tcPr>
          <w:p>
            <w:pPr>
              <w:pStyle w:val="26"/>
              <w:adjustRightInd w:val="0"/>
              <w:snapToGrid w:val="0"/>
              <w:spacing w:before="0" w:beforeAutospacing="0" w:after="0" w:afterAutospacing="0"/>
              <w:jc w:val="center"/>
              <w:rPr>
                <w:rFonts w:hint="default" w:ascii="Times New Roman" w:hAnsi="Times New Roman" w:cs="Times New Roman"/>
                <w:color w:val="000000" w:themeColor="text1"/>
                <w:kern w:val="2"/>
                <w:sz w:val="24"/>
                <w:szCs w:val="24"/>
                <w14:textFill>
                  <w14:solidFill>
                    <w14:schemeClr w14:val="tx1"/>
                  </w14:solidFill>
                </w14:textFill>
              </w:rPr>
            </w:pPr>
            <w:r>
              <w:rPr>
                <w:rFonts w:hint="default" w:ascii="Times New Roman" w:hAnsi="Times New Roman" w:cs="Times New Roman"/>
                <w:color w:val="000000" w:themeColor="text1"/>
                <w:kern w:val="2"/>
                <w:sz w:val="24"/>
                <w:szCs w:val="24"/>
                <w14:textFill>
                  <w14:solidFill>
                    <w14:schemeClr w14:val="tx1"/>
                  </w14:solidFill>
                </w14:textFill>
              </w:rPr>
              <w:t>施工</w:t>
            </w:r>
          </w:p>
          <w:p>
            <w:pPr>
              <w:pStyle w:val="26"/>
              <w:adjustRightInd w:val="0"/>
              <w:snapToGrid w:val="0"/>
              <w:spacing w:before="0" w:beforeAutospacing="0" w:after="0" w:afterAutospacing="0"/>
              <w:jc w:val="center"/>
              <w:rPr>
                <w:rFonts w:hint="default" w:ascii="Times New Roman" w:hAnsi="Times New Roman" w:cs="Times New Roman"/>
                <w:color w:val="000000" w:themeColor="text1"/>
                <w:kern w:val="2"/>
                <w:sz w:val="24"/>
                <w:szCs w:val="24"/>
                <w14:textFill>
                  <w14:solidFill>
                    <w14:schemeClr w14:val="tx1"/>
                  </w14:solidFill>
                </w14:textFill>
              </w:rPr>
            </w:pPr>
            <w:r>
              <w:rPr>
                <w:rFonts w:hint="default" w:ascii="Times New Roman" w:hAnsi="Times New Roman" w:cs="Times New Roman"/>
                <w:color w:val="000000" w:themeColor="text1"/>
                <w:kern w:val="2"/>
                <w:sz w:val="24"/>
                <w:szCs w:val="24"/>
                <w14:textFill>
                  <w14:solidFill>
                    <w14:schemeClr w14:val="tx1"/>
                  </w14:solidFill>
                </w14:textFill>
              </w:rPr>
              <w:t>期环</w:t>
            </w:r>
          </w:p>
          <w:p>
            <w:pPr>
              <w:pStyle w:val="26"/>
              <w:adjustRightInd w:val="0"/>
              <w:snapToGrid w:val="0"/>
              <w:spacing w:before="0" w:beforeAutospacing="0" w:after="0" w:afterAutospacing="0"/>
              <w:jc w:val="center"/>
              <w:rPr>
                <w:rFonts w:hint="default" w:ascii="Times New Roman" w:hAnsi="Times New Roman" w:cs="Times New Roman"/>
                <w:color w:val="000000" w:themeColor="text1"/>
                <w:kern w:val="2"/>
                <w:sz w:val="24"/>
                <w:szCs w:val="24"/>
                <w14:textFill>
                  <w14:solidFill>
                    <w14:schemeClr w14:val="tx1"/>
                  </w14:solidFill>
                </w14:textFill>
              </w:rPr>
            </w:pPr>
            <w:r>
              <w:rPr>
                <w:rFonts w:hint="default" w:ascii="Times New Roman" w:hAnsi="Times New Roman" w:cs="Times New Roman"/>
                <w:color w:val="000000" w:themeColor="text1"/>
                <w:kern w:val="2"/>
                <w:sz w:val="24"/>
                <w:szCs w:val="24"/>
                <w14:textFill>
                  <w14:solidFill>
                    <w14:schemeClr w14:val="tx1"/>
                  </w14:solidFill>
                </w14:textFill>
              </w:rPr>
              <w:t>境保</w:t>
            </w:r>
          </w:p>
          <w:p>
            <w:pPr>
              <w:pStyle w:val="26"/>
              <w:adjustRightInd w:val="0"/>
              <w:snapToGrid w:val="0"/>
              <w:spacing w:before="0" w:beforeAutospacing="0" w:after="0" w:afterAutospacing="0"/>
              <w:jc w:val="center"/>
              <w:rPr>
                <w:rFonts w:hint="default" w:ascii="Times New Roman" w:hAnsi="Times New Roman" w:cs="Times New Roman"/>
                <w:color w:val="000000" w:themeColor="text1"/>
                <w:kern w:val="2"/>
                <w:sz w:val="24"/>
                <w:szCs w:val="24"/>
                <w14:textFill>
                  <w14:solidFill>
                    <w14:schemeClr w14:val="tx1"/>
                  </w14:solidFill>
                </w14:textFill>
              </w:rPr>
            </w:pPr>
            <w:r>
              <w:rPr>
                <w:rFonts w:hint="default" w:ascii="Times New Roman" w:hAnsi="Times New Roman" w:cs="Times New Roman"/>
                <w:color w:val="000000" w:themeColor="text1"/>
                <w:kern w:val="2"/>
                <w:sz w:val="24"/>
                <w:szCs w:val="24"/>
                <w14:textFill>
                  <w14:solidFill>
                    <w14:schemeClr w14:val="tx1"/>
                  </w14:solidFill>
                </w14:textFill>
              </w:rPr>
              <w:t>护措</w:t>
            </w:r>
          </w:p>
          <w:p>
            <w:pPr>
              <w:pStyle w:val="26"/>
              <w:adjustRightInd w:val="0"/>
              <w:snapToGrid w:val="0"/>
              <w:spacing w:before="0" w:beforeAutospacing="0" w:after="0" w:afterAutospacing="0"/>
              <w:jc w:val="center"/>
              <w:rPr>
                <w:rFonts w:hint="default" w:ascii="Times New Roman" w:hAnsi="Times New Roman" w:cs="Times New Roman"/>
                <w:bCs/>
                <w:color w:val="FF0000"/>
                <w:kern w:val="2"/>
                <w:sz w:val="21"/>
                <w:szCs w:val="21"/>
              </w:rPr>
            </w:pPr>
            <w:r>
              <w:rPr>
                <w:rFonts w:hint="default" w:ascii="Times New Roman" w:hAnsi="Times New Roman" w:cs="Times New Roman"/>
                <w:color w:val="000000" w:themeColor="text1"/>
                <w:kern w:val="2"/>
                <w:sz w:val="24"/>
                <w:szCs w:val="24"/>
                <w14:textFill>
                  <w14:solidFill>
                    <w14:schemeClr w14:val="tx1"/>
                  </w14:solidFill>
                </w14:textFill>
              </w:rPr>
              <w:t>施</w:t>
            </w:r>
          </w:p>
        </w:tc>
        <w:tc>
          <w:tcPr>
            <w:tcW w:w="4660" w:type="pct"/>
            <w:noWrap w:val="0"/>
            <w:vAlign w:val="center"/>
          </w:tcPr>
          <w:p>
            <w:pPr>
              <w:numPr>
                <w:ilvl w:val="0"/>
                <w:numId w:val="0"/>
              </w:num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4.1施工期环境影响和保护措施</w:t>
            </w:r>
          </w:p>
          <w:p>
            <w:pPr>
              <w:numPr>
                <w:ilvl w:val="0"/>
                <w:numId w:val="0"/>
              </w:num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4.1.1</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施工废气防治措施</w:t>
            </w:r>
          </w:p>
          <w:p>
            <w:pPr>
              <w:numPr>
                <w:ilvl w:val="0"/>
                <w:numId w:val="0"/>
              </w:num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施工期主要大气污染物为室内装修引起的少量粉尘，粉尘集中在室内，极少量扬散到室外，通过洒水等措施可控制扬尘，对外环境的影响较小，对环境的影响随施工结束而消失。</w:t>
            </w:r>
          </w:p>
          <w:p>
            <w:pPr>
              <w:numPr>
                <w:ilvl w:val="0"/>
                <w:numId w:val="0"/>
              </w:num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为避免室外粉尘的产生，拟建项目严禁将装修废料堆放于项目外路面。为减轻施工扬尘对周围空气环境影响，建设方应采取有效的扬尘控制措施：</w:t>
            </w:r>
          </w:p>
          <w:p>
            <w:pPr>
              <w:numPr>
                <w:ilvl w:val="0"/>
                <w:numId w:val="0"/>
              </w:num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①建筑材料进出现场搬运、堆放</w:t>
            </w:r>
            <w:r>
              <w:rPr>
                <w:rFonts w:hint="eastAsia" w:cs="Times New Roman"/>
                <w:color w:val="000000" w:themeColor="text1"/>
                <w:sz w:val="24"/>
                <w:highlight w:val="none"/>
                <w:lang w:val="en-US" w:eastAsia="zh-CN"/>
                <w14:textFill>
                  <w14:solidFill>
                    <w14:schemeClr w14:val="tx1"/>
                  </w14:solidFill>
                </w14:textFill>
              </w:rPr>
              <w:t>以车辆运输及人工搬运为主</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，要求做到轻拿轻放，尽量降低扬尘。</w:t>
            </w:r>
          </w:p>
          <w:p>
            <w:pPr>
              <w:numPr>
                <w:ilvl w:val="0"/>
                <w:numId w:val="0"/>
              </w:num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②房屋改造、装修过程中，多洒水，保持空气的湿度，降低空气中的扬尘。</w:t>
            </w:r>
          </w:p>
          <w:p>
            <w:pPr>
              <w:numPr>
                <w:ilvl w:val="0"/>
                <w:numId w:val="0"/>
              </w:num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③施工过程中，提倡文明施工，禁止出现高空坠物现象。</w:t>
            </w:r>
          </w:p>
          <w:p>
            <w:pPr>
              <w:numPr>
                <w:ilvl w:val="0"/>
                <w:numId w:val="0"/>
              </w:num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项目施工内容比较简单，施工时间较短，只要加强管理，施工场地扬尘对环境的影响将会</w:t>
            </w:r>
            <w:r>
              <w:rPr>
                <w:rFonts w:hint="eastAsia" w:cs="Times New Roman"/>
                <w:color w:val="000000" w:themeColor="text1"/>
                <w:sz w:val="24"/>
                <w:highlight w:val="none"/>
                <w:lang w:val="en-US" w:eastAsia="zh-CN"/>
                <w14:textFill>
                  <w14:solidFill>
                    <w14:schemeClr w14:val="tx1"/>
                  </w14:solidFill>
                </w14:textFill>
              </w:rPr>
              <w:t>大幅</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降低，对周围环境的影响将随施工的结束而消失，对外环境的影响较小。</w:t>
            </w:r>
          </w:p>
          <w:p>
            <w:pPr>
              <w:numPr>
                <w:ilvl w:val="0"/>
                <w:numId w:val="0"/>
              </w:numPr>
              <w:spacing w:line="360" w:lineRule="auto"/>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4.1.2施工废水防治措施</w:t>
            </w:r>
          </w:p>
          <w:p>
            <w:pPr>
              <w:numPr>
                <w:ilvl w:val="0"/>
                <w:numId w:val="0"/>
              </w:num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本项目所在地污水管网完善，生活污水依托现有的排水系统，故施工人员产生的生活污水依托周边现有卫生间，可直接进入城市污水管网，不会对周围环境造成影响。</w:t>
            </w:r>
          </w:p>
          <w:p>
            <w:pPr>
              <w:numPr>
                <w:ilvl w:val="0"/>
                <w:numId w:val="0"/>
              </w:numPr>
              <w:spacing w:line="360" w:lineRule="auto"/>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4.1.3施工噪声防治措施</w:t>
            </w:r>
          </w:p>
          <w:p>
            <w:pPr>
              <w:pStyle w:val="82"/>
              <w:spacing w:before="162" w:line="360" w:lineRule="auto"/>
              <w:ind w:left="113" w:right="106" w:firstLine="474"/>
              <w:jc w:val="both"/>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施工期主要是施工现场各类机械设备噪声和物料、设备运输的交通噪声。由于项目无主体结构施工，场地噪声主要产生于室内装饰和设备安装两个阶段。</w:t>
            </w:r>
          </w:p>
          <w:p>
            <w:pPr>
              <w:pStyle w:val="82"/>
              <w:spacing w:line="359" w:lineRule="auto"/>
              <w:ind w:left="109" w:right="109" w:firstLine="479"/>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 xml:space="preserve">机械噪声：主要为装修期间使用的电钻、电锤、木工刨等机械设备产生的噪声，其噪声级为 90～105dB  </w:t>
            </w:r>
            <w:r>
              <w:rPr>
                <w:rFonts w:hint="eastAsia" w:ascii="Times New Roman" w:hAnsi="Times New Roman" w:cs="Times New Roman"/>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Λ</w:t>
            </w:r>
            <w:r>
              <w:rPr>
                <w:rFonts w:hint="eastAsia" w:ascii="Times New Roman" w:hAnsi="Times New Roman" w:cs="Times New Roman"/>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p>
          <w:p>
            <w:pPr>
              <w:pStyle w:val="82"/>
              <w:spacing w:before="41" w:line="353" w:lineRule="auto"/>
              <w:ind w:left="234" w:right="106" w:hanging="122"/>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 xml:space="preserve">运输噪声：主要由施工阶段物料运输车辆引起，如建筑材料及必要设备的运进。运输车辆一般采用载重汽车，其噪声值一般在 75～85dB </w:t>
            </w:r>
            <w:r>
              <w:rPr>
                <w:rFonts w:hint="eastAsia" w:ascii="Times New Roman" w:hAnsi="Times New Roman" w:cs="Times New Roman"/>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Λ</w:t>
            </w:r>
            <w:r>
              <w:rPr>
                <w:rFonts w:hint="eastAsia" w:ascii="Times New Roman" w:hAnsi="Times New Roman" w:cs="Times New Roman"/>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之间。</w:t>
            </w:r>
          </w:p>
          <w:p>
            <w:pPr>
              <w:pStyle w:val="82"/>
              <w:spacing w:before="15" w:line="359" w:lineRule="auto"/>
              <w:ind w:left="109" w:right="110" w:firstLine="479"/>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施工噪声是不可避免的，由于施工期较短，拟建项目应采取必要的措施将噪声控制在最低水平，具体措施如下：</w:t>
            </w:r>
          </w:p>
          <w:p>
            <w:pPr>
              <w:pStyle w:val="82"/>
              <w:spacing w:before="1" w:line="359" w:lineRule="auto"/>
              <w:ind w:left="110" w:right="107" w:firstLine="478"/>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①在满足施工需要的前提下，尽可能选取噪声低、振动小、能耗小的先进设备；注意机械设备的保养；安排技术好的工人进行操作，以减少噪声影响。</w:t>
            </w:r>
          </w:p>
          <w:p>
            <w:pPr>
              <w:pStyle w:val="82"/>
              <w:spacing w:before="1" w:line="359" w:lineRule="auto"/>
              <w:ind w:left="110" w:right="107" w:firstLine="478"/>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②合理安排施工时间，高噪声施工设备仅限于昼间作业，且12:00-14:00 时段禁止进行高噪声施工，夜间避免施工。</w:t>
            </w:r>
          </w:p>
          <w:p>
            <w:pPr>
              <w:pStyle w:val="82"/>
              <w:spacing w:before="162" w:line="359" w:lineRule="auto"/>
              <w:ind w:left="107" w:right="84" w:firstLine="439"/>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③加强施工设备管理，使用高噪声设备时关闭门窗，尽量减少高噪声向外传播。</w:t>
            </w:r>
          </w:p>
          <w:p>
            <w:pPr>
              <w:pStyle w:val="82"/>
              <w:spacing w:line="359" w:lineRule="auto"/>
              <w:ind w:left="115" w:right="84" w:firstLine="430"/>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④加强对施工人员的环境宣传和教育，使他们认真落实各项降噪措施，做到文明施工。</w:t>
            </w:r>
          </w:p>
          <w:p>
            <w:pPr>
              <w:pStyle w:val="82"/>
              <w:spacing w:before="2" w:line="359" w:lineRule="auto"/>
              <w:ind w:left="108" w:right="85" w:firstLine="440"/>
              <w:jc w:val="both"/>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拟建项目施工期噪声环境影响是短暂且可恢复的，随着施工结束其对环境影响也将随之消失，在采取上述噪声污染防治措施前提下，施工期的噪声对周边声环境影响可接受。</w:t>
            </w:r>
          </w:p>
          <w:p>
            <w:pPr>
              <w:numPr>
                <w:ilvl w:val="0"/>
                <w:numId w:val="0"/>
              </w:numPr>
              <w:spacing w:line="360" w:lineRule="auto"/>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4.1.4施工固体废物防治措施</w:t>
            </w:r>
          </w:p>
          <w:p>
            <w:pPr>
              <w:pStyle w:val="82"/>
              <w:spacing w:before="2" w:line="359" w:lineRule="auto"/>
              <w:ind w:left="108" w:right="85" w:firstLine="440"/>
              <w:jc w:val="both"/>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工程施工过程中及完工清理场地时产生的建筑垃圾将清运到指定的建渣堆场；废弃物料能回收利用的则回收综合利用，生活垃圾由环卫部门统一清运处理。</w:t>
            </w:r>
          </w:p>
          <w:p>
            <w:pPr>
              <w:pStyle w:val="82"/>
              <w:spacing w:before="2" w:line="359" w:lineRule="auto"/>
              <w:ind w:left="108" w:right="85" w:firstLine="440"/>
              <w:jc w:val="both"/>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施工期固体废弃物经上述方式妥善处理后可确保不对环境造成二次污染，不会对环境产生不良影响。</w:t>
            </w:r>
          </w:p>
          <w:p>
            <w:pPr>
              <w:numPr>
                <w:ilvl w:val="0"/>
                <w:numId w:val="0"/>
              </w:numPr>
              <w:spacing w:line="360" w:lineRule="auto"/>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4.1.5施工期生态环境保护措施</w:t>
            </w:r>
          </w:p>
          <w:p>
            <w:pPr>
              <w:pStyle w:val="82"/>
              <w:spacing w:before="2" w:line="359" w:lineRule="auto"/>
              <w:ind w:left="108" w:right="85" w:firstLine="440"/>
              <w:jc w:val="both"/>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本项目位于城市建成区，在已竣工验收的商铺用房内进行装修及设备设施安装，施工期不会对生态环境产生影响。</w:t>
            </w:r>
          </w:p>
          <w:p>
            <w:pPr>
              <w:pStyle w:val="16"/>
              <w:widowControl w:val="0"/>
              <w:numPr>
                <w:ilvl w:val="0"/>
                <w:numId w:val="0"/>
              </w:numPr>
              <w:jc w:val="both"/>
              <w:rPr>
                <w:rFonts w:hint="default" w:ascii="Times New Roman" w:hAnsi="Times New Roman" w:cs="Times New Roman"/>
                <w:color w:val="000000" w:themeColor="text1"/>
                <w:sz w:val="24"/>
                <w:highlight w:val="none"/>
                <w:lang w:eastAsia="zh-CN"/>
                <w14:textFill>
                  <w14:solidFill>
                    <w14:schemeClr w14:val="tx1"/>
                  </w14:solidFill>
                </w14:textFill>
              </w:rPr>
            </w:pPr>
          </w:p>
          <w:p>
            <w:pPr>
              <w:pStyle w:val="16"/>
              <w:widowControl w:val="0"/>
              <w:numPr>
                <w:ilvl w:val="0"/>
                <w:numId w:val="0"/>
              </w:numPr>
              <w:jc w:val="both"/>
              <w:rPr>
                <w:rFonts w:hint="default" w:ascii="Times New Roman" w:hAnsi="Times New Roman" w:cs="Times New Roman"/>
                <w:color w:val="000000" w:themeColor="text1"/>
                <w:sz w:val="24"/>
                <w:highlight w:val="none"/>
                <w:lang w:eastAsia="zh-CN"/>
                <w14:textFill>
                  <w14:solidFill>
                    <w14:schemeClr w14:val="tx1"/>
                  </w14:solidFill>
                </w14:textFill>
              </w:rPr>
            </w:pPr>
          </w:p>
          <w:p>
            <w:pPr>
              <w:pStyle w:val="16"/>
              <w:widowControl w:val="0"/>
              <w:numPr>
                <w:ilvl w:val="0"/>
                <w:numId w:val="0"/>
              </w:numPr>
              <w:jc w:val="both"/>
              <w:rPr>
                <w:rFonts w:hint="default" w:ascii="Times New Roman" w:hAnsi="Times New Roman" w:cs="Times New Roman"/>
                <w:color w:val="000000" w:themeColor="text1"/>
                <w:sz w:val="24"/>
                <w:highlight w:val="none"/>
                <w:lang w:eastAsia="zh-CN"/>
                <w14:textFill>
                  <w14:solidFill>
                    <w14:schemeClr w14:val="tx1"/>
                  </w14:solidFill>
                </w14:textFill>
              </w:rPr>
            </w:pPr>
          </w:p>
          <w:p>
            <w:pPr>
              <w:pStyle w:val="16"/>
              <w:widowControl w:val="0"/>
              <w:numPr>
                <w:ilvl w:val="0"/>
                <w:numId w:val="0"/>
              </w:numPr>
              <w:jc w:val="both"/>
              <w:rPr>
                <w:rFonts w:hint="default" w:ascii="Times New Roman" w:hAnsi="Times New Roman" w:cs="Times New Roman"/>
                <w:color w:val="000000" w:themeColor="text1"/>
                <w:sz w:val="24"/>
                <w:highlight w:val="none"/>
                <w:lang w:eastAsia="zh-CN"/>
                <w14:textFill>
                  <w14:solidFill>
                    <w14:schemeClr w14:val="tx1"/>
                  </w14:solidFill>
                </w14:textFill>
              </w:rPr>
            </w:pPr>
          </w:p>
          <w:p>
            <w:pPr>
              <w:pStyle w:val="16"/>
              <w:widowControl w:val="0"/>
              <w:numPr>
                <w:ilvl w:val="0"/>
                <w:numId w:val="0"/>
              </w:numPr>
              <w:jc w:val="both"/>
              <w:rPr>
                <w:rFonts w:hint="default" w:ascii="Times New Roman" w:hAnsi="Times New Roman" w:cs="Times New Roman"/>
                <w:color w:val="000000" w:themeColor="text1"/>
                <w:sz w:val="24"/>
                <w:highlight w:val="none"/>
                <w:lang w:eastAsia="zh-CN"/>
                <w14:textFill>
                  <w14:solidFill>
                    <w14:schemeClr w14:val="tx1"/>
                  </w14:solidFill>
                </w14:textFill>
              </w:rPr>
            </w:pPr>
          </w:p>
          <w:p>
            <w:pPr>
              <w:pStyle w:val="16"/>
              <w:widowControl w:val="0"/>
              <w:numPr>
                <w:ilvl w:val="0"/>
                <w:numId w:val="0"/>
              </w:numPr>
              <w:jc w:val="both"/>
              <w:rPr>
                <w:rFonts w:hint="default" w:ascii="Times New Roman" w:hAnsi="Times New Roman" w:cs="Times New Roman"/>
                <w:color w:val="000000" w:themeColor="text1"/>
                <w:sz w:val="24"/>
                <w:highlight w:val="none"/>
                <w:lang w:eastAsia="zh-CN"/>
                <w14:textFill>
                  <w14:solidFill>
                    <w14:schemeClr w14:val="tx1"/>
                  </w14:solidFill>
                </w14:textFill>
              </w:rPr>
            </w:pPr>
          </w:p>
          <w:p>
            <w:pPr>
              <w:pStyle w:val="16"/>
              <w:widowControl w:val="0"/>
              <w:numPr>
                <w:ilvl w:val="0"/>
                <w:numId w:val="0"/>
              </w:numPr>
              <w:jc w:val="both"/>
              <w:rPr>
                <w:rFonts w:hint="default" w:ascii="Times New Roman" w:hAnsi="Times New Roman" w:cs="Times New Roman"/>
                <w:color w:val="000000" w:themeColor="text1"/>
                <w:sz w:val="24"/>
                <w:highlight w:val="none"/>
                <w:lang w:eastAsia="zh-CN"/>
                <w14:textFill>
                  <w14:solidFill>
                    <w14:schemeClr w14:val="tx1"/>
                  </w14:solidFill>
                </w14:textFill>
              </w:rPr>
            </w:pPr>
          </w:p>
          <w:p>
            <w:pPr>
              <w:pStyle w:val="16"/>
              <w:widowControl w:val="0"/>
              <w:numPr>
                <w:ilvl w:val="0"/>
                <w:numId w:val="0"/>
              </w:numPr>
              <w:jc w:val="both"/>
              <w:rPr>
                <w:rFonts w:hint="default" w:ascii="Times New Roman" w:hAnsi="Times New Roman" w:cs="Times New Roman"/>
                <w:color w:val="000000" w:themeColor="text1"/>
                <w:sz w:val="24"/>
                <w:highlight w:val="none"/>
                <w:lang w:eastAsia="zh-CN"/>
                <w14:textFill>
                  <w14:solidFill>
                    <w14:schemeClr w14:val="tx1"/>
                  </w14:solidFill>
                </w14:textFill>
              </w:rPr>
            </w:pPr>
          </w:p>
          <w:p>
            <w:pPr>
              <w:pStyle w:val="16"/>
              <w:widowControl w:val="0"/>
              <w:numPr>
                <w:ilvl w:val="0"/>
                <w:numId w:val="0"/>
              </w:numPr>
              <w:jc w:val="both"/>
              <w:rPr>
                <w:rFonts w:hint="default" w:ascii="Times New Roman" w:hAnsi="Times New Roman" w:cs="Times New Roman"/>
                <w:color w:val="000000" w:themeColor="text1"/>
                <w:sz w:val="24"/>
                <w:highlight w:val="none"/>
                <w:lang w:val="en-US" w:eastAsia="zh-CN"/>
                <w14:textFill>
                  <w14:solidFill>
                    <w14:schemeClr w14:val="tx1"/>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22" w:hRule="atLeast"/>
          <w:jc w:val="center"/>
        </w:trPr>
        <w:tc>
          <w:tcPr>
            <w:tcW w:w="339" w:type="pct"/>
            <w:noWrap w:val="0"/>
            <w:tcMar>
              <w:left w:w="28" w:type="dxa"/>
              <w:right w:w="28" w:type="dxa"/>
            </w:tcMar>
            <w:vAlign w:val="center"/>
          </w:tcPr>
          <w:p>
            <w:pPr>
              <w:adjustRightInd w:val="0"/>
              <w:snapToGrid w:val="0"/>
              <w:jc w:val="center"/>
              <w:rPr>
                <w:rFonts w:hint="default" w:ascii="Times New Roman" w:hAnsi="Times New Roman" w:cs="Times New Roman"/>
                <w:bCs/>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运营</w:t>
            </w:r>
          </w:p>
          <w:p>
            <w:pPr>
              <w:adjustRightInd w:val="0"/>
              <w:snapToGrid w:val="0"/>
              <w:jc w:val="center"/>
              <w:rPr>
                <w:rFonts w:hint="default" w:ascii="Times New Roman" w:hAnsi="Times New Roman" w:cs="Times New Roman"/>
                <w:bCs/>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期环</w:t>
            </w:r>
          </w:p>
          <w:p>
            <w:pPr>
              <w:adjustRightInd w:val="0"/>
              <w:snapToGrid w:val="0"/>
              <w:jc w:val="center"/>
              <w:rPr>
                <w:rFonts w:hint="default" w:ascii="Times New Roman" w:hAnsi="Times New Roman" w:cs="Times New Roman"/>
                <w:bCs/>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境影</w:t>
            </w:r>
          </w:p>
          <w:p>
            <w:pPr>
              <w:adjustRightInd w:val="0"/>
              <w:snapToGrid w:val="0"/>
              <w:jc w:val="center"/>
              <w:rPr>
                <w:rFonts w:hint="default" w:ascii="Times New Roman" w:hAnsi="Times New Roman" w:cs="Times New Roman"/>
                <w:bCs/>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响和</w:t>
            </w:r>
          </w:p>
          <w:p>
            <w:pPr>
              <w:adjustRightInd w:val="0"/>
              <w:snapToGrid w:val="0"/>
              <w:jc w:val="center"/>
              <w:rPr>
                <w:rFonts w:hint="default" w:ascii="Times New Roman" w:hAnsi="Times New Roman" w:cs="Times New Roman"/>
                <w:bCs/>
                <w:color w:val="000000" w:themeColor="text1"/>
                <w:sz w:val="24"/>
                <w:szCs w:val="24"/>
                <w14:textFill>
                  <w14:solidFill>
                    <w14:schemeClr w14:val="tx1"/>
                  </w14:solidFill>
                </w14:textFill>
              </w:rPr>
            </w:pPr>
            <w:r>
              <w:rPr>
                <w:rFonts w:hint="default" w:ascii="Times New Roman" w:hAnsi="Times New Roman" w:cs="Times New Roman"/>
                <w:bCs/>
                <w:color w:val="000000" w:themeColor="text1"/>
                <w:sz w:val="24"/>
                <w:szCs w:val="24"/>
                <w14:textFill>
                  <w14:solidFill>
                    <w14:schemeClr w14:val="tx1"/>
                  </w14:solidFill>
                </w14:textFill>
              </w:rPr>
              <w:t>保护</w:t>
            </w:r>
          </w:p>
          <w:p>
            <w:pPr>
              <w:pStyle w:val="26"/>
              <w:adjustRightInd w:val="0"/>
              <w:snapToGrid w:val="0"/>
              <w:spacing w:before="0" w:beforeAutospacing="0" w:after="0" w:afterAutospacing="0"/>
              <w:jc w:val="center"/>
              <w:rPr>
                <w:rFonts w:hint="default" w:ascii="Times New Roman" w:hAnsi="Times New Roman" w:cs="Times New Roman"/>
                <w:color w:val="FF0000"/>
                <w:kern w:val="2"/>
                <w:sz w:val="24"/>
                <w:szCs w:val="24"/>
              </w:rPr>
            </w:pPr>
            <w:r>
              <w:rPr>
                <w:rFonts w:hint="default" w:ascii="Times New Roman" w:hAnsi="Times New Roman" w:cs="Times New Roman"/>
                <w:bCs/>
                <w:color w:val="000000" w:themeColor="text1"/>
                <w:sz w:val="24"/>
                <w:szCs w:val="24"/>
                <w14:textFill>
                  <w14:solidFill>
                    <w14:schemeClr w14:val="tx1"/>
                  </w14:solidFill>
                </w14:textFill>
              </w:rPr>
              <w:t>措施</w:t>
            </w:r>
          </w:p>
        </w:tc>
        <w:tc>
          <w:tcPr>
            <w:tcW w:w="4660" w:type="pct"/>
            <w:noWrap w:val="0"/>
            <w:vAlign w:val="center"/>
          </w:tcPr>
          <w:p>
            <w:pPr>
              <w:numPr>
                <w:ilvl w:val="0"/>
                <w:numId w:val="0"/>
              </w:numPr>
              <w:spacing w:line="360" w:lineRule="auto"/>
              <w:rPr>
                <w:rFonts w:hint="default" w:ascii="Times New Roman" w:hAnsi="Times New Roman"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bCs/>
                <w:color w:val="000000" w:themeColor="text1"/>
                <w:kern w:val="2"/>
                <w:sz w:val="24"/>
                <w:szCs w:val="24"/>
                <w:lang w:val="en-US" w:eastAsia="zh-CN" w:bidi="ar-SA"/>
                <w14:textFill>
                  <w14:solidFill>
                    <w14:schemeClr w14:val="tx1"/>
                  </w14:solidFill>
                </w14:textFill>
              </w:rPr>
              <w:t>4.2运营期环境影响和保护措施</w:t>
            </w:r>
          </w:p>
          <w:p>
            <w:pPr>
              <w:numPr>
                <w:ilvl w:val="0"/>
                <w:numId w:val="0"/>
              </w:numPr>
              <w:spacing w:line="360" w:lineRule="auto"/>
              <w:rPr>
                <w:rFonts w:hint="default" w:ascii="Times New Roman" w:hAnsi="Times New Roman" w:cs="Times New Roman"/>
                <w:b/>
                <w:bCs/>
                <w:color w:val="000000" w:themeColor="text1"/>
                <w:sz w:val="24"/>
                <w:highlight w:val="none"/>
                <w:lang w:eastAsia="zh-CN"/>
                <w14:textFill>
                  <w14:solidFill>
                    <w14:schemeClr w14:val="tx1"/>
                  </w14:solidFill>
                </w14:textFill>
              </w:rPr>
            </w:pPr>
            <w:r>
              <w:rPr>
                <w:rFonts w:hint="default" w:ascii="Times New Roman" w:hAnsi="Times New Roman" w:cs="Times New Roman"/>
                <w:b/>
                <w:bCs/>
                <w:color w:val="000000" w:themeColor="text1"/>
                <w:kern w:val="2"/>
                <w:sz w:val="24"/>
                <w:szCs w:val="24"/>
                <w:lang w:val="en-US" w:eastAsia="zh-CN" w:bidi="ar-SA"/>
                <w14:textFill>
                  <w14:solidFill>
                    <w14:schemeClr w14:val="tx1"/>
                  </w14:solidFill>
                </w14:textFill>
              </w:rPr>
              <w:t>4.2.1</w:t>
            </w:r>
            <w:r>
              <w:rPr>
                <w:rFonts w:hint="default" w:ascii="Times New Roman" w:hAnsi="Times New Roman" w:cs="Times New Roman"/>
                <w:b/>
                <w:bCs/>
                <w:color w:val="000000" w:themeColor="text1"/>
                <w:sz w:val="24"/>
                <w:highlight w:val="none"/>
                <w:lang w:eastAsia="zh-CN"/>
                <w14:textFill>
                  <w14:solidFill>
                    <w14:schemeClr w14:val="tx1"/>
                  </w14:solidFill>
                </w14:textFill>
              </w:rPr>
              <w:t>大气污染源</w:t>
            </w:r>
          </w:p>
          <w:p>
            <w:pPr>
              <w:numPr>
                <w:ilvl w:val="0"/>
                <w:numId w:val="0"/>
              </w:numPr>
              <w:spacing w:line="360" w:lineRule="auto"/>
              <w:ind w:firstLine="480" w:firstLineChars="200"/>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本项目为宠物诊所，从事简单的宠物诊疗活动。项目运营过程中宠物诊疗室及污水处理过程中会产生少量恶臭，无法进行定量分析，因此，本项目只做定性分析。</w:t>
            </w:r>
          </w:p>
          <w:p>
            <w:pPr>
              <w:numPr>
                <w:ilvl w:val="0"/>
                <w:numId w:val="0"/>
              </w:numPr>
              <w:spacing w:line="360" w:lineRule="auto"/>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4.2.1.1宠物诊疗、寄养异味</w:t>
            </w:r>
          </w:p>
          <w:p>
            <w:pPr>
              <w:numPr>
                <w:ilvl w:val="0"/>
                <w:numId w:val="0"/>
              </w:numPr>
              <w:spacing w:line="360" w:lineRule="auto"/>
              <w:ind w:firstLine="480" w:firstLineChars="200"/>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本项目主要是宠物住院区的粪便和尿液产生的异味，设置排便和排尿盒，有专人每天清洗和消毒。对于自身比较容易感染的宠物设置有猫狗屎尿垫，有专人及时更换。医院内空气均采用紫外线消毒，并定期喷洒除臭剂，同时换气扇加强通风换气，减少恶臭污染。</w:t>
            </w:r>
          </w:p>
          <w:p>
            <w:pPr>
              <w:numPr>
                <w:ilvl w:val="0"/>
                <w:numId w:val="0"/>
              </w:numPr>
              <w:spacing w:line="360" w:lineRule="auto"/>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4.2.1.2 污水处理恶臭</w:t>
            </w:r>
          </w:p>
          <w:p>
            <w:pPr>
              <w:numPr>
                <w:ilvl w:val="0"/>
                <w:numId w:val="0"/>
              </w:num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本项目采用</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小型</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废水处理</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设施对宠物诊疗</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废水</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进行预</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处理，采用氯片</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次氯酸钠</w:t>
            </w:r>
            <w:r>
              <w:rPr>
                <w:rFonts w:hint="eastAsia"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进行消毒。废水经小型废水处理设施处理后排入市政污水管网废水在处理设施内停留时间极短且废水处理设施密闭，</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故</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产生的异味</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较少</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，因此不会对周边环境产生明显影响</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建设单位应安排专人对废水处理设施进行管理和监护，确保废水处理设施的正常运行。</w:t>
            </w:r>
          </w:p>
          <w:p>
            <w:pPr>
              <w:numPr>
                <w:ilvl w:val="0"/>
                <w:numId w:val="0"/>
              </w:numPr>
              <w:spacing w:line="360" w:lineRule="auto"/>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4.2.1.3</w:t>
            </w:r>
            <w:r>
              <w:rPr>
                <w:rFonts w:hint="eastAsia" w:ascii="Times New Roman" w:hAnsi="Times New Roman" w:eastAsia="宋体" w:cs="Times New Roman"/>
                <w:b/>
                <w:bCs/>
                <w:color w:val="000000" w:themeColor="text1"/>
                <w:sz w:val="24"/>
                <w:highlight w:val="none"/>
                <w:lang w:val="en-US" w:eastAsia="zh-CN"/>
                <w14:textFill>
                  <w14:solidFill>
                    <w14:schemeClr w14:val="tx1"/>
                  </w14:solidFill>
                </w14:textFill>
              </w:rPr>
              <w:t>动物诊疗废物</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暂存异味</w:t>
            </w:r>
          </w:p>
          <w:p>
            <w:pPr>
              <w:numPr>
                <w:ilvl w:val="0"/>
                <w:numId w:val="0"/>
              </w:numPr>
              <w:spacing w:line="360" w:lineRule="auto"/>
              <w:ind w:firstLine="480" w:firstLineChars="200"/>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本项目设置专用垃圾桶收集</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动物诊疗废物</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，并设置</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医疗废物专用暂时贮存</w:t>
            </w:r>
            <w:r>
              <w:rPr>
                <w:rFonts w:hint="eastAsia" w:cs="Times New Roman"/>
                <w:snapToGrid w:val="0"/>
                <w:kern w:val="0"/>
                <w:sz w:val="24"/>
                <w:szCs w:val="24"/>
                <w:highlight w:val="none"/>
                <w:lang w:val="en-US" w:eastAsia="zh-CN"/>
              </w:rPr>
              <w:t>库房</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动物诊疗废物</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做好严密的封闭措施，有防鼠、防蚊蝇、防</w:t>
            </w:r>
            <w:r>
              <w:rPr>
                <w:rFonts w:hint="eastAsia" w:cs="Times New Roman"/>
                <w:color w:val="000000" w:themeColor="text1"/>
                <w:sz w:val="24"/>
                <w:highlight w:val="none"/>
                <w:lang w:val="en-US" w:eastAsia="zh-CN"/>
                <w14:textFill>
                  <w14:solidFill>
                    <w14:schemeClr w14:val="tx1"/>
                  </w14:solidFill>
                </w14:textFill>
              </w:rPr>
              <w:t>蟑螂</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的安全措施。在采取对</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医疗废物专用暂时贮存</w:t>
            </w:r>
            <w:r>
              <w:rPr>
                <w:rFonts w:hint="eastAsia" w:cs="Times New Roman"/>
                <w:snapToGrid w:val="0"/>
                <w:kern w:val="0"/>
                <w:sz w:val="24"/>
                <w:szCs w:val="24"/>
                <w:highlight w:val="none"/>
                <w:lang w:val="en-US" w:eastAsia="zh-CN"/>
              </w:rPr>
              <w:t>库房</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定期消毒和清洁、控制</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动物诊疗废物日产日清</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等措施的情况下，可有效防止</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动物诊疗废物</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产生异味</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default" w:ascii="Times New Roman" w:hAnsi="Times New Roman" w:cs="Times New Roman"/>
                <w:spacing w:val="-1"/>
                <w:sz w:val="24"/>
                <w:szCs w:val="24"/>
                <w:lang w:val="en-US" w:eastAsia="zh-CN"/>
              </w:rPr>
            </w:pPr>
            <w:r>
              <w:rPr>
                <w:rFonts w:hint="default" w:ascii="Times New Roman" w:hAnsi="Times New Roman" w:cs="Times New Roman"/>
                <w:spacing w:val="-1"/>
                <w:sz w:val="24"/>
                <w:szCs w:val="24"/>
                <w:lang w:val="en-US" w:eastAsia="zh-CN"/>
              </w:rPr>
              <w:t>综上分析，项目废气产生量很小，在加强日常管理的基础上，能确保</w:t>
            </w:r>
            <w:r>
              <w:rPr>
                <w:rFonts w:hint="eastAsia" w:cs="Times New Roman"/>
                <w:spacing w:val="-1"/>
                <w:sz w:val="24"/>
                <w:szCs w:val="24"/>
                <w:lang w:val="en-US" w:eastAsia="zh-CN"/>
              </w:rPr>
              <w:t>厂</w:t>
            </w:r>
            <w:r>
              <w:rPr>
                <w:rFonts w:hint="default" w:ascii="Times New Roman" w:hAnsi="Times New Roman" w:cs="Times New Roman"/>
                <w:spacing w:val="-1"/>
                <w:sz w:val="24"/>
                <w:szCs w:val="24"/>
                <w:lang w:val="en-US" w:eastAsia="zh-CN"/>
              </w:rPr>
              <w:t>界臭气浓度达到《恶臭污染物排放标准》</w:t>
            </w:r>
            <w:r>
              <w:rPr>
                <w:rFonts w:hint="eastAsia" w:cs="Times New Roman"/>
                <w:spacing w:val="-1"/>
                <w:sz w:val="24"/>
                <w:szCs w:val="24"/>
                <w:lang w:val="en-US" w:eastAsia="zh-CN"/>
              </w:rPr>
              <w:t>（</w:t>
            </w:r>
            <w:r>
              <w:rPr>
                <w:rFonts w:hint="default" w:ascii="Times New Roman" w:hAnsi="Times New Roman" w:cs="Times New Roman"/>
                <w:spacing w:val="-1"/>
                <w:sz w:val="24"/>
                <w:szCs w:val="24"/>
                <w:lang w:val="en-US" w:eastAsia="zh-CN"/>
              </w:rPr>
              <w:t>GB14554-93</w:t>
            </w:r>
            <w:r>
              <w:rPr>
                <w:rFonts w:hint="eastAsia" w:cs="Times New Roman"/>
                <w:spacing w:val="-1"/>
                <w:sz w:val="24"/>
                <w:szCs w:val="24"/>
                <w:lang w:val="en-US" w:eastAsia="zh-CN"/>
              </w:rPr>
              <w:t>）</w:t>
            </w:r>
            <w:r>
              <w:rPr>
                <w:rFonts w:hint="default" w:ascii="Times New Roman" w:hAnsi="Times New Roman" w:cs="Times New Roman"/>
                <w:spacing w:val="-1"/>
                <w:sz w:val="24"/>
                <w:szCs w:val="24"/>
                <w:lang w:val="en-US" w:eastAsia="zh-CN"/>
              </w:rPr>
              <w:t>表1二级新扩改标准限值，对周边大气环境影响较小。</w:t>
            </w:r>
          </w:p>
          <w:p>
            <w:pPr>
              <w:keepNext w:val="0"/>
              <w:keepLines w:val="0"/>
              <w:suppressLineNumbers w:val="0"/>
              <w:bidi w:val="0"/>
              <w:spacing w:before="0" w:beforeAutospacing="0" w:after="0" w:afterAutospacing="0" w:line="360" w:lineRule="auto"/>
              <w:ind w:left="0" w:right="0"/>
              <w:rPr>
                <w:rFonts w:hint="default" w:ascii="Times New Roman" w:hAnsi="Times New Roman" w:cs="Times New Roman"/>
                <w:b/>
                <w:bCs/>
                <w:color w:val="2E41D0"/>
              </w:rPr>
            </w:pPr>
            <w:r>
              <w:rPr>
                <w:rFonts w:hint="default" w:ascii="Times New Roman" w:hAnsi="Times New Roman" w:cs="Times New Roman"/>
                <w:b/>
                <w:bCs/>
                <w:color w:val="000000" w:themeColor="text1"/>
                <w:sz w:val="24"/>
                <w:highlight w:val="none"/>
                <w:lang w:val="en-US" w:eastAsia="zh-CN"/>
                <w14:textFill>
                  <w14:solidFill>
                    <w14:schemeClr w14:val="tx1"/>
                  </w14:solidFill>
                </w14:textFill>
              </w:rPr>
              <w:t>4.2.</w:t>
            </w:r>
            <w:r>
              <w:rPr>
                <w:rFonts w:hint="eastAsia" w:cs="Times New Roman"/>
                <w:b/>
                <w:bCs/>
                <w:color w:val="000000" w:themeColor="text1"/>
                <w:sz w:val="24"/>
                <w:highlight w:val="none"/>
                <w:lang w:val="en-US" w:eastAsia="zh-CN"/>
                <w14:textFill>
                  <w14:solidFill>
                    <w14:schemeClr w14:val="tx1"/>
                  </w14:solidFill>
                </w14:textFill>
              </w:rPr>
              <w:t>1.4废气治理措施可行性分析</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default" w:ascii="Times New Roman" w:hAnsi="Times New Roman" w:eastAsia="宋体" w:cs="Times New Roman"/>
                <w:spacing w:val="-1"/>
                <w:sz w:val="24"/>
                <w:szCs w:val="24"/>
                <w:lang w:val="en-US" w:eastAsia="zh-CN"/>
              </w:rPr>
            </w:pPr>
            <w:r>
              <w:rPr>
                <w:rFonts w:hint="default" w:ascii="Times New Roman" w:hAnsi="Times New Roman" w:eastAsia="宋体" w:cs="Times New Roman"/>
                <w:spacing w:val="-1"/>
                <w:sz w:val="24"/>
                <w:szCs w:val="24"/>
                <w:lang w:val="en-US" w:eastAsia="zh-CN"/>
              </w:rPr>
              <w:t>项目设专人及时对病房内的排便和排尿盒进行清洗，</w:t>
            </w:r>
            <w:r>
              <w:rPr>
                <w:rFonts w:hint="eastAsia" w:ascii="Times New Roman" w:hAnsi="Times New Roman" w:eastAsia="宋体" w:cs="Times New Roman"/>
                <w:spacing w:val="-1"/>
                <w:sz w:val="24"/>
                <w:szCs w:val="24"/>
                <w:lang w:val="en-US" w:eastAsia="zh-CN"/>
              </w:rPr>
              <w:t>动物诊疗废物</w:t>
            </w:r>
            <w:r>
              <w:rPr>
                <w:rFonts w:hint="default" w:ascii="Times New Roman" w:hAnsi="Times New Roman" w:eastAsia="宋体" w:cs="Times New Roman"/>
                <w:spacing w:val="-1"/>
                <w:sz w:val="24"/>
                <w:szCs w:val="24"/>
                <w:lang w:val="en-US" w:eastAsia="zh-CN"/>
              </w:rPr>
              <w:t>产生后及时转移至密封的</w:t>
            </w:r>
            <w:r>
              <w:rPr>
                <w:rFonts w:hint="eastAsia" w:ascii="Times New Roman" w:hAnsi="Times New Roman" w:eastAsia="宋体" w:cs="Times New Roman"/>
                <w:spacing w:val="-1"/>
                <w:sz w:val="24"/>
                <w:szCs w:val="24"/>
                <w:lang w:val="en-US" w:eastAsia="zh-CN"/>
              </w:rPr>
              <w:t>医疗废物专用暂时贮存</w:t>
            </w:r>
            <w:r>
              <w:rPr>
                <w:rFonts w:hint="eastAsia" w:cs="Times New Roman"/>
                <w:snapToGrid w:val="0"/>
                <w:kern w:val="0"/>
                <w:sz w:val="24"/>
                <w:szCs w:val="24"/>
                <w:highlight w:val="none"/>
                <w:lang w:val="en-US" w:eastAsia="zh-CN"/>
              </w:rPr>
              <w:t>库房</w:t>
            </w:r>
            <w:r>
              <w:rPr>
                <w:rFonts w:hint="default" w:ascii="Times New Roman" w:hAnsi="Times New Roman" w:eastAsia="宋体" w:cs="Times New Roman"/>
                <w:spacing w:val="-1"/>
                <w:sz w:val="24"/>
                <w:szCs w:val="24"/>
                <w:lang w:val="en-US" w:eastAsia="zh-CN"/>
              </w:rPr>
              <w:t>内，做到日产日清，防止</w:t>
            </w:r>
            <w:r>
              <w:rPr>
                <w:rFonts w:hint="eastAsia" w:ascii="Times New Roman" w:hAnsi="Times New Roman" w:eastAsia="宋体" w:cs="Times New Roman"/>
                <w:spacing w:val="-1"/>
                <w:sz w:val="24"/>
                <w:szCs w:val="24"/>
                <w:lang w:val="en-US" w:eastAsia="zh-CN"/>
              </w:rPr>
              <w:t>动物诊疗废物</w:t>
            </w:r>
            <w:r>
              <w:rPr>
                <w:rFonts w:hint="default" w:ascii="Times New Roman" w:hAnsi="Times New Roman" w:eastAsia="宋体" w:cs="Times New Roman"/>
                <w:spacing w:val="-1"/>
                <w:sz w:val="24"/>
                <w:szCs w:val="24"/>
                <w:lang w:val="en-US" w:eastAsia="zh-CN"/>
              </w:rPr>
              <w:t>腐败散发恶臭。同时配备紫外线消毒装置日常对病房进行杀菌消毒。污水处理设施处理过程中加盖密封。经过上述措施后，本项目臭气能够进行</w:t>
            </w:r>
            <w:r>
              <w:rPr>
                <w:rFonts w:hint="eastAsia" w:cs="Times New Roman"/>
                <w:spacing w:val="-1"/>
                <w:sz w:val="24"/>
                <w:szCs w:val="24"/>
                <w:lang w:val="en-US" w:eastAsia="zh-CN"/>
              </w:rPr>
              <w:t>有效地控制</w:t>
            </w:r>
            <w:r>
              <w:rPr>
                <w:rFonts w:hint="default" w:ascii="Times New Roman" w:hAnsi="Times New Roman" w:eastAsia="宋体" w:cs="Times New Roman"/>
                <w:spacing w:val="-1"/>
                <w:sz w:val="24"/>
                <w:szCs w:val="24"/>
                <w:lang w:val="en-US" w:eastAsia="zh-CN"/>
              </w:rPr>
              <w:t>，因此措施可行。</w:t>
            </w:r>
          </w:p>
          <w:p>
            <w:pPr>
              <w:keepNext w:val="0"/>
              <w:keepLines w:val="0"/>
              <w:suppressLineNumbers w:val="0"/>
              <w:bidi w:val="0"/>
              <w:spacing w:before="0" w:beforeAutospacing="0" w:after="0" w:afterAutospacing="0" w:line="360" w:lineRule="auto"/>
              <w:ind w:left="0" w:right="0"/>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4.2.</w:t>
            </w:r>
            <w:r>
              <w:rPr>
                <w:rFonts w:hint="eastAsia" w:cs="Times New Roman"/>
                <w:b/>
                <w:bCs/>
                <w:color w:val="000000" w:themeColor="text1"/>
                <w:sz w:val="24"/>
                <w:highlight w:val="none"/>
                <w:lang w:val="en-US" w:eastAsia="zh-CN"/>
                <w14:textFill>
                  <w14:solidFill>
                    <w14:schemeClr w14:val="tx1"/>
                  </w14:solidFill>
                </w14:textFill>
              </w:rPr>
              <w:t>1.5</w:t>
            </w: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废气自行监测</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default"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w:t>
            </w:r>
            <w:r>
              <w:rPr>
                <w:rFonts w:hint="eastAsia" w:cs="Times New Roman"/>
                <w:color w:val="auto"/>
                <w:sz w:val="24"/>
                <w:szCs w:val="24"/>
                <w:lang w:val="en-US" w:eastAsia="zh-CN"/>
              </w:rPr>
              <w:t>未列入《固定污染源排污许可分类管理名录》（2019）中，排污单位可不纳入排污许可管理要求。因此，本项目无废气自行监测要求。</w:t>
            </w:r>
          </w:p>
          <w:p>
            <w:pPr>
              <w:keepNext w:val="0"/>
              <w:keepLines w:val="0"/>
              <w:pageBreakBefore w:val="0"/>
              <w:widowControl w:val="0"/>
              <w:kinsoku/>
              <w:wordWrap/>
              <w:overflowPunct/>
              <w:topLinePunct w:val="0"/>
              <w:autoSpaceDE/>
              <w:autoSpaceDN/>
              <w:bidi w:val="0"/>
              <w:adjustRightInd/>
              <w:snapToGrid w:val="0"/>
              <w:spacing w:line="360" w:lineRule="auto"/>
              <w:ind w:firstLine="48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按照《排污许可证申请与核发技术规范 总则》（HJ942-2018）的要求，本项目大气监测计划见表4-</w:t>
            </w:r>
            <w:r>
              <w:rPr>
                <w:rFonts w:hint="eastAsia"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val="en-US" w:eastAsia="zh-CN"/>
              </w:rPr>
              <w:t>。</w:t>
            </w:r>
          </w:p>
          <w:p>
            <w:pPr>
              <w:pStyle w:val="6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422" w:firstLineChars="200"/>
              <w:jc w:val="both"/>
              <w:textAlignment w:val="auto"/>
              <w:rPr>
                <w:rFonts w:hint="default" w:ascii="Times New Roman" w:hAnsi="Times New Roman" w:eastAsia="宋体" w:cs="Times New Roman"/>
                <w:b/>
                <w:bCs/>
                <w:color w:val="000000"/>
                <w:kern w:val="2"/>
                <w:sz w:val="21"/>
                <w:szCs w:val="28"/>
                <w:highlight w:val="none"/>
                <w:lang w:val="en-US" w:eastAsia="zh-CN" w:bidi="ar-SA"/>
              </w:rPr>
            </w:pPr>
            <w:r>
              <w:rPr>
                <w:rFonts w:hint="default" w:ascii="Times New Roman" w:hAnsi="Times New Roman" w:eastAsia="宋体" w:cs="Times New Roman"/>
                <w:b/>
                <w:bCs/>
                <w:color w:val="000000"/>
                <w:kern w:val="2"/>
                <w:sz w:val="21"/>
                <w:szCs w:val="28"/>
                <w:highlight w:val="none"/>
                <w:lang w:val="en-US" w:eastAsia="zh-CN" w:bidi="ar-SA"/>
              </w:rPr>
              <w:t>表4-</w:t>
            </w:r>
            <w:r>
              <w:rPr>
                <w:rFonts w:hint="eastAsia" w:cs="Times New Roman"/>
                <w:b/>
                <w:bCs/>
                <w:color w:val="000000"/>
                <w:kern w:val="2"/>
                <w:sz w:val="21"/>
                <w:szCs w:val="28"/>
                <w:highlight w:val="none"/>
                <w:lang w:val="en-US" w:eastAsia="zh-CN" w:bidi="ar-SA"/>
              </w:rPr>
              <w:t>1</w:t>
            </w:r>
            <w:r>
              <w:rPr>
                <w:rFonts w:hint="default" w:ascii="Times New Roman" w:hAnsi="Times New Roman" w:eastAsia="宋体" w:cs="Times New Roman"/>
                <w:b/>
                <w:bCs/>
                <w:color w:val="000000"/>
                <w:kern w:val="2"/>
                <w:sz w:val="21"/>
                <w:szCs w:val="28"/>
                <w:highlight w:val="none"/>
                <w:lang w:val="en-US" w:eastAsia="zh-CN" w:bidi="ar-SA"/>
              </w:rPr>
              <w:t xml:space="preserve">                     环境监测计划</w:t>
            </w:r>
          </w:p>
          <w:tbl>
            <w:tblPr>
              <w:tblStyle w:val="29"/>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327"/>
              <w:gridCol w:w="1204"/>
              <w:gridCol w:w="1247"/>
              <w:gridCol w:w="4192"/>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33" w:type="pct"/>
                  <w:tcBorders>
                    <w:bottom w:val="single" w:color="000000" w:sz="12" w:space="0"/>
                  </w:tcBorders>
                  <w:noWrap w:val="0"/>
                  <w:vAlign w:val="center"/>
                </w:tcPr>
                <w:p>
                  <w:pPr>
                    <w:pStyle w:val="43"/>
                    <w:keepNext w:val="0"/>
                    <w:keepLines w:val="0"/>
                    <w:suppressLineNumbers w:val="0"/>
                    <w:bidi w:val="0"/>
                    <w:spacing w:before="0" w:beforeAutospacing="0" w:after="0" w:afterAutospacing="0"/>
                    <w:ind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监测点位</w:t>
                  </w:r>
                </w:p>
              </w:tc>
              <w:tc>
                <w:tcPr>
                  <w:tcW w:w="755" w:type="pct"/>
                  <w:tcBorders>
                    <w:bottom w:val="single" w:color="000000" w:sz="12" w:space="0"/>
                  </w:tcBorders>
                  <w:noWrap w:val="0"/>
                  <w:vAlign w:val="center"/>
                </w:tcPr>
                <w:p>
                  <w:pPr>
                    <w:pStyle w:val="43"/>
                    <w:keepNext w:val="0"/>
                    <w:keepLines w:val="0"/>
                    <w:suppressLineNumbers w:val="0"/>
                    <w:bidi w:val="0"/>
                    <w:spacing w:before="0" w:beforeAutospacing="0" w:after="0" w:afterAutospacing="0"/>
                    <w:ind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监测因子</w:t>
                  </w:r>
                </w:p>
              </w:tc>
              <w:tc>
                <w:tcPr>
                  <w:tcW w:w="782" w:type="pct"/>
                  <w:tcBorders>
                    <w:bottom w:val="single" w:color="000000" w:sz="12" w:space="0"/>
                  </w:tcBorders>
                  <w:noWrap w:val="0"/>
                  <w:vAlign w:val="center"/>
                </w:tcPr>
                <w:p>
                  <w:pPr>
                    <w:pStyle w:val="43"/>
                    <w:keepNext w:val="0"/>
                    <w:keepLines w:val="0"/>
                    <w:suppressLineNumbers w:val="0"/>
                    <w:bidi w:val="0"/>
                    <w:spacing w:before="0" w:beforeAutospacing="0" w:after="0" w:afterAutospacing="0"/>
                    <w:ind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监测频率</w:t>
                  </w:r>
                </w:p>
              </w:tc>
              <w:tc>
                <w:tcPr>
                  <w:tcW w:w="2629" w:type="pct"/>
                  <w:tcBorders>
                    <w:bottom w:val="single" w:color="000000" w:sz="12" w:space="0"/>
                  </w:tcBorders>
                  <w:noWrap w:val="0"/>
                  <w:vAlign w:val="center"/>
                </w:tcPr>
                <w:p>
                  <w:pPr>
                    <w:pStyle w:val="43"/>
                    <w:keepNext w:val="0"/>
                    <w:keepLines w:val="0"/>
                    <w:suppressLineNumbers w:val="0"/>
                    <w:bidi w:val="0"/>
                    <w:spacing w:before="0" w:beforeAutospacing="0" w:after="0" w:afterAutospacing="0"/>
                    <w:ind w:right="0"/>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排放标准</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833" w:type="pct"/>
                  <w:tcBorders>
                    <w:top w:val="single" w:color="000000" w:sz="12" w:space="0"/>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right="0" w:rightChars="0" w:firstLine="0" w:firstLineChars="0"/>
                    <w:jc w:val="center"/>
                    <w:textAlignment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厂界</w:t>
                  </w:r>
                </w:p>
              </w:tc>
              <w:tc>
                <w:tcPr>
                  <w:tcW w:w="755" w:type="pct"/>
                  <w:tcBorders>
                    <w:top w:val="single" w:color="000000" w:sz="12" w:space="0"/>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right="0" w:rightChars="0" w:firstLine="0" w:firstLineChars="0"/>
                    <w:jc w:val="center"/>
                    <w:textAlignment w:val="center"/>
                    <w:rPr>
                      <w:rFonts w:hint="default" w:ascii="Times New Roman" w:hAnsi="Times New Roman" w:eastAsia="宋体" w:cs="Times New Roman"/>
                      <w:color w:val="000000"/>
                      <w:kern w:val="0"/>
                      <w:sz w:val="21"/>
                      <w:szCs w:val="21"/>
                      <w:highlight w:val="none"/>
                      <w:lang w:val="en-US" w:eastAsia="zh-CN" w:bidi="ar-SA"/>
                    </w:rPr>
                  </w:pPr>
                  <w:r>
                    <w:rPr>
                      <w:rFonts w:hint="eastAsia"/>
                      <w:lang w:val="en-US" w:eastAsia="zh-CN"/>
                    </w:rPr>
                    <w:t>臭气浓度、硫化氢、氨</w:t>
                  </w:r>
                </w:p>
              </w:tc>
              <w:tc>
                <w:tcPr>
                  <w:tcW w:w="782" w:type="pct"/>
                  <w:tcBorders>
                    <w:top w:val="single" w:color="000000" w:sz="12" w:space="0"/>
                    <w:tl2br w:val="nil"/>
                    <w:tr2bl w:val="nil"/>
                  </w:tcBorders>
                  <w:noWrap w:val="0"/>
                  <w:vAlign w:val="center"/>
                </w:tcPr>
                <w:p>
                  <w:pPr>
                    <w:keepNext w:val="0"/>
                    <w:keepLines w:val="0"/>
                    <w:suppressLineNumbers w:val="0"/>
                    <w:spacing w:before="0" w:beforeAutospacing="0" w:after="0" w:afterAutospacing="0" w:line="240" w:lineRule="auto"/>
                    <w:ind w:left="0" w:leftChars="0" w:right="0" w:firstLine="0" w:firstLineChars="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1次/年</w:t>
                  </w:r>
                </w:p>
              </w:tc>
              <w:tc>
                <w:tcPr>
                  <w:tcW w:w="2629" w:type="pct"/>
                  <w:tcBorders>
                    <w:top w:val="single" w:color="000000" w:sz="12" w:space="0"/>
                    <w:tl2br w:val="nil"/>
                    <w:tr2bl w:val="nil"/>
                  </w:tcBorders>
                  <w:noWrap w:val="0"/>
                  <w:vAlign w:val="center"/>
                </w:tcPr>
                <w:p>
                  <w:pPr>
                    <w:pStyle w:val="79"/>
                    <w:keepNext w:val="0"/>
                    <w:keepLines w:val="0"/>
                    <w:pageBreakBefore w:val="0"/>
                    <w:widowControl/>
                    <w:suppressLineNumbers w:val="0"/>
                    <w:kinsoku/>
                    <w:wordWrap/>
                    <w:overflowPunct w:val="0"/>
                    <w:topLinePunct w:val="0"/>
                    <w:autoSpaceDE w:val="0"/>
                    <w:autoSpaceDN w:val="0"/>
                    <w:bidi w:val="0"/>
                    <w:adjustRightInd w:val="0"/>
                    <w:snapToGrid w:val="0"/>
                    <w:spacing w:before="0" w:beforeAutospacing="0" w:afterAutospacing="0"/>
                    <w:ind w:left="0" w:right="0" w:rightChars="0" w:firstLine="0" w:firstLineChars="0"/>
                    <w:jc w:val="center"/>
                    <w:textAlignment w:val="center"/>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SA"/>
                    </w:rPr>
                    <w:t>《恶臭污染物排放标准》</w:t>
                  </w:r>
                  <w:r>
                    <w:rPr>
                      <w:rFonts w:hint="eastAsia" w:cs="Times New Roman"/>
                      <w:color w:val="000000"/>
                      <w:kern w:val="0"/>
                      <w:sz w:val="21"/>
                      <w:szCs w:val="21"/>
                      <w:highlight w:val="none"/>
                      <w:lang w:val="en-US" w:eastAsia="zh-CN" w:bidi="ar-SA"/>
                    </w:rPr>
                    <w:t>（</w:t>
                  </w:r>
                  <w:r>
                    <w:rPr>
                      <w:rFonts w:hint="default" w:ascii="Times New Roman" w:hAnsi="Times New Roman" w:eastAsia="宋体" w:cs="Times New Roman"/>
                      <w:color w:val="000000"/>
                      <w:kern w:val="0"/>
                      <w:sz w:val="21"/>
                      <w:szCs w:val="21"/>
                      <w:highlight w:val="none"/>
                      <w:lang w:val="en-US" w:eastAsia="zh-CN" w:bidi="ar-SA"/>
                    </w:rPr>
                    <w:t>GB14554-93</w:t>
                  </w:r>
                  <w:r>
                    <w:rPr>
                      <w:rFonts w:hint="eastAsia" w:cs="Times New Roman"/>
                      <w:color w:val="000000"/>
                      <w:kern w:val="0"/>
                      <w:sz w:val="21"/>
                      <w:szCs w:val="21"/>
                      <w:highlight w:val="none"/>
                      <w:lang w:val="en-US" w:eastAsia="zh-CN" w:bidi="ar-SA"/>
                    </w:rPr>
                    <w:t>）</w:t>
                  </w:r>
                  <w:r>
                    <w:rPr>
                      <w:rFonts w:hint="default" w:ascii="Times New Roman" w:hAnsi="Times New Roman" w:eastAsia="宋体" w:cs="Times New Roman"/>
                      <w:color w:val="000000"/>
                      <w:kern w:val="0"/>
                      <w:sz w:val="21"/>
                      <w:szCs w:val="21"/>
                      <w:highlight w:val="none"/>
                      <w:lang w:val="en-US" w:eastAsia="zh-CN" w:bidi="ar-SA"/>
                    </w:rPr>
                    <w:t>表1二级新扩改标准限值</w:t>
                  </w:r>
                </w:p>
              </w:tc>
            </w:tr>
          </w:tbl>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4.2.</w:t>
            </w:r>
            <w:r>
              <w:rPr>
                <w:rFonts w:hint="eastAsia" w:cs="Times New Roman"/>
                <w:b/>
                <w:bCs/>
                <w:color w:val="000000" w:themeColor="text1"/>
                <w:sz w:val="24"/>
                <w:highlight w:val="none"/>
                <w:lang w:val="en-US" w:eastAsia="zh-CN"/>
                <w14:textFill>
                  <w14:solidFill>
                    <w14:schemeClr w14:val="tx1"/>
                  </w14:solidFill>
                </w14:textFill>
              </w:rPr>
              <w:t>1.6非正常工况</w:t>
            </w:r>
          </w:p>
          <w:p>
            <w:pPr>
              <w:spacing w:line="360" w:lineRule="auto"/>
              <w:ind w:firstLine="480" w:firstLineChars="200"/>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非正常及事故排放主要指装置在开、停车调试、检修及一般性事故时的“三废”排放，本项目无废气处理设施，不存在非正常情况。</w:t>
            </w:r>
          </w:p>
          <w:p>
            <w:pPr>
              <w:keepNext w:val="0"/>
              <w:keepLines w:val="0"/>
              <w:suppressLineNumbers w:val="0"/>
              <w:bidi w:val="0"/>
              <w:spacing w:before="0" w:beforeAutospacing="0" w:after="0" w:afterAutospacing="0" w:line="360" w:lineRule="auto"/>
              <w:ind w:left="0" w:right="0"/>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t>4.2.1.7大气环境影响结论</w:t>
            </w:r>
          </w:p>
          <w:p>
            <w:pPr>
              <w:spacing w:line="360" w:lineRule="auto"/>
              <w:ind w:firstLine="480" w:firstLineChars="200"/>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snapToGrid w:val="0"/>
                <w:color w:val="000000" w:themeColor="text1"/>
                <w:sz w:val="24"/>
                <w:szCs w:val="24"/>
                <w14:textFill>
                  <w14:solidFill>
                    <w14:schemeClr w14:val="tx1"/>
                  </w14:solidFill>
                </w14:textFill>
              </w:rPr>
              <w:t>综上所述，本项目产生的废气经</w:t>
            </w:r>
            <w:r>
              <w:rPr>
                <w:rFonts w:hint="default" w:ascii="Times New Roman" w:hAnsi="Times New Roman" w:cs="Times New Roman"/>
                <w:snapToGrid w:val="0"/>
                <w:color w:val="000000" w:themeColor="text1"/>
                <w:sz w:val="24"/>
                <w:szCs w:val="24"/>
                <w:lang w:val="en-US" w:eastAsia="zh-CN"/>
                <w14:textFill>
                  <w14:solidFill>
                    <w14:schemeClr w14:val="tx1"/>
                  </w14:solidFill>
                </w14:textFill>
              </w:rPr>
              <w:t>处理后</w:t>
            </w: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均</w:t>
            </w:r>
            <w:r>
              <w:rPr>
                <w:rFonts w:hint="default" w:ascii="Times New Roman" w:hAnsi="Times New Roman" w:eastAsia="宋体" w:cs="Times New Roman"/>
                <w:snapToGrid w:val="0"/>
                <w:color w:val="000000" w:themeColor="text1"/>
                <w:sz w:val="24"/>
                <w:szCs w:val="24"/>
                <w14:textFill>
                  <w14:solidFill>
                    <w14:schemeClr w14:val="tx1"/>
                  </w14:solidFill>
                </w14:textFill>
              </w:rPr>
              <w:t>能达标排放，对周边环境产生影响是可以接受的。</w:t>
            </w:r>
          </w:p>
          <w:p>
            <w:pPr>
              <w:numPr>
                <w:ilvl w:val="0"/>
                <w:numId w:val="0"/>
              </w:numPr>
              <w:spacing w:line="360" w:lineRule="auto"/>
              <w:rPr>
                <w:rFonts w:hint="default" w:ascii="Times New Roman" w:hAnsi="Times New Roman" w:cs="Times New Roman"/>
                <w:b/>
                <w:bCs/>
                <w:color w:val="000000" w:themeColor="text1"/>
                <w:sz w:val="24"/>
                <w:highlight w:val="none"/>
                <w:lang w:eastAsia="zh-CN"/>
                <w14:textFill>
                  <w14:solidFill>
                    <w14:schemeClr w14:val="tx1"/>
                  </w14:solidFill>
                </w14:textFill>
              </w:rPr>
            </w:pPr>
            <w:r>
              <w:rPr>
                <w:rFonts w:hint="default" w:ascii="Times New Roman" w:hAnsi="Times New Roman" w:cs="Times New Roman"/>
                <w:b/>
                <w:bCs/>
                <w:color w:val="000000" w:themeColor="text1"/>
                <w:kern w:val="2"/>
                <w:sz w:val="24"/>
                <w:szCs w:val="24"/>
                <w:lang w:val="en-US" w:eastAsia="zh-CN" w:bidi="ar-SA"/>
                <w14:textFill>
                  <w14:solidFill>
                    <w14:schemeClr w14:val="tx1"/>
                  </w14:solidFill>
                </w14:textFill>
              </w:rPr>
              <w:t>4.2.2</w:t>
            </w:r>
            <w:r>
              <w:rPr>
                <w:rFonts w:hint="default" w:ascii="Times New Roman" w:hAnsi="Times New Roman" w:eastAsia="宋体" w:cs="Times New Roman"/>
                <w:b/>
                <w:bCs/>
                <w:sz w:val="24"/>
                <w:szCs w:val="24"/>
                <w:highlight w:val="none"/>
                <w:lang w:val="en-US" w:eastAsia="zh-CN"/>
              </w:rPr>
              <w:t>水污染物</w:t>
            </w:r>
          </w:p>
          <w:p>
            <w:pPr>
              <w:numPr>
                <w:ilvl w:val="0"/>
                <w:numId w:val="0"/>
              </w:num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 xml:space="preserve">4.2.2.1 </w:t>
            </w:r>
            <w:r>
              <w:rPr>
                <w:rFonts w:hint="eastAsia" w:cs="Times New Roman"/>
                <w:b/>
                <w:bCs/>
                <w:color w:val="000000" w:themeColor="text1"/>
                <w:kern w:val="2"/>
                <w:sz w:val="24"/>
                <w:szCs w:val="24"/>
                <w:lang w:val="en-US" w:eastAsia="zh-CN" w:bidi="ar-SA"/>
                <w14:textFill>
                  <w14:solidFill>
                    <w14:schemeClr w14:val="tx1"/>
                  </w14:solidFill>
                </w14:textFill>
              </w:rPr>
              <w:t>废水产生及排放情况</w:t>
            </w:r>
          </w:p>
          <w:p>
            <w:pPr>
              <w:spacing w:line="360" w:lineRule="auto"/>
              <w:ind w:firstLine="480" w:firstLineChars="200"/>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项目产生的废水包括职工</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生活污水及宠物诊疗</w:t>
            </w: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废水。</w:t>
            </w:r>
          </w:p>
          <w:p>
            <w:pPr>
              <w:spacing w:line="360" w:lineRule="auto"/>
              <w:ind w:firstLine="480" w:firstLineChars="200"/>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（1）职工生活污水：来自工作人员生活、办公，为一般的生活污水，主要污染物为COD、NH</w:t>
            </w:r>
            <w:r>
              <w:rPr>
                <w:rFonts w:hint="eastAsia" w:ascii="Times New Roman" w:hAnsi="Times New Roman" w:eastAsia="宋体" w:cs="Times New Roman"/>
                <w:snapToGrid w:val="0"/>
                <w:color w:val="000000" w:themeColor="text1"/>
                <w:sz w:val="24"/>
                <w:szCs w:val="24"/>
                <w:vertAlign w:val="subscript"/>
                <w:lang w:val="en-US" w:eastAsia="zh-CN"/>
                <w14:textFill>
                  <w14:solidFill>
                    <w14:schemeClr w14:val="tx1"/>
                  </w14:solidFill>
                </w14:textFill>
              </w:rPr>
              <w:t>3</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-N、悬浮物等，生活废水排放量为0.1m</w:t>
            </w:r>
            <w:r>
              <w:rPr>
                <w:rFonts w:hint="eastAsia" w:ascii="Times New Roman" w:hAnsi="Times New Roman" w:eastAsia="宋体" w:cs="Times New Roman"/>
                <w:snapToGrid w:val="0"/>
                <w:color w:val="000000" w:themeColor="text1"/>
                <w:sz w:val="24"/>
                <w:szCs w:val="24"/>
                <w:vertAlign w:val="superscript"/>
                <w:lang w:val="en-US" w:eastAsia="zh-CN"/>
                <w14:textFill>
                  <w14:solidFill>
                    <w14:schemeClr w14:val="tx1"/>
                  </w14:solidFill>
                </w14:textFill>
              </w:rPr>
              <w:t>3</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/d、36.5m</w:t>
            </w:r>
            <w:r>
              <w:rPr>
                <w:rFonts w:hint="eastAsia" w:ascii="Times New Roman" w:hAnsi="Times New Roman" w:eastAsia="宋体" w:cs="Times New Roman"/>
                <w:snapToGrid w:val="0"/>
                <w:color w:val="000000" w:themeColor="text1"/>
                <w:sz w:val="24"/>
                <w:szCs w:val="24"/>
                <w:vertAlign w:val="superscript"/>
                <w:lang w:val="en-US" w:eastAsia="zh-CN"/>
                <w14:textFill>
                  <w14:solidFill>
                    <w14:schemeClr w14:val="tx1"/>
                  </w14:solidFill>
                </w14:textFill>
              </w:rPr>
              <w:t>3</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/a</w:t>
            </w:r>
          </w:p>
          <w:p>
            <w:pPr>
              <w:spacing w:line="360" w:lineRule="auto"/>
              <w:ind w:firstLine="480" w:firstLineChars="200"/>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（2）宠物诊疗废水：</w:t>
            </w: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主要是</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宠物</w:t>
            </w: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诊疗、手术、化验及清洗医疗器具用水。</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主要污染物为COD、NH</w:t>
            </w:r>
            <w:r>
              <w:rPr>
                <w:rFonts w:hint="eastAsia" w:ascii="Times New Roman" w:hAnsi="Times New Roman" w:eastAsia="宋体" w:cs="Times New Roman"/>
                <w:snapToGrid w:val="0"/>
                <w:color w:val="000000" w:themeColor="text1"/>
                <w:sz w:val="24"/>
                <w:szCs w:val="24"/>
                <w:vertAlign w:val="subscript"/>
                <w:lang w:val="en-US" w:eastAsia="zh-CN"/>
                <w14:textFill>
                  <w14:solidFill>
                    <w14:schemeClr w14:val="tx1"/>
                  </w14:solidFill>
                </w14:textFill>
              </w:rPr>
              <w:t>3</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-N、BOD</w:t>
            </w:r>
            <w:r>
              <w:rPr>
                <w:rFonts w:hint="eastAsia" w:ascii="Times New Roman" w:hAnsi="Times New Roman" w:eastAsia="宋体" w:cs="Times New Roman"/>
                <w:snapToGrid w:val="0"/>
                <w:color w:val="000000" w:themeColor="text1"/>
                <w:sz w:val="24"/>
                <w:szCs w:val="24"/>
                <w:vertAlign w:val="subscript"/>
                <w:lang w:val="en-US" w:eastAsia="zh-CN"/>
                <w14:textFill>
                  <w14:solidFill>
                    <w14:schemeClr w14:val="tx1"/>
                  </w14:solidFill>
                </w14:textFill>
              </w:rPr>
              <w:t>5</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、SS及粪大肠菌群等，宠物诊疗废水排放量为0.02</w:t>
            </w:r>
            <w:r>
              <w:rPr>
                <w:rFonts w:hint="eastAsia" w:cs="Times New Roman"/>
                <w:snapToGrid w:val="0"/>
                <w:color w:val="000000" w:themeColor="text1"/>
                <w:sz w:val="24"/>
                <w:szCs w:val="24"/>
                <w:lang w:val="en-US" w:eastAsia="zh-CN"/>
                <w14:textFill>
                  <w14:solidFill>
                    <w14:schemeClr w14:val="tx1"/>
                  </w14:solidFill>
                </w14:textFill>
              </w:rPr>
              <w:t>2</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m</w:t>
            </w:r>
            <w:r>
              <w:rPr>
                <w:rFonts w:hint="eastAsia" w:ascii="Times New Roman" w:hAnsi="Times New Roman" w:eastAsia="宋体" w:cs="Times New Roman"/>
                <w:snapToGrid w:val="0"/>
                <w:color w:val="000000" w:themeColor="text1"/>
                <w:sz w:val="24"/>
                <w:szCs w:val="24"/>
                <w:vertAlign w:val="superscript"/>
                <w:lang w:val="en-US" w:eastAsia="zh-CN"/>
                <w14:textFill>
                  <w14:solidFill>
                    <w14:schemeClr w14:val="tx1"/>
                  </w14:solidFill>
                </w14:textFill>
              </w:rPr>
              <w:t>3</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/d，</w:t>
            </w:r>
            <w:r>
              <w:rPr>
                <w:rFonts w:hint="eastAsia" w:cs="Times New Roman"/>
                <w:snapToGrid w:val="0"/>
                <w:color w:val="000000" w:themeColor="text1"/>
                <w:sz w:val="24"/>
                <w:szCs w:val="24"/>
                <w:lang w:val="en-US" w:eastAsia="zh-CN"/>
                <w14:textFill>
                  <w14:solidFill>
                    <w14:schemeClr w14:val="tx1"/>
                  </w14:solidFill>
                </w14:textFill>
              </w:rPr>
              <w:t>8</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m</w:t>
            </w:r>
            <w:r>
              <w:rPr>
                <w:rFonts w:hint="eastAsia" w:ascii="Times New Roman" w:hAnsi="Times New Roman" w:eastAsia="宋体" w:cs="Times New Roman"/>
                <w:snapToGrid w:val="0"/>
                <w:color w:val="000000" w:themeColor="text1"/>
                <w:sz w:val="24"/>
                <w:szCs w:val="24"/>
                <w:vertAlign w:val="superscript"/>
                <w:lang w:val="en-US" w:eastAsia="zh-CN"/>
                <w14:textFill>
                  <w14:solidFill>
                    <w14:schemeClr w14:val="tx1"/>
                  </w14:solidFill>
                </w14:textFill>
              </w:rPr>
              <w:t>3</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/a。</w:t>
            </w:r>
          </w:p>
          <w:p>
            <w:pPr>
              <w:spacing w:line="360" w:lineRule="auto"/>
              <w:ind w:firstLine="480" w:firstLineChars="200"/>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本</w:t>
            </w: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项目为宠物医院，所产生的</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宠物诊疗</w:t>
            </w: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废水为一般的</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宠物诊疗</w:t>
            </w: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废水。</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宠物诊疗</w:t>
            </w: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废水经小型废水治理设施消毒处理后和生活污水一同进入小区化粪池处理，最终纳入市政污水管网，进入库尔勒市南市区污水处理厂集中处理。本项目</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水</w:t>
            </w: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污染物</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产</w:t>
            </w:r>
            <w:r>
              <w:rPr>
                <w:rFonts w:hint="default" w:ascii="Times New Roman" w:hAnsi="Times New Roman" w:eastAsia="宋体" w:cs="Times New Roman"/>
                <w:snapToGrid w:val="0"/>
                <w:color w:val="000000" w:themeColor="text1"/>
                <w:sz w:val="24"/>
                <w:szCs w:val="24"/>
                <w:lang w:val="en-US" w:eastAsia="zh-CN"/>
                <w14:textFill>
                  <w14:solidFill>
                    <w14:schemeClr w14:val="tx1"/>
                  </w14:solidFill>
                </w14:textFill>
              </w:rPr>
              <w:t>排情况见</w:t>
            </w:r>
            <w:r>
              <w:rPr>
                <w:rFonts w:hint="eastAsia" w:ascii="Times New Roman" w:hAnsi="Times New Roman" w:eastAsia="宋体" w:cs="Times New Roman"/>
                <w:snapToGrid w:val="0"/>
                <w:color w:val="000000" w:themeColor="text1"/>
                <w:sz w:val="24"/>
                <w:szCs w:val="24"/>
                <w:lang w:val="en-US" w:eastAsia="zh-CN"/>
                <w14:textFill>
                  <w14:solidFill>
                    <w14:schemeClr w14:val="tx1"/>
                  </w14:solidFill>
                </w14:textFill>
              </w:rPr>
              <w:t>下表。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2" w:firstLineChars="200"/>
              <w:jc w:val="left"/>
              <w:textAlignment w:val="auto"/>
              <w:rPr>
                <w:rFonts w:hint="eastAsia" w:ascii="Times New Roman" w:hAnsi="Times New Roman" w:cs="Times New Roman"/>
                <w:b/>
                <w:bCs w:val="0"/>
                <w:color w:val="000000" w:themeColor="text1"/>
                <w:spacing w:val="0"/>
                <w:position w:val="0"/>
                <w:sz w:val="21"/>
                <w:szCs w:val="21"/>
                <w:lang w:val="en-US" w:eastAsia="zh-CN"/>
                <w14:textFill>
                  <w14:solidFill>
                    <w14:schemeClr w14:val="tx1"/>
                  </w14:solidFill>
                </w14:textFill>
              </w:rPr>
            </w:pPr>
            <w:r>
              <w:rPr>
                <w:rFonts w:hint="eastAsia" w:ascii="Times New Roman" w:hAnsi="Times New Roman" w:cs="Times New Roman"/>
                <w:b/>
                <w:bCs w:val="0"/>
                <w:color w:val="000000" w:themeColor="text1"/>
                <w:spacing w:val="0"/>
                <w:position w:val="0"/>
                <w:sz w:val="21"/>
                <w:szCs w:val="21"/>
                <w:lang w:val="en-US" w:eastAsia="zh-CN"/>
                <w14:textFill>
                  <w14:solidFill>
                    <w14:schemeClr w14:val="tx1"/>
                  </w14:solidFill>
                </w14:textFill>
              </w:rPr>
              <w:t>表</w:t>
            </w:r>
            <w:r>
              <w:rPr>
                <w:rFonts w:hint="eastAsia" w:cs="Times New Roman"/>
                <w:b/>
                <w:bCs w:val="0"/>
                <w:color w:val="000000" w:themeColor="text1"/>
                <w:spacing w:val="0"/>
                <w:position w:val="0"/>
                <w:sz w:val="21"/>
                <w:szCs w:val="21"/>
                <w:lang w:val="en-US" w:eastAsia="zh-CN"/>
                <w14:textFill>
                  <w14:solidFill>
                    <w14:schemeClr w14:val="tx1"/>
                  </w14:solidFill>
                </w14:textFill>
              </w:rPr>
              <w:t xml:space="preserve">4-2         </w:t>
            </w:r>
            <w:r>
              <w:rPr>
                <w:rFonts w:hint="eastAsia" w:ascii="Times New Roman" w:hAnsi="Times New Roman" w:cs="Times New Roman"/>
                <w:b/>
                <w:bCs w:val="0"/>
                <w:color w:val="000000" w:themeColor="text1"/>
                <w:spacing w:val="0"/>
                <w:position w:val="0"/>
                <w:sz w:val="21"/>
                <w:szCs w:val="21"/>
                <w:lang w:val="en-US" w:eastAsia="zh-CN"/>
                <w14:textFill>
                  <w14:solidFill>
                    <w14:schemeClr w14:val="tx1"/>
                  </w14:solidFill>
                </w14:textFill>
              </w:rPr>
              <w:t xml:space="preserve"> </w:t>
            </w:r>
            <w:r>
              <w:rPr>
                <w:rFonts w:hint="default" w:ascii="Times New Roman" w:hAnsi="Times New Roman" w:cs="Times New Roman"/>
                <w:b/>
                <w:bCs w:val="0"/>
                <w:color w:val="000000" w:themeColor="text1"/>
                <w:spacing w:val="0"/>
                <w:position w:val="0"/>
                <w:sz w:val="21"/>
                <w:szCs w:val="21"/>
                <w14:textFill>
                  <w14:solidFill>
                    <w14:schemeClr w14:val="tx1"/>
                  </w14:solidFill>
                </w14:textFill>
              </w:rPr>
              <w:t>本项目</w:t>
            </w:r>
            <w:r>
              <w:rPr>
                <w:rFonts w:hint="eastAsia" w:ascii="Times New Roman" w:hAnsi="Times New Roman" w:cs="Times New Roman"/>
                <w:b/>
                <w:bCs w:val="0"/>
                <w:color w:val="000000" w:themeColor="text1"/>
                <w:spacing w:val="0"/>
                <w:position w:val="0"/>
                <w:sz w:val="21"/>
                <w:szCs w:val="21"/>
                <w:lang w:val="en-US" w:eastAsia="zh-CN"/>
                <w14:textFill>
                  <w14:solidFill>
                    <w14:schemeClr w14:val="tx1"/>
                  </w14:solidFill>
                </w14:textFill>
              </w:rPr>
              <w:t>主要水</w:t>
            </w:r>
            <w:r>
              <w:rPr>
                <w:rFonts w:hint="default" w:ascii="Times New Roman" w:hAnsi="Times New Roman" w:cs="Times New Roman"/>
                <w:b/>
                <w:bCs w:val="0"/>
                <w:color w:val="000000" w:themeColor="text1"/>
                <w:spacing w:val="0"/>
                <w:position w:val="0"/>
                <w:sz w:val="21"/>
                <w:szCs w:val="21"/>
                <w14:textFill>
                  <w14:solidFill>
                    <w14:schemeClr w14:val="tx1"/>
                  </w14:solidFill>
                </w14:textFill>
              </w:rPr>
              <w:t>污染物排放情况</w:t>
            </w:r>
            <w:r>
              <w:rPr>
                <w:rFonts w:hint="eastAsia" w:ascii="Times New Roman" w:hAnsi="Times New Roman" w:cs="Times New Roman"/>
                <w:b/>
                <w:bCs w:val="0"/>
                <w:color w:val="000000" w:themeColor="text1"/>
                <w:spacing w:val="0"/>
                <w:position w:val="0"/>
                <w:sz w:val="21"/>
                <w:szCs w:val="21"/>
                <w:lang w:val="en-US" w:eastAsia="zh-CN"/>
                <w14:textFill>
                  <w14:solidFill>
                    <w14:schemeClr w14:val="tx1"/>
                  </w14:solidFill>
                </w14:textFill>
              </w:rPr>
              <w:t>汇总表</w:t>
            </w:r>
          </w:p>
          <w:tbl>
            <w:tblPr>
              <w:tblStyle w:val="30"/>
              <w:tblW w:w="492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50"/>
              <w:gridCol w:w="584"/>
              <w:gridCol w:w="1278"/>
              <w:gridCol w:w="794"/>
              <w:gridCol w:w="899"/>
              <w:gridCol w:w="747"/>
              <w:gridCol w:w="596"/>
              <w:gridCol w:w="794"/>
              <w:gridCol w:w="899"/>
              <w:gridCol w:w="81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pct"/>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000000" w:themeColor="text1"/>
                      <w:spacing w:val="0"/>
                      <w:positio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pacing w:val="0"/>
                      <w:position w:val="0"/>
                      <w:sz w:val="21"/>
                      <w:szCs w:val="21"/>
                      <w:vertAlign w:val="baseline"/>
                      <w:lang w:val="en-US" w:eastAsia="zh-CN"/>
                      <w14:textFill>
                        <w14:solidFill>
                          <w14:schemeClr w14:val="tx1"/>
                        </w14:solidFill>
                      </w14:textFill>
                    </w:rPr>
                    <w:t>类别</w:t>
                  </w:r>
                </w:p>
              </w:tc>
              <w:tc>
                <w:tcPr>
                  <w:tcW w:w="364" w:type="pct"/>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000000" w:themeColor="text1"/>
                      <w:spacing w:val="0"/>
                      <w:positio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pacing w:val="0"/>
                      <w:position w:val="0"/>
                      <w:sz w:val="21"/>
                      <w:szCs w:val="21"/>
                      <w:vertAlign w:val="baseline"/>
                      <w:lang w:val="en-US" w:eastAsia="zh-CN"/>
                      <w14:textFill>
                        <w14:solidFill>
                          <w14:schemeClr w14:val="tx1"/>
                        </w14:solidFill>
                      </w14:textFill>
                    </w:rPr>
                    <w:t>废水量t/a</w:t>
                  </w:r>
                </w:p>
              </w:tc>
              <w:tc>
                <w:tcPr>
                  <w:tcW w:w="1571" w:type="pct"/>
                  <w:gridSpan w:val="3"/>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000000" w:themeColor="text1"/>
                      <w:spacing w:val="0"/>
                      <w:positio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pacing w:val="0"/>
                      <w:position w:val="0"/>
                      <w:sz w:val="21"/>
                      <w:szCs w:val="21"/>
                      <w:vertAlign w:val="baseline"/>
                      <w:lang w:val="en-US" w:eastAsia="zh-CN"/>
                      <w14:textFill>
                        <w14:solidFill>
                          <w14:schemeClr w14:val="tx1"/>
                        </w14:solidFill>
                      </w14:textFill>
                    </w:rPr>
                    <w:t>产生</w:t>
                  </w:r>
                </w:p>
              </w:tc>
              <w:tc>
                <w:tcPr>
                  <w:tcW w:w="602" w:type="pct"/>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000000" w:themeColor="text1"/>
                      <w:spacing w:val="0"/>
                      <w:positio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pacing w:val="0"/>
                      <w:position w:val="0"/>
                      <w:sz w:val="21"/>
                      <w:szCs w:val="21"/>
                      <w:vertAlign w:val="baseline"/>
                      <w:lang w:val="en-US" w:eastAsia="zh-CN"/>
                      <w14:textFill>
                        <w14:solidFill>
                          <w14:schemeClr w14:val="tx1"/>
                        </w14:solidFill>
                      </w14:textFill>
                    </w:rPr>
                    <w:t>治理措施</w:t>
                  </w:r>
                </w:p>
              </w:tc>
              <w:tc>
                <w:tcPr>
                  <w:tcW w:w="1404" w:type="pct"/>
                  <w:gridSpan w:val="3"/>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000000" w:themeColor="text1"/>
                      <w:spacing w:val="0"/>
                      <w:positio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bCs w:val="0"/>
                      <w:color w:val="000000" w:themeColor="text1"/>
                      <w:spacing w:val="0"/>
                      <w:position w:val="0"/>
                      <w:sz w:val="21"/>
                      <w:szCs w:val="21"/>
                      <w:vertAlign w:val="baseline"/>
                      <w:lang w:val="en-US" w:eastAsia="zh-CN"/>
                      <w14:textFill>
                        <w14:solidFill>
                          <w14:schemeClr w14:val="tx1"/>
                        </w14:solidFill>
                      </w14:textFill>
                    </w:rPr>
                    <w:t>排放</w:t>
                  </w:r>
                </w:p>
              </w:tc>
              <w:tc>
                <w:tcPr>
                  <w:tcW w:w="643" w:type="pct"/>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pacing w:val="0"/>
                      <w:position w:val="0"/>
                      <w:sz w:val="21"/>
                      <w:szCs w:val="21"/>
                      <w:vertAlign w:val="baseline"/>
                      <w:lang w:val="en-US" w:eastAsia="zh-CN"/>
                      <w14:textFill>
                        <w14:solidFill>
                          <w14:schemeClr w14:val="tx1"/>
                        </w14:solidFill>
                      </w14:textFill>
                    </w:rPr>
                    <w:t>排放去向</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000000" w:themeColor="text1"/>
                      <w:spacing w:val="0"/>
                      <w:position w:val="0"/>
                      <w:sz w:val="21"/>
                      <w:szCs w:val="21"/>
                      <w:vertAlign w:val="baseline"/>
                      <w:lang w:val="en-US" w:eastAsia="zh-CN"/>
                      <w14:textFill>
                        <w14:solidFill>
                          <w14:schemeClr w14:val="tx1"/>
                        </w14:solidFill>
                      </w14:textFill>
                    </w:rPr>
                  </w:pPr>
                </w:p>
              </w:tc>
              <w:tc>
                <w:tcPr>
                  <w:tcW w:w="364"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000000" w:themeColor="text1"/>
                      <w:spacing w:val="0"/>
                      <w:position w:val="0"/>
                      <w:sz w:val="21"/>
                      <w:szCs w:val="21"/>
                      <w:vertAlign w:val="baseline"/>
                      <w:lang w:val="en-US" w:eastAsia="zh-CN"/>
                      <w14:textFill>
                        <w14:solidFill>
                          <w14:schemeClr w14:val="tx1"/>
                        </w14:solidFill>
                      </w14:textFill>
                    </w:rPr>
                  </w:pPr>
                </w:p>
              </w:tc>
              <w:tc>
                <w:tcPr>
                  <w:tcW w:w="607"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000000" w:themeColor="text1"/>
                      <w:spacing w:val="0"/>
                      <w:positio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pacing w:val="0"/>
                      <w:position w:val="0"/>
                      <w:sz w:val="21"/>
                      <w:szCs w:val="21"/>
                      <w:vertAlign w:val="baseline"/>
                      <w:lang w:val="en-US" w:eastAsia="zh-CN"/>
                      <w14:textFill>
                        <w14:solidFill>
                          <w14:schemeClr w14:val="tx1"/>
                        </w14:solidFill>
                      </w14:textFill>
                    </w:rPr>
                    <w:t>污染物名称</w:t>
                  </w:r>
                </w:p>
              </w:tc>
              <w:tc>
                <w:tcPr>
                  <w:tcW w:w="46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000000" w:themeColor="text1"/>
                      <w:spacing w:val="0"/>
                      <w:positio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pacing w:val="0"/>
                      <w:kern w:val="0"/>
                      <w:position w:val="0"/>
                      <w:sz w:val="21"/>
                      <w:szCs w:val="21"/>
                      <w:vertAlign w:val="baseline"/>
                      <w:lang w:val="en-US" w:eastAsia="zh-CN"/>
                      <w14:textFill>
                        <w14:solidFill>
                          <w14:schemeClr w14:val="tx1"/>
                        </w14:solidFill>
                      </w14:textFill>
                    </w:rPr>
                    <w:t>产生浓度mg/L</w:t>
                  </w:r>
                </w:p>
              </w:tc>
              <w:tc>
                <w:tcPr>
                  <w:tcW w:w="503"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000000" w:themeColor="text1"/>
                      <w:spacing w:val="0"/>
                      <w:positio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pacing w:val="0"/>
                      <w:kern w:val="0"/>
                      <w:position w:val="0"/>
                      <w:sz w:val="21"/>
                      <w:szCs w:val="21"/>
                      <w:vertAlign w:val="baseline"/>
                      <w:lang w:val="en-US" w:eastAsia="zh-CN"/>
                      <w14:textFill>
                        <w14:solidFill>
                          <w14:schemeClr w14:val="tx1"/>
                        </w14:solidFill>
                      </w14:textFill>
                    </w:rPr>
                    <w:t>产生量t/a</w:t>
                  </w:r>
                </w:p>
              </w:tc>
              <w:tc>
                <w:tcPr>
                  <w:tcW w:w="602"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000000" w:themeColor="text1"/>
                      <w:spacing w:val="0"/>
                      <w:position w:val="0"/>
                      <w:sz w:val="21"/>
                      <w:szCs w:val="21"/>
                      <w:vertAlign w:val="baseline"/>
                      <w:lang w:val="en-US" w:eastAsia="zh-CN"/>
                      <w14:textFill>
                        <w14:solidFill>
                          <w14:schemeClr w14:val="tx1"/>
                        </w14:solidFill>
                      </w14:textFill>
                    </w:rPr>
                  </w:pPr>
                </w:p>
              </w:tc>
              <w:tc>
                <w:tcPr>
                  <w:tcW w:w="506"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000000" w:themeColor="text1"/>
                      <w:spacing w:val="0"/>
                      <w:positio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bCs w:val="0"/>
                      <w:color w:val="000000" w:themeColor="text1"/>
                      <w:spacing w:val="0"/>
                      <w:position w:val="0"/>
                      <w:sz w:val="21"/>
                      <w:szCs w:val="21"/>
                      <w:vertAlign w:val="baseline"/>
                      <w:lang w:val="en-US" w:eastAsia="zh-CN"/>
                      <w14:textFill>
                        <w14:solidFill>
                          <w14:schemeClr w14:val="tx1"/>
                        </w14:solidFill>
                      </w14:textFill>
                    </w:rPr>
                    <w:t>外排量t/a</w:t>
                  </w:r>
                </w:p>
              </w:tc>
              <w:tc>
                <w:tcPr>
                  <w:tcW w:w="46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000000" w:themeColor="text1"/>
                      <w:spacing w:val="0"/>
                      <w:kern w:val="2"/>
                      <w:positio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spacing w:val="0"/>
                      <w:kern w:val="0"/>
                      <w:position w:val="0"/>
                      <w:sz w:val="21"/>
                      <w:szCs w:val="21"/>
                      <w:vertAlign w:val="baseline"/>
                      <w:lang w:val="en-US" w:eastAsia="zh-CN"/>
                      <w14:textFill>
                        <w14:solidFill>
                          <w14:schemeClr w14:val="tx1"/>
                        </w14:solidFill>
                      </w14:textFill>
                    </w:rPr>
                    <w:t>出水浓度mg/L</w:t>
                  </w:r>
                </w:p>
              </w:tc>
              <w:tc>
                <w:tcPr>
                  <w:tcW w:w="436"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val="0"/>
                      <w:color w:val="000000" w:themeColor="text1"/>
                      <w:spacing w:val="0"/>
                      <w:kern w:val="2"/>
                      <w:position w:val="0"/>
                      <w:sz w:val="21"/>
                      <w:szCs w:val="21"/>
                      <w:vertAlign w:val="baseline"/>
                      <w:lang w:val="en-US" w:eastAsia="zh-CN" w:bidi="ar-SA"/>
                      <w14:textFill>
                        <w14:solidFill>
                          <w14:schemeClr w14:val="tx1"/>
                        </w14:solidFill>
                      </w14:textFill>
                    </w:rPr>
                  </w:pPr>
                  <w:r>
                    <w:rPr>
                      <w:rFonts w:hint="default" w:ascii="Times New Roman" w:hAnsi="Times New Roman" w:eastAsia="宋体" w:cs="Times New Roman"/>
                      <w:b/>
                      <w:bCs w:val="0"/>
                      <w:color w:val="000000" w:themeColor="text1"/>
                      <w:spacing w:val="0"/>
                      <w:kern w:val="0"/>
                      <w:position w:val="0"/>
                      <w:sz w:val="21"/>
                      <w:szCs w:val="21"/>
                      <w:vertAlign w:val="baseline"/>
                      <w:lang w:val="en-US" w:eastAsia="zh-CN"/>
                      <w14:textFill>
                        <w14:solidFill>
                          <w14:schemeClr w14:val="tx1"/>
                        </w14:solidFill>
                      </w14:textFill>
                    </w:rPr>
                    <w:t>排放量t/a</w:t>
                  </w:r>
                </w:p>
              </w:tc>
              <w:tc>
                <w:tcPr>
                  <w:tcW w:w="64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pct"/>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宠物诊疗</w:t>
                  </w:r>
                  <w:r>
                    <w:rPr>
                      <w:rFonts w:hint="eastAsia"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t>废水</w:t>
                  </w:r>
                </w:p>
              </w:tc>
              <w:tc>
                <w:tcPr>
                  <w:tcW w:w="364" w:type="pct"/>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8</w:t>
                  </w:r>
                </w:p>
              </w:tc>
              <w:tc>
                <w:tcPr>
                  <w:tcW w:w="607"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kern w:val="0"/>
                      <w:position w:val="0"/>
                      <w:sz w:val="21"/>
                      <w:szCs w:val="21"/>
                      <w:vertAlign w:val="baseline"/>
                      <w:lang w:val="en-US" w:eastAsia="zh-CN"/>
                      <w14:textFill>
                        <w14:solidFill>
                          <w14:schemeClr w14:val="tx1"/>
                        </w14:solidFill>
                      </w14:textFill>
                    </w:rPr>
                    <w:t>COD</w:t>
                  </w:r>
                </w:p>
              </w:tc>
              <w:tc>
                <w:tcPr>
                  <w:tcW w:w="46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170.65</w:t>
                  </w:r>
                </w:p>
              </w:tc>
              <w:tc>
                <w:tcPr>
                  <w:tcW w:w="503"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0.00137</w:t>
                  </w:r>
                </w:p>
              </w:tc>
              <w:tc>
                <w:tcPr>
                  <w:tcW w:w="602" w:type="pct"/>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t>小型废水处理设施</w:t>
                  </w:r>
                </w:p>
              </w:tc>
              <w:tc>
                <w:tcPr>
                  <w:tcW w:w="506" w:type="pct"/>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8</w:t>
                  </w:r>
                </w:p>
              </w:tc>
              <w:tc>
                <w:tcPr>
                  <w:tcW w:w="73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170.65</w:t>
                  </w:r>
                </w:p>
              </w:tc>
              <w:tc>
                <w:tcPr>
                  <w:tcW w:w="700" w:type="dxa"/>
                  <w:tcBorders>
                    <w:tl2br w:val="nil"/>
                    <w:tr2bl w:val="nil"/>
                  </w:tcBorders>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themeColor="text1"/>
                      <w:spacing w:val="0"/>
                      <w:kern w:val="2"/>
                      <w:position w:val="0"/>
                      <w:sz w:val="21"/>
                      <w:szCs w:val="21"/>
                      <w:vertAlign w:val="baseline"/>
                      <w:lang w:val="en-US" w:eastAsia="zh-CN" w:bidi="ar-SA"/>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0.00137</w:t>
                  </w:r>
                </w:p>
              </w:tc>
              <w:tc>
                <w:tcPr>
                  <w:tcW w:w="643" w:type="pct"/>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both"/>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default" w:ascii="Times New Roman" w:hAnsi="Times New Roman" w:eastAsia="宋体" w:cs="Times New Roman"/>
                      <w:sz w:val="21"/>
                      <w:szCs w:val="21"/>
                      <w:lang w:val="en-US" w:eastAsia="zh-CN"/>
                    </w:rPr>
                    <w:t>排入城市排水管网，最终进入库尔勒市南市区污水处理厂深度处理。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364"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607"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kern w:val="0"/>
                      <w:position w:val="0"/>
                      <w:sz w:val="21"/>
                      <w:szCs w:val="21"/>
                      <w:vertAlign w:val="baseline"/>
                      <w:lang w:val="en-US" w:eastAsia="zh-CN"/>
                      <w14:textFill>
                        <w14:solidFill>
                          <w14:schemeClr w14:val="tx1"/>
                        </w14:solidFill>
                      </w14:textFill>
                    </w:rPr>
                    <w:t>BOD</w:t>
                  </w:r>
                  <w:r>
                    <w:rPr>
                      <w:rFonts w:hint="default" w:ascii="Times New Roman" w:hAnsi="Times New Roman" w:eastAsia="宋体" w:cs="Times New Roman"/>
                      <w:b w:val="0"/>
                      <w:bCs/>
                      <w:color w:val="000000" w:themeColor="text1"/>
                      <w:spacing w:val="0"/>
                      <w:kern w:val="0"/>
                      <w:position w:val="0"/>
                      <w:sz w:val="21"/>
                      <w:szCs w:val="21"/>
                      <w:vertAlign w:val="subscript"/>
                      <w:lang w:val="en-US" w:eastAsia="zh-CN"/>
                      <w14:textFill>
                        <w14:solidFill>
                          <w14:schemeClr w14:val="tx1"/>
                        </w14:solidFill>
                      </w14:textFill>
                    </w:rPr>
                    <w:t>5</w:t>
                  </w:r>
                </w:p>
              </w:tc>
              <w:tc>
                <w:tcPr>
                  <w:tcW w:w="46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80.1</w:t>
                  </w:r>
                </w:p>
              </w:tc>
              <w:tc>
                <w:tcPr>
                  <w:tcW w:w="503"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0.00064</w:t>
                  </w:r>
                </w:p>
              </w:tc>
              <w:tc>
                <w:tcPr>
                  <w:tcW w:w="602"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506"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73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80.1</w:t>
                  </w:r>
                </w:p>
              </w:tc>
              <w:tc>
                <w:tcPr>
                  <w:tcW w:w="700" w:type="dxa"/>
                  <w:tcBorders>
                    <w:tl2br w:val="nil"/>
                    <w:tr2bl w:val="nil"/>
                  </w:tcBorders>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themeColor="text1"/>
                      <w:spacing w:val="0"/>
                      <w:kern w:val="2"/>
                      <w:position w:val="0"/>
                      <w:sz w:val="21"/>
                      <w:szCs w:val="21"/>
                      <w:vertAlign w:val="baseline"/>
                      <w:lang w:val="en-US" w:eastAsia="zh-CN" w:bidi="ar-SA"/>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0.00064</w:t>
                  </w:r>
                </w:p>
              </w:tc>
              <w:tc>
                <w:tcPr>
                  <w:tcW w:w="64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1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364"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607"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kern w:val="0"/>
                      <w:position w:val="0"/>
                      <w:sz w:val="21"/>
                      <w:szCs w:val="21"/>
                      <w:vertAlign w:val="baseline"/>
                      <w:lang w:val="en-US" w:eastAsia="zh-CN"/>
                      <w14:textFill>
                        <w14:solidFill>
                          <w14:schemeClr w14:val="tx1"/>
                        </w14:solidFill>
                      </w14:textFill>
                    </w:rPr>
                    <w:t>SS</w:t>
                  </w:r>
                </w:p>
              </w:tc>
              <w:tc>
                <w:tcPr>
                  <w:tcW w:w="46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46.15</w:t>
                  </w:r>
                </w:p>
              </w:tc>
              <w:tc>
                <w:tcPr>
                  <w:tcW w:w="503"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0.00037</w:t>
                  </w:r>
                </w:p>
              </w:tc>
              <w:tc>
                <w:tcPr>
                  <w:tcW w:w="602"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506"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73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46.15</w:t>
                  </w:r>
                </w:p>
              </w:tc>
              <w:tc>
                <w:tcPr>
                  <w:tcW w:w="70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0.00037</w:t>
                  </w:r>
                </w:p>
              </w:tc>
              <w:tc>
                <w:tcPr>
                  <w:tcW w:w="64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41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364"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607"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kern w:val="0"/>
                      <w:position w:val="0"/>
                      <w:sz w:val="21"/>
                      <w:szCs w:val="21"/>
                      <w:vertAlign w:val="baseline"/>
                      <w:lang w:val="en-US" w:eastAsia="zh-CN"/>
                      <w14:textFill>
                        <w14:solidFill>
                          <w14:schemeClr w14:val="tx1"/>
                        </w14:solidFill>
                      </w14:textFill>
                    </w:rPr>
                    <w:t>NH</w:t>
                  </w:r>
                  <w:r>
                    <w:rPr>
                      <w:rFonts w:hint="default" w:ascii="Times New Roman" w:hAnsi="Times New Roman" w:eastAsia="宋体" w:cs="Times New Roman"/>
                      <w:b w:val="0"/>
                      <w:bCs/>
                      <w:color w:val="000000" w:themeColor="text1"/>
                      <w:spacing w:val="0"/>
                      <w:kern w:val="0"/>
                      <w:position w:val="0"/>
                      <w:sz w:val="21"/>
                      <w:szCs w:val="21"/>
                      <w:vertAlign w:val="subscript"/>
                      <w:lang w:val="en-US" w:eastAsia="zh-CN"/>
                      <w14:textFill>
                        <w14:solidFill>
                          <w14:schemeClr w14:val="tx1"/>
                        </w14:solidFill>
                      </w14:textFill>
                    </w:rPr>
                    <w:t>3</w:t>
                  </w:r>
                  <w:r>
                    <w:rPr>
                      <w:rFonts w:hint="default" w:ascii="Times New Roman" w:hAnsi="Times New Roman" w:eastAsia="宋体" w:cs="Times New Roman"/>
                      <w:b w:val="0"/>
                      <w:bCs/>
                      <w:color w:val="000000" w:themeColor="text1"/>
                      <w:spacing w:val="0"/>
                      <w:kern w:val="0"/>
                      <w:position w:val="0"/>
                      <w:sz w:val="21"/>
                      <w:szCs w:val="21"/>
                      <w:vertAlign w:val="baseline"/>
                      <w:lang w:val="en-US" w:eastAsia="zh-CN"/>
                      <w14:textFill>
                        <w14:solidFill>
                          <w14:schemeClr w14:val="tx1"/>
                        </w14:solidFill>
                      </w14:textFill>
                    </w:rPr>
                    <w:t>-N</w:t>
                  </w:r>
                </w:p>
              </w:tc>
              <w:tc>
                <w:tcPr>
                  <w:tcW w:w="46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7.35</w:t>
                  </w:r>
                </w:p>
              </w:tc>
              <w:tc>
                <w:tcPr>
                  <w:tcW w:w="503"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0.00006</w:t>
                  </w:r>
                </w:p>
              </w:tc>
              <w:tc>
                <w:tcPr>
                  <w:tcW w:w="602"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506"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73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7.35</w:t>
                  </w:r>
                </w:p>
              </w:tc>
              <w:tc>
                <w:tcPr>
                  <w:tcW w:w="70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0.00006</w:t>
                  </w:r>
                </w:p>
              </w:tc>
              <w:tc>
                <w:tcPr>
                  <w:tcW w:w="64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364"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607"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粪</w:t>
                  </w:r>
                  <w:r>
                    <w:rPr>
                      <w:rFonts w:hint="eastAsia" w:ascii="Times New Roman" w:hAnsi="Times New Roman" w:cs="Times New Roman"/>
                      <w:b w:val="0"/>
                      <w:bCs/>
                      <w:color w:val="000000" w:themeColor="text1"/>
                      <w:spacing w:val="0"/>
                      <w:position w:val="0"/>
                      <w:sz w:val="21"/>
                      <w:szCs w:val="21"/>
                      <w:vertAlign w:val="baseline"/>
                      <w:lang w:val="en-US" w:eastAsia="zh-CN"/>
                      <w14:textFill>
                        <w14:solidFill>
                          <w14:schemeClr w14:val="tx1"/>
                        </w14:solidFill>
                      </w14:textFill>
                    </w:rPr>
                    <w:t>大肠菌</w:t>
                  </w: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群（MPN/L）</w:t>
                  </w:r>
                </w:p>
              </w:tc>
              <w:tc>
                <w:tcPr>
                  <w:tcW w:w="46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47.5</w:t>
                  </w:r>
                </w:p>
              </w:tc>
              <w:tc>
                <w:tcPr>
                  <w:tcW w:w="503"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0.00038</w:t>
                  </w:r>
                </w:p>
              </w:tc>
              <w:tc>
                <w:tcPr>
                  <w:tcW w:w="602"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506"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738"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47.5</w:t>
                  </w:r>
                </w:p>
              </w:tc>
              <w:tc>
                <w:tcPr>
                  <w:tcW w:w="700"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0.00038</w:t>
                  </w:r>
                </w:p>
              </w:tc>
              <w:tc>
                <w:tcPr>
                  <w:tcW w:w="64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pct"/>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生活污水</w:t>
                  </w:r>
                </w:p>
              </w:tc>
              <w:tc>
                <w:tcPr>
                  <w:tcW w:w="364" w:type="pct"/>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36.5</w:t>
                  </w:r>
                </w:p>
              </w:tc>
              <w:tc>
                <w:tcPr>
                  <w:tcW w:w="607"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kern w:val="0"/>
                      <w:position w:val="0"/>
                      <w:sz w:val="21"/>
                      <w:szCs w:val="21"/>
                      <w:vertAlign w:val="baseline"/>
                      <w:lang w:val="en-US" w:eastAsia="zh-CN"/>
                      <w14:textFill>
                        <w14:solidFill>
                          <w14:schemeClr w14:val="tx1"/>
                        </w14:solidFill>
                      </w14:textFill>
                    </w:rPr>
                    <w:t>COD</w:t>
                  </w:r>
                </w:p>
              </w:tc>
              <w:tc>
                <w:tcPr>
                  <w:tcW w:w="46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313.4</w:t>
                  </w:r>
                </w:p>
              </w:tc>
              <w:tc>
                <w:tcPr>
                  <w:tcW w:w="503"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0.0114</w:t>
                  </w:r>
                </w:p>
              </w:tc>
              <w:tc>
                <w:tcPr>
                  <w:tcW w:w="602" w:type="pct"/>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小区化粪池</w:t>
                  </w:r>
                </w:p>
              </w:tc>
              <w:tc>
                <w:tcPr>
                  <w:tcW w:w="506" w:type="pct"/>
                  <w:vMerge w:val="restar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36.5</w:t>
                  </w:r>
                </w:p>
              </w:tc>
              <w:tc>
                <w:tcPr>
                  <w:tcW w:w="46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313.4</w:t>
                  </w:r>
                </w:p>
              </w:tc>
              <w:tc>
                <w:tcPr>
                  <w:tcW w:w="100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0.0114</w:t>
                  </w:r>
                </w:p>
              </w:tc>
              <w:tc>
                <w:tcPr>
                  <w:tcW w:w="64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364"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607"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kern w:val="0"/>
                      <w:position w:val="0"/>
                      <w:sz w:val="21"/>
                      <w:szCs w:val="21"/>
                      <w:vertAlign w:val="baseline"/>
                      <w:lang w:val="en-US" w:eastAsia="zh-CN"/>
                      <w14:textFill>
                        <w14:solidFill>
                          <w14:schemeClr w14:val="tx1"/>
                        </w14:solidFill>
                      </w14:textFill>
                    </w:rPr>
                    <w:t>BOD</w:t>
                  </w:r>
                  <w:r>
                    <w:rPr>
                      <w:rFonts w:hint="default" w:ascii="Times New Roman" w:hAnsi="Times New Roman" w:eastAsia="宋体" w:cs="Times New Roman"/>
                      <w:b w:val="0"/>
                      <w:bCs/>
                      <w:color w:val="000000" w:themeColor="text1"/>
                      <w:spacing w:val="0"/>
                      <w:kern w:val="0"/>
                      <w:position w:val="0"/>
                      <w:sz w:val="21"/>
                      <w:szCs w:val="21"/>
                      <w:vertAlign w:val="subscript"/>
                      <w:lang w:val="en-US" w:eastAsia="zh-CN"/>
                      <w14:textFill>
                        <w14:solidFill>
                          <w14:schemeClr w14:val="tx1"/>
                        </w14:solidFill>
                      </w14:textFill>
                    </w:rPr>
                    <w:t>5</w:t>
                  </w:r>
                </w:p>
              </w:tc>
              <w:tc>
                <w:tcPr>
                  <w:tcW w:w="46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114.2</w:t>
                  </w:r>
                </w:p>
              </w:tc>
              <w:tc>
                <w:tcPr>
                  <w:tcW w:w="503"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0.0042</w:t>
                  </w:r>
                </w:p>
              </w:tc>
              <w:tc>
                <w:tcPr>
                  <w:tcW w:w="602"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506"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46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114.2</w:t>
                  </w:r>
                </w:p>
              </w:tc>
              <w:tc>
                <w:tcPr>
                  <w:tcW w:w="100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0.0042</w:t>
                  </w:r>
                </w:p>
              </w:tc>
              <w:tc>
                <w:tcPr>
                  <w:tcW w:w="64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364"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607"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kern w:val="0"/>
                      <w:position w:val="0"/>
                      <w:sz w:val="21"/>
                      <w:szCs w:val="21"/>
                      <w:vertAlign w:val="baseline"/>
                      <w:lang w:val="en-US" w:eastAsia="zh-CN"/>
                      <w14:textFill>
                        <w14:solidFill>
                          <w14:schemeClr w14:val="tx1"/>
                        </w14:solidFill>
                      </w14:textFill>
                    </w:rPr>
                    <w:t>SS</w:t>
                  </w:r>
                </w:p>
              </w:tc>
              <w:tc>
                <w:tcPr>
                  <w:tcW w:w="46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194.7</w:t>
                  </w:r>
                </w:p>
              </w:tc>
              <w:tc>
                <w:tcPr>
                  <w:tcW w:w="503"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0.0071</w:t>
                  </w:r>
                </w:p>
              </w:tc>
              <w:tc>
                <w:tcPr>
                  <w:tcW w:w="602"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506"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46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194.7</w:t>
                  </w:r>
                </w:p>
              </w:tc>
              <w:tc>
                <w:tcPr>
                  <w:tcW w:w="100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0.0071</w:t>
                  </w:r>
                </w:p>
              </w:tc>
              <w:tc>
                <w:tcPr>
                  <w:tcW w:w="64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1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364"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607"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color w:val="000000" w:themeColor="text1"/>
                      <w:spacing w:val="0"/>
                      <w:kern w:val="0"/>
                      <w:position w:val="0"/>
                      <w:sz w:val="21"/>
                      <w:szCs w:val="21"/>
                      <w:vertAlign w:val="baseline"/>
                      <w:lang w:val="en-US" w:eastAsia="zh-CN"/>
                      <w14:textFill>
                        <w14:solidFill>
                          <w14:schemeClr w14:val="tx1"/>
                        </w14:solidFill>
                      </w14:textFill>
                    </w:rPr>
                    <w:t>NH</w:t>
                  </w:r>
                  <w:r>
                    <w:rPr>
                      <w:rFonts w:hint="default" w:ascii="Times New Roman" w:hAnsi="Times New Roman" w:eastAsia="宋体" w:cs="Times New Roman"/>
                      <w:b w:val="0"/>
                      <w:bCs/>
                      <w:color w:val="000000" w:themeColor="text1"/>
                      <w:spacing w:val="0"/>
                      <w:kern w:val="0"/>
                      <w:position w:val="0"/>
                      <w:sz w:val="21"/>
                      <w:szCs w:val="21"/>
                      <w:vertAlign w:val="subscript"/>
                      <w:lang w:val="en-US" w:eastAsia="zh-CN"/>
                      <w14:textFill>
                        <w14:solidFill>
                          <w14:schemeClr w14:val="tx1"/>
                        </w14:solidFill>
                      </w14:textFill>
                    </w:rPr>
                    <w:t>3</w:t>
                  </w:r>
                  <w:r>
                    <w:rPr>
                      <w:rFonts w:hint="default" w:ascii="Times New Roman" w:hAnsi="Times New Roman" w:eastAsia="宋体" w:cs="Times New Roman"/>
                      <w:b w:val="0"/>
                      <w:bCs/>
                      <w:color w:val="000000" w:themeColor="text1"/>
                      <w:spacing w:val="0"/>
                      <w:kern w:val="0"/>
                      <w:position w:val="0"/>
                      <w:sz w:val="21"/>
                      <w:szCs w:val="21"/>
                      <w:vertAlign w:val="baseline"/>
                      <w:lang w:val="en-US" w:eastAsia="zh-CN"/>
                      <w14:textFill>
                        <w14:solidFill>
                          <w14:schemeClr w14:val="tx1"/>
                        </w14:solidFill>
                      </w14:textFill>
                    </w:rPr>
                    <w:t>-N</w:t>
                  </w:r>
                </w:p>
              </w:tc>
              <w:tc>
                <w:tcPr>
                  <w:tcW w:w="46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47.7</w:t>
                  </w:r>
                </w:p>
              </w:tc>
              <w:tc>
                <w:tcPr>
                  <w:tcW w:w="503"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0.0017</w:t>
                  </w:r>
                </w:p>
              </w:tc>
              <w:tc>
                <w:tcPr>
                  <w:tcW w:w="602"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506"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c>
                <w:tcPr>
                  <w:tcW w:w="460"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47.7</w:t>
                  </w:r>
                </w:p>
              </w:tc>
              <w:tc>
                <w:tcPr>
                  <w:tcW w:w="1004" w:type="dxa"/>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0.0017</w:t>
                  </w:r>
                </w:p>
              </w:tc>
              <w:tc>
                <w:tcPr>
                  <w:tcW w:w="643"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10"/>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pacing w:val="0"/>
                      <w:position w:val="0"/>
                      <w:sz w:val="21"/>
                      <w:szCs w:val="21"/>
                      <w:vertAlign w:val="baseline"/>
                      <w:lang w:val="en-US" w:eastAsia="zh-CN"/>
                      <w14:textFill>
                        <w14:solidFill>
                          <w14:schemeClr w14:val="tx1"/>
                        </w14:solidFill>
                      </w14:textFill>
                    </w:rPr>
                  </w:pPr>
                  <w:r>
                    <w:rPr>
                      <w:rFonts w:hint="eastAsia" w:cs="Times New Roman"/>
                      <w:b w:val="0"/>
                      <w:bCs/>
                      <w:color w:val="000000" w:themeColor="text1"/>
                      <w:spacing w:val="0"/>
                      <w:position w:val="0"/>
                      <w:sz w:val="21"/>
                      <w:szCs w:val="21"/>
                      <w:vertAlign w:val="baseline"/>
                      <w:lang w:val="en-US" w:eastAsia="zh-CN"/>
                      <w14:textFill>
                        <w14:solidFill>
                          <w14:schemeClr w14:val="tx1"/>
                        </w14:solidFill>
                      </w14:textFill>
                    </w:rPr>
                    <w:t>宠物诊疗废水产生浓度参考《天津瑞派福源宠物医院项目竣工环境保护验收监测报告表》中污水处理设备出口监测结果中平均浓度</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2" w:firstLineChars="200"/>
              <w:textAlignment w:val="auto"/>
              <w:rPr>
                <w:rFonts w:hint="default" w:ascii="Times New Roman" w:hAnsi="Times New Roman" w:cs="Times New Roman"/>
                <w:b/>
                <w:bCs w:val="0"/>
                <w:color w:val="000000" w:themeColor="text1"/>
                <w:spacing w:val="0"/>
                <w:position w:val="0"/>
                <w:sz w:val="21"/>
                <w:szCs w:val="21"/>
                <w:lang w:val="en-US" w:eastAsia="zh-CN"/>
                <w14:textFill>
                  <w14:solidFill>
                    <w14:schemeClr w14:val="tx1"/>
                  </w14:solidFill>
                </w14:textFill>
              </w:rPr>
            </w:pPr>
            <w:r>
              <w:rPr>
                <w:rFonts w:hint="eastAsia" w:cs="Times New Roman"/>
                <w:b/>
                <w:bCs w:val="0"/>
                <w:color w:val="000000" w:themeColor="text1"/>
                <w:spacing w:val="0"/>
                <w:position w:val="0"/>
                <w:sz w:val="21"/>
                <w:szCs w:val="21"/>
                <w:lang w:val="en-US" w:eastAsia="zh-CN"/>
                <w14:textFill>
                  <w14:solidFill>
                    <w14:schemeClr w14:val="tx1"/>
                  </w14:solidFill>
                </w14:textFill>
              </w:rPr>
              <w:t>表4-3                  废水排放口情况</w:t>
            </w:r>
          </w:p>
          <w:tbl>
            <w:tblPr>
              <w:tblStyle w:val="30"/>
              <w:tblW w:w="498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543"/>
              <w:gridCol w:w="1085"/>
              <w:gridCol w:w="1680"/>
              <w:gridCol w:w="701"/>
              <w:gridCol w:w="194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605" w:type="pct"/>
                  <w:tcBorders>
                    <w:bottom w:val="single" w:color="auto" w:sz="12" w:space="0"/>
                  </w:tcBorders>
                  <w:noWrap w:val="0"/>
                  <w:vAlign w:val="center"/>
                </w:tcPr>
                <w:p>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vertAlign w:val="baseline"/>
                      <w:lang w:val="en-US" w:eastAsia="zh-CN"/>
                      <w14:textFill>
                        <w14:solidFill>
                          <w14:schemeClr w14:val="tx1"/>
                        </w14:solidFill>
                      </w14:textFill>
                    </w:rPr>
                    <w:t>排放口编号</w:t>
                  </w:r>
                </w:p>
              </w:tc>
              <w:tc>
                <w:tcPr>
                  <w:tcW w:w="688" w:type="pct"/>
                  <w:tcBorders>
                    <w:bottom w:val="single" w:color="auto" w:sz="12" w:space="0"/>
                  </w:tcBorders>
                  <w:noWrap w:val="0"/>
                  <w:vAlign w:val="center"/>
                </w:tcPr>
                <w:p>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eastAsia" w:cs="Times New Roman"/>
                      <w:b/>
                      <w:bCs/>
                      <w:color w:val="000000" w:themeColor="text1"/>
                      <w:sz w:val="21"/>
                      <w:szCs w:val="21"/>
                      <w:vertAlign w:val="baseline"/>
                      <w:lang w:val="en-US" w:eastAsia="zh-CN"/>
                      <w14:textFill>
                        <w14:solidFill>
                          <w14:schemeClr w14:val="tx1"/>
                        </w14:solidFill>
                      </w14:textFill>
                    </w:rPr>
                    <w:t>排放口名称</w:t>
                  </w:r>
                </w:p>
              </w:tc>
              <w:tc>
                <w:tcPr>
                  <w:tcW w:w="1062" w:type="pct"/>
                  <w:tcBorders>
                    <w:bottom w:val="single" w:color="auto" w:sz="12" w:space="0"/>
                  </w:tcBorders>
                  <w:noWrap w:val="0"/>
                  <w:vAlign w:val="center"/>
                </w:tcPr>
                <w:p>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color w:val="000000" w:themeColor="text1"/>
                      <w:kern w:val="0"/>
                      <w:sz w:val="21"/>
                      <w:szCs w:val="21"/>
                      <w:highlight w:val="none"/>
                      <w:vertAlign w:val="baseline"/>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vertAlign w:val="baseline"/>
                      <w:lang w:val="en-US" w:eastAsia="zh-CN"/>
                      <w14:textFill>
                        <w14:solidFill>
                          <w14:schemeClr w14:val="tx1"/>
                        </w14:solidFill>
                      </w14:textFill>
                    </w:rPr>
                    <w:t>排放口坐标</w:t>
                  </w:r>
                </w:p>
              </w:tc>
              <w:tc>
                <w:tcPr>
                  <w:tcW w:w="447" w:type="pct"/>
                  <w:tcBorders>
                    <w:bottom w:val="single" w:color="auto" w:sz="12" w:space="0"/>
                  </w:tcBorders>
                  <w:noWrap w:val="0"/>
                  <w:vAlign w:val="center"/>
                </w:tcPr>
                <w:p>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vertAlign w:val="baseline"/>
                      <w:lang w:val="en-US" w:eastAsia="zh-CN"/>
                      <w14:textFill>
                        <w14:solidFill>
                          <w14:schemeClr w14:val="tx1"/>
                        </w14:solidFill>
                      </w14:textFill>
                    </w:rPr>
                    <w:t>排放口类型</w:t>
                  </w:r>
                </w:p>
              </w:tc>
              <w:tc>
                <w:tcPr>
                  <w:tcW w:w="1196" w:type="pct"/>
                  <w:tcBorders>
                    <w:bottom w:val="single" w:color="auto" w:sz="12" w:space="0"/>
                  </w:tcBorders>
                  <w:noWrap w:val="0"/>
                  <w:vAlign w:val="center"/>
                </w:tcPr>
                <w:p>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color w:val="000000" w:themeColor="text1"/>
                      <w:sz w:val="21"/>
                      <w:szCs w:val="21"/>
                      <w:vertAlign w:val="baseline"/>
                      <w:lang w:val="en-US" w:eastAsia="zh-CN"/>
                      <w14:textFill>
                        <w14:solidFill>
                          <w14:schemeClr w14:val="tx1"/>
                        </w14:solidFill>
                      </w14:textFill>
                    </w:rPr>
                  </w:pPr>
                  <w:r>
                    <w:rPr>
                      <w:rFonts w:hint="eastAsia" w:cs="Times New Roman"/>
                      <w:b/>
                      <w:bCs/>
                      <w:color w:val="000000" w:themeColor="text1"/>
                      <w:spacing w:val="-11"/>
                      <w:sz w:val="21"/>
                      <w:szCs w:val="21"/>
                      <w:highlight w:val="none"/>
                      <w:vertAlign w:val="baseline"/>
                      <w:lang w:val="en-US" w:eastAsia="zh-CN"/>
                      <w14:textFill>
                        <w14:solidFill>
                          <w14:schemeClr w14:val="tx1"/>
                        </w14:solidFill>
                      </w14:textFill>
                    </w:rPr>
                    <w:t>排放标准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05" w:type="pct"/>
                  <w:tcBorders>
                    <w:top w:val="single" w:color="auto" w:sz="12" w:space="0"/>
                    <w:tl2br w:val="nil"/>
                    <w:tr2bl w:val="nil"/>
                  </w:tcBorders>
                  <w:noWrap w:val="0"/>
                  <w:vAlign w:val="center"/>
                </w:tcPr>
                <w:p>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DW001</w:t>
                  </w:r>
                </w:p>
              </w:tc>
              <w:tc>
                <w:tcPr>
                  <w:tcW w:w="688" w:type="pct"/>
                  <w:tcBorders>
                    <w:top w:val="single" w:color="auto" w:sz="12" w:space="0"/>
                    <w:tl2br w:val="nil"/>
                    <w:tr2bl w:val="nil"/>
                  </w:tcBorders>
                  <w:noWrap w:val="0"/>
                  <w:vAlign w:val="center"/>
                </w:tcPr>
                <w:p>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动物诊疗废水处理设施排口</w:t>
                  </w:r>
                </w:p>
              </w:tc>
              <w:tc>
                <w:tcPr>
                  <w:tcW w:w="1062" w:type="pct"/>
                  <w:tcBorders>
                    <w:top w:val="single" w:color="auto" w:sz="12" w:space="0"/>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i w:val="0"/>
                      <w:iCs w:val="0"/>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i w:val="0"/>
                      <w:iCs w:val="0"/>
                      <w:color w:val="000000" w:themeColor="text1"/>
                      <w:sz w:val="21"/>
                      <w:szCs w:val="21"/>
                      <w:lang w:val="en-US" w:eastAsia="zh-CN"/>
                      <w14:textFill>
                        <w14:solidFill>
                          <w14:schemeClr w14:val="tx1"/>
                        </w14:solidFill>
                      </w14:textFill>
                    </w:rPr>
                    <w:t>N</w:t>
                  </w:r>
                  <w:r>
                    <w:rPr>
                      <w:rFonts w:hint="default" w:ascii="Times New Roman" w:hAnsi="Times New Roman" w:eastAsia="宋体" w:cs="Times New Roman"/>
                      <w:i w:val="0"/>
                      <w:iCs w:val="0"/>
                      <w:color w:val="000000" w:themeColor="text1"/>
                      <w:sz w:val="21"/>
                      <w:szCs w:val="21"/>
                      <w14:textFill>
                        <w14:solidFill>
                          <w14:schemeClr w14:val="tx1"/>
                        </w14:solidFill>
                      </w14:textFill>
                    </w:rPr>
                    <w:t>41°43′</w:t>
                  </w:r>
                  <w:r>
                    <w:rPr>
                      <w:rFonts w:hint="eastAsia" w:ascii="Times New Roman" w:hAnsi="Times New Roman" w:eastAsia="宋体" w:cs="Times New Roman"/>
                      <w:i w:val="0"/>
                      <w:iCs w:val="0"/>
                      <w:color w:val="000000" w:themeColor="text1"/>
                      <w:sz w:val="21"/>
                      <w:szCs w:val="21"/>
                      <w:lang w:val="en-US" w:eastAsia="zh-CN"/>
                      <w14:textFill>
                        <w14:solidFill>
                          <w14:schemeClr w14:val="tx1"/>
                        </w14:solidFill>
                      </w14:textFill>
                    </w:rPr>
                    <w:t>50</w:t>
                  </w:r>
                  <w:r>
                    <w:rPr>
                      <w:rFonts w:hint="default" w:ascii="Times New Roman" w:hAnsi="Times New Roman" w:eastAsia="宋体" w:cs="Times New Roman"/>
                      <w:i w:val="0"/>
                      <w:iCs w:val="0"/>
                      <w:color w:val="000000" w:themeColor="text1"/>
                      <w:sz w:val="21"/>
                      <w:szCs w:val="21"/>
                      <w14:textFill>
                        <w14:solidFill>
                          <w14:schemeClr w14:val="tx1"/>
                        </w14:solidFill>
                      </w14:textFill>
                    </w:rPr>
                    <w:t>″</w:t>
                  </w:r>
                  <w:r>
                    <w:rPr>
                      <w:rFonts w:hint="eastAsia" w:ascii="Times New Roman" w:hAnsi="Times New Roman" w:eastAsia="宋体" w:cs="Times New Roman"/>
                      <w:i w:val="0"/>
                      <w:iCs w:val="0"/>
                      <w:color w:val="000000" w:themeColor="text1"/>
                      <w:sz w:val="21"/>
                      <w:szCs w:val="21"/>
                      <w:lang w:val="en-US" w:eastAsia="zh-CN"/>
                      <w14:textFill>
                        <w14:solidFill>
                          <w14:schemeClr w14:val="tx1"/>
                        </w14:solidFill>
                      </w14:textFill>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i w:val="0"/>
                      <w:iCs w:val="0"/>
                      <w:color w:val="000000" w:themeColor="text1"/>
                      <w:sz w:val="21"/>
                      <w:szCs w:val="21"/>
                      <w:lang w:val="en-US" w:eastAsia="zh-CN"/>
                      <w14:textFill>
                        <w14:solidFill>
                          <w14:schemeClr w14:val="tx1"/>
                        </w14:solidFill>
                      </w14:textFill>
                    </w:rPr>
                    <w:t>E</w:t>
                  </w:r>
                  <w:r>
                    <w:rPr>
                      <w:rFonts w:hint="default" w:ascii="Times New Roman" w:hAnsi="Times New Roman" w:eastAsia="宋体" w:cs="Times New Roman"/>
                      <w:i w:val="0"/>
                      <w:iCs w:val="0"/>
                      <w:color w:val="000000" w:themeColor="text1"/>
                      <w:sz w:val="21"/>
                      <w:szCs w:val="21"/>
                      <w14:textFill>
                        <w14:solidFill>
                          <w14:schemeClr w14:val="tx1"/>
                        </w14:solidFill>
                      </w14:textFill>
                    </w:rPr>
                    <w:t>86°10′5</w:t>
                  </w:r>
                  <w:r>
                    <w:rPr>
                      <w:rFonts w:hint="eastAsia" w:ascii="Times New Roman" w:hAnsi="Times New Roman" w:eastAsia="宋体" w:cs="Times New Roman"/>
                      <w:i w:val="0"/>
                      <w:iCs w:val="0"/>
                      <w:color w:val="000000" w:themeColor="text1"/>
                      <w:sz w:val="21"/>
                      <w:szCs w:val="21"/>
                      <w:lang w:val="en-US" w:eastAsia="zh-CN"/>
                      <w14:textFill>
                        <w14:solidFill>
                          <w14:schemeClr w14:val="tx1"/>
                        </w14:solidFill>
                      </w14:textFill>
                    </w:rPr>
                    <w:t>0</w:t>
                  </w:r>
                  <w:r>
                    <w:rPr>
                      <w:rFonts w:hint="default" w:ascii="Times New Roman" w:hAnsi="Times New Roman" w:eastAsia="宋体" w:cs="Times New Roman"/>
                      <w:i w:val="0"/>
                      <w:iCs w:val="0"/>
                      <w:color w:val="000000" w:themeColor="text1"/>
                      <w:sz w:val="21"/>
                      <w:szCs w:val="21"/>
                      <w14:textFill>
                        <w14:solidFill>
                          <w14:schemeClr w14:val="tx1"/>
                        </w14:solidFill>
                      </w14:textFill>
                    </w:rPr>
                    <w:t>″</w:t>
                  </w:r>
                </w:p>
              </w:tc>
              <w:tc>
                <w:tcPr>
                  <w:tcW w:w="447" w:type="pct"/>
                  <w:tcBorders>
                    <w:top w:val="single" w:color="auto" w:sz="12" w:space="0"/>
                    <w:tl2br w:val="nil"/>
                    <w:tr2bl w:val="nil"/>
                  </w:tcBorders>
                  <w:noWrap w:val="0"/>
                  <w:vAlign w:val="center"/>
                </w:tcPr>
                <w:p>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eastAsia" w:cs="Times New Roman"/>
                      <w:b w:val="0"/>
                      <w:bCs w:val="0"/>
                      <w:color w:val="000000" w:themeColor="text1"/>
                      <w:sz w:val="21"/>
                      <w:szCs w:val="21"/>
                      <w:vertAlign w:val="baseline"/>
                      <w:lang w:val="en-US" w:eastAsia="zh-CN"/>
                      <w14:textFill>
                        <w14:solidFill>
                          <w14:schemeClr w14:val="tx1"/>
                        </w14:solidFill>
                      </w14:textFill>
                    </w:rPr>
                    <w:t>一般</w:t>
                  </w: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排放口</w:t>
                  </w:r>
                </w:p>
              </w:tc>
              <w:tc>
                <w:tcPr>
                  <w:tcW w:w="1196" w:type="pct"/>
                  <w:tcBorders>
                    <w:top w:val="single" w:color="auto" w:sz="12" w:space="0"/>
                    <w:tl2br w:val="nil"/>
                    <w:tr2bl w:val="nil"/>
                  </w:tcBorders>
                  <w:noWrap w:val="0"/>
                  <w:vAlign w:val="center"/>
                </w:tcPr>
                <w:p>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vertAlign w:val="baseline"/>
                      <w:lang w:val="en-US" w:eastAsia="zh-CN"/>
                      <w14:textFill>
                        <w14:solidFill>
                          <w14:schemeClr w14:val="tx1"/>
                        </w14:solidFill>
                      </w14:textFill>
                    </w:rPr>
                    <w:t>《医疗机构水污染物排放标准》（GB18466-2005）中综合医疗机构和其他医疗机构水污染物排放限值的预处理标准</w:t>
                  </w:r>
                  <w:r>
                    <w:rPr>
                      <w:rFonts w:hint="eastAsia" w:cs="Times New Roman"/>
                      <w:b w:val="0"/>
                      <w:bCs w:val="0"/>
                      <w:color w:val="000000" w:themeColor="text1"/>
                      <w:sz w:val="21"/>
                      <w:szCs w:val="21"/>
                      <w:vertAlign w:val="baseline"/>
                      <w:lang w:val="en-US" w:eastAsia="zh-CN"/>
                      <w14:textFill>
                        <w14:solidFill>
                          <w14:schemeClr w14:val="tx1"/>
                        </w14:solidFill>
                      </w14:textFill>
                    </w:rPr>
                    <w:t>限值</w:t>
                  </w:r>
                </w:p>
              </w:tc>
            </w:tr>
          </w:tbl>
          <w:p>
            <w:p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4.2.2.2 产排浓度类比可行性分析</w:t>
            </w:r>
          </w:p>
          <w:p>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在相似性上，本项目与参考报告皆开展疾病诊疗、绝育手术等业务，导致手术器械清洗、宠物伤口冲洗等废水产生环节一致，污染物种类和浓度范围具有可比性；且医疗废水中污染因子均包含COD、BOD</w:t>
            </w:r>
            <w:r>
              <w:rPr>
                <w:rFonts w:hint="eastAsia" w:ascii="Times New Roman" w:hAnsi="Times New Roman" w:eastAsia="宋体" w:cs="Times New Roman"/>
                <w:color w:val="auto"/>
                <w:sz w:val="24"/>
                <w:szCs w:val="24"/>
                <w:vertAlign w:val="subscript"/>
                <w:lang w:val="en-US" w:eastAsia="zh-CN"/>
              </w:rPr>
              <w:t>5</w:t>
            </w:r>
            <w:r>
              <w:rPr>
                <w:rFonts w:hint="eastAsia" w:ascii="Times New Roman" w:hAnsi="Times New Roman" w:eastAsia="宋体" w:cs="Times New Roman"/>
                <w:color w:val="auto"/>
                <w:sz w:val="24"/>
                <w:szCs w:val="24"/>
                <w:lang w:val="en-US" w:eastAsia="zh-CN"/>
              </w:rPr>
              <w:t>、粪大肠菌群数等，表明废水污染本质相同，此外参考报告与本项目采用消毒处理等相似工艺，对污染物处理效果相近</w:t>
            </w:r>
            <w:r>
              <w:rPr>
                <w:rFonts w:hint="eastAsia" w:cs="Times New Roman"/>
                <w:color w:val="auto"/>
                <w:sz w:val="24"/>
                <w:szCs w:val="24"/>
                <w:lang w:val="en-US" w:eastAsia="zh-CN"/>
              </w:rPr>
              <w:t>，有</w:t>
            </w:r>
            <w:r>
              <w:rPr>
                <w:rFonts w:hint="eastAsia" w:ascii="Times New Roman" w:hAnsi="Times New Roman" w:eastAsia="宋体" w:cs="Times New Roman"/>
                <w:color w:val="auto"/>
                <w:sz w:val="24"/>
                <w:szCs w:val="24"/>
                <w:lang w:val="en-US" w:eastAsia="zh-CN"/>
              </w:rPr>
              <w:t>利于浓度类比。综上，参考验收监测报告中废水浓度类比本项目医疗废水产排浓度可行，能为环保建设和废水处理提供可靠依据。</w:t>
            </w:r>
          </w:p>
          <w:p>
            <w:pPr>
              <w:numPr>
                <w:ilvl w:val="0"/>
                <w:numId w:val="0"/>
              </w:num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4.2.2.3 废水治理措施可行性分析</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根据《医疗机构水污染物排放标准》（GB18466-2005）中4.1.3条：县级以下或20张床位以下的综合医疗机构和其他所有医疗机构污水经消毒后方可排放。</w:t>
            </w:r>
          </w:p>
          <w:p>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项目设有污水处理设备1台，处理工艺为过滤+次氯酸钠消毒。日处理能力为</w:t>
            </w:r>
            <w:r>
              <w:rPr>
                <w:rFonts w:hint="eastAsia" w:cs="Times New Roman"/>
                <w:color w:val="auto"/>
                <w:sz w:val="24"/>
                <w:szCs w:val="24"/>
                <w:lang w:val="en-US" w:eastAsia="zh-CN"/>
              </w:rPr>
              <w:t>0.5</w:t>
            </w:r>
            <w:r>
              <w:rPr>
                <w:rFonts w:hint="eastAsia"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/d，消毒系统消毒时间不少于2小时，消毒片采用人工定时投加的方式。消毒系统对污水进行消毒预处理达到《医疗机构水污染物排放标准》（GB18466-2005）表2中的预处理标准。污水处理设备需处理的废水量为</w:t>
            </w:r>
            <w:r>
              <w:rPr>
                <w:rFonts w:hint="eastAsia" w:cs="Times New Roman"/>
                <w:color w:val="auto"/>
                <w:sz w:val="24"/>
                <w:szCs w:val="24"/>
                <w:lang w:val="en-US" w:eastAsia="zh-CN"/>
              </w:rPr>
              <w:t>8</w:t>
            </w:r>
            <w:r>
              <w:rPr>
                <w:rFonts w:hint="eastAsia"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/a（0.02</w:t>
            </w:r>
            <w:r>
              <w:rPr>
                <w:rFonts w:hint="eastAsia" w:cs="Times New Roman"/>
                <w:color w:val="auto"/>
                <w:sz w:val="24"/>
                <w:szCs w:val="24"/>
                <w:lang w:val="en-US" w:eastAsia="zh-CN"/>
              </w:rPr>
              <w:t>2</w:t>
            </w:r>
            <w:r>
              <w:rPr>
                <w:rFonts w:hint="eastAsia"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/d），污水消毒处理系统的处理能力满足要求。</w:t>
            </w:r>
          </w:p>
          <w:p>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根据《排污许可证申请与核发技术规范 医疗机构》（HJ1105-2020），医疗废水排入城镇污水处理厂可行性技术为“一级处理/一级强化处理+消毒工艺”，本项目属于“一级处理+消毒工艺”，处理工艺符合《排污许可证申请与核发技术规范 医疗机构》（HJ1105-2020）中的要求。</w:t>
            </w:r>
          </w:p>
          <w:p>
            <w:p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4.2.2.4依托污水处理可行性分析</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本项目所处位置在市政</w:t>
            </w:r>
            <w:r>
              <w:rPr>
                <w:rFonts w:hint="eastAsia" w:ascii="Times New Roman" w:hAnsi="Times New Roman" w:eastAsia="宋体" w:cs="Times New Roman"/>
                <w:color w:val="auto"/>
                <w:sz w:val="24"/>
                <w:szCs w:val="24"/>
                <w:lang w:val="en-US" w:eastAsia="zh-CN"/>
              </w:rPr>
              <w:t>污水管网</w:t>
            </w:r>
            <w:r>
              <w:rPr>
                <w:rFonts w:hint="default" w:ascii="Times New Roman" w:hAnsi="Times New Roman" w:eastAsia="宋体" w:cs="Times New Roman"/>
                <w:color w:val="auto"/>
                <w:sz w:val="24"/>
                <w:szCs w:val="24"/>
                <w:lang w:val="en-US" w:eastAsia="zh-CN"/>
              </w:rPr>
              <w:t>覆盖范围内，</w:t>
            </w:r>
            <w:r>
              <w:rPr>
                <w:rFonts w:hint="eastAsia" w:ascii="Times New Roman" w:hAnsi="Times New Roman" w:eastAsia="宋体" w:cs="Times New Roman"/>
                <w:color w:val="auto"/>
                <w:sz w:val="24"/>
                <w:szCs w:val="24"/>
                <w:lang w:val="en-US" w:eastAsia="zh-CN"/>
              </w:rPr>
              <w:t>宠物诊疗</w:t>
            </w:r>
            <w:r>
              <w:rPr>
                <w:rFonts w:hint="default" w:ascii="Times New Roman" w:hAnsi="Times New Roman" w:eastAsia="宋体" w:cs="Times New Roman"/>
                <w:color w:val="auto"/>
                <w:sz w:val="24"/>
                <w:szCs w:val="24"/>
                <w:lang w:val="en-US" w:eastAsia="zh-CN"/>
              </w:rPr>
              <w:t>废水</w:t>
            </w:r>
            <w:r>
              <w:rPr>
                <w:rFonts w:hint="eastAsia" w:ascii="Times New Roman" w:hAnsi="Times New Roman" w:eastAsia="宋体" w:cs="Times New Roman"/>
                <w:color w:val="auto"/>
                <w:sz w:val="24"/>
                <w:szCs w:val="24"/>
                <w:lang w:val="en-US" w:eastAsia="zh-CN"/>
              </w:rPr>
              <w:t>及宠物清洗废水</w:t>
            </w:r>
            <w:r>
              <w:rPr>
                <w:rFonts w:hint="default" w:ascii="Times New Roman" w:hAnsi="Times New Roman" w:eastAsia="宋体" w:cs="Times New Roman"/>
                <w:color w:val="auto"/>
                <w:sz w:val="24"/>
                <w:szCs w:val="24"/>
                <w:lang w:val="en-US" w:eastAsia="zh-CN"/>
              </w:rPr>
              <w:t>经收集后通过</w:t>
            </w:r>
            <w:r>
              <w:rPr>
                <w:rFonts w:hint="eastAsia" w:ascii="Times New Roman" w:hAnsi="Times New Roman" w:eastAsia="宋体" w:cs="Times New Roman"/>
                <w:color w:val="auto"/>
                <w:sz w:val="24"/>
                <w:szCs w:val="24"/>
                <w:lang w:val="en-US" w:eastAsia="zh-CN"/>
              </w:rPr>
              <w:t>小型污水处理设施消毒</w:t>
            </w:r>
            <w:r>
              <w:rPr>
                <w:rFonts w:hint="default" w:ascii="Times New Roman" w:hAnsi="Times New Roman" w:eastAsia="宋体" w:cs="Times New Roman"/>
                <w:color w:val="auto"/>
                <w:sz w:val="24"/>
                <w:szCs w:val="24"/>
                <w:lang w:val="en-US" w:eastAsia="zh-CN"/>
              </w:rPr>
              <w:t>处理达到《医疗机构水污染物排放标准》（GB 18466－2005）表2预处理排放标准限值后和生活污水一同进入小区化粪池处理，最终纳入市政污水管网，进入库尔勒市南市区污水处理厂集中处理。库尔勒市南市区污水处理厂位于新疆巴音郭楞蒙古自治州库尔勒市机场路与鼎兴路交叉口处，中心坐标为N</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41°38′39.79″，E</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86°9′50.79″，</w:t>
            </w:r>
            <w:r>
              <w:rPr>
                <w:rFonts w:hint="eastAsia" w:ascii="Times New Roman" w:hAnsi="Times New Roman" w:eastAsia="宋体" w:cs="Times New Roman"/>
                <w:color w:val="auto"/>
                <w:sz w:val="24"/>
                <w:szCs w:val="24"/>
                <w:lang w:val="en-US" w:eastAsia="zh-CN"/>
              </w:rPr>
              <w:t>处理</w:t>
            </w:r>
            <w:r>
              <w:rPr>
                <w:rFonts w:hint="default" w:ascii="Times New Roman" w:hAnsi="Times New Roman" w:eastAsia="宋体" w:cs="Times New Roman"/>
                <w:color w:val="auto"/>
                <w:sz w:val="24"/>
                <w:szCs w:val="24"/>
                <w:lang w:val="en-US" w:eastAsia="zh-CN"/>
              </w:rPr>
              <w:t>规模</w:t>
            </w:r>
            <w:r>
              <w:rPr>
                <w:rFonts w:hint="eastAsia"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lang w:val="en-US" w:eastAsia="zh-CN"/>
              </w:rPr>
              <w:t>万m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/d，采用AAO+反应沉淀过滤+消毒工艺，出水执行《城镇污水处理厂污染物排放标准》（GB18918-2002）中一级A标准。该项目于2019年6月13日取得排污许可证，排污许可证编号为：91652801MA77CJFF18001W。目前实际</w:t>
            </w:r>
            <w:r>
              <w:rPr>
                <w:rFonts w:hint="eastAsia" w:ascii="Times New Roman" w:hAnsi="Times New Roman" w:eastAsia="宋体" w:cs="Times New Roman"/>
                <w:color w:val="auto"/>
                <w:sz w:val="24"/>
                <w:szCs w:val="24"/>
                <w:lang w:val="en-US" w:eastAsia="zh-CN"/>
              </w:rPr>
              <w:t>进水量</w:t>
            </w:r>
            <w:r>
              <w:rPr>
                <w:rFonts w:hint="default" w:ascii="Times New Roman" w:hAnsi="Times New Roman" w:eastAsia="宋体" w:cs="Times New Roman"/>
                <w:color w:val="auto"/>
                <w:sz w:val="24"/>
                <w:szCs w:val="24"/>
                <w:lang w:val="en-US" w:eastAsia="zh-CN"/>
              </w:rPr>
              <w:t>为7万m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/d，</w:t>
            </w:r>
            <w:r>
              <w:rPr>
                <w:rFonts w:hint="eastAsia" w:ascii="Times New Roman" w:hAnsi="Times New Roman" w:eastAsia="宋体" w:cs="Times New Roman"/>
                <w:color w:val="auto"/>
                <w:sz w:val="24"/>
                <w:szCs w:val="24"/>
                <w:lang w:val="en-US" w:eastAsia="zh-CN"/>
              </w:rPr>
              <w:t>本项目污水排放量为0.1</w:t>
            </w:r>
            <w:r>
              <w:rPr>
                <w:rFonts w:hint="eastAsia" w:cs="Times New Roman"/>
                <w:color w:val="auto"/>
                <w:sz w:val="24"/>
                <w:szCs w:val="24"/>
                <w:lang w:val="en-US" w:eastAsia="zh-CN"/>
              </w:rPr>
              <w:t>2</w:t>
            </w:r>
            <w:r>
              <w:rPr>
                <w:rFonts w:hint="eastAsia" w:ascii="Times New Roman" w:hAnsi="Times New Roman" w:eastAsia="宋体" w:cs="Times New Roman"/>
                <w:color w:val="auto"/>
                <w:sz w:val="24"/>
                <w:szCs w:val="24"/>
                <w:lang w:val="en-US" w:eastAsia="zh-CN"/>
              </w:rPr>
              <w:t>m</w:t>
            </w:r>
            <w:r>
              <w:rPr>
                <w:rFonts w:hint="eastAsia" w:ascii="Times New Roman" w:hAnsi="Times New Roman" w:eastAsia="宋体" w:cs="Times New Roman"/>
                <w:color w:val="auto"/>
                <w:sz w:val="24"/>
                <w:szCs w:val="24"/>
                <w:vertAlign w:val="superscript"/>
                <w:lang w:val="en-US" w:eastAsia="zh-CN"/>
              </w:rPr>
              <w:t>3</w:t>
            </w:r>
            <w:r>
              <w:rPr>
                <w:rFonts w:hint="eastAsia" w:ascii="Times New Roman" w:hAnsi="Times New Roman" w:eastAsia="宋体" w:cs="Times New Roman"/>
                <w:color w:val="auto"/>
                <w:sz w:val="24"/>
                <w:szCs w:val="24"/>
                <w:lang w:val="en-US" w:eastAsia="zh-CN"/>
              </w:rPr>
              <w:t>/d，污水处理厂</w:t>
            </w:r>
            <w:r>
              <w:rPr>
                <w:rFonts w:hint="default" w:ascii="Times New Roman" w:hAnsi="Times New Roman" w:eastAsia="宋体" w:cs="Times New Roman"/>
                <w:color w:val="auto"/>
                <w:sz w:val="24"/>
                <w:szCs w:val="24"/>
                <w:lang w:val="en-US" w:eastAsia="zh-CN"/>
              </w:rPr>
              <w:t>余量可满足本</w:t>
            </w:r>
            <w:r>
              <w:rPr>
                <w:rFonts w:hint="eastAsia" w:ascii="Times New Roman" w:hAnsi="Times New Roman" w:eastAsia="宋体" w:cs="Times New Roman"/>
                <w:color w:val="auto"/>
                <w:sz w:val="24"/>
                <w:szCs w:val="24"/>
                <w:lang w:val="en-US" w:eastAsia="zh-CN"/>
              </w:rPr>
              <w:t>项目</w:t>
            </w:r>
            <w:r>
              <w:rPr>
                <w:rFonts w:hint="default" w:ascii="Times New Roman" w:hAnsi="Times New Roman" w:eastAsia="宋体" w:cs="Times New Roman"/>
                <w:color w:val="auto"/>
                <w:sz w:val="24"/>
                <w:szCs w:val="24"/>
                <w:lang w:val="en-US" w:eastAsia="zh-CN"/>
              </w:rPr>
              <w:t>需求。</w:t>
            </w:r>
          </w:p>
          <w:p>
            <w:pPr>
              <w:numPr>
                <w:ilvl w:val="0"/>
                <w:numId w:val="0"/>
              </w:num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4.2.2.</w:t>
            </w: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5废水自行监测</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本项目按照《排污许可证申请与核发技术规范 </w:t>
            </w:r>
            <w:r>
              <w:rPr>
                <w:rFonts w:hint="eastAsia" w:cs="Times New Roman"/>
                <w:color w:val="auto"/>
                <w:sz w:val="24"/>
                <w:szCs w:val="24"/>
                <w:highlight w:val="none"/>
                <w:lang w:val="en-US" w:eastAsia="zh-CN"/>
              </w:rPr>
              <w:t>总则</w:t>
            </w:r>
            <w:r>
              <w:rPr>
                <w:rFonts w:hint="default" w:ascii="Times New Roman" w:hAnsi="Times New Roman" w:eastAsia="宋体" w:cs="Times New Roman"/>
                <w:color w:val="auto"/>
                <w:sz w:val="24"/>
                <w:szCs w:val="24"/>
                <w:highlight w:val="none"/>
                <w:lang w:val="en-US" w:eastAsia="zh-CN"/>
              </w:rPr>
              <w:t>》（HJ</w:t>
            </w:r>
            <w:r>
              <w:rPr>
                <w:rFonts w:hint="eastAsia" w:cs="Times New Roman"/>
                <w:color w:val="auto"/>
                <w:sz w:val="24"/>
                <w:szCs w:val="24"/>
                <w:highlight w:val="none"/>
                <w:lang w:val="en-US" w:eastAsia="zh-CN"/>
              </w:rPr>
              <w:t>819</w:t>
            </w:r>
            <w:r>
              <w:rPr>
                <w:rFonts w:hint="default" w:ascii="Times New Roman" w:hAnsi="Times New Roman" w:eastAsia="宋体" w:cs="Times New Roman"/>
                <w:color w:val="auto"/>
                <w:sz w:val="24"/>
                <w:szCs w:val="24"/>
                <w:highlight w:val="none"/>
                <w:lang w:val="en-US" w:eastAsia="zh-CN"/>
              </w:rPr>
              <w:t>—20</w:t>
            </w:r>
            <w:r>
              <w:rPr>
                <w:rFonts w:hint="eastAsia" w:cs="Times New Roman"/>
                <w:color w:val="auto"/>
                <w:sz w:val="24"/>
                <w:szCs w:val="24"/>
                <w:highlight w:val="none"/>
                <w:lang w:val="en-US" w:eastAsia="zh-CN"/>
              </w:rPr>
              <w:t>17</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要求制定自行监测计划</w:t>
            </w:r>
            <w:r>
              <w:rPr>
                <w:rFonts w:hint="default" w:ascii="Times New Roman" w:hAnsi="Times New Roman" w:eastAsia="宋体" w:cs="Times New Roman"/>
                <w:color w:val="auto"/>
                <w:sz w:val="24"/>
                <w:szCs w:val="24"/>
                <w:highlight w:val="none"/>
                <w:lang w:val="en-US" w:eastAsia="zh-CN"/>
              </w:rPr>
              <w:t>，监测计划见</w:t>
            </w:r>
            <w:r>
              <w:rPr>
                <w:rFonts w:hint="eastAsia" w:cs="Times New Roman"/>
                <w:color w:val="auto"/>
                <w:sz w:val="24"/>
                <w:szCs w:val="24"/>
                <w:highlight w:val="none"/>
                <w:lang w:val="en-US" w:eastAsia="zh-CN"/>
              </w:rPr>
              <w:t>下表</w:t>
            </w:r>
            <w:r>
              <w:rPr>
                <w:rFonts w:hint="default" w:ascii="Times New Roman" w:hAnsi="Times New Roman" w:eastAsia="宋体" w:cs="Times New Roman"/>
                <w:color w:val="auto"/>
                <w:sz w:val="24"/>
                <w:szCs w:val="24"/>
                <w:highlight w:val="none"/>
                <w:lang w:val="en-US"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1476" w:firstLineChars="700"/>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color w:val="auto"/>
                <w:sz w:val="21"/>
                <w:szCs w:val="21"/>
                <w:lang w:eastAsia="zh-CN"/>
              </w:rPr>
              <w:t>表</w:t>
            </w:r>
            <w:r>
              <w:rPr>
                <w:rFonts w:hint="eastAsia" w:cs="Times New Roman"/>
                <w:b/>
                <w:bCs/>
                <w:color w:val="auto"/>
                <w:sz w:val="21"/>
                <w:szCs w:val="21"/>
                <w:lang w:val="en-US" w:eastAsia="zh-CN"/>
              </w:rPr>
              <w:t>4-4</w:t>
            </w:r>
            <w:r>
              <w:rPr>
                <w:rFonts w:hint="default" w:ascii="Times New Roman" w:hAnsi="Times New Roman" w:eastAsia="宋体" w:cs="Times New Roman"/>
                <w:b/>
                <w:bCs/>
                <w:color w:val="auto"/>
                <w:sz w:val="21"/>
                <w:szCs w:val="21"/>
                <w:lang w:val="en-US" w:eastAsia="zh-CN"/>
              </w:rPr>
              <w:t xml:space="preserve">              </w:t>
            </w:r>
            <w:r>
              <w:rPr>
                <w:rFonts w:hint="eastAsia" w:cs="Times New Roman"/>
                <w:b/>
                <w:bCs/>
                <w:color w:val="auto"/>
                <w:sz w:val="21"/>
                <w:szCs w:val="21"/>
                <w:lang w:val="en-US" w:eastAsia="zh-CN"/>
              </w:rPr>
              <w:t xml:space="preserve">      </w:t>
            </w:r>
            <w:r>
              <w:rPr>
                <w:rFonts w:hint="default" w:ascii="Times New Roman" w:hAnsi="Times New Roman" w:eastAsia="宋体" w:cs="Times New Roman"/>
                <w:b/>
                <w:bCs/>
                <w:color w:val="auto"/>
                <w:sz w:val="21"/>
                <w:szCs w:val="21"/>
                <w:lang w:eastAsia="zh-CN"/>
              </w:rPr>
              <w:t>环境监测计划</w:t>
            </w:r>
          </w:p>
          <w:tbl>
            <w:tblPr>
              <w:tblStyle w:val="29"/>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966"/>
              <w:gridCol w:w="2545"/>
              <w:gridCol w:w="1443"/>
              <w:gridCol w:w="3016"/>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3" w:hRule="atLeast"/>
                <w:jc w:val="center"/>
              </w:trPr>
              <w:tc>
                <w:tcPr>
                  <w:tcW w:w="606" w:type="pct"/>
                  <w:tcBorders>
                    <w:bottom w:val="single" w:color="000000"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sz w:val="21"/>
                      <w:szCs w:val="21"/>
                      <w:lang w:eastAsia="zh-CN"/>
                    </w:rPr>
                  </w:pPr>
                  <w:r>
                    <w:rPr>
                      <w:rFonts w:hint="default" w:ascii="Times New Roman" w:hAnsi="Times New Roman" w:cs="Times New Roman"/>
                      <w:b/>
                      <w:bCs/>
                      <w:sz w:val="21"/>
                      <w:szCs w:val="21"/>
                      <w:lang w:eastAsia="zh-CN"/>
                    </w:rPr>
                    <w:t>监测点位</w:t>
                  </w:r>
                </w:p>
              </w:tc>
              <w:tc>
                <w:tcPr>
                  <w:tcW w:w="1596" w:type="pct"/>
                  <w:tcBorders>
                    <w:bottom w:val="single" w:color="000000" w:sz="12" w:space="0"/>
                  </w:tcBorders>
                  <w:noWrap w:val="0"/>
                  <w:vAlign w:val="center"/>
                </w:tcPr>
                <w:p>
                  <w:pPr>
                    <w:pStyle w:val="44"/>
                    <w:keepNext w:val="0"/>
                    <w:keepLines w:val="0"/>
                    <w:pageBreakBefore w:val="0"/>
                    <w:widowControl w:val="0"/>
                    <w:suppressLineNumbers w:val="0"/>
                    <w:kinsoku/>
                    <w:wordWrap/>
                    <w:overflowPunct/>
                    <w:topLinePunct w:val="0"/>
                    <w:autoSpaceDE/>
                    <w:autoSpaceDN/>
                    <w:bidi w:val="0"/>
                    <w:adjustRightInd w:val="0"/>
                    <w:snapToGrid w:val="0"/>
                    <w:spacing w:before="6" w:beforeAutospacing="0" w:after="0" w:afterAutospacing="0" w:line="240" w:lineRule="auto"/>
                    <w:ind w:left="72" w:right="42" w:firstLine="0" w:firstLineChars="0"/>
                    <w:jc w:val="center"/>
                    <w:textAlignment w:val="auto"/>
                    <w:rPr>
                      <w:rFonts w:hint="default" w:ascii="Times New Roman" w:hAnsi="Times New Roman" w:cs="Times New Roman"/>
                      <w:b/>
                      <w:bCs/>
                      <w:sz w:val="21"/>
                      <w:szCs w:val="21"/>
                    </w:rPr>
                  </w:pPr>
                  <w:r>
                    <w:rPr>
                      <w:rFonts w:hint="default" w:ascii="Times New Roman" w:hAnsi="Times New Roman" w:cs="Times New Roman"/>
                      <w:b/>
                      <w:bCs/>
                      <w:sz w:val="21"/>
                      <w:szCs w:val="21"/>
                    </w:rPr>
                    <w:t>监测项目</w:t>
                  </w:r>
                </w:p>
              </w:tc>
              <w:tc>
                <w:tcPr>
                  <w:tcW w:w="905" w:type="pct"/>
                  <w:tcBorders>
                    <w:bottom w:val="single" w:color="000000" w:sz="12" w:space="0"/>
                  </w:tcBorders>
                  <w:noWrap w:val="0"/>
                  <w:vAlign w:val="center"/>
                </w:tcPr>
                <w:p>
                  <w:pPr>
                    <w:pStyle w:val="44"/>
                    <w:keepNext w:val="0"/>
                    <w:keepLines w:val="0"/>
                    <w:pageBreakBefore w:val="0"/>
                    <w:widowControl w:val="0"/>
                    <w:suppressLineNumbers w:val="0"/>
                    <w:kinsoku/>
                    <w:wordWrap/>
                    <w:overflowPunct/>
                    <w:topLinePunct w:val="0"/>
                    <w:autoSpaceDE/>
                    <w:autoSpaceDN/>
                    <w:bidi w:val="0"/>
                    <w:adjustRightInd w:val="0"/>
                    <w:snapToGrid w:val="0"/>
                    <w:spacing w:before="6" w:beforeAutospacing="0" w:after="0" w:afterAutospacing="0" w:line="240" w:lineRule="auto"/>
                    <w:ind w:left="53" w:right="27" w:firstLine="0" w:firstLineChars="0"/>
                    <w:jc w:val="center"/>
                    <w:textAlignment w:val="auto"/>
                    <w:rPr>
                      <w:rFonts w:hint="default" w:ascii="Times New Roman" w:hAnsi="Times New Roman" w:cs="Times New Roman"/>
                      <w:b/>
                      <w:bCs/>
                      <w:sz w:val="21"/>
                      <w:szCs w:val="21"/>
                    </w:rPr>
                  </w:pPr>
                  <w:r>
                    <w:rPr>
                      <w:rFonts w:hint="default" w:ascii="Times New Roman" w:hAnsi="Times New Roman" w:cs="Times New Roman"/>
                      <w:b/>
                      <w:bCs/>
                      <w:sz w:val="21"/>
                      <w:szCs w:val="21"/>
                    </w:rPr>
                    <w:t>监测频率</w:t>
                  </w:r>
                </w:p>
              </w:tc>
              <w:tc>
                <w:tcPr>
                  <w:tcW w:w="1891" w:type="pct"/>
                  <w:tcBorders>
                    <w:bottom w:val="single" w:color="000000" w:sz="12" w:space="0"/>
                  </w:tcBorders>
                  <w:noWrap w:val="0"/>
                  <w:vAlign w:val="center"/>
                </w:tcPr>
                <w:p>
                  <w:pPr>
                    <w:pStyle w:val="44"/>
                    <w:keepNext w:val="0"/>
                    <w:keepLines w:val="0"/>
                    <w:pageBreakBefore w:val="0"/>
                    <w:widowControl w:val="0"/>
                    <w:suppressLineNumbers w:val="0"/>
                    <w:kinsoku/>
                    <w:wordWrap/>
                    <w:overflowPunct/>
                    <w:topLinePunct w:val="0"/>
                    <w:autoSpaceDE/>
                    <w:autoSpaceDN/>
                    <w:bidi w:val="0"/>
                    <w:adjustRightInd w:val="0"/>
                    <w:snapToGrid w:val="0"/>
                    <w:spacing w:before="6" w:beforeAutospacing="0" w:after="0" w:afterAutospacing="0" w:line="240" w:lineRule="auto"/>
                    <w:ind w:left="63" w:right="38" w:firstLine="0" w:firstLineChars="0"/>
                    <w:jc w:val="center"/>
                    <w:textAlignment w:val="auto"/>
                    <w:rPr>
                      <w:rFonts w:hint="default" w:ascii="Times New Roman" w:hAnsi="Times New Roman" w:cs="Times New Roman"/>
                      <w:b/>
                      <w:bCs/>
                      <w:sz w:val="21"/>
                      <w:szCs w:val="21"/>
                    </w:rPr>
                  </w:pPr>
                  <w:r>
                    <w:rPr>
                      <w:rFonts w:hint="default" w:ascii="Times New Roman" w:hAnsi="Times New Roman" w:cs="Times New Roman"/>
                      <w:b/>
                      <w:bCs/>
                      <w:sz w:val="21"/>
                      <w:szCs w:val="21"/>
                    </w:rPr>
                    <w:t>排放标准</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334" w:hRule="atLeast"/>
                <w:jc w:val="center"/>
              </w:trPr>
              <w:tc>
                <w:tcPr>
                  <w:tcW w:w="606" w:type="pct"/>
                  <w:tcBorders>
                    <w:top w:val="single" w:color="000000" w:sz="12" w:space="0"/>
                    <w:tl2br w:val="nil"/>
                    <w:tr2bl w:val="nil"/>
                  </w:tcBorders>
                  <w:noWrap w:val="0"/>
                  <w:vAlign w:val="center"/>
                </w:tcPr>
                <w:p>
                  <w:pPr>
                    <w:pStyle w:val="44"/>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废水处理设备排口</w:t>
                  </w:r>
                </w:p>
              </w:tc>
              <w:tc>
                <w:tcPr>
                  <w:tcW w:w="1596" w:type="pct"/>
                  <w:tcBorders>
                    <w:top w:val="single" w:color="000000" w:sz="12" w:space="0"/>
                    <w:tl2br w:val="nil"/>
                    <w:tr2bl w:val="nil"/>
                  </w:tcBorders>
                  <w:noWrap w:val="0"/>
                  <w:vAlign w:val="center"/>
                </w:tcPr>
                <w:p>
                  <w:pPr>
                    <w:pStyle w:val="44"/>
                    <w:keepNext w:val="0"/>
                    <w:keepLines w:val="0"/>
                    <w:pageBreakBefore w:val="0"/>
                    <w:widowControl w:val="0"/>
                    <w:suppressLineNumbers w:val="0"/>
                    <w:kinsoku/>
                    <w:wordWrap/>
                    <w:overflowPunct/>
                    <w:topLinePunct w:val="0"/>
                    <w:autoSpaceDE/>
                    <w:autoSpaceDN/>
                    <w:bidi w:val="0"/>
                    <w:adjustRightInd w:val="0"/>
                    <w:snapToGrid w:val="0"/>
                    <w:spacing w:before="15" w:beforeAutospacing="0" w:after="0" w:afterAutospacing="0" w:line="240" w:lineRule="auto"/>
                    <w:ind w:left="72" w:right="41"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pH</w:t>
                  </w:r>
                  <w:r>
                    <w:rPr>
                      <w:rFonts w:hint="eastAsia" w:ascii="Times New Roman" w:hAnsi="Times New Roman" w:cs="Times New Roman"/>
                      <w:sz w:val="21"/>
                      <w:szCs w:val="21"/>
                      <w:lang w:eastAsia="zh-CN"/>
                    </w:rPr>
                    <w:t>、</w:t>
                  </w:r>
                  <w:r>
                    <w:rPr>
                      <w:rFonts w:hint="default" w:ascii="Times New Roman" w:hAnsi="Times New Roman" w:eastAsia="Times New Roman" w:cs="Times New Roman"/>
                      <w:sz w:val="21"/>
                      <w:szCs w:val="21"/>
                    </w:rPr>
                    <w:t>COD</w:t>
                  </w:r>
                  <w:r>
                    <w:rPr>
                      <w:rFonts w:hint="default" w:ascii="Times New Roman" w:hAnsi="Times New Roman" w:cs="Times New Roman"/>
                      <w:sz w:val="21"/>
                      <w:szCs w:val="21"/>
                    </w:rPr>
                    <w:t>、</w:t>
                  </w:r>
                  <w:r>
                    <w:rPr>
                      <w:rFonts w:hint="default" w:ascii="Times New Roman" w:hAnsi="Times New Roman" w:eastAsia="Times New Roman" w:cs="Times New Roman"/>
                      <w:sz w:val="21"/>
                      <w:szCs w:val="21"/>
                    </w:rPr>
                    <w:t>SS</w:t>
                  </w:r>
                  <w:r>
                    <w:rPr>
                      <w:rFonts w:hint="eastAsia" w:ascii="Times New Roman" w:hAnsi="Times New Roman" w:eastAsia="宋体" w:cs="Times New Roman"/>
                      <w:sz w:val="21"/>
                      <w:szCs w:val="21"/>
                      <w:lang w:eastAsia="zh-CN"/>
                    </w:rPr>
                    <w:t>、</w:t>
                  </w:r>
                  <w:r>
                    <w:rPr>
                      <w:rFonts w:hint="eastAsia" w:ascii="Times New Roman" w:hAnsi="Times New Roman" w:eastAsia="宋体" w:cs="Times New Roman"/>
                      <w:sz w:val="21"/>
                      <w:szCs w:val="21"/>
                      <w:lang w:val="en-US" w:eastAsia="zh-CN"/>
                    </w:rPr>
                    <w:t>BOD</w:t>
                  </w:r>
                  <w:r>
                    <w:rPr>
                      <w:rFonts w:hint="eastAsia" w:ascii="Times New Roman" w:hAnsi="Times New Roman" w:eastAsia="宋体" w:cs="Times New Roman"/>
                      <w:sz w:val="21"/>
                      <w:szCs w:val="21"/>
                      <w:vertAlign w:val="subscript"/>
                      <w:lang w:val="en-US" w:eastAsia="zh-CN"/>
                    </w:rPr>
                    <w:t>5</w:t>
                  </w:r>
                </w:p>
                <w:p>
                  <w:pPr>
                    <w:pStyle w:val="44"/>
                    <w:keepNext w:val="0"/>
                    <w:keepLines w:val="0"/>
                    <w:pageBreakBefore w:val="0"/>
                    <w:widowControl w:val="0"/>
                    <w:suppressLineNumbers w:val="0"/>
                    <w:kinsoku/>
                    <w:wordWrap/>
                    <w:overflowPunct/>
                    <w:topLinePunct w:val="0"/>
                    <w:autoSpaceDE/>
                    <w:autoSpaceDN/>
                    <w:bidi w:val="0"/>
                    <w:adjustRightInd w:val="0"/>
                    <w:snapToGrid w:val="0"/>
                    <w:spacing w:before="1" w:beforeAutospacing="0" w:after="0" w:afterAutospacing="0" w:line="240" w:lineRule="auto"/>
                    <w:ind w:left="71" w:right="42"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粪</w:t>
                  </w:r>
                  <w:r>
                    <w:rPr>
                      <w:rFonts w:hint="default" w:ascii="Times New Roman" w:hAnsi="Times New Roman" w:cs="Times New Roman"/>
                      <w:sz w:val="21"/>
                      <w:szCs w:val="21"/>
                    </w:rPr>
                    <w:t>大肠菌群</w:t>
                  </w:r>
                  <w:r>
                    <w:rPr>
                      <w:rFonts w:hint="eastAsia"/>
                      <w:sz w:val="21"/>
                      <w:szCs w:val="21"/>
                      <w:lang w:val="en-US" w:eastAsia="zh-CN"/>
                    </w:rPr>
                    <w:t>数</w:t>
                  </w:r>
                  <w:r>
                    <w:rPr>
                      <w:rFonts w:hint="eastAsia" w:ascii="Times New Roman" w:hAnsi="Times New Roman" w:cs="Times New Roman"/>
                      <w:sz w:val="21"/>
                      <w:szCs w:val="21"/>
                      <w:lang w:val="en-US" w:eastAsia="zh-CN"/>
                    </w:rPr>
                    <w:t>、总余氯</w:t>
                  </w:r>
                </w:p>
              </w:tc>
              <w:tc>
                <w:tcPr>
                  <w:tcW w:w="905" w:type="pct"/>
                  <w:tcBorders>
                    <w:top w:val="single" w:color="000000" w:sz="12" w:space="0"/>
                    <w:tl2br w:val="nil"/>
                    <w:tr2bl w:val="nil"/>
                  </w:tcBorders>
                  <w:noWrap w:val="0"/>
                  <w:vAlign w:val="center"/>
                </w:tcPr>
                <w:p>
                  <w:pPr>
                    <w:pStyle w:val="44"/>
                    <w:keepNext w:val="0"/>
                    <w:keepLines w:val="0"/>
                    <w:pageBreakBefore w:val="0"/>
                    <w:widowControl w:val="0"/>
                    <w:suppressLineNumbers w:val="0"/>
                    <w:kinsoku/>
                    <w:wordWrap/>
                    <w:overflowPunct/>
                    <w:topLinePunct w:val="0"/>
                    <w:autoSpaceDE/>
                    <w:autoSpaceDN/>
                    <w:bidi w:val="0"/>
                    <w:adjustRightInd w:val="0"/>
                    <w:snapToGrid w:val="0"/>
                    <w:spacing w:before="1" w:beforeAutospacing="0" w:after="0" w:afterAutospacing="0" w:line="240" w:lineRule="auto"/>
                    <w:ind w:left="54" w:right="27"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1次/年</w:t>
                  </w:r>
                </w:p>
              </w:tc>
              <w:tc>
                <w:tcPr>
                  <w:tcW w:w="1891" w:type="pct"/>
                  <w:tcBorders>
                    <w:top w:val="single" w:color="000000" w:sz="12" w:space="0"/>
                    <w:tl2br w:val="nil"/>
                    <w:tr2bl w:val="nil"/>
                  </w:tcBorders>
                  <w:noWrap w:val="0"/>
                  <w:vAlign w:val="center"/>
                </w:tcPr>
                <w:p>
                  <w:pPr>
                    <w:pStyle w:val="44"/>
                    <w:keepNext w:val="0"/>
                    <w:keepLines w:val="0"/>
                    <w:pageBreakBefore w:val="0"/>
                    <w:widowControl w:val="0"/>
                    <w:suppressLineNumbers w:val="0"/>
                    <w:kinsoku/>
                    <w:wordWrap/>
                    <w:overflowPunct/>
                    <w:topLinePunct w:val="0"/>
                    <w:autoSpaceDE/>
                    <w:autoSpaceDN/>
                    <w:bidi w:val="0"/>
                    <w:adjustRightInd w:val="0"/>
                    <w:snapToGrid w:val="0"/>
                    <w:spacing w:before="4" w:beforeAutospacing="0" w:after="0" w:afterAutospacing="0" w:line="240" w:lineRule="auto"/>
                    <w:ind w:left="63" w:right="35" w:firstLine="0" w:firstLineChars="0"/>
                    <w:jc w:val="center"/>
                    <w:textAlignment w:val="auto"/>
                    <w:rPr>
                      <w:rFonts w:hint="default" w:ascii="Times New Roman" w:hAnsi="Times New Roman" w:cs="Times New Roman"/>
                      <w:color w:val="00B050"/>
                      <w:sz w:val="21"/>
                      <w:szCs w:val="21"/>
                      <w:lang w:val="en-US"/>
                    </w:rPr>
                  </w:pPr>
                  <w:r>
                    <w:rPr>
                      <w:rFonts w:hint="default" w:ascii="Times New Roman" w:hAnsi="Times New Roman" w:cs="Times New Roman"/>
                      <w:color w:val="auto"/>
                      <w:sz w:val="21"/>
                      <w:szCs w:val="21"/>
                    </w:rPr>
                    <w:t>《医疗机构水污染物排放标准》（</w:t>
                  </w:r>
                  <w:r>
                    <w:rPr>
                      <w:rFonts w:hint="default" w:ascii="Times New Roman" w:hAnsi="Times New Roman" w:eastAsia="Times New Roman" w:cs="Times New Roman"/>
                      <w:color w:val="auto"/>
                      <w:sz w:val="21"/>
                      <w:szCs w:val="21"/>
                    </w:rPr>
                    <w:t>GB18466-2005</w:t>
                  </w:r>
                  <w:r>
                    <w:rPr>
                      <w:rFonts w:hint="default" w:ascii="Times New Roman" w:hAnsi="Times New Roman" w:cs="Times New Roman"/>
                      <w:color w:val="auto"/>
                      <w:sz w:val="21"/>
                      <w:szCs w:val="21"/>
                    </w:rPr>
                    <w:t>）</w:t>
                  </w:r>
                  <w:r>
                    <w:rPr>
                      <w:rFonts w:hint="default" w:ascii="Times New Roman" w:hAnsi="Times New Roman" w:cs="Times New Roman"/>
                      <w:color w:val="auto"/>
                      <w:sz w:val="21"/>
                      <w:szCs w:val="21"/>
                      <w:lang w:eastAsia="zh-CN"/>
                    </w:rPr>
                    <w:t>表</w:t>
                  </w:r>
                  <w:r>
                    <w:rPr>
                      <w:rFonts w:hint="default" w:ascii="Times New Roman" w:hAnsi="Times New Roman" w:cs="Times New Roman"/>
                      <w:color w:val="auto"/>
                      <w:sz w:val="21"/>
                      <w:szCs w:val="21"/>
                      <w:lang w:val="en-US" w:eastAsia="zh-CN"/>
                    </w:rPr>
                    <w:t>2中预处理标准</w:t>
                  </w:r>
                  <w:r>
                    <w:rPr>
                      <w:rFonts w:hint="eastAsia" w:ascii="Times New Roman" w:hAnsi="Times New Roman" w:cs="Times New Roman"/>
                      <w:color w:val="auto"/>
                      <w:sz w:val="21"/>
                      <w:szCs w:val="21"/>
                      <w:lang w:val="en-US" w:eastAsia="zh-CN"/>
                    </w:rPr>
                    <w:t>限值</w:t>
                  </w:r>
                </w:p>
              </w:tc>
            </w:tr>
          </w:tbl>
          <w:p>
            <w:pPr>
              <w:numPr>
                <w:ilvl w:val="0"/>
                <w:numId w:val="0"/>
              </w:num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4.2.3</w:t>
            </w:r>
            <w:r>
              <w:rPr>
                <w:rFonts w:hint="eastAsia" w:cs="Times New Roman"/>
                <w:b/>
                <w:bCs/>
                <w:color w:val="000000" w:themeColor="text1"/>
                <w:kern w:val="2"/>
                <w:sz w:val="24"/>
                <w:szCs w:val="24"/>
                <w:lang w:val="en-US" w:eastAsia="zh-CN" w:bidi="ar-SA"/>
                <w14:textFill>
                  <w14:solidFill>
                    <w14:schemeClr w14:val="tx1"/>
                  </w14:solidFill>
                </w14:textFill>
              </w:rPr>
              <w:t>噪声</w:t>
            </w:r>
          </w:p>
          <w:p>
            <w:pPr>
              <w:numPr>
                <w:ilvl w:val="0"/>
                <w:numId w:val="0"/>
              </w:num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4.2.3.1 噪声源</w:t>
            </w:r>
            <w:r>
              <w:rPr>
                <w:rFonts w:hint="eastAsia" w:cs="Times New Roman"/>
                <w:b/>
                <w:bCs/>
                <w:color w:val="000000" w:themeColor="text1"/>
                <w:kern w:val="2"/>
                <w:sz w:val="24"/>
                <w:szCs w:val="24"/>
                <w:lang w:val="en-US" w:eastAsia="zh-CN" w:bidi="ar-SA"/>
                <w14:textFill>
                  <w14:solidFill>
                    <w14:schemeClr w14:val="tx1"/>
                  </w14:solidFill>
                </w14:textFill>
              </w:rPr>
              <w:t>强</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分析</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auto"/>
                <w:sz w:val="24"/>
                <w:szCs w:val="24"/>
                <w:highlight w:val="none"/>
                <w:lang w:val="en-US" w:eastAsia="zh-CN"/>
              </w:rPr>
            </w:pPr>
            <w:bookmarkStart w:id="22" w:name="_Hlk81666350"/>
            <w:r>
              <w:rPr>
                <w:rFonts w:hint="eastAsia" w:ascii="Times New Roman" w:hAnsi="Times New Roman" w:eastAsia="宋体" w:cs="Times New Roman"/>
                <w:color w:val="auto"/>
                <w:sz w:val="24"/>
                <w:szCs w:val="24"/>
                <w:highlight w:val="none"/>
                <w:lang w:val="en-US" w:eastAsia="zh-CN"/>
              </w:rPr>
              <w:t>目主要设备为常用医疗设备，运行过程中基本无噪声产生，宠物诊疗废水处理装置噪声很小，可忽略不计。宠物就诊后病情轻者可直接离开，病情严重的宠物需安排住院观察，主要噪声为宠物叫声，偶发性宠物叫声，具有不定时性和突发性，噪声值约为60-70dB</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A</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，持续时间较短。主要噪声源强情况详见下表。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2" w:firstLineChars="200"/>
              <w:jc w:val="both"/>
              <w:textAlignment w:val="auto"/>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表</w:t>
            </w:r>
            <w:r>
              <w:rPr>
                <w:rFonts w:hint="eastAsia" w:cs="Times New Roman"/>
                <w:b/>
                <w:bCs/>
                <w:color w:val="000000" w:themeColor="text1"/>
                <w:kern w:val="2"/>
                <w:sz w:val="21"/>
                <w:szCs w:val="21"/>
                <w:highlight w:val="none"/>
                <w:lang w:val="en-US" w:eastAsia="zh-CN" w:bidi="ar-SA"/>
                <w14:textFill>
                  <w14:solidFill>
                    <w14:schemeClr w14:val="tx1"/>
                  </w14:solidFill>
                </w14:textFill>
              </w:rPr>
              <w:t>4-5</w:t>
            </w: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 xml:space="preserve">   </w:t>
            </w:r>
            <w:r>
              <w:rPr>
                <w:rFonts w:hint="eastAsia" w:cs="Times New Roman"/>
                <w:b/>
                <w:bCs/>
                <w:color w:val="000000" w:themeColor="text1"/>
                <w:kern w:val="2"/>
                <w:sz w:val="21"/>
                <w:szCs w:val="21"/>
                <w:highlight w:val="none"/>
                <w:lang w:val="en-US" w:eastAsia="zh-CN" w:bidi="ar-SA"/>
                <w14:textFill>
                  <w14:solidFill>
                    <w14:schemeClr w14:val="tx1"/>
                  </w14:solidFill>
                </w14:textFill>
              </w:rPr>
              <w:t xml:space="preserve">  </w:t>
            </w: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 xml:space="preserve">工业企业噪声源强调查清单（室内声源）    </w:t>
            </w:r>
            <w:r>
              <w:rPr>
                <w:rFonts w:hint="eastAsia"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 xml:space="preserve">    </w:t>
            </w: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 xml:space="preserve">  单位：dB（A）</w:t>
            </w:r>
          </w:p>
          <w:tbl>
            <w:tblPr>
              <w:tblStyle w:val="29"/>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379"/>
              <w:gridCol w:w="379"/>
              <w:gridCol w:w="518"/>
              <w:gridCol w:w="382"/>
              <w:gridCol w:w="312"/>
              <w:gridCol w:w="309"/>
              <w:gridCol w:w="240"/>
              <w:gridCol w:w="326"/>
              <w:gridCol w:w="236"/>
              <w:gridCol w:w="236"/>
              <w:gridCol w:w="236"/>
              <w:gridCol w:w="323"/>
              <w:gridCol w:w="323"/>
              <w:gridCol w:w="323"/>
              <w:gridCol w:w="323"/>
              <w:gridCol w:w="379"/>
              <w:gridCol w:w="323"/>
              <w:gridCol w:w="323"/>
              <w:gridCol w:w="323"/>
              <w:gridCol w:w="323"/>
              <w:gridCol w:w="321"/>
              <w:gridCol w:w="321"/>
              <w:gridCol w:w="321"/>
              <w:gridCol w:w="321"/>
              <w:gridCol w:w="17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93" w:hRule="exact"/>
                <w:jc w:val="center"/>
              </w:trPr>
              <w:tc>
                <w:tcPr>
                  <w:tcW w:w="239"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建筑物名称</w:t>
                  </w:r>
                </w:p>
              </w:tc>
              <w:tc>
                <w:tcPr>
                  <w:tcW w:w="239"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声源名称</w:t>
                  </w:r>
                </w:p>
              </w:tc>
              <w:tc>
                <w:tcPr>
                  <w:tcW w:w="328"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声源源强</w:t>
                  </w:r>
                </w:p>
              </w:tc>
              <w:tc>
                <w:tcPr>
                  <w:tcW w:w="241"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声源控制措施</w:t>
                  </w:r>
                </w:p>
              </w:tc>
              <w:tc>
                <w:tcPr>
                  <w:tcW w:w="489" w:type="pct"/>
                  <w:gridSpan w:val="3"/>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空间相对位置/m</w:t>
                  </w:r>
                </w:p>
              </w:tc>
              <w:tc>
                <w:tcPr>
                  <w:tcW w:w="654" w:type="pct"/>
                  <w:gridSpan w:val="4"/>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距室内边界距离/m</w:t>
                  </w:r>
                </w:p>
              </w:tc>
              <w:tc>
                <w:tcPr>
                  <w:tcW w:w="820" w:type="pct"/>
                  <w:gridSpan w:val="4"/>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室内边界声级/dB(A)</w:t>
                  </w:r>
                </w:p>
              </w:tc>
              <w:tc>
                <w:tcPr>
                  <w:tcW w:w="239"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运行时段</w:t>
                  </w:r>
                </w:p>
              </w:tc>
              <w:tc>
                <w:tcPr>
                  <w:tcW w:w="820" w:type="pct"/>
                  <w:gridSpan w:val="4"/>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建筑物插入损失 / dB(A)</w:t>
                  </w:r>
                </w:p>
              </w:tc>
              <w:tc>
                <w:tcPr>
                  <w:tcW w:w="925" w:type="pct"/>
                  <w:gridSpan w:val="5"/>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建筑物外噪声声压级/dB(A)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239" w:type="pct"/>
                  <w:vMerge w:val="continue"/>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eastAsia="zh-CN"/>
                    </w:rPr>
                  </w:pPr>
                </w:p>
              </w:tc>
              <w:tc>
                <w:tcPr>
                  <w:tcW w:w="239" w:type="pct"/>
                  <w:vMerge w:val="continue"/>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eastAsia="zh-CN"/>
                    </w:rPr>
                  </w:pPr>
                </w:p>
              </w:tc>
              <w:tc>
                <w:tcPr>
                  <w:tcW w:w="328"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声功率级/dB(A)</w:t>
                  </w:r>
                </w:p>
              </w:tc>
              <w:tc>
                <w:tcPr>
                  <w:tcW w:w="241" w:type="pct"/>
                  <w:vMerge w:val="continue"/>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eastAsia="zh-CN"/>
                    </w:rPr>
                  </w:pPr>
                </w:p>
              </w:tc>
              <w:tc>
                <w:tcPr>
                  <w:tcW w:w="186"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X</w:t>
                  </w:r>
                </w:p>
              </w:tc>
              <w:tc>
                <w:tcPr>
                  <w:tcW w:w="151"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Y</w:t>
                  </w:r>
                </w:p>
              </w:tc>
              <w:tc>
                <w:tcPr>
                  <w:tcW w:w="151"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Z</w:t>
                  </w:r>
                </w:p>
              </w:tc>
              <w:tc>
                <w:tcPr>
                  <w:tcW w:w="207"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val="en-US" w:eastAsia="zh-CN"/>
                    </w:rPr>
                    <w:t>东</w:t>
                  </w:r>
                </w:p>
              </w:tc>
              <w:tc>
                <w:tcPr>
                  <w:tcW w:w="149"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val="en-US" w:eastAsia="zh-CN"/>
                    </w:rPr>
                    <w:t>南</w:t>
                  </w:r>
                </w:p>
              </w:tc>
              <w:tc>
                <w:tcPr>
                  <w:tcW w:w="149"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val="en-US" w:eastAsia="zh-CN"/>
                    </w:rPr>
                    <w:t>西</w:t>
                  </w:r>
                </w:p>
              </w:tc>
              <w:tc>
                <w:tcPr>
                  <w:tcW w:w="149"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val="en-US" w:eastAsia="zh-CN"/>
                    </w:rPr>
                    <w:t>北</w:t>
                  </w:r>
                </w:p>
              </w:tc>
              <w:tc>
                <w:tcPr>
                  <w:tcW w:w="205"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val="en-US" w:eastAsia="zh-CN"/>
                    </w:rPr>
                    <w:t>东</w:t>
                  </w:r>
                </w:p>
              </w:tc>
              <w:tc>
                <w:tcPr>
                  <w:tcW w:w="205"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val="en-US" w:eastAsia="zh-CN"/>
                    </w:rPr>
                    <w:t>南</w:t>
                  </w:r>
                </w:p>
              </w:tc>
              <w:tc>
                <w:tcPr>
                  <w:tcW w:w="205"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val="en-US" w:eastAsia="zh-CN"/>
                    </w:rPr>
                    <w:t>西</w:t>
                  </w:r>
                </w:p>
              </w:tc>
              <w:tc>
                <w:tcPr>
                  <w:tcW w:w="205"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val="en-US" w:eastAsia="zh-CN"/>
                    </w:rPr>
                    <w:t>北</w:t>
                  </w:r>
                </w:p>
              </w:tc>
              <w:tc>
                <w:tcPr>
                  <w:tcW w:w="239" w:type="pct"/>
                  <w:vMerge w:val="continue"/>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eastAsia="zh-CN"/>
                    </w:rPr>
                  </w:pPr>
                </w:p>
              </w:tc>
              <w:tc>
                <w:tcPr>
                  <w:tcW w:w="205"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val="en-US" w:eastAsia="zh-CN"/>
                    </w:rPr>
                    <w:t>东</w:t>
                  </w:r>
                </w:p>
              </w:tc>
              <w:tc>
                <w:tcPr>
                  <w:tcW w:w="205"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val="en-US" w:eastAsia="zh-CN"/>
                    </w:rPr>
                    <w:t>南</w:t>
                  </w:r>
                </w:p>
              </w:tc>
              <w:tc>
                <w:tcPr>
                  <w:tcW w:w="205"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val="en-US" w:eastAsia="zh-CN"/>
                    </w:rPr>
                    <w:t>西</w:t>
                  </w:r>
                </w:p>
              </w:tc>
              <w:tc>
                <w:tcPr>
                  <w:tcW w:w="205"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val="en-US" w:eastAsia="zh-CN"/>
                    </w:rPr>
                    <w:t>北</w:t>
                  </w:r>
                </w:p>
              </w:tc>
              <w:tc>
                <w:tcPr>
                  <w:tcW w:w="203"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val="en-US" w:eastAsia="zh-CN"/>
                    </w:rPr>
                    <w:t>东</w:t>
                  </w:r>
                </w:p>
              </w:tc>
              <w:tc>
                <w:tcPr>
                  <w:tcW w:w="203"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val="en-US" w:eastAsia="zh-CN"/>
                    </w:rPr>
                    <w:t>南</w:t>
                  </w:r>
                </w:p>
              </w:tc>
              <w:tc>
                <w:tcPr>
                  <w:tcW w:w="203"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val="en-US" w:eastAsia="zh-CN"/>
                    </w:rPr>
                    <w:t>西</w:t>
                  </w:r>
                </w:p>
              </w:tc>
              <w:tc>
                <w:tcPr>
                  <w:tcW w:w="203"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val="en-US" w:eastAsia="zh-CN"/>
                    </w:rPr>
                    <w:t>北</w:t>
                  </w:r>
                </w:p>
              </w:tc>
              <w:tc>
                <w:tcPr>
                  <w:tcW w:w="109"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建筑物外距离</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44" w:hRule="atLeast"/>
                <w:jc w:val="center"/>
              </w:trPr>
              <w:tc>
                <w:tcPr>
                  <w:tcW w:w="239"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宠物医院</w:t>
                  </w:r>
                </w:p>
              </w:tc>
              <w:tc>
                <w:tcPr>
                  <w:tcW w:w="239"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sz w:val="21"/>
                      <w:szCs w:val="21"/>
                    </w:rPr>
                    <w:t>动物叫声</w:t>
                  </w:r>
                </w:p>
              </w:tc>
              <w:tc>
                <w:tcPr>
                  <w:tcW w:w="328"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sz w:val="21"/>
                      <w:szCs w:val="21"/>
                    </w:rPr>
                    <w:t>70</w:t>
                  </w:r>
                </w:p>
              </w:tc>
              <w:tc>
                <w:tcPr>
                  <w:tcW w:w="241"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kern w:val="2"/>
                      <w:sz w:val="21"/>
                      <w:szCs w:val="21"/>
                      <w:lang w:val="en-US" w:eastAsia="zh-CN"/>
                    </w:rPr>
                    <w:t>合理喂食、隔离寄养、建筑隔声、距离衰减</w:t>
                  </w:r>
                </w:p>
              </w:tc>
              <w:tc>
                <w:tcPr>
                  <w:tcW w:w="186"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val="en-US" w:eastAsia="zh-CN"/>
                    </w:rPr>
                  </w:pPr>
                  <w:r>
                    <w:rPr>
                      <w:rFonts w:hint="eastAsia" w:cs="Times New Roman"/>
                      <w:kern w:val="2"/>
                      <w:sz w:val="21"/>
                      <w:szCs w:val="21"/>
                      <w:lang w:val="en-US" w:eastAsia="zh-CN"/>
                    </w:rPr>
                    <w:t>0.99</w:t>
                  </w:r>
                </w:p>
              </w:tc>
              <w:tc>
                <w:tcPr>
                  <w:tcW w:w="151"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val="en-US" w:eastAsia="zh-CN"/>
                    </w:rPr>
                  </w:pPr>
                  <w:r>
                    <w:rPr>
                      <w:rFonts w:hint="eastAsia" w:cs="Times New Roman"/>
                      <w:kern w:val="2"/>
                      <w:sz w:val="21"/>
                      <w:szCs w:val="21"/>
                      <w:lang w:val="en-US" w:eastAsia="zh-CN"/>
                    </w:rPr>
                    <w:t>0.16</w:t>
                  </w:r>
                </w:p>
              </w:tc>
              <w:tc>
                <w:tcPr>
                  <w:tcW w:w="151"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eastAsia="zh-CN"/>
                    </w:rPr>
                  </w:pPr>
                  <w:r>
                    <w:rPr>
                      <w:rFonts w:hint="default" w:ascii="Arial" w:hAnsi="Arial" w:eastAsia="Arial" w:cs="Arial"/>
                      <w:sz w:val="20"/>
                    </w:rPr>
                    <w:t>1.2</w:t>
                  </w:r>
                </w:p>
              </w:tc>
              <w:tc>
                <w:tcPr>
                  <w:tcW w:w="207"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eastAsia="zh-CN"/>
                    </w:rPr>
                  </w:pPr>
                  <w:r>
                    <w:rPr>
                      <w:rFonts w:hint="default" w:ascii="Arial" w:hAnsi="Arial" w:eastAsia="Arial" w:cs="Arial"/>
                      <w:sz w:val="20"/>
                    </w:rPr>
                    <w:t>10.1</w:t>
                  </w:r>
                </w:p>
              </w:tc>
              <w:tc>
                <w:tcPr>
                  <w:tcW w:w="149"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eastAsia="zh-CN"/>
                    </w:rPr>
                  </w:pPr>
                  <w:r>
                    <w:rPr>
                      <w:rFonts w:hint="default" w:ascii="Arial" w:hAnsi="Arial" w:eastAsia="Arial" w:cs="Arial"/>
                      <w:sz w:val="20"/>
                    </w:rPr>
                    <w:t>5.2</w:t>
                  </w:r>
                </w:p>
              </w:tc>
              <w:tc>
                <w:tcPr>
                  <w:tcW w:w="149"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eastAsia="zh-CN"/>
                    </w:rPr>
                  </w:pPr>
                  <w:r>
                    <w:rPr>
                      <w:rFonts w:hint="default" w:ascii="Arial" w:hAnsi="Arial" w:eastAsia="Arial" w:cs="Arial"/>
                      <w:sz w:val="20"/>
                    </w:rPr>
                    <w:t>4.6</w:t>
                  </w:r>
                </w:p>
              </w:tc>
              <w:tc>
                <w:tcPr>
                  <w:tcW w:w="149"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eastAsia="zh-CN"/>
                    </w:rPr>
                  </w:pPr>
                  <w:r>
                    <w:rPr>
                      <w:rFonts w:hint="default" w:ascii="Arial" w:hAnsi="Arial" w:eastAsia="Arial" w:cs="Arial"/>
                      <w:sz w:val="20"/>
                    </w:rPr>
                    <w:t>2.3</w:t>
                  </w:r>
                </w:p>
              </w:tc>
              <w:tc>
                <w:tcPr>
                  <w:tcW w:w="205"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eastAsia="zh-CN"/>
                    </w:rPr>
                  </w:pPr>
                  <w:r>
                    <w:rPr>
                      <w:rFonts w:hint="default" w:ascii="Arial" w:hAnsi="Arial" w:eastAsia="Arial" w:cs="Arial"/>
                      <w:sz w:val="20"/>
                    </w:rPr>
                    <w:t>59.4</w:t>
                  </w:r>
                </w:p>
              </w:tc>
              <w:tc>
                <w:tcPr>
                  <w:tcW w:w="205"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eastAsia="zh-CN"/>
                    </w:rPr>
                  </w:pPr>
                  <w:r>
                    <w:rPr>
                      <w:rFonts w:hint="default" w:ascii="Arial" w:hAnsi="Arial" w:eastAsia="Arial" w:cs="Arial"/>
                      <w:sz w:val="20"/>
                    </w:rPr>
                    <w:t>59.5</w:t>
                  </w:r>
                </w:p>
              </w:tc>
              <w:tc>
                <w:tcPr>
                  <w:tcW w:w="205"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eastAsia="zh-CN"/>
                    </w:rPr>
                  </w:pPr>
                  <w:r>
                    <w:rPr>
                      <w:rFonts w:hint="default" w:ascii="Arial" w:hAnsi="Arial" w:eastAsia="Arial" w:cs="Arial"/>
                      <w:sz w:val="20"/>
                    </w:rPr>
                    <w:t>59.6</w:t>
                  </w:r>
                </w:p>
              </w:tc>
              <w:tc>
                <w:tcPr>
                  <w:tcW w:w="205"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eastAsia="zh-CN"/>
                    </w:rPr>
                  </w:pPr>
                  <w:r>
                    <w:rPr>
                      <w:rFonts w:hint="default" w:ascii="Arial" w:hAnsi="Arial" w:eastAsia="Arial" w:cs="Arial"/>
                      <w:sz w:val="20"/>
                    </w:rPr>
                    <w:t>60.1</w:t>
                  </w:r>
                </w:p>
              </w:tc>
              <w:tc>
                <w:tcPr>
                  <w:tcW w:w="239"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val="en-US" w:eastAsia="zh-CN"/>
                    </w:rPr>
                  </w:pPr>
                  <w:r>
                    <w:rPr>
                      <w:rFonts w:hint="default" w:ascii="Times New Roman" w:hAnsi="Times New Roman" w:eastAsia="宋体" w:cs="Times New Roman"/>
                      <w:sz w:val="21"/>
                      <w:szCs w:val="21"/>
                      <w:lang w:val="en-US" w:eastAsia="zh-CN"/>
                    </w:rPr>
                    <w:t>全天</w:t>
                  </w:r>
                </w:p>
              </w:tc>
              <w:tc>
                <w:tcPr>
                  <w:tcW w:w="205"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eastAsia="zh-CN"/>
                    </w:rPr>
                  </w:pPr>
                  <w:r>
                    <w:rPr>
                      <w:rFonts w:hint="default" w:ascii="Arial" w:hAnsi="Arial" w:eastAsia="Arial" w:cs="Arial"/>
                      <w:sz w:val="20"/>
                    </w:rPr>
                    <w:t>25.0</w:t>
                  </w:r>
                </w:p>
              </w:tc>
              <w:tc>
                <w:tcPr>
                  <w:tcW w:w="205"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eastAsia="zh-CN"/>
                    </w:rPr>
                  </w:pPr>
                  <w:r>
                    <w:rPr>
                      <w:rFonts w:hint="default" w:ascii="Arial" w:hAnsi="Arial" w:eastAsia="Arial" w:cs="Arial"/>
                      <w:sz w:val="20"/>
                    </w:rPr>
                    <w:t>25.0</w:t>
                  </w:r>
                </w:p>
              </w:tc>
              <w:tc>
                <w:tcPr>
                  <w:tcW w:w="205"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eastAsia="zh-CN"/>
                    </w:rPr>
                  </w:pPr>
                  <w:r>
                    <w:rPr>
                      <w:rFonts w:hint="default" w:ascii="Arial" w:hAnsi="Arial" w:eastAsia="Arial" w:cs="Arial"/>
                      <w:sz w:val="20"/>
                    </w:rPr>
                    <w:t>25.0</w:t>
                  </w:r>
                </w:p>
              </w:tc>
              <w:tc>
                <w:tcPr>
                  <w:tcW w:w="205"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eastAsia="zh-CN"/>
                    </w:rPr>
                  </w:pPr>
                  <w:r>
                    <w:rPr>
                      <w:rFonts w:hint="default" w:ascii="Arial" w:hAnsi="Arial" w:eastAsia="Arial" w:cs="Arial"/>
                      <w:sz w:val="20"/>
                    </w:rPr>
                    <w:t>25.0</w:t>
                  </w:r>
                </w:p>
              </w:tc>
              <w:tc>
                <w:tcPr>
                  <w:tcW w:w="203"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eastAsia="zh-CN"/>
                    </w:rPr>
                  </w:pPr>
                  <w:r>
                    <w:rPr>
                      <w:rFonts w:hint="default" w:ascii="Arial" w:hAnsi="Arial" w:eastAsia="Arial" w:cs="Arial"/>
                      <w:sz w:val="20"/>
                    </w:rPr>
                    <w:t>34.4</w:t>
                  </w:r>
                </w:p>
              </w:tc>
              <w:tc>
                <w:tcPr>
                  <w:tcW w:w="203"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eastAsia="zh-CN"/>
                    </w:rPr>
                  </w:pPr>
                  <w:r>
                    <w:rPr>
                      <w:rFonts w:hint="default" w:ascii="Arial" w:hAnsi="Arial" w:eastAsia="Arial" w:cs="Arial"/>
                      <w:sz w:val="20"/>
                    </w:rPr>
                    <w:t>34.5</w:t>
                  </w:r>
                </w:p>
              </w:tc>
              <w:tc>
                <w:tcPr>
                  <w:tcW w:w="203"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eastAsia="zh-CN"/>
                    </w:rPr>
                  </w:pPr>
                  <w:r>
                    <w:rPr>
                      <w:rFonts w:hint="default" w:ascii="Arial" w:hAnsi="Arial" w:eastAsia="Arial" w:cs="Arial"/>
                      <w:sz w:val="20"/>
                    </w:rPr>
                    <w:t>34.6</w:t>
                  </w:r>
                </w:p>
              </w:tc>
              <w:tc>
                <w:tcPr>
                  <w:tcW w:w="203"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eastAsia="zh-CN"/>
                    </w:rPr>
                  </w:pPr>
                  <w:r>
                    <w:rPr>
                      <w:rFonts w:hint="default" w:ascii="Arial" w:hAnsi="Arial" w:eastAsia="Arial" w:cs="Arial"/>
                      <w:sz w:val="20"/>
                    </w:rPr>
                    <w:t>35.1</w:t>
                  </w:r>
                </w:p>
              </w:tc>
              <w:tc>
                <w:tcPr>
                  <w:tcW w:w="109" w:type="pct"/>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kern w:val="2"/>
                      <w:sz w:val="21"/>
                      <w:szCs w:val="21"/>
                      <w:lang w:eastAsia="zh-CN"/>
                    </w:rPr>
                  </w:pPr>
                  <w:r>
                    <w:rPr>
                      <w:rFonts w:hint="default" w:ascii="Arial" w:hAnsi="Arial" w:eastAsia="Arial" w:cs="Arial"/>
                      <w:sz w:val="20"/>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5000" w:type="pct"/>
                  <w:gridSpan w:val="25"/>
                  <w:tcBorders>
                    <w:tl2br w:val="nil"/>
                    <w:tr2bl w:val="nil"/>
                  </w:tcBorders>
                  <w:shd w:val="clear" w:color="auto" w:fill="auto"/>
                  <w:tcMar>
                    <w:top w:w="0" w:type="dxa"/>
                    <w:left w:w="0" w:type="dxa"/>
                    <w:bottom w:w="0" w:type="dxa"/>
                    <w:right w:w="0" w:type="dxa"/>
                  </w:tcMar>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Arial" w:hAnsi="Arial" w:eastAsia="Arial" w:cs="Arial"/>
                      <w:sz w:val="20"/>
                    </w:rPr>
                  </w:pPr>
                  <w:r>
                    <w:rPr>
                      <w:rFonts w:hint="default" w:ascii="Times New Roman" w:hAnsi="Times New Roman" w:eastAsia="宋体" w:cs="Times New Roman"/>
                      <w:kern w:val="2"/>
                      <w:sz w:val="21"/>
                      <w:szCs w:val="21"/>
                      <w:lang w:val="en-US" w:eastAsia="zh-CN"/>
                    </w:rPr>
                    <w:t>原点坐标为：</w:t>
                  </w:r>
                  <w:bookmarkStart w:id="23" w:name="PO_7"/>
                  <w:r>
                    <w:rPr>
                      <w:rFonts w:hint="default" w:ascii="Times New Roman" w:hAnsi="Times New Roman" w:eastAsia="宋体" w:cs="Times New Roman"/>
                      <w:kern w:val="2"/>
                      <w:sz w:val="21"/>
                      <w:szCs w:val="21"/>
                      <w:lang w:val="en-US" w:eastAsia="zh-CN"/>
                    </w:rPr>
                    <w:t>86.18113452</w:t>
                  </w:r>
                  <w:r>
                    <w:rPr>
                      <w:rFonts w:hint="eastAsia" w:cs="Times New Roman"/>
                      <w:kern w:val="2"/>
                      <w:sz w:val="21"/>
                      <w:szCs w:val="21"/>
                      <w:lang w:val="en-US" w:eastAsia="zh-CN"/>
                    </w:rPr>
                    <w:t>，</w:t>
                  </w:r>
                  <w:bookmarkEnd w:id="23"/>
                  <w:r>
                    <w:rPr>
                      <w:rFonts w:hint="default" w:ascii="Times New Roman" w:hAnsi="Times New Roman" w:eastAsia="宋体" w:cs="Times New Roman"/>
                      <w:kern w:val="2"/>
                      <w:sz w:val="21"/>
                      <w:szCs w:val="21"/>
                      <w:lang w:val="en-US" w:eastAsia="zh-CN"/>
                    </w:rPr>
                    <w:t>41.73046995</w:t>
                  </w:r>
                </w:p>
              </w:tc>
            </w:tr>
          </w:tbl>
          <w:p>
            <w:pPr>
              <w:numPr>
                <w:ilvl w:val="0"/>
                <w:numId w:val="0"/>
              </w:num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bookmarkStart w:id="24" w:name="_Hlk77537460"/>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3.2</w:t>
            </w: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预测模式选用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采用《环境影响评价技术导则</w:t>
            </w:r>
            <w:r>
              <w:rPr>
                <w:rFonts w:hint="eastAsia" w:cs="Times New Roman"/>
                <w:color w:val="000000" w:themeColor="text1"/>
                <w:kern w:val="2"/>
                <w:sz w:val="24"/>
                <w:szCs w:val="24"/>
                <w:highlight w:val="none"/>
                <w:lang w:val="en-US" w:eastAsia="zh-CN" w:bidi="ar-SA"/>
                <w14:textFill>
                  <w14:solidFill>
                    <w14:schemeClr w14:val="tx1"/>
                  </w14:solidFill>
                </w14:textFill>
              </w:rPr>
              <w:t xml:space="preserve"> 声</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环境》（HJ2.4-2021）中推荐的模式进行计算。</w:t>
            </w:r>
          </w:p>
          <w:p>
            <w:pPr>
              <w:numPr>
                <w:ilvl w:val="0"/>
                <w:numId w:val="0"/>
              </w:num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3.3</w:t>
            </w: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噪声影响分析及预测结果</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center"/>
              <w:textAlignment w:val="auto"/>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本</w:t>
            </w:r>
            <w:r>
              <w:rPr>
                <w:rFonts w:hint="eastAsia" w:ascii="Times New Roman" w:hAnsi="Times New Roman" w:cs="Times New Roman"/>
                <w:color w:val="000000" w:themeColor="text1"/>
                <w:kern w:val="0"/>
                <w:sz w:val="24"/>
                <w:szCs w:val="24"/>
                <w:highlight w:val="none"/>
                <w:lang w:val="en-US" w:eastAsia="zh-CN"/>
                <w14:textFill>
                  <w14:solidFill>
                    <w14:schemeClr w14:val="tx1"/>
                  </w14:solidFill>
                </w14:textFill>
              </w:rPr>
              <w:t>项目所有生产设备均布置在院区内部，投入使用后，生产设备噪声源采取减振、墙体隔声等措施，其噪声可得到有效控制</w:t>
            </w:r>
            <w:r>
              <w:rPr>
                <w:rFonts w:hint="eastAsia" w:cs="Times New Roman"/>
                <w:color w:val="000000" w:themeColor="text1"/>
                <w:kern w:val="0"/>
                <w:sz w:val="24"/>
                <w:szCs w:val="24"/>
                <w:highlight w:val="none"/>
                <w:lang w:val="en-US" w:eastAsia="zh-CN"/>
                <w14:textFill>
                  <w14:solidFill>
                    <w14:schemeClr w14:val="tx1"/>
                  </w14:solidFill>
                </w14:textFill>
              </w:rPr>
              <w:t>，</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预测结果见下表</w:t>
            </w:r>
            <w:r>
              <w:rPr>
                <w:rFonts w:hint="eastAsia" w:cs="Times New Roman"/>
                <w:color w:val="000000" w:themeColor="text1"/>
                <w:kern w:val="2"/>
                <w:sz w:val="24"/>
                <w:szCs w:val="24"/>
                <w:highlight w:val="none"/>
                <w:lang w:val="en-US" w:eastAsia="zh-CN" w:bidi="ar-SA"/>
                <w14:textFill>
                  <w14:solidFill>
                    <w14:schemeClr w14:val="tx1"/>
                  </w14:solidFill>
                </w14:textFill>
              </w:rPr>
              <w:t>4-6</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eastAsia" w:cs="Times New Roman"/>
                <w:color w:val="000000" w:themeColor="text1"/>
                <w:kern w:val="2"/>
                <w:sz w:val="24"/>
                <w:szCs w:val="24"/>
                <w:highlight w:val="none"/>
                <w:lang w:val="en-US" w:eastAsia="zh-CN" w:bidi="ar-SA"/>
                <w14:textFill>
                  <w14:solidFill>
                    <w14:schemeClr w14:val="tx1"/>
                  </w14:solidFill>
                </w14:textFill>
              </w:rPr>
              <w:t xml:space="preserve">   </w:t>
            </w:r>
            <w:r>
              <w:rPr>
                <w:rFonts w:hint="default" w:ascii="Times New Roman" w:hAnsi="Times New Roman" w:eastAsia="宋体" w:cs="Times New Roman"/>
                <w:b/>
                <w:bCs/>
                <w:color w:val="000000" w:themeColor="text1"/>
                <w:kern w:val="2"/>
                <w:sz w:val="21"/>
                <w:szCs w:val="21"/>
                <w:highlight w:val="none"/>
                <w:lang w:val="en-US" w:eastAsia="zh-CN" w:bidi="ar-SA"/>
                <w14:textFill>
                  <w14:solidFill>
                    <w14:schemeClr w14:val="tx1"/>
                  </w14:solidFill>
                </w14:textFill>
              </w:rPr>
              <w:t>表4-6           各厂界噪声预测结果                   单位：dB(A)</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05"/>
              <w:gridCol w:w="759"/>
              <w:gridCol w:w="759"/>
              <w:gridCol w:w="751"/>
              <w:gridCol w:w="909"/>
              <w:gridCol w:w="1351"/>
              <w:gridCol w:w="1353"/>
              <w:gridCol w:w="108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630"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预测方位</w:t>
                  </w:r>
                </w:p>
              </w:tc>
              <w:tc>
                <w:tcPr>
                  <w:tcW w:w="1423" w:type="pct"/>
                  <w:gridSpan w:val="3"/>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lang w:val="en-US" w:eastAsia="zh-CN"/>
                      <w14:textFill>
                        <w14:solidFill>
                          <w14:schemeClr w14:val="tx1"/>
                        </w14:solidFill>
                      </w14:textFill>
                    </w:rPr>
                    <w:t>最大值点</w:t>
                  </w:r>
                  <w:r>
                    <w:rPr>
                      <w:rFonts w:hint="default" w:ascii="Times New Roman" w:hAnsi="Times New Roman" w:eastAsia="宋体" w:cs="Times New Roman"/>
                      <w:b w:val="0"/>
                      <w:bCs/>
                      <w:color w:val="000000" w:themeColor="text1"/>
                      <w:sz w:val="21"/>
                      <w:szCs w:val="21"/>
                      <w14:textFill>
                        <w14:solidFill>
                          <w14:schemeClr w14:val="tx1"/>
                        </w14:solidFill>
                      </w14:textFill>
                    </w:rPr>
                    <w:t>空间相对位置/m</w:t>
                  </w:r>
                </w:p>
              </w:tc>
              <w:tc>
                <w:tcPr>
                  <w:tcW w:w="570"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时段</w:t>
                  </w:r>
                </w:p>
              </w:tc>
              <w:tc>
                <w:tcPr>
                  <w:tcW w:w="847"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贡献值（dB(A)）</w:t>
                  </w:r>
                </w:p>
              </w:tc>
              <w:tc>
                <w:tcPr>
                  <w:tcW w:w="848"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标准限值（dB(A)）</w:t>
                  </w:r>
                </w:p>
              </w:tc>
              <w:tc>
                <w:tcPr>
                  <w:tcW w:w="679"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color w:val="000000" w:themeColor="text1"/>
                      <w:sz w:val="21"/>
                      <w:szCs w:val="21"/>
                      <w14:textFill>
                        <w14:solidFill>
                          <w14:schemeClr w14:val="tx1"/>
                        </w14:solidFill>
                      </w14:textFill>
                    </w:rPr>
                  </w:pPr>
                  <w:r>
                    <w:rPr>
                      <w:rFonts w:hint="default" w:ascii="Times New Roman" w:hAnsi="Times New Roman" w:eastAsia="宋体" w:cs="Times New Roman"/>
                      <w:b w:val="0"/>
                      <w:bCs/>
                      <w:color w:val="000000" w:themeColor="text1"/>
                      <w:sz w:val="21"/>
                      <w:szCs w:val="21"/>
                      <w14:textFill>
                        <w14:solidFill>
                          <w14:schemeClr w14:val="tx1"/>
                        </w14:solidFill>
                      </w14:textFill>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630" w:type="pct"/>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47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X</w:t>
                  </w:r>
                </w:p>
              </w:tc>
              <w:tc>
                <w:tcPr>
                  <w:tcW w:w="47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Y</w:t>
                  </w:r>
                </w:p>
              </w:tc>
              <w:tc>
                <w:tcPr>
                  <w:tcW w:w="471"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Z</w:t>
                  </w:r>
                </w:p>
              </w:tc>
              <w:tc>
                <w:tcPr>
                  <w:tcW w:w="570" w:type="pct"/>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847" w:type="pct"/>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848" w:type="pct"/>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679" w:type="pct"/>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630"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东侧</w:t>
                  </w:r>
                </w:p>
              </w:tc>
              <w:tc>
                <w:tcPr>
                  <w:tcW w:w="47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17.47</w:t>
                  </w:r>
                </w:p>
              </w:tc>
              <w:tc>
                <w:tcPr>
                  <w:tcW w:w="47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-1.99</w:t>
                  </w:r>
                </w:p>
              </w:tc>
              <w:tc>
                <w:tcPr>
                  <w:tcW w:w="471"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1.2</w:t>
                  </w:r>
                </w:p>
              </w:tc>
              <w:tc>
                <w:tcPr>
                  <w:tcW w:w="57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昼间</w:t>
                  </w:r>
                </w:p>
              </w:tc>
              <w:tc>
                <w:tcPr>
                  <w:tcW w:w="84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22.33</w:t>
                  </w:r>
                </w:p>
              </w:tc>
              <w:tc>
                <w:tcPr>
                  <w:tcW w:w="848"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60</w:t>
                  </w:r>
                </w:p>
              </w:tc>
              <w:tc>
                <w:tcPr>
                  <w:tcW w:w="679"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3" w:hRule="atLeast"/>
                <w:jc w:val="center"/>
              </w:trPr>
              <w:tc>
                <w:tcPr>
                  <w:tcW w:w="630" w:type="pct"/>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东侧</w:t>
                  </w:r>
                </w:p>
              </w:tc>
              <w:tc>
                <w:tcPr>
                  <w:tcW w:w="47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17.47</w:t>
                  </w:r>
                </w:p>
              </w:tc>
              <w:tc>
                <w:tcPr>
                  <w:tcW w:w="47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-1.99</w:t>
                  </w:r>
                </w:p>
              </w:tc>
              <w:tc>
                <w:tcPr>
                  <w:tcW w:w="471"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1.2</w:t>
                  </w:r>
                </w:p>
              </w:tc>
              <w:tc>
                <w:tcPr>
                  <w:tcW w:w="57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夜间</w:t>
                  </w:r>
                </w:p>
              </w:tc>
              <w:tc>
                <w:tcPr>
                  <w:tcW w:w="84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22.33</w:t>
                  </w:r>
                </w:p>
              </w:tc>
              <w:tc>
                <w:tcPr>
                  <w:tcW w:w="848"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w:t>
                  </w:r>
                </w:p>
              </w:tc>
              <w:tc>
                <w:tcPr>
                  <w:tcW w:w="679"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0"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南侧</w:t>
                  </w:r>
                </w:p>
              </w:tc>
              <w:tc>
                <w:tcPr>
                  <w:tcW w:w="47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-0.06</w:t>
                  </w:r>
                </w:p>
              </w:tc>
              <w:tc>
                <w:tcPr>
                  <w:tcW w:w="47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-20.41</w:t>
                  </w:r>
                </w:p>
              </w:tc>
              <w:tc>
                <w:tcPr>
                  <w:tcW w:w="471"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1.2</w:t>
                  </w:r>
                </w:p>
              </w:tc>
              <w:tc>
                <w:tcPr>
                  <w:tcW w:w="57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昼间</w:t>
                  </w:r>
                </w:p>
              </w:tc>
              <w:tc>
                <w:tcPr>
                  <w:tcW w:w="84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21.82</w:t>
                  </w:r>
                </w:p>
              </w:tc>
              <w:tc>
                <w:tcPr>
                  <w:tcW w:w="848"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60</w:t>
                  </w:r>
                </w:p>
              </w:tc>
              <w:tc>
                <w:tcPr>
                  <w:tcW w:w="679"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0" w:type="pct"/>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南侧</w:t>
                  </w:r>
                </w:p>
              </w:tc>
              <w:tc>
                <w:tcPr>
                  <w:tcW w:w="47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-0.06</w:t>
                  </w:r>
                </w:p>
              </w:tc>
              <w:tc>
                <w:tcPr>
                  <w:tcW w:w="47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-20.41</w:t>
                  </w:r>
                </w:p>
              </w:tc>
              <w:tc>
                <w:tcPr>
                  <w:tcW w:w="471"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1.2</w:t>
                  </w:r>
                </w:p>
              </w:tc>
              <w:tc>
                <w:tcPr>
                  <w:tcW w:w="57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夜间</w:t>
                  </w:r>
                </w:p>
              </w:tc>
              <w:tc>
                <w:tcPr>
                  <w:tcW w:w="84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21.82</w:t>
                  </w:r>
                </w:p>
              </w:tc>
              <w:tc>
                <w:tcPr>
                  <w:tcW w:w="848"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50</w:t>
                  </w:r>
                </w:p>
              </w:tc>
              <w:tc>
                <w:tcPr>
                  <w:tcW w:w="679"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0"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西侧</w:t>
                  </w:r>
                </w:p>
              </w:tc>
              <w:tc>
                <w:tcPr>
                  <w:tcW w:w="47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-17.58</w:t>
                  </w:r>
                </w:p>
              </w:tc>
              <w:tc>
                <w:tcPr>
                  <w:tcW w:w="47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-4.23</w:t>
                  </w:r>
                </w:p>
              </w:tc>
              <w:tc>
                <w:tcPr>
                  <w:tcW w:w="471"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1.2</w:t>
                  </w:r>
                </w:p>
              </w:tc>
              <w:tc>
                <w:tcPr>
                  <w:tcW w:w="57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昼间</w:t>
                  </w:r>
                </w:p>
              </w:tc>
              <w:tc>
                <w:tcPr>
                  <w:tcW w:w="84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22.93</w:t>
                  </w:r>
                </w:p>
              </w:tc>
              <w:tc>
                <w:tcPr>
                  <w:tcW w:w="848"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60</w:t>
                  </w:r>
                </w:p>
              </w:tc>
              <w:tc>
                <w:tcPr>
                  <w:tcW w:w="679"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0" w:type="pct"/>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西侧</w:t>
                  </w:r>
                </w:p>
              </w:tc>
              <w:tc>
                <w:tcPr>
                  <w:tcW w:w="47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-17.58</w:t>
                  </w:r>
                </w:p>
              </w:tc>
              <w:tc>
                <w:tcPr>
                  <w:tcW w:w="47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-4.23</w:t>
                  </w:r>
                </w:p>
              </w:tc>
              <w:tc>
                <w:tcPr>
                  <w:tcW w:w="471"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1.2</w:t>
                  </w:r>
                </w:p>
              </w:tc>
              <w:tc>
                <w:tcPr>
                  <w:tcW w:w="57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夜间</w:t>
                  </w:r>
                </w:p>
              </w:tc>
              <w:tc>
                <w:tcPr>
                  <w:tcW w:w="84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22.93</w:t>
                  </w:r>
                </w:p>
              </w:tc>
              <w:tc>
                <w:tcPr>
                  <w:tcW w:w="848"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50</w:t>
                  </w:r>
                </w:p>
              </w:tc>
              <w:tc>
                <w:tcPr>
                  <w:tcW w:w="679"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0"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北侧</w:t>
                  </w:r>
                </w:p>
              </w:tc>
              <w:tc>
                <w:tcPr>
                  <w:tcW w:w="47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-1.40</w:t>
                  </w:r>
                </w:p>
              </w:tc>
              <w:tc>
                <w:tcPr>
                  <w:tcW w:w="47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16.44</w:t>
                  </w:r>
                </w:p>
              </w:tc>
              <w:tc>
                <w:tcPr>
                  <w:tcW w:w="471"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1.2</w:t>
                  </w:r>
                </w:p>
              </w:tc>
              <w:tc>
                <w:tcPr>
                  <w:tcW w:w="57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昼间</w:t>
                  </w:r>
                </w:p>
              </w:tc>
              <w:tc>
                <w:tcPr>
                  <w:tcW w:w="84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20.98</w:t>
                  </w:r>
                </w:p>
              </w:tc>
              <w:tc>
                <w:tcPr>
                  <w:tcW w:w="848"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w:t>
                  </w:r>
                  <w:r>
                    <w:rPr>
                      <w:rFonts w:hint="default" w:ascii="Times New Roman" w:hAnsi="Times New Roman" w:eastAsia="宋体" w:cs="Times New Roman"/>
                      <w:color w:val="000000" w:themeColor="text1"/>
                      <w:sz w:val="21"/>
                      <w:szCs w:val="21"/>
                      <w14:textFill>
                        <w14:solidFill>
                          <w14:schemeClr w14:val="tx1"/>
                        </w14:solidFill>
                      </w14:textFill>
                    </w:rPr>
                    <w:t>0</w:t>
                  </w:r>
                </w:p>
              </w:tc>
              <w:tc>
                <w:tcPr>
                  <w:tcW w:w="679"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630" w:type="pct"/>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北侧</w:t>
                  </w:r>
                </w:p>
              </w:tc>
              <w:tc>
                <w:tcPr>
                  <w:tcW w:w="47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-1.40</w:t>
                  </w:r>
                </w:p>
              </w:tc>
              <w:tc>
                <w:tcPr>
                  <w:tcW w:w="47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16.44</w:t>
                  </w:r>
                </w:p>
              </w:tc>
              <w:tc>
                <w:tcPr>
                  <w:tcW w:w="471"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1.2</w:t>
                  </w:r>
                </w:p>
              </w:tc>
              <w:tc>
                <w:tcPr>
                  <w:tcW w:w="57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夜间</w:t>
                  </w:r>
                </w:p>
              </w:tc>
              <w:tc>
                <w:tcPr>
                  <w:tcW w:w="84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rPr>
                    <w:t>22.93</w:t>
                  </w:r>
                </w:p>
              </w:tc>
              <w:tc>
                <w:tcPr>
                  <w:tcW w:w="848"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w:t>
                  </w:r>
                  <w:r>
                    <w:rPr>
                      <w:rFonts w:hint="eastAsia" w:cs="Times New Roman"/>
                      <w:color w:val="000000" w:themeColor="text1"/>
                      <w:sz w:val="21"/>
                      <w:szCs w:val="21"/>
                      <w:lang w:val="en-US" w:eastAsia="zh-CN"/>
                      <w14:textFill>
                        <w14:solidFill>
                          <w14:schemeClr w14:val="tx1"/>
                        </w14:solidFill>
                      </w14:textFill>
                    </w:rPr>
                    <w:t>5</w:t>
                  </w:r>
                </w:p>
              </w:tc>
              <w:tc>
                <w:tcPr>
                  <w:tcW w:w="679"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达标</w:t>
                  </w:r>
                </w:p>
              </w:tc>
            </w:tr>
          </w:tbl>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由上表可知，厂界</w:t>
            </w:r>
            <w:r>
              <w:rPr>
                <w:rFonts w:hint="eastAsia" w:cs="Times New Roman"/>
                <w:color w:val="auto"/>
                <w:sz w:val="24"/>
                <w:szCs w:val="24"/>
                <w:lang w:val="en-US" w:eastAsia="zh-CN"/>
              </w:rPr>
              <w:t>东侧、南侧、西侧</w:t>
            </w:r>
            <w:r>
              <w:rPr>
                <w:rFonts w:hint="default" w:ascii="Times New Roman" w:hAnsi="Times New Roman" w:eastAsia="宋体" w:cs="Times New Roman"/>
                <w:color w:val="auto"/>
                <w:sz w:val="24"/>
                <w:szCs w:val="24"/>
                <w:lang w:val="en-US" w:eastAsia="zh-CN"/>
              </w:rPr>
              <w:t>噪声贡献值均能满足《工业企业厂界环境噪声排放标准》（GB12348-2008）</w:t>
            </w:r>
            <w:r>
              <w:rPr>
                <w:rFonts w:hint="default" w:ascii="Times New Roman" w:hAnsi="Times New Roman"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类排放限值昼间≤6</w:t>
            </w:r>
            <w:r>
              <w:rPr>
                <w:rFonts w:hint="default" w:ascii="Times New Roman" w:hAnsi="Times New Roman" w:cs="Times New Roman"/>
                <w:color w:val="auto"/>
                <w:sz w:val="24"/>
                <w:szCs w:val="24"/>
                <w:lang w:val="en-US" w:eastAsia="zh-CN"/>
              </w:rPr>
              <w:t>0</w:t>
            </w:r>
            <w:r>
              <w:rPr>
                <w:rFonts w:hint="default" w:ascii="Times New Roman" w:hAnsi="Times New Roman" w:eastAsia="宋体" w:cs="Times New Roman"/>
                <w:color w:val="auto"/>
                <w:sz w:val="24"/>
                <w:szCs w:val="24"/>
                <w:lang w:val="en-US" w:eastAsia="zh-CN"/>
              </w:rPr>
              <w:t>dB(A)，夜间≤5</w:t>
            </w:r>
            <w:r>
              <w:rPr>
                <w:rFonts w:hint="default" w:ascii="Times New Roman" w:hAnsi="Times New Roman" w:cs="Times New Roman"/>
                <w:color w:val="auto"/>
                <w:sz w:val="24"/>
                <w:szCs w:val="24"/>
                <w:lang w:val="en-US" w:eastAsia="zh-CN"/>
              </w:rPr>
              <w:t>0</w:t>
            </w:r>
            <w:r>
              <w:rPr>
                <w:rFonts w:hint="default" w:ascii="Times New Roman" w:hAnsi="Times New Roman" w:eastAsia="宋体" w:cs="Times New Roman"/>
                <w:color w:val="auto"/>
                <w:sz w:val="24"/>
                <w:szCs w:val="24"/>
                <w:lang w:val="en-US" w:eastAsia="zh-CN"/>
              </w:rPr>
              <w:t>dB(A)要求</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厂界</w:t>
            </w:r>
            <w:r>
              <w:rPr>
                <w:rFonts w:hint="eastAsia" w:cs="Times New Roman"/>
                <w:color w:val="auto"/>
                <w:sz w:val="24"/>
                <w:szCs w:val="24"/>
                <w:lang w:val="en-US" w:eastAsia="zh-CN"/>
              </w:rPr>
              <w:t>北侧</w:t>
            </w:r>
            <w:r>
              <w:rPr>
                <w:rFonts w:hint="default" w:ascii="Times New Roman" w:hAnsi="Times New Roman" w:eastAsia="宋体" w:cs="Times New Roman"/>
                <w:color w:val="auto"/>
                <w:sz w:val="24"/>
                <w:szCs w:val="24"/>
                <w:lang w:val="en-US" w:eastAsia="zh-CN"/>
              </w:rPr>
              <w:t>噪声贡献值均能满足《工业企业厂界环境噪声排放标准》（GB12348-2008）</w:t>
            </w: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lang w:val="en-US" w:eastAsia="zh-CN"/>
              </w:rPr>
              <w:t>类排放限值昼间≤</w:t>
            </w:r>
            <w:r>
              <w:rPr>
                <w:rFonts w:hint="eastAsia" w:cs="Times New Roman"/>
                <w:color w:val="auto"/>
                <w:sz w:val="24"/>
                <w:szCs w:val="24"/>
                <w:lang w:val="en-US" w:eastAsia="zh-CN"/>
              </w:rPr>
              <w:t>7</w:t>
            </w:r>
            <w:r>
              <w:rPr>
                <w:rFonts w:hint="default" w:ascii="Times New Roman" w:hAnsi="Times New Roman" w:cs="Times New Roman"/>
                <w:color w:val="auto"/>
                <w:sz w:val="24"/>
                <w:szCs w:val="24"/>
                <w:lang w:val="en-US" w:eastAsia="zh-CN"/>
              </w:rPr>
              <w:t>0</w:t>
            </w:r>
            <w:r>
              <w:rPr>
                <w:rFonts w:hint="default" w:ascii="Times New Roman" w:hAnsi="Times New Roman" w:eastAsia="宋体" w:cs="Times New Roman"/>
                <w:color w:val="auto"/>
                <w:sz w:val="24"/>
                <w:szCs w:val="24"/>
                <w:lang w:val="en-US" w:eastAsia="zh-CN"/>
              </w:rPr>
              <w:t>dB(A)，夜间≤5</w:t>
            </w:r>
            <w:r>
              <w:rPr>
                <w:rFonts w:hint="eastAsia" w:cs="Times New Roman"/>
                <w:color w:val="auto"/>
                <w:sz w:val="24"/>
                <w:szCs w:val="24"/>
                <w:lang w:val="en-US" w:eastAsia="zh-CN"/>
              </w:rPr>
              <w:t>5</w:t>
            </w:r>
            <w:r>
              <w:rPr>
                <w:rFonts w:hint="default" w:ascii="Times New Roman" w:hAnsi="Times New Roman" w:eastAsia="宋体" w:cs="Times New Roman"/>
                <w:color w:val="auto"/>
                <w:sz w:val="24"/>
                <w:szCs w:val="24"/>
                <w:lang w:val="en-US" w:eastAsia="zh-CN"/>
              </w:rPr>
              <w:t>dB(A)要求。根据预测结果，本项目运营后产生的噪声对周围环境的影响不大。</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综上所述，建设项目噪声排放对周围的环境影响较小，噪声防治措施可行。企业在生产过程中应注意加强设备噪声治理，在项目新建过程中应重视减振工程的设计及施工质量。确保厂界噪声达标，不影响周边环境。</w:t>
            </w:r>
            <w:bookmarkEnd w:id="22"/>
            <w:bookmarkEnd w:id="24"/>
          </w:p>
          <w:p>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为了最大程度减少项目运行噪声对周围环境的影响，建设单位对噪声污染应采取以下措施进行防治：</w:t>
            </w:r>
          </w:p>
          <w:p>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①采用低噪声设备，做好设备保养，保持设备运行良好；</w:t>
            </w:r>
          </w:p>
          <w:p>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②宠物叫声及人员活动噪声具有不定时性和突发性，也具有可控性，可经合理管理预防。一般宠物在饥饿或口渴时以及人为骚扰情况下易烦躁、多动，才会发出叫声，因此工作人员应合理喂食，避免宠物因饥饿或口渴而发出叫声，有效控制宠物活动噪声；减少人为对宠物的骚扰、</w:t>
            </w:r>
            <w:r>
              <w:rPr>
                <w:rFonts w:hint="eastAsia" w:cs="Times New Roman"/>
                <w:color w:val="auto"/>
                <w:sz w:val="24"/>
                <w:szCs w:val="24"/>
                <w:lang w:val="en-US" w:eastAsia="zh-CN"/>
              </w:rPr>
              <w:t>驱赶</w:t>
            </w:r>
            <w:r>
              <w:rPr>
                <w:rFonts w:hint="eastAsia" w:ascii="Times New Roman" w:hAnsi="Times New Roman" w:eastAsia="宋体" w:cs="Times New Roman"/>
                <w:color w:val="auto"/>
                <w:sz w:val="24"/>
                <w:szCs w:val="24"/>
                <w:lang w:val="en-US" w:eastAsia="zh-CN"/>
              </w:rPr>
              <w:t>；对寄养</w:t>
            </w:r>
            <w:r>
              <w:rPr>
                <w:rFonts w:hint="eastAsia" w:cs="Times New Roman"/>
                <w:color w:val="auto"/>
                <w:sz w:val="24"/>
                <w:szCs w:val="24"/>
                <w:lang w:val="en-US" w:eastAsia="zh-CN"/>
              </w:rPr>
              <w:t>户</w:t>
            </w:r>
            <w:r>
              <w:rPr>
                <w:rFonts w:hint="eastAsia" w:ascii="Times New Roman" w:hAnsi="Times New Roman" w:eastAsia="宋体" w:cs="Times New Roman"/>
                <w:color w:val="auto"/>
                <w:sz w:val="24"/>
                <w:szCs w:val="24"/>
                <w:lang w:val="en-US" w:eastAsia="zh-CN"/>
              </w:rPr>
              <w:t>等采取一定的隔声减噪措施。</w:t>
            </w:r>
          </w:p>
          <w:p>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③合理利用距离衰减，墙体隔声减少对厂界外环境的影响。</w:t>
            </w:r>
          </w:p>
          <w:p>
            <w:pPr>
              <w:spacing w:line="360" w:lineRule="auto"/>
              <w:ind w:firstLine="480" w:firstLineChars="200"/>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④加强职工环保意识教育，提倡文明生产，防止人为噪声，院区内做好人员管理。</w:t>
            </w:r>
          </w:p>
          <w:p>
            <w:pPr>
              <w:numPr>
                <w:ilvl w:val="0"/>
                <w:numId w:val="0"/>
              </w:numPr>
              <w:spacing w:line="360" w:lineRule="auto"/>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3.</w:t>
            </w: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4</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声环境保护目标噪声预测结果与达标分析</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本项目所有设备均置于封闭房间内，运行过程中基本无噪声产生，</w:t>
            </w:r>
            <w:r>
              <w:rPr>
                <w:rFonts w:hint="default" w:ascii="Times New Roman" w:hAnsi="Times New Roman" w:eastAsia="宋体" w:cs="Times New Roman"/>
                <w:color w:val="auto"/>
                <w:sz w:val="24"/>
                <w:szCs w:val="24"/>
                <w:lang w:val="en-US" w:eastAsia="zh-CN"/>
              </w:rPr>
              <w:t>通过预测模型计算，声环境保护目标噪声预测结果与达标分析见</w:t>
            </w:r>
            <w:r>
              <w:rPr>
                <w:rFonts w:hint="eastAsia" w:ascii="Times New Roman" w:hAnsi="Times New Roman" w:eastAsia="宋体" w:cs="Times New Roman"/>
                <w:color w:val="auto"/>
                <w:sz w:val="24"/>
                <w:szCs w:val="24"/>
                <w:lang w:val="en-US" w:eastAsia="zh-CN"/>
              </w:rPr>
              <w:t>下</w:t>
            </w:r>
            <w:r>
              <w:rPr>
                <w:rFonts w:hint="default" w:ascii="Times New Roman" w:hAnsi="Times New Roman" w:eastAsia="宋体" w:cs="Times New Roman"/>
                <w:color w:val="auto"/>
                <w:sz w:val="24"/>
                <w:szCs w:val="24"/>
                <w:lang w:val="en-US" w:eastAsia="zh-CN"/>
              </w:rPr>
              <w:t>表</w:t>
            </w:r>
            <w:r>
              <w:rPr>
                <w:rFonts w:hint="eastAsia" w:cs="Times New Roman"/>
                <w:color w:val="auto"/>
                <w:sz w:val="24"/>
                <w:szCs w:val="24"/>
                <w:lang w:val="en-US" w:eastAsia="zh-CN"/>
              </w:rPr>
              <w:t>。</w:t>
            </w:r>
          </w:p>
          <w:p>
            <w:pPr>
              <w:keepNext w:val="0"/>
              <w:keepLines w:val="0"/>
              <w:suppressLineNumbers w:val="0"/>
              <w:adjustRightInd w:val="0"/>
              <w:snapToGrid w:val="0"/>
              <w:spacing w:before="0" w:beforeAutospacing="0" w:after="0" w:afterAutospacing="0" w:line="240" w:lineRule="auto"/>
              <w:ind w:left="0" w:right="0" w:firstLine="422" w:firstLineChars="200"/>
              <w:rPr>
                <w:rFonts w:hint="default"/>
                <w:b/>
                <w:bCs/>
                <w:color w:val="000000"/>
                <w:spacing w:val="0"/>
                <w:kern w:val="0"/>
                <w:sz w:val="21"/>
                <w:szCs w:val="21"/>
                <w:lang w:eastAsia="zh-CN"/>
              </w:rPr>
            </w:pPr>
            <w:r>
              <w:rPr>
                <w:rFonts w:hint="default"/>
                <w:b/>
                <w:bCs/>
                <w:color w:val="000000"/>
                <w:spacing w:val="0"/>
                <w:kern w:val="0"/>
                <w:sz w:val="21"/>
                <w:szCs w:val="21"/>
                <w:lang w:eastAsia="zh-CN"/>
              </w:rPr>
              <w:t>表</w:t>
            </w:r>
            <w:r>
              <w:rPr>
                <w:rFonts w:hint="eastAsia"/>
                <w:b/>
                <w:bCs/>
                <w:color w:val="000000"/>
                <w:spacing w:val="0"/>
                <w:kern w:val="0"/>
                <w:sz w:val="21"/>
                <w:szCs w:val="21"/>
                <w:lang w:val="en-US" w:eastAsia="zh-CN"/>
              </w:rPr>
              <w:t xml:space="preserve">4-7         </w:t>
            </w:r>
            <w:r>
              <w:rPr>
                <w:rFonts w:hint="default"/>
                <w:b/>
                <w:bCs/>
                <w:color w:val="000000"/>
                <w:spacing w:val="0"/>
                <w:kern w:val="0"/>
                <w:sz w:val="21"/>
                <w:szCs w:val="21"/>
                <w:lang w:eastAsia="zh-CN"/>
              </w:rPr>
              <w:t>工业企业声环境保护目标噪声预测结果与达标分析表</w:t>
            </w:r>
          </w:p>
          <w:tbl>
            <w:tblPr>
              <w:tblStyle w:val="29"/>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26"/>
              <w:gridCol w:w="630"/>
              <w:gridCol w:w="426"/>
              <w:gridCol w:w="426"/>
              <w:gridCol w:w="426"/>
              <w:gridCol w:w="426"/>
              <w:gridCol w:w="426"/>
              <w:gridCol w:w="426"/>
              <w:gridCol w:w="689"/>
              <w:gridCol w:w="689"/>
              <w:gridCol w:w="426"/>
              <w:gridCol w:w="689"/>
              <w:gridCol w:w="426"/>
              <w:gridCol w:w="584"/>
              <w:gridCol w:w="426"/>
              <w:gridCol w:w="42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exact"/>
                <w:jc w:val="center"/>
              </w:trPr>
              <w:tc>
                <w:tcPr>
                  <w:tcW w:w="266"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序号</w:t>
                  </w:r>
                </w:p>
              </w:tc>
              <w:tc>
                <w:tcPr>
                  <w:tcW w:w="443" w:type="pct"/>
                  <w:vMerge w:val="restar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声环境保护目标名称</w:t>
                  </w:r>
                </w:p>
              </w:tc>
              <w:tc>
                <w:tcPr>
                  <w:tcW w:w="588" w:type="pct"/>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噪声背景值/dB(A)</w:t>
                  </w:r>
                </w:p>
              </w:tc>
              <w:tc>
                <w:tcPr>
                  <w:tcW w:w="602" w:type="pct"/>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噪声现状值/dB(A)</w:t>
                  </w:r>
                </w:p>
              </w:tc>
              <w:tc>
                <w:tcPr>
                  <w:tcW w:w="545" w:type="pct"/>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噪声标准/dB(A)</w:t>
                  </w:r>
                </w:p>
              </w:tc>
              <w:tc>
                <w:tcPr>
                  <w:tcW w:w="799" w:type="pct"/>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噪声贡献值/dB(A)</w:t>
                  </w:r>
                </w:p>
              </w:tc>
              <w:tc>
                <w:tcPr>
                  <w:tcW w:w="658" w:type="pct"/>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噪声预测值/dB(A)</w:t>
                  </w:r>
                </w:p>
              </w:tc>
              <w:tc>
                <w:tcPr>
                  <w:tcW w:w="559" w:type="pct"/>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较现状增量/dB(A)</w:t>
                  </w:r>
                </w:p>
              </w:tc>
              <w:tc>
                <w:tcPr>
                  <w:tcW w:w="535" w:type="pct"/>
                  <w:gridSpan w:val="2"/>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超标和达标情况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66" w:type="pct"/>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p>
              </w:tc>
              <w:tc>
                <w:tcPr>
                  <w:tcW w:w="443" w:type="pct"/>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p>
              </w:tc>
              <w:tc>
                <w:tcPr>
                  <w:tcW w:w="28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昼间</w:t>
                  </w:r>
                </w:p>
              </w:tc>
              <w:tc>
                <w:tcPr>
                  <w:tcW w:w="30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夜间</w:t>
                  </w:r>
                </w:p>
              </w:tc>
              <w:tc>
                <w:tcPr>
                  <w:tcW w:w="294"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昼间</w:t>
                  </w:r>
                </w:p>
              </w:tc>
              <w:tc>
                <w:tcPr>
                  <w:tcW w:w="308"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夜间</w:t>
                  </w:r>
                </w:p>
              </w:tc>
              <w:tc>
                <w:tcPr>
                  <w:tcW w:w="301"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昼间</w:t>
                  </w:r>
                </w:p>
              </w:tc>
              <w:tc>
                <w:tcPr>
                  <w:tcW w:w="244"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夜间</w:t>
                  </w:r>
                </w:p>
              </w:tc>
              <w:tc>
                <w:tcPr>
                  <w:tcW w:w="434"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昼间</w:t>
                  </w:r>
                </w:p>
              </w:tc>
              <w:tc>
                <w:tcPr>
                  <w:tcW w:w="364"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夜间</w:t>
                  </w:r>
                </w:p>
              </w:tc>
              <w:tc>
                <w:tcPr>
                  <w:tcW w:w="28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昼间</w:t>
                  </w:r>
                </w:p>
              </w:tc>
              <w:tc>
                <w:tcPr>
                  <w:tcW w:w="37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夜间</w:t>
                  </w:r>
                </w:p>
              </w:tc>
              <w:tc>
                <w:tcPr>
                  <w:tcW w:w="26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昼间</w:t>
                  </w:r>
                </w:p>
              </w:tc>
              <w:tc>
                <w:tcPr>
                  <w:tcW w:w="293"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夜间</w:t>
                  </w:r>
                </w:p>
              </w:tc>
              <w:tc>
                <w:tcPr>
                  <w:tcW w:w="26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昼间</w:t>
                  </w:r>
                </w:p>
              </w:tc>
              <w:tc>
                <w:tcPr>
                  <w:tcW w:w="268"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夜间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6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1</w:t>
                  </w:r>
                </w:p>
              </w:tc>
              <w:tc>
                <w:tcPr>
                  <w:tcW w:w="443"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lang w:val="en-US" w:eastAsia="zh-CN"/>
                    </w:rPr>
                  </w:pPr>
                  <w:r>
                    <w:rPr>
                      <w:rFonts w:hint="eastAsia" w:ascii="Times New Roman" w:hAnsi="Times New Roman" w:eastAsia="宋体" w:cs="Times New Roman"/>
                      <w:b w:val="0"/>
                      <w:bCs/>
                      <w:sz w:val="21"/>
                      <w:szCs w:val="21"/>
                      <w:lang w:val="en-US" w:eastAsia="zh-CN"/>
                    </w:rPr>
                    <w:t>天福名庭小区</w:t>
                  </w:r>
                </w:p>
              </w:tc>
              <w:tc>
                <w:tcPr>
                  <w:tcW w:w="28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48</w:t>
                  </w:r>
                </w:p>
              </w:tc>
              <w:tc>
                <w:tcPr>
                  <w:tcW w:w="30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lang w:val="en-US" w:eastAsia="zh-CN"/>
                    </w:rPr>
                  </w:pPr>
                  <w:r>
                    <w:rPr>
                      <w:rFonts w:hint="eastAsia" w:cs="Times New Roman"/>
                      <w:b w:val="0"/>
                      <w:bCs/>
                      <w:sz w:val="21"/>
                      <w:szCs w:val="21"/>
                      <w:lang w:val="en-US" w:eastAsia="zh-CN"/>
                    </w:rPr>
                    <w:t>41</w:t>
                  </w:r>
                </w:p>
              </w:tc>
              <w:tc>
                <w:tcPr>
                  <w:tcW w:w="294"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48</w:t>
                  </w:r>
                </w:p>
              </w:tc>
              <w:tc>
                <w:tcPr>
                  <w:tcW w:w="308"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lang w:val="en-US" w:eastAsia="zh-CN"/>
                    </w:rPr>
                  </w:pPr>
                  <w:r>
                    <w:rPr>
                      <w:rFonts w:hint="eastAsia" w:cs="Times New Roman"/>
                      <w:b w:val="0"/>
                      <w:bCs/>
                      <w:sz w:val="21"/>
                      <w:szCs w:val="21"/>
                      <w:lang w:val="en-US" w:eastAsia="zh-CN"/>
                    </w:rPr>
                    <w:t>41</w:t>
                  </w:r>
                </w:p>
              </w:tc>
              <w:tc>
                <w:tcPr>
                  <w:tcW w:w="301"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sz w:val="21"/>
                      <w:szCs w:val="21"/>
                      <w:lang w:eastAsia="zh-CN"/>
                    </w:rPr>
                  </w:pPr>
                  <w:r>
                    <w:rPr>
                      <w:rFonts w:hint="default" w:ascii="Times New Roman" w:hAnsi="Times New Roman" w:eastAsia="宋体" w:cs="Times New Roman"/>
                      <w:b w:val="0"/>
                      <w:bCs/>
                      <w:sz w:val="21"/>
                      <w:szCs w:val="21"/>
                    </w:rPr>
                    <w:t>6</w:t>
                  </w:r>
                  <w:r>
                    <w:rPr>
                      <w:rFonts w:hint="eastAsia" w:cs="Times New Roman"/>
                      <w:b w:val="0"/>
                      <w:bCs/>
                      <w:sz w:val="21"/>
                      <w:szCs w:val="21"/>
                      <w:lang w:val="en-US" w:eastAsia="zh-CN"/>
                    </w:rPr>
                    <w:t>0</w:t>
                  </w:r>
                </w:p>
              </w:tc>
              <w:tc>
                <w:tcPr>
                  <w:tcW w:w="244"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val="0"/>
                      <w:bCs/>
                      <w:sz w:val="21"/>
                      <w:szCs w:val="21"/>
                      <w:lang w:eastAsia="zh-CN"/>
                    </w:rPr>
                  </w:pPr>
                  <w:r>
                    <w:rPr>
                      <w:rFonts w:hint="default" w:ascii="Times New Roman" w:hAnsi="Times New Roman" w:eastAsia="宋体" w:cs="Times New Roman"/>
                      <w:b w:val="0"/>
                      <w:bCs/>
                      <w:sz w:val="21"/>
                      <w:szCs w:val="21"/>
                    </w:rPr>
                    <w:t>5</w:t>
                  </w:r>
                  <w:r>
                    <w:rPr>
                      <w:rFonts w:hint="eastAsia" w:cs="Times New Roman"/>
                      <w:b w:val="0"/>
                      <w:bCs/>
                      <w:sz w:val="21"/>
                      <w:szCs w:val="21"/>
                      <w:lang w:val="en-US" w:eastAsia="zh-CN"/>
                    </w:rPr>
                    <w:t>0</w:t>
                  </w:r>
                </w:p>
              </w:tc>
              <w:tc>
                <w:tcPr>
                  <w:tcW w:w="434"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lang w:val="en-US" w:eastAsia="zh-CN"/>
                    </w:rPr>
                  </w:pPr>
                  <w:r>
                    <w:rPr>
                      <w:rFonts w:hint="eastAsia" w:cs="Times New Roman"/>
                      <w:b w:val="0"/>
                      <w:bCs/>
                      <w:sz w:val="21"/>
                      <w:szCs w:val="21"/>
                      <w:lang w:val="en-US" w:eastAsia="zh-CN"/>
                    </w:rPr>
                    <w:t>12.57</w:t>
                  </w:r>
                </w:p>
              </w:tc>
              <w:tc>
                <w:tcPr>
                  <w:tcW w:w="364"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lang w:val="en-US" w:eastAsia="zh-CN"/>
                    </w:rPr>
                  </w:pPr>
                  <w:r>
                    <w:rPr>
                      <w:rFonts w:hint="eastAsia" w:cs="Times New Roman"/>
                      <w:b w:val="0"/>
                      <w:bCs/>
                      <w:sz w:val="21"/>
                      <w:szCs w:val="21"/>
                      <w:lang w:val="en-US" w:eastAsia="zh-CN"/>
                    </w:rPr>
                    <w:t>12.57</w:t>
                  </w:r>
                </w:p>
              </w:tc>
              <w:tc>
                <w:tcPr>
                  <w:tcW w:w="280"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48</w:t>
                  </w:r>
                </w:p>
              </w:tc>
              <w:tc>
                <w:tcPr>
                  <w:tcW w:w="37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lang w:val="en-US" w:eastAsia="zh-CN"/>
                    </w:rPr>
                  </w:pPr>
                  <w:r>
                    <w:rPr>
                      <w:rFonts w:hint="eastAsia" w:cs="Times New Roman"/>
                      <w:b w:val="0"/>
                      <w:bCs/>
                      <w:sz w:val="21"/>
                      <w:szCs w:val="21"/>
                      <w:lang w:val="en-US" w:eastAsia="zh-CN"/>
                    </w:rPr>
                    <w:t>41.01</w:t>
                  </w:r>
                </w:p>
              </w:tc>
              <w:tc>
                <w:tcPr>
                  <w:tcW w:w="266"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0</w:t>
                  </w:r>
                </w:p>
              </w:tc>
              <w:tc>
                <w:tcPr>
                  <w:tcW w:w="293"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lang w:val="en-US" w:eastAsia="zh-CN"/>
                    </w:rPr>
                  </w:pPr>
                  <w:r>
                    <w:rPr>
                      <w:rFonts w:hint="eastAsia" w:cs="Times New Roman"/>
                      <w:b w:val="0"/>
                      <w:bCs/>
                      <w:sz w:val="21"/>
                      <w:szCs w:val="21"/>
                      <w:lang w:val="en-US" w:eastAsia="zh-CN"/>
                    </w:rPr>
                    <w:t>0.01</w:t>
                  </w:r>
                </w:p>
              </w:tc>
              <w:tc>
                <w:tcPr>
                  <w:tcW w:w="26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达标</w:t>
                  </w:r>
                </w:p>
              </w:tc>
              <w:tc>
                <w:tcPr>
                  <w:tcW w:w="268"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sz w:val="21"/>
                      <w:szCs w:val="21"/>
                    </w:rPr>
                  </w:pPr>
                  <w:r>
                    <w:rPr>
                      <w:rFonts w:hint="default" w:ascii="Times New Roman" w:hAnsi="Times New Roman" w:eastAsia="宋体" w:cs="Times New Roman"/>
                      <w:b w:val="0"/>
                      <w:bCs/>
                      <w:sz w:val="21"/>
                      <w:szCs w:val="21"/>
                    </w:rPr>
                    <w:t>达标</w:t>
                  </w:r>
                </w:p>
              </w:tc>
            </w:tr>
          </w:tbl>
          <w:p>
            <w:pPr>
              <w:pStyle w:val="99"/>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80" w:firstLineChars="200"/>
              <w:textAlignment w:val="auto"/>
              <w:rPr>
                <w:rFonts w:hint="eastAsia" w:cs="Times New Roman"/>
                <w:color w:val="000000" w:themeColor="text1"/>
                <w:kern w:val="0"/>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sz w:val="24"/>
                <w:szCs w:val="24"/>
                <w:lang w:val="en-US" w:eastAsia="zh-CN"/>
              </w:rPr>
              <w:t>由上表可知</w:t>
            </w:r>
            <w:r>
              <w:rPr>
                <w:rFonts w:hint="eastAsia" w:ascii="Times New Roman" w:hAnsi="Times New Roman" w:eastAsia="宋体" w:cs="Times New Roman"/>
                <w:color w:val="000000"/>
                <w:sz w:val="24"/>
                <w:szCs w:val="24"/>
                <w:lang w:val="en-US" w:eastAsia="zh-CN"/>
              </w:rPr>
              <w:t>，</w:t>
            </w:r>
            <w:r>
              <w:rPr>
                <w:rFonts w:hint="default" w:ascii="Times New Roman" w:hAnsi="Times New Roman" w:eastAsia="宋体" w:cs="Times New Roman"/>
                <w:color w:val="000000"/>
                <w:sz w:val="24"/>
                <w:szCs w:val="24"/>
                <w:lang w:val="en-US" w:eastAsia="zh-CN"/>
              </w:rPr>
              <w:t>正常工况下，项目声环境保护目标噪声满足</w:t>
            </w:r>
            <w:r>
              <w:rPr>
                <w:rFonts w:hint="default" w:ascii="Times New Roman" w:hAnsi="Times New Roman" w:eastAsia="宋体" w:cs="Times New Roman"/>
                <w:color w:val="302116"/>
                <w:sz w:val="24"/>
                <w:szCs w:val="24"/>
                <w:lang w:eastAsia="zh-CN"/>
              </w:rPr>
              <w:t>《声环境质量标准》(GB3096-2008)</w:t>
            </w:r>
            <w:r>
              <w:rPr>
                <w:rFonts w:hint="eastAsia" w:ascii="Times New Roman" w:hAnsi="Times New Roman" w:eastAsia="宋体" w:cs="Times New Roman"/>
                <w:color w:val="302116"/>
                <w:sz w:val="24"/>
                <w:szCs w:val="24"/>
                <w:lang w:val="en-US" w:eastAsia="zh-CN"/>
              </w:rPr>
              <w:t>2</w:t>
            </w:r>
            <w:r>
              <w:rPr>
                <w:rFonts w:hint="default" w:ascii="Times New Roman" w:hAnsi="Times New Roman" w:eastAsia="宋体" w:cs="Times New Roman"/>
                <w:color w:val="302116"/>
                <w:sz w:val="24"/>
                <w:szCs w:val="24"/>
                <w:lang w:eastAsia="zh-CN"/>
              </w:rPr>
              <w:t>类标准</w:t>
            </w:r>
            <w:r>
              <w:rPr>
                <w:rFonts w:hint="default" w:ascii="Times New Roman" w:hAnsi="Times New Roman" w:eastAsia="宋体" w:cs="Times New Roman"/>
                <w:color w:val="000000"/>
                <w:sz w:val="24"/>
                <w:szCs w:val="24"/>
                <w:lang w:val="en-US" w:eastAsia="zh-CN"/>
              </w:rPr>
              <w:t>。</w:t>
            </w:r>
          </w:p>
          <w:p>
            <w:pPr>
              <w:numPr>
                <w:ilvl w:val="0"/>
                <w:numId w:val="0"/>
              </w:num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4.2.3.</w:t>
            </w:r>
            <w:r>
              <w:rPr>
                <w:rFonts w:hint="eastAsia" w:cs="Times New Roman"/>
                <w:b/>
                <w:bCs/>
                <w:color w:val="000000" w:themeColor="text1"/>
                <w:kern w:val="2"/>
                <w:sz w:val="24"/>
                <w:szCs w:val="24"/>
                <w:lang w:val="en-US" w:eastAsia="zh-CN" w:bidi="ar-SA"/>
                <w14:textFill>
                  <w14:solidFill>
                    <w14:schemeClr w14:val="tx1"/>
                  </w14:solidFill>
                </w14:textFill>
              </w:rPr>
              <w:t>5</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 xml:space="preserve"> 运营期噪声监测计划</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本工程营运期噪声监测方案计划见表4-</w:t>
            </w:r>
            <w:r>
              <w:rPr>
                <w:rFonts w:hint="eastAsia" w:cs="Times New Roman"/>
                <w:color w:val="auto"/>
                <w:sz w:val="24"/>
                <w:szCs w:val="24"/>
                <w:lang w:val="en-US" w:eastAsia="zh-CN"/>
              </w:rPr>
              <w:t>9</w:t>
            </w:r>
            <w:r>
              <w:rPr>
                <w:rFonts w:hint="default" w:ascii="Times New Roman" w:hAnsi="Times New Roman" w:eastAsia="宋体" w:cs="Times New Roman"/>
                <w:color w:val="auto"/>
                <w:sz w:val="24"/>
                <w:szCs w:val="24"/>
                <w:lang w:val="en-US" w:eastAsia="zh-CN"/>
              </w:rPr>
              <w:t>。</w:t>
            </w:r>
          </w:p>
          <w:p>
            <w:pPr>
              <w:pStyle w:val="43"/>
              <w:keepNext w:val="0"/>
              <w:keepLines w:val="0"/>
              <w:suppressLineNumbers w:val="0"/>
              <w:bidi w:val="0"/>
              <w:spacing w:before="0" w:beforeAutospacing="0" w:after="0" w:afterAutospacing="0"/>
              <w:ind w:right="0"/>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表4-</w:t>
            </w:r>
            <w:r>
              <w:rPr>
                <w:rFonts w:hint="eastAsia" w:ascii="Times New Roman" w:hAnsi="Times New Roman" w:cs="Times New Roman"/>
                <w:b/>
                <w:bCs/>
                <w:color w:val="000000" w:themeColor="text1"/>
                <w:lang w:val="en-US" w:eastAsia="zh-CN"/>
                <w14:textFill>
                  <w14:solidFill>
                    <w14:schemeClr w14:val="tx1"/>
                  </w14:solidFill>
                </w14:textFill>
              </w:rPr>
              <w:t>9</w:t>
            </w:r>
            <w:r>
              <w:rPr>
                <w:rFonts w:hint="default" w:ascii="Times New Roman" w:hAnsi="Times New Roman" w:cs="Times New Roman"/>
                <w:b/>
                <w:bCs/>
                <w:color w:val="000000" w:themeColor="text1"/>
                <w:lang w:val="en-US" w:eastAsia="zh-CN"/>
                <w14:textFill>
                  <w14:solidFill>
                    <w14:schemeClr w14:val="tx1"/>
                  </w14:solidFill>
                </w14:textFill>
              </w:rPr>
              <w:t xml:space="preserve">  运营期噪声监测计划表</w:t>
            </w:r>
          </w:p>
          <w:tbl>
            <w:tblPr>
              <w:tblStyle w:val="29"/>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28"/>
              <w:gridCol w:w="1296"/>
              <w:gridCol w:w="1394"/>
              <w:gridCol w:w="1284"/>
              <w:gridCol w:w="266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4" w:hRule="atLeast"/>
                <w:tblHeader/>
              </w:trPr>
              <w:tc>
                <w:tcPr>
                  <w:tcW w:w="833" w:type="pct"/>
                  <w:tcBorders>
                    <w:bottom w:val="single" w:color="auto" w:sz="12" w:space="0"/>
                  </w:tcBorders>
                  <w:vAlign w:val="center"/>
                </w:tcPr>
                <w:p>
                  <w:pPr>
                    <w:pStyle w:val="5"/>
                    <w:jc w:val="cente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监测点位</w:t>
                  </w:r>
                </w:p>
              </w:tc>
              <w:tc>
                <w:tcPr>
                  <w:tcW w:w="813" w:type="pct"/>
                  <w:tcBorders>
                    <w:bottom w:val="single" w:color="auto" w:sz="12" w:space="0"/>
                  </w:tcBorders>
                  <w:vAlign w:val="center"/>
                </w:tcPr>
                <w:p>
                  <w:pPr>
                    <w:pStyle w:val="5"/>
                    <w:jc w:val="cente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监测指标</w:t>
                  </w:r>
                </w:p>
              </w:tc>
              <w:tc>
                <w:tcPr>
                  <w:tcW w:w="874" w:type="pct"/>
                  <w:tcBorders>
                    <w:bottom w:val="single" w:color="auto" w:sz="12" w:space="0"/>
                  </w:tcBorders>
                  <w:vAlign w:val="center"/>
                </w:tcPr>
                <w:p>
                  <w:pPr>
                    <w:pStyle w:val="5"/>
                    <w:jc w:val="cente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eastAsia" w:cs="Times New Roman"/>
                      <w:b/>
                      <w:bCs/>
                      <w:color w:val="000000" w:themeColor="text1"/>
                      <w:sz w:val="21"/>
                      <w:szCs w:val="21"/>
                      <w:highlight w:val="none"/>
                      <w:lang w:val="en-US" w:eastAsia="zh-CN"/>
                      <w14:textFill>
                        <w14:solidFill>
                          <w14:schemeClr w14:val="tx1"/>
                        </w14:solidFill>
                      </w14:textFill>
                    </w:rPr>
                    <w:t>监测时间</w:t>
                  </w:r>
                </w:p>
              </w:tc>
              <w:tc>
                <w:tcPr>
                  <w:tcW w:w="805" w:type="pct"/>
                  <w:tcBorders>
                    <w:bottom w:val="single" w:color="auto" w:sz="12" w:space="0"/>
                  </w:tcBorders>
                  <w:vAlign w:val="center"/>
                </w:tcPr>
                <w:p>
                  <w:pPr>
                    <w:pStyle w:val="5"/>
                    <w:jc w:val="cente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监测频次</w:t>
                  </w:r>
                </w:p>
              </w:tc>
              <w:tc>
                <w:tcPr>
                  <w:tcW w:w="1673" w:type="pct"/>
                  <w:tcBorders>
                    <w:bottom w:val="single" w:color="auto" w:sz="12" w:space="0"/>
                  </w:tcBorders>
                  <w:vAlign w:val="center"/>
                </w:tcPr>
                <w:p>
                  <w:pPr>
                    <w:pStyle w:val="5"/>
                    <w:jc w:val="cente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lang w:val="en-US" w:eastAsia="zh-CN"/>
                      <w14:textFill>
                        <w14:solidFill>
                          <w14:schemeClr w14:val="tx1"/>
                        </w14:solidFill>
                      </w14:textFill>
                    </w:rPr>
                    <w:t>执行排放标准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33" w:type="pct"/>
                  <w:tcBorders>
                    <w:top w:val="single" w:color="auto" w:sz="12" w:space="0"/>
                  </w:tcBorders>
                  <w:vAlign w:val="center"/>
                </w:tcPr>
                <w:p>
                  <w:pPr>
                    <w:pStyle w:val="5"/>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bookmarkStart w:id="25" w:name="hmcheck_c573d518246640419218722abadd0ffb"/>
                  <w:bookmarkStart w:id="26" w:name="hmcheck_39e56ffdaf6a4d41848aa0132aa1c513"/>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厂</w:t>
                  </w:r>
                  <w:bookmarkEnd w:id="25"/>
                  <w:bookmarkEnd w:id="26"/>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界外东南西北处1m</w:t>
                  </w:r>
                </w:p>
              </w:tc>
              <w:tc>
                <w:tcPr>
                  <w:tcW w:w="813" w:type="pct"/>
                  <w:tcBorders>
                    <w:top w:val="single" w:color="auto" w:sz="12" w:space="0"/>
                  </w:tcBorders>
                  <w:vAlign w:val="center"/>
                </w:tcPr>
                <w:p>
                  <w:pPr>
                    <w:pStyle w:val="5"/>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等效A声级</w:t>
                  </w:r>
                </w:p>
              </w:tc>
              <w:tc>
                <w:tcPr>
                  <w:tcW w:w="874" w:type="pct"/>
                  <w:tcBorders>
                    <w:top w:val="single" w:color="auto" w:sz="12" w:space="0"/>
                  </w:tcBorders>
                  <w:vAlign w:val="center"/>
                </w:tcPr>
                <w:p>
                  <w:pPr>
                    <w:pStyle w:val="5"/>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昼间、夜间</w:t>
                  </w:r>
                </w:p>
              </w:tc>
              <w:tc>
                <w:tcPr>
                  <w:tcW w:w="805" w:type="pct"/>
                  <w:tcBorders>
                    <w:top w:val="single" w:color="auto" w:sz="12" w:space="0"/>
                  </w:tcBorders>
                  <w:vAlign w:val="center"/>
                </w:tcPr>
                <w:p>
                  <w:pPr>
                    <w:pStyle w:val="5"/>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一次/季度</w:t>
                  </w:r>
                </w:p>
              </w:tc>
              <w:tc>
                <w:tcPr>
                  <w:tcW w:w="1673" w:type="pct"/>
                  <w:tcBorders>
                    <w:top w:val="single" w:color="auto" w:sz="12" w:space="0"/>
                  </w:tcBorders>
                  <w:vAlign w:val="center"/>
                </w:tcPr>
                <w:p>
                  <w:pPr>
                    <w:pStyle w:val="5"/>
                    <w:jc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《工业企业厂界环境噪声排放标准》（GB12348-2008）2类标准限</w:t>
                  </w:r>
                </w:p>
              </w:tc>
            </w:tr>
          </w:tbl>
          <w:p>
            <w:pPr>
              <w:numPr>
                <w:ilvl w:val="0"/>
                <w:numId w:val="0"/>
              </w:num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4.2.3.</w:t>
            </w:r>
            <w:r>
              <w:rPr>
                <w:rFonts w:hint="eastAsia" w:cs="Times New Roman"/>
                <w:b/>
                <w:bCs/>
                <w:color w:val="000000" w:themeColor="text1"/>
                <w:kern w:val="2"/>
                <w:sz w:val="24"/>
                <w:szCs w:val="24"/>
                <w:lang w:val="en-US" w:eastAsia="zh-CN" w:bidi="ar-SA"/>
                <w14:textFill>
                  <w14:solidFill>
                    <w14:schemeClr w14:val="tx1"/>
                  </w14:solidFill>
                </w14:textFill>
              </w:rPr>
              <w:t>6</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运营期声环境影响结论</w:t>
            </w:r>
          </w:p>
          <w:p>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项目在采取了各项噪声控制措施后，对项目区声环境的影响是可接受的。</w:t>
            </w:r>
          </w:p>
          <w:p>
            <w:pPr>
              <w:numPr>
                <w:ilvl w:val="0"/>
                <w:numId w:val="0"/>
              </w:num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4.2.4固体废物环境影响和保护措施</w:t>
            </w:r>
          </w:p>
          <w:p>
            <w:pPr>
              <w:numPr>
                <w:ilvl w:val="0"/>
                <w:numId w:val="0"/>
              </w:num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4.2.4.1</w:t>
            </w:r>
            <w:r>
              <w:rPr>
                <w:rFonts w:hint="default" w:ascii="Times New Roman" w:hAnsi="Times New Roman" w:cs="Times New Roman"/>
                <w:b/>
                <w:bCs/>
                <w:color w:val="000000" w:themeColor="text1"/>
                <w:kern w:val="2"/>
                <w:sz w:val="24"/>
                <w:szCs w:val="24"/>
                <w:lang w:val="en-US" w:eastAsia="zh-CN" w:bidi="ar-SA"/>
                <w14:textFill>
                  <w14:solidFill>
                    <w14:schemeClr w14:val="tx1"/>
                  </w14:solidFill>
                </w14:textFill>
              </w:rPr>
              <w:t>一般工业</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固体废物产生情况</w:t>
            </w:r>
          </w:p>
          <w:p>
            <w:pPr>
              <w:spacing w:beforeAutospacing="0" w:line="360" w:lineRule="auto"/>
              <w:ind w:firstLine="480" w:firstLineChars="200"/>
              <w:jc w:val="left"/>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（1）宠物粪便</w:t>
            </w:r>
          </w:p>
          <w:p>
            <w:pPr>
              <w:spacing w:beforeAutospacing="0" w:line="360" w:lineRule="auto"/>
              <w:ind w:firstLine="480" w:firstLineChars="200"/>
              <w:jc w:val="left"/>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根据企业提供资料，宠物医院以3-5天的短期</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住院</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为主，本项目预计</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住院</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宠物按</w:t>
            </w:r>
            <w:r>
              <w:rPr>
                <w:rFonts w:hint="eastAsia" w:cs="Times New Roman"/>
                <w:color w:val="000000" w:themeColor="text1"/>
                <w:sz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00只/年计，每只宠物寄养时间平均按5天计。宠物粪便产生量按0.</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kg只·天计算，则本项目寄养废物产生量为0.</w:t>
            </w:r>
            <w:r>
              <w:rPr>
                <w:rFonts w:hint="eastAsia" w:cs="Times New Roman"/>
                <w:color w:val="000000" w:themeColor="text1"/>
                <w:sz w:val="24"/>
                <w:highlight w:val="none"/>
                <w:lang w:val="en-US" w:eastAsia="zh-CN"/>
                <w14:textFill>
                  <w14:solidFill>
                    <w14:schemeClr w14:val="tx1"/>
                  </w14:solidFill>
                </w14:textFill>
              </w:rPr>
              <w:t>05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t/a，</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集中</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收集后定期交环卫部门处理。</w:t>
            </w:r>
          </w:p>
          <w:p>
            <w:pPr>
              <w:spacing w:beforeAutospacing="0" w:line="360" w:lineRule="auto"/>
              <w:ind w:firstLine="480" w:firstLineChars="200"/>
              <w:jc w:val="left"/>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废包装</w:t>
            </w:r>
          </w:p>
          <w:p>
            <w:pPr>
              <w:spacing w:beforeAutospacing="0" w:line="360" w:lineRule="auto"/>
              <w:ind w:firstLine="480" w:firstLineChars="200"/>
              <w:jc w:val="left"/>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本项目各类原料一般采用塑料、纸进行包装，原料使用拆包后，产生一定量的废包装材料</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根据原材料使用情况，本项目废包装材料产生量约为0.</w:t>
            </w:r>
            <w:r>
              <w:rPr>
                <w:rFonts w:hint="eastAsia" w:cs="Times New Roman"/>
                <w:color w:val="000000" w:themeColor="text1"/>
                <w:sz w:val="24"/>
                <w:highlight w:val="none"/>
                <w:lang w:val="en-US" w:eastAsia="zh-CN"/>
                <w14:textFill>
                  <w14:solidFill>
                    <w14:schemeClr w14:val="tx1"/>
                  </w14:solidFill>
                </w14:textFill>
              </w:rPr>
              <w:t>05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t</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a</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，集中</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收集后定期交环卫部门处理。</w:t>
            </w:r>
          </w:p>
          <w:p>
            <w:pPr>
              <w:pStyle w:val="6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textAlignment w:val="auto"/>
              <w:rPr>
                <w:rFonts w:hint="default" w:ascii="Times New Roman" w:hAnsi="Times New Roman" w:eastAsia="宋体" w:cs="Times New Roman"/>
                <w:b/>
                <w:bCs w:val="0"/>
                <w:color w:val="000000"/>
                <w:sz w:val="24"/>
                <w:szCs w:val="24"/>
                <w:highlight w:val="none"/>
                <w:lang w:val="en-US" w:eastAsia="zh-CN"/>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4.2.4.</w:t>
            </w: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2</w:t>
            </w:r>
            <w:r>
              <w:rPr>
                <w:rFonts w:hint="default" w:ascii="Times New Roman" w:hAnsi="Times New Roman" w:eastAsia="宋体" w:cs="Times New Roman"/>
                <w:b/>
                <w:bCs w:val="0"/>
                <w:color w:val="000000"/>
                <w:sz w:val="24"/>
                <w:szCs w:val="24"/>
                <w:highlight w:val="none"/>
                <w:lang w:val="en-US" w:eastAsia="zh-CN"/>
              </w:rPr>
              <w:t>生活垃圾</w:t>
            </w:r>
          </w:p>
          <w:p>
            <w:pPr>
              <w:spacing w:beforeAutospacing="0" w:line="360" w:lineRule="auto"/>
              <w:ind w:firstLine="480" w:firstLineChars="200"/>
              <w:jc w:val="left"/>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生活垃圾来源于厂区人员日常生活，本项目人员按</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人计，年运营</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365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天，生活垃圾产生量按照0.5kg/人·天计算，则生活垃圾产生量为</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0.9125</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t/a，生活垃圾经生活垃圾桶收集后定期交环卫部门处理。</w:t>
            </w:r>
          </w:p>
          <w:p>
            <w:p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4.2.4.</w:t>
            </w:r>
            <w:r>
              <w:rPr>
                <w:rFonts w:hint="eastAsia" w:cs="Times New Roman"/>
                <w:b/>
                <w:bCs/>
                <w:color w:val="000000" w:themeColor="text1"/>
                <w:kern w:val="2"/>
                <w:sz w:val="24"/>
                <w:szCs w:val="24"/>
                <w:lang w:val="en-US" w:eastAsia="zh-CN" w:bidi="ar-SA"/>
                <w14:textFill>
                  <w14:solidFill>
                    <w14:schemeClr w14:val="tx1"/>
                  </w14:solidFill>
                </w14:textFill>
              </w:rPr>
              <w:t>3</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动物诊疗废物</w:t>
            </w:r>
          </w:p>
          <w:p>
            <w:pPr>
              <w:spacing w:beforeAutospacing="0" w:line="360" w:lineRule="auto"/>
              <w:ind w:firstLine="480" w:firstLineChars="200"/>
              <w:jc w:val="left"/>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参考北京市生态环境局</w:t>
            </w:r>
            <w:r>
              <w:rPr>
                <w:rFonts w:hint="eastAsia" w:cs="Times New Roman"/>
                <w:color w:val="000000" w:themeColor="text1"/>
                <w:sz w:val="24"/>
                <w:highlight w:val="none"/>
                <w:lang w:val="en-US" w:eastAsia="zh-CN"/>
                <w14:textFill>
                  <w14:solidFill>
                    <w14:schemeClr w14:val="tx1"/>
                  </w14:solidFill>
                </w14:textFill>
              </w:rPr>
              <w:t>2020年12月7日</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关于“宠物医院产生的诊疗废物如何处置”问题的回复：根据国家《医疗废物管理条例》，动物诊疗废弃物不属于医疗废物。因此，从事动物诊疗废弃物转运、处置经营活动，无需取得生态环境部门颁发的医疗废物经营许可证；根据国家《</w:t>
            </w:r>
            <w:r>
              <w:rPr>
                <w:rFonts w:hint="eastAsia" w:cs="Times New Roman"/>
                <w:color w:val="000000" w:themeColor="text1"/>
                <w:sz w:val="24"/>
                <w:highlight w:val="none"/>
                <w:lang w:val="en-US" w:eastAsia="zh-CN"/>
                <w14:textFill>
                  <w14:solidFill>
                    <w14:schemeClr w14:val="tx1"/>
                  </w14:solidFill>
                </w14:textFill>
              </w:rPr>
              <w:t>中华人民共和国动物防疫法</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》规定，动物诊疗机构应当按照国务院兽医主管部门的规定，做好诊疗活动中的卫生安全防护、消毒、隔离和诊疗废弃物处置等工作。</w:t>
            </w:r>
          </w:p>
          <w:p>
            <w:pPr>
              <w:spacing w:beforeAutospacing="0" w:line="360" w:lineRule="auto"/>
              <w:ind w:firstLine="480" w:firstLineChars="200"/>
              <w:jc w:val="left"/>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按照《动物诊疗机构管理办法》第二十六条动物诊疗机构应当按照国家规定处理染疫动物及其排泄物、污染物和动物病理组织等。动物诊疗机构应当参照《医疗废物管理条例》的有关规定处理诊疗废弃物，不得随意丢弃诊疗废弃物，排放未经无害化处理的诊疗废水。</w:t>
            </w:r>
          </w:p>
          <w:p>
            <w:pPr>
              <w:pStyle w:val="1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textAlignment w:val="auto"/>
              <w:rPr>
                <w:rFonts w:hint="eastAsia" w:cs="Times New Roman"/>
                <w:sz w:val="24"/>
                <w:szCs w:val="24"/>
                <w:highlight w:val="none"/>
                <w:lang w:val="en-US" w:eastAsia="zh-CN"/>
              </w:rPr>
            </w:pPr>
            <w:r>
              <w:rPr>
                <w:rFonts w:hint="eastAsia" w:ascii="Times New Roman" w:hAnsi="Times New Roman" w:eastAsia="宋体" w:cs="Times New Roman"/>
                <w:sz w:val="24"/>
                <w:szCs w:val="24"/>
                <w:lang w:val="en-US" w:eastAsia="zh-CN"/>
              </w:rPr>
              <w:t>综上本项目动物诊疗废物</w:t>
            </w:r>
            <w:r>
              <w:rPr>
                <w:rFonts w:hint="eastAsia" w:cs="Times New Roman"/>
                <w:sz w:val="24"/>
                <w:szCs w:val="24"/>
                <w:lang w:val="en-US" w:eastAsia="zh-CN"/>
              </w:rPr>
              <w:t>按照医疗废物进行管理，</w:t>
            </w:r>
            <w:r>
              <w:rPr>
                <w:rFonts w:hint="default" w:ascii="Times New Roman" w:hAnsi="Times New Roman" w:eastAsia="宋体" w:cs="Times New Roman"/>
                <w:b w:val="0"/>
                <w:bCs w:val="0"/>
                <w:lang w:val="en-US" w:eastAsia="zh-CN"/>
              </w:rPr>
              <w:t>根据企业提供资料，本项目产生的</w:t>
            </w:r>
            <w:r>
              <w:rPr>
                <w:rFonts w:hint="eastAsia" w:cs="Times New Roman"/>
                <w:b w:val="0"/>
                <w:bCs w:val="0"/>
                <w:lang w:val="en-US" w:eastAsia="zh-CN"/>
              </w:rPr>
              <w:t>动物诊疗废物</w:t>
            </w:r>
            <w:r>
              <w:rPr>
                <w:rFonts w:hint="default" w:ascii="Times New Roman" w:hAnsi="Times New Roman" w:eastAsia="宋体" w:cs="Times New Roman"/>
                <w:b w:val="0"/>
                <w:bCs w:val="0"/>
                <w:lang w:val="en-US" w:eastAsia="zh-CN"/>
              </w:rPr>
              <w:t>约0.</w:t>
            </w:r>
            <w:r>
              <w:rPr>
                <w:rFonts w:hint="eastAsia" w:cs="Times New Roman"/>
                <w:b w:val="0"/>
                <w:bCs w:val="0"/>
                <w:lang w:val="en-US" w:eastAsia="zh-CN"/>
              </w:rPr>
              <w:t>1</w:t>
            </w:r>
            <w:r>
              <w:rPr>
                <w:rFonts w:hint="default" w:ascii="Times New Roman" w:hAnsi="Times New Roman" w:eastAsia="宋体" w:cs="Times New Roman"/>
                <w:b w:val="0"/>
                <w:bCs w:val="0"/>
                <w:lang w:val="en-US" w:eastAsia="zh-CN"/>
              </w:rPr>
              <w:t>t/a。</w:t>
            </w:r>
            <w:r>
              <w:rPr>
                <w:rFonts w:hint="default" w:ascii="Times New Roman" w:hAnsi="Times New Roman" w:eastAsia="宋体" w:cs="Times New Roman"/>
                <w:sz w:val="24"/>
                <w:szCs w:val="24"/>
                <w:lang w:val="en-US" w:eastAsia="zh-CN"/>
              </w:rPr>
              <w:t>本项目将产生的</w:t>
            </w:r>
            <w:r>
              <w:rPr>
                <w:rFonts w:hint="eastAsia" w:cs="Times New Roman"/>
                <w:sz w:val="24"/>
                <w:szCs w:val="24"/>
                <w:lang w:val="en-US" w:eastAsia="zh-CN"/>
              </w:rPr>
              <w:t>动物诊疗废物</w:t>
            </w:r>
            <w:r>
              <w:rPr>
                <w:rFonts w:hint="eastAsia" w:ascii="Times New Roman" w:hAnsi="Times New Roman" w:eastAsia="宋体" w:cs="Times New Roman"/>
                <w:sz w:val="24"/>
                <w:szCs w:val="24"/>
                <w:lang w:val="en-US" w:eastAsia="zh-CN"/>
              </w:rPr>
              <w:t>分类装入专用垃圾包装袋、利器盒内。保证废物包装完好及封口紧密，防止所盛装的废物</w:t>
            </w:r>
            <w:r>
              <w:rPr>
                <w:rFonts w:hint="eastAsia" w:cs="Times New Roman"/>
                <w:sz w:val="24"/>
                <w:szCs w:val="24"/>
                <w:lang w:val="en-US" w:eastAsia="zh-CN"/>
              </w:rPr>
              <w:t>泄漏</w:t>
            </w:r>
            <w:r>
              <w:rPr>
                <w:rFonts w:hint="eastAsia" w:ascii="Times New Roman" w:hAnsi="Times New Roman" w:eastAsia="宋体" w:cs="Times New Roman"/>
                <w:sz w:val="24"/>
                <w:szCs w:val="24"/>
                <w:lang w:val="en-US" w:eastAsia="zh-CN"/>
              </w:rPr>
              <w:t>污染环境，需如实填写</w:t>
            </w:r>
            <w:r>
              <w:rPr>
                <w:rFonts w:hint="eastAsia" w:cs="Times New Roman"/>
                <w:sz w:val="24"/>
                <w:szCs w:val="24"/>
                <w:lang w:val="en-US" w:eastAsia="zh-CN"/>
              </w:rPr>
              <w:t>动物诊疗废物转运台账</w:t>
            </w:r>
            <w:r>
              <w:rPr>
                <w:rFonts w:hint="eastAsia" w:ascii="Times New Roman" w:hAnsi="Times New Roman" w:eastAsia="宋体" w:cs="Times New Roman"/>
                <w:sz w:val="24"/>
                <w:szCs w:val="24"/>
                <w:lang w:val="en-US" w:eastAsia="zh-CN"/>
              </w:rPr>
              <w:t>，保证委托处理的</w:t>
            </w:r>
            <w:r>
              <w:rPr>
                <w:rFonts w:hint="eastAsia" w:cs="Times New Roman"/>
                <w:sz w:val="24"/>
                <w:szCs w:val="24"/>
                <w:lang w:val="en-US" w:eastAsia="zh-CN"/>
              </w:rPr>
              <w:t>动物诊疗废物</w:t>
            </w:r>
            <w:r>
              <w:rPr>
                <w:rFonts w:hint="eastAsia" w:ascii="Times New Roman" w:hAnsi="Times New Roman" w:eastAsia="宋体" w:cs="Times New Roman"/>
                <w:sz w:val="24"/>
                <w:szCs w:val="24"/>
                <w:lang w:val="en-US" w:eastAsia="zh-CN"/>
              </w:rPr>
              <w:t>与填写的内容保持一致。项目产生的</w:t>
            </w:r>
            <w:r>
              <w:rPr>
                <w:rFonts w:hint="eastAsia" w:cs="Times New Roman"/>
                <w:sz w:val="24"/>
                <w:szCs w:val="24"/>
                <w:lang w:val="en-US" w:eastAsia="zh-CN"/>
              </w:rPr>
              <w:t>动物诊疗废物</w:t>
            </w:r>
            <w:r>
              <w:rPr>
                <w:rFonts w:hint="eastAsia" w:ascii="Times New Roman" w:hAnsi="Times New Roman" w:eastAsia="宋体" w:cs="Times New Roman"/>
                <w:sz w:val="24"/>
                <w:szCs w:val="24"/>
                <w:lang w:val="en-US" w:eastAsia="zh-CN"/>
              </w:rPr>
              <w:t>收集至</w:t>
            </w:r>
            <w:r>
              <w:rPr>
                <w:rFonts w:hint="eastAsia" w:cs="Times New Roman"/>
                <w:color w:val="000000"/>
                <w:kern w:val="2"/>
                <w:sz w:val="24"/>
                <w:szCs w:val="24"/>
                <w:lang w:val="en-US" w:eastAsia="zh-CN" w:bidi="ar-SA"/>
              </w:rPr>
              <w:t>医疗废物专用暂时贮存</w:t>
            </w:r>
            <w:r>
              <w:rPr>
                <w:rFonts w:hint="eastAsia" w:cs="Times New Roman"/>
                <w:snapToGrid w:val="0"/>
                <w:kern w:val="0"/>
                <w:sz w:val="24"/>
                <w:szCs w:val="24"/>
                <w:highlight w:val="none"/>
                <w:lang w:val="en-US" w:eastAsia="zh-CN"/>
              </w:rPr>
              <w:t>库房</w:t>
            </w:r>
            <w:r>
              <w:rPr>
                <w:rFonts w:hint="eastAsia" w:ascii="Times New Roman" w:hAnsi="Times New Roman" w:eastAsia="宋体" w:cs="Times New Roman"/>
                <w:sz w:val="24"/>
                <w:szCs w:val="24"/>
                <w:lang w:val="en-US" w:eastAsia="zh-CN"/>
              </w:rPr>
              <w:t>暂存处理，定期委托</w:t>
            </w:r>
            <w:r>
              <w:rPr>
                <w:rFonts w:hint="eastAsia" w:cs="Times New Roman"/>
                <w:sz w:val="24"/>
                <w:szCs w:val="24"/>
                <w:lang w:val="en-US" w:eastAsia="zh-CN"/>
              </w:rPr>
              <w:t>库尔勒天达环卫有限责任公司</w:t>
            </w:r>
            <w:r>
              <w:rPr>
                <w:rFonts w:hint="eastAsia" w:ascii="Times New Roman" w:hAnsi="Times New Roman" w:eastAsia="宋体" w:cs="Times New Roman"/>
                <w:sz w:val="24"/>
                <w:szCs w:val="24"/>
                <w:lang w:val="en-US" w:eastAsia="zh-CN"/>
              </w:rPr>
              <w:t>处理。</w:t>
            </w:r>
            <w:r>
              <w:rPr>
                <w:rFonts w:hint="eastAsia" w:cs="Times New Roman"/>
                <w:sz w:val="24"/>
                <w:szCs w:val="24"/>
                <w:lang w:val="en-US" w:eastAsia="zh-CN"/>
              </w:rPr>
              <w:t>参照</w:t>
            </w:r>
            <w:r>
              <w:rPr>
                <w:rFonts w:hint="eastAsia" w:ascii="Times New Roman" w:hAnsi="Times New Roman" w:eastAsia="宋体" w:cs="Times New Roman"/>
                <w:sz w:val="24"/>
                <w:szCs w:val="24"/>
                <w:lang w:val="en-US" w:eastAsia="zh-CN"/>
              </w:rPr>
              <w:t>《国家危险废物名录（202</w:t>
            </w:r>
            <w:r>
              <w:rPr>
                <w:rFonts w:hint="eastAsia" w:cs="Times New Roman"/>
                <w:sz w:val="24"/>
                <w:szCs w:val="24"/>
                <w:lang w:val="en-US" w:eastAsia="zh-CN"/>
              </w:rPr>
              <w:t>5</w:t>
            </w:r>
            <w:r>
              <w:rPr>
                <w:rFonts w:hint="eastAsia" w:ascii="Times New Roman" w:hAnsi="Times New Roman" w:eastAsia="宋体" w:cs="Times New Roman"/>
                <w:sz w:val="24"/>
                <w:szCs w:val="24"/>
                <w:lang w:val="en-US" w:eastAsia="zh-CN"/>
              </w:rPr>
              <w:t>）》</w:t>
            </w:r>
            <w:r>
              <w:rPr>
                <w:rFonts w:hint="eastAsia" w:cs="Times New Roman"/>
                <w:sz w:val="24"/>
                <w:szCs w:val="24"/>
                <w:lang w:val="en-US" w:eastAsia="zh-CN"/>
              </w:rPr>
              <w:t>中</w:t>
            </w:r>
            <w:r>
              <w:rPr>
                <w:rFonts w:hint="eastAsia" w:ascii="Times New Roman" w:hAnsi="Times New Roman" w:eastAsia="宋体" w:cs="Times New Roman"/>
                <w:sz w:val="24"/>
                <w:szCs w:val="24"/>
                <w:highlight w:val="none"/>
                <w:lang w:val="en-US" w:eastAsia="zh-CN"/>
              </w:rPr>
              <w:t>医疗废物危险特性，动物诊疗废物危险特性见下表</w:t>
            </w:r>
            <w:r>
              <w:rPr>
                <w:rFonts w:hint="eastAsia" w:cs="Times New Roman"/>
                <w:sz w:val="24"/>
                <w:szCs w:val="24"/>
                <w:highlight w:val="none"/>
                <w:lang w:val="en-US" w:eastAsia="zh-CN"/>
              </w:rPr>
              <w:t>：</w:t>
            </w:r>
          </w:p>
          <w:p>
            <w:pPr>
              <w:pStyle w:val="82"/>
              <w:keepNext w:val="0"/>
              <w:keepLines w:val="0"/>
              <w:suppressLineNumbers w:val="0"/>
              <w:spacing w:before="0" w:beforeAutospacing="0" w:after="0" w:afterAutospacing="0" w:line="240" w:lineRule="auto"/>
              <w:ind w:left="0" w:right="0" w:firstLine="410" w:firstLineChars="200"/>
              <w:jc w:val="both"/>
              <w:rPr>
                <w:rFonts w:hint="default"/>
                <w:sz w:val="21"/>
                <w:szCs w:val="21"/>
                <w:highlight w:val="none"/>
              </w:rPr>
            </w:pPr>
            <w:r>
              <w:rPr>
                <w:rFonts w:hint="default"/>
                <w:b/>
                <w:bCs/>
                <w:spacing w:val="-3"/>
                <w:sz w:val="21"/>
                <w:szCs w:val="21"/>
                <w:highlight w:val="none"/>
              </w:rPr>
              <w:t>表</w:t>
            </w:r>
            <w:r>
              <w:rPr>
                <w:rFonts w:hint="default"/>
                <w:spacing w:val="-41"/>
                <w:sz w:val="21"/>
                <w:szCs w:val="21"/>
                <w:highlight w:val="none"/>
              </w:rPr>
              <w:t xml:space="preserve"> </w:t>
            </w:r>
            <w:r>
              <w:rPr>
                <w:rFonts w:hint="eastAsia" w:cs="Times New Roman"/>
                <w:b/>
                <w:bCs/>
                <w:spacing w:val="-3"/>
                <w:sz w:val="21"/>
                <w:szCs w:val="21"/>
                <w:highlight w:val="none"/>
                <w:lang w:val="en-US" w:eastAsia="zh-CN"/>
              </w:rPr>
              <w:t>4-10</w:t>
            </w:r>
            <w:r>
              <w:rPr>
                <w:rFonts w:hint="eastAsia" w:ascii="Times New Roman" w:hAnsi="Times New Roman" w:eastAsia="宋体" w:cs="Times New Roman"/>
                <w:b/>
                <w:bCs/>
                <w:spacing w:val="-3"/>
                <w:sz w:val="21"/>
                <w:szCs w:val="21"/>
                <w:highlight w:val="none"/>
                <w:lang w:val="en-US" w:eastAsia="zh-CN"/>
              </w:rPr>
              <w:t xml:space="preserve">       </w:t>
            </w:r>
            <w:r>
              <w:rPr>
                <w:rFonts w:hint="eastAsia" w:eastAsia="宋体" w:cs="Times New Roman"/>
                <w:b/>
                <w:bCs/>
                <w:spacing w:val="-3"/>
                <w:sz w:val="21"/>
                <w:szCs w:val="21"/>
                <w:highlight w:val="none"/>
                <w:lang w:val="en-US" w:eastAsia="zh-CN"/>
              </w:rPr>
              <w:t xml:space="preserve">              </w:t>
            </w:r>
            <w:r>
              <w:rPr>
                <w:rFonts w:hint="eastAsia" w:ascii="Times New Roman" w:hAnsi="Times New Roman" w:eastAsia="宋体" w:cs="Times New Roman"/>
                <w:b/>
                <w:bCs/>
                <w:spacing w:val="-3"/>
                <w:sz w:val="21"/>
                <w:szCs w:val="21"/>
                <w:highlight w:val="none"/>
                <w:lang w:val="en-US" w:eastAsia="zh-CN"/>
              </w:rPr>
              <w:t xml:space="preserve"> </w:t>
            </w:r>
            <w:r>
              <w:rPr>
                <w:rFonts w:hint="eastAsia" w:eastAsia="宋体"/>
                <w:b/>
                <w:bCs/>
                <w:spacing w:val="-3"/>
                <w:sz w:val="21"/>
                <w:szCs w:val="21"/>
                <w:highlight w:val="none"/>
                <w:lang w:eastAsia="zh-CN"/>
              </w:rPr>
              <w:t>动物诊疗废物</w:t>
            </w:r>
            <w:r>
              <w:rPr>
                <w:rFonts w:hint="default"/>
                <w:b/>
                <w:bCs/>
                <w:spacing w:val="-3"/>
                <w:sz w:val="21"/>
                <w:szCs w:val="21"/>
                <w:highlight w:val="none"/>
              </w:rPr>
              <w:t>特性汇总表</w:t>
            </w:r>
          </w:p>
          <w:tbl>
            <w:tblPr>
              <w:tblStyle w:val="68"/>
              <w:tblW w:w="4996" w:type="pct"/>
              <w:jc w:val="center"/>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1100"/>
              <w:gridCol w:w="566"/>
              <w:gridCol w:w="1076"/>
              <w:gridCol w:w="562"/>
              <w:gridCol w:w="297"/>
              <w:gridCol w:w="466"/>
              <w:gridCol w:w="2085"/>
              <w:gridCol w:w="660"/>
              <w:gridCol w:w="1155"/>
            </w:tblGrid>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898" w:hRule="atLeast"/>
                <w:jc w:val="center"/>
              </w:trPr>
              <w:tc>
                <w:tcPr>
                  <w:tcW w:w="698" w:type="pct"/>
                  <w:tcBorders>
                    <w:bottom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名称</w:t>
                  </w:r>
                </w:p>
              </w:tc>
              <w:tc>
                <w:tcPr>
                  <w:tcW w:w="302" w:type="pct"/>
                  <w:tcBorders>
                    <w:bottom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类别</w:t>
                  </w:r>
                </w:p>
              </w:tc>
              <w:tc>
                <w:tcPr>
                  <w:tcW w:w="682" w:type="pct"/>
                  <w:tcBorders>
                    <w:bottom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代码</w:t>
                  </w:r>
                </w:p>
              </w:tc>
              <w:tc>
                <w:tcPr>
                  <w:tcW w:w="360" w:type="pct"/>
                  <w:tcBorders>
                    <w:bottom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产生过程</w:t>
                  </w:r>
                </w:p>
              </w:tc>
              <w:tc>
                <w:tcPr>
                  <w:tcW w:w="194" w:type="pct"/>
                  <w:tcBorders>
                    <w:bottom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形态</w:t>
                  </w:r>
                </w:p>
              </w:tc>
              <w:tc>
                <w:tcPr>
                  <w:tcW w:w="300" w:type="pct"/>
                  <w:tcBorders>
                    <w:bottom w:val="single" w:color="000000" w:sz="12" w:space="0"/>
                  </w:tcBorders>
                  <w:noWrap w:val="0"/>
                  <w:vAlign w:val="center"/>
                </w:tcPr>
                <w:p>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color w:val="000000"/>
                      <w:kern w:val="0"/>
                      <w:sz w:val="21"/>
                      <w:szCs w:val="21"/>
                      <w:highlight w:val="none"/>
                    </w:rPr>
                  </w:pPr>
                  <w:r>
                    <w:rPr>
                      <w:rFonts w:hint="default" w:ascii="Times New Roman" w:hAnsi="Times New Roman" w:eastAsia="宋体" w:cs="Times New Roman"/>
                      <w:b/>
                      <w:bCs/>
                      <w:color w:val="000000"/>
                      <w:kern w:val="0"/>
                      <w:sz w:val="21"/>
                      <w:szCs w:val="21"/>
                      <w:highlight w:val="none"/>
                    </w:rPr>
                    <w:t>产生</w:t>
                  </w:r>
                </w:p>
                <w:p>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bCs/>
                      <w:color w:val="000000"/>
                      <w:kern w:val="0"/>
                      <w:sz w:val="21"/>
                      <w:szCs w:val="21"/>
                      <w:highlight w:val="none"/>
                      <w:lang w:eastAsia="zh-CN"/>
                    </w:rPr>
                  </w:pPr>
                  <w:r>
                    <w:rPr>
                      <w:rFonts w:hint="default" w:ascii="Times New Roman" w:hAnsi="Times New Roman" w:eastAsia="宋体" w:cs="Times New Roman"/>
                      <w:b/>
                      <w:bCs/>
                      <w:color w:val="000000"/>
                      <w:kern w:val="0"/>
                      <w:sz w:val="21"/>
                      <w:szCs w:val="21"/>
                      <w:highlight w:val="none"/>
                    </w:rPr>
                    <w:t>量（</w:t>
                  </w:r>
                  <w:r>
                    <w:rPr>
                      <w:rFonts w:hint="default" w:ascii="Times New Roman" w:hAnsi="Times New Roman" w:eastAsia="宋体" w:cs="Times New Roman"/>
                      <w:b/>
                      <w:bCs/>
                      <w:color w:val="000000"/>
                      <w:kern w:val="0"/>
                      <w:sz w:val="21"/>
                      <w:szCs w:val="21"/>
                      <w:highlight w:val="none"/>
                      <w:lang w:eastAsia="zh-CN"/>
                    </w:rPr>
                    <w:t>t</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color w:val="000000"/>
                      <w:kern w:val="0"/>
                      <w:sz w:val="21"/>
                      <w:szCs w:val="21"/>
                      <w:highlight w:val="none"/>
                    </w:rPr>
                    <w:t>/年）</w:t>
                  </w:r>
                </w:p>
              </w:tc>
              <w:tc>
                <w:tcPr>
                  <w:tcW w:w="1315" w:type="pct"/>
                  <w:tcBorders>
                    <w:bottom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主要成分</w:t>
                  </w:r>
                </w:p>
              </w:tc>
              <w:tc>
                <w:tcPr>
                  <w:tcW w:w="413" w:type="pct"/>
                  <w:tcBorders>
                    <w:bottom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危险特性</w:t>
                  </w:r>
                </w:p>
              </w:tc>
              <w:tc>
                <w:tcPr>
                  <w:tcW w:w="732" w:type="pct"/>
                  <w:tcBorders>
                    <w:bottom w:val="single" w:color="000000" w:sz="12"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污染防治措施</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679" w:hRule="atLeast"/>
                <w:jc w:val="center"/>
              </w:trPr>
              <w:tc>
                <w:tcPr>
                  <w:tcW w:w="698" w:type="pct"/>
                  <w:tcBorders>
                    <w:top w:val="single" w:color="000000" w:sz="12"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感染性废物</w:t>
                  </w:r>
                </w:p>
              </w:tc>
              <w:tc>
                <w:tcPr>
                  <w:tcW w:w="302" w:type="pct"/>
                  <w:vMerge w:val="restart"/>
                  <w:tcBorders>
                    <w:top w:val="single" w:color="000000" w:sz="12"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HW01医疗废物</w:t>
                  </w:r>
                </w:p>
              </w:tc>
              <w:tc>
                <w:tcPr>
                  <w:tcW w:w="682" w:type="pct"/>
                  <w:tcBorders>
                    <w:top w:val="single" w:color="000000" w:sz="12"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841-001-01</w:t>
                  </w:r>
                </w:p>
              </w:tc>
              <w:tc>
                <w:tcPr>
                  <w:tcW w:w="360" w:type="pct"/>
                  <w:vMerge w:val="restart"/>
                  <w:tcBorders>
                    <w:top w:val="single" w:color="000000" w:sz="12"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eastAsia="zh-CN"/>
                    </w:rPr>
                    <w:t>宠物诊疗</w:t>
                  </w:r>
                  <w:r>
                    <w:rPr>
                      <w:rFonts w:hint="default" w:ascii="Times New Roman" w:hAnsi="Times New Roman" w:eastAsia="宋体" w:cs="Times New Roman"/>
                      <w:sz w:val="21"/>
                      <w:szCs w:val="21"/>
                    </w:rPr>
                    <w:t>服务</w:t>
                  </w:r>
                </w:p>
              </w:tc>
              <w:tc>
                <w:tcPr>
                  <w:tcW w:w="194" w:type="pct"/>
                  <w:vMerge w:val="restart"/>
                  <w:tcBorders>
                    <w:top w:val="single" w:color="000000" w:sz="12"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固态</w:t>
                  </w:r>
                </w:p>
              </w:tc>
              <w:tc>
                <w:tcPr>
                  <w:tcW w:w="300" w:type="pct"/>
                  <w:vMerge w:val="restart"/>
                  <w:tcBorders>
                    <w:top w:val="single" w:color="000000" w:sz="12"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w:t>
                  </w:r>
                  <w:r>
                    <w:rPr>
                      <w:rFonts w:hint="eastAsia" w:cs="Times New Roman"/>
                      <w:sz w:val="21"/>
                      <w:szCs w:val="21"/>
                      <w:lang w:val="en-US" w:eastAsia="zh-CN"/>
                    </w:rPr>
                    <w:t>1</w:t>
                  </w:r>
                </w:p>
              </w:tc>
              <w:tc>
                <w:tcPr>
                  <w:tcW w:w="1315" w:type="pct"/>
                  <w:tcBorders>
                    <w:top w:val="single" w:color="000000" w:sz="12"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使用过的一次性医疗用品及器械、废弃的各种敷料等</w:t>
                  </w:r>
                </w:p>
              </w:tc>
              <w:tc>
                <w:tcPr>
                  <w:tcW w:w="413" w:type="pct"/>
                  <w:vMerge w:val="restart"/>
                  <w:tcBorders>
                    <w:top w:val="single" w:color="000000" w:sz="12"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In</w:t>
                  </w:r>
                </w:p>
              </w:tc>
              <w:tc>
                <w:tcPr>
                  <w:tcW w:w="732" w:type="pct"/>
                  <w:vMerge w:val="restart"/>
                  <w:tcBorders>
                    <w:top w:val="single" w:color="000000" w:sz="12"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集中收集</w:t>
                  </w:r>
                  <w:r>
                    <w:rPr>
                      <w:rFonts w:hint="eastAsia" w:ascii="Times New Roman" w:hAnsi="Times New Roman" w:eastAsia="宋体" w:cs="Times New Roman"/>
                      <w:sz w:val="21"/>
                      <w:szCs w:val="21"/>
                      <w:lang w:val="en-US" w:eastAsia="zh-CN"/>
                    </w:rPr>
                    <w:t>至</w:t>
                  </w:r>
                  <w:r>
                    <w:rPr>
                      <w:rFonts w:hint="default" w:ascii="Times New Roman" w:hAnsi="Times New Roman" w:eastAsia="宋体" w:cs="Times New Roman"/>
                      <w:sz w:val="21"/>
                      <w:szCs w:val="21"/>
                      <w:lang w:val="en-US" w:eastAsia="zh-CN"/>
                    </w:rPr>
                    <w:t>医疗废物专用暂时贮存库房</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val="en-US" w:eastAsia="zh-CN"/>
                    </w:rPr>
                    <w:t>定期委托库尔勒天达环卫有限责任公司处理</w:t>
                  </w: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69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损伤性废物</w:t>
                  </w:r>
                </w:p>
              </w:tc>
              <w:tc>
                <w:tcPr>
                  <w:tcW w:w="30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6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841-002-01</w:t>
                  </w:r>
                </w:p>
              </w:tc>
              <w:tc>
                <w:tcPr>
                  <w:tcW w:w="360" w:type="pct"/>
                  <w:vMerge w:val="continue"/>
                  <w:tcBorders>
                    <w:tl2br w:val="nil"/>
                    <w:tr2bl w:val="nil"/>
                  </w:tcBorders>
                  <w:noWrap w:val="0"/>
                  <w:textDirection w:val="tbRlV"/>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194" w:type="pct"/>
                  <w:vMerge w:val="continue"/>
                  <w:tcBorders>
                    <w:tl2br w:val="nil"/>
                    <w:tr2bl w:val="nil"/>
                  </w:tcBorders>
                  <w:noWrap w:val="0"/>
                  <w:textDirection w:val="tbRlV"/>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30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131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医用针头、缝合针、载玻片等</w:t>
                  </w:r>
                </w:p>
              </w:tc>
              <w:tc>
                <w:tcPr>
                  <w:tcW w:w="41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73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793" w:hRule="atLeast"/>
                <w:jc w:val="center"/>
              </w:trPr>
              <w:tc>
                <w:tcPr>
                  <w:tcW w:w="69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病理性废物</w:t>
                  </w:r>
                </w:p>
              </w:tc>
              <w:tc>
                <w:tcPr>
                  <w:tcW w:w="30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6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841-003-01</w:t>
                  </w:r>
                </w:p>
              </w:tc>
              <w:tc>
                <w:tcPr>
                  <w:tcW w:w="360" w:type="pct"/>
                  <w:vMerge w:val="continue"/>
                  <w:tcBorders>
                    <w:tl2br w:val="nil"/>
                    <w:tr2bl w:val="nil"/>
                  </w:tcBorders>
                  <w:noWrap w:val="0"/>
                  <w:textDirection w:val="tbRlV"/>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194" w:type="pct"/>
                  <w:vMerge w:val="continue"/>
                  <w:tcBorders>
                    <w:tl2br w:val="nil"/>
                    <w:tr2bl w:val="nil"/>
                  </w:tcBorders>
                  <w:noWrap w:val="0"/>
                  <w:textDirection w:val="tbRlV"/>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30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131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手术及其他诊疗过程中产生的废弃的动物组织、器官</w:t>
                  </w:r>
                </w:p>
              </w:tc>
              <w:tc>
                <w:tcPr>
                  <w:tcW w:w="41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73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55" w:hRule="atLeast"/>
                <w:jc w:val="center"/>
              </w:trPr>
              <w:tc>
                <w:tcPr>
                  <w:tcW w:w="69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化学性废物</w:t>
                  </w:r>
                </w:p>
              </w:tc>
              <w:tc>
                <w:tcPr>
                  <w:tcW w:w="30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6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841-004-01</w:t>
                  </w:r>
                </w:p>
              </w:tc>
              <w:tc>
                <w:tcPr>
                  <w:tcW w:w="360" w:type="pct"/>
                  <w:vMerge w:val="continue"/>
                  <w:tcBorders>
                    <w:tl2br w:val="nil"/>
                    <w:tr2bl w:val="nil"/>
                  </w:tcBorders>
                  <w:noWrap w:val="0"/>
                  <w:textDirection w:val="tbRlV"/>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194" w:type="pct"/>
                  <w:vMerge w:val="continue"/>
                  <w:tcBorders>
                    <w:tl2br w:val="nil"/>
                    <w:tr2bl w:val="nil"/>
                  </w:tcBorders>
                  <w:noWrap w:val="0"/>
                  <w:textDirection w:val="tbRlV"/>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30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131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化验检查废弃物</w:t>
                  </w:r>
                </w:p>
              </w:tc>
              <w:tc>
                <w:tcPr>
                  <w:tcW w:w="41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T/C/I/R</w:t>
                  </w:r>
                </w:p>
              </w:tc>
              <w:tc>
                <w:tcPr>
                  <w:tcW w:w="73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sz w:val="21"/>
                      <w:szCs w:val="21"/>
                    </w:rPr>
                  </w:pPr>
                </w:p>
              </w:tc>
            </w:tr>
            <w:tr>
              <w:tblPrEx>
                <w:tblBorders>
                  <w:top w:val="single" w:color="000000" w:sz="12" w:space="0"/>
                  <w:left w:val="none" w:color="auto" w:sz="0" w:space="0"/>
                  <w:bottom w:val="single" w:color="000000" w:sz="12"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489" w:hRule="atLeast"/>
                <w:jc w:val="center"/>
              </w:trPr>
              <w:tc>
                <w:tcPr>
                  <w:tcW w:w="69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药物性废物</w:t>
                  </w:r>
                </w:p>
              </w:tc>
              <w:tc>
                <w:tcPr>
                  <w:tcW w:w="30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6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841-005-01</w:t>
                  </w:r>
                </w:p>
              </w:tc>
              <w:tc>
                <w:tcPr>
                  <w:tcW w:w="360" w:type="pct"/>
                  <w:vMerge w:val="continue"/>
                  <w:tcBorders>
                    <w:tl2br w:val="nil"/>
                    <w:tr2bl w:val="nil"/>
                  </w:tcBorders>
                  <w:noWrap w:val="0"/>
                  <w:textDirection w:val="tbRlV"/>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194" w:type="pct"/>
                  <w:vMerge w:val="continue"/>
                  <w:tcBorders>
                    <w:tl2br w:val="nil"/>
                    <w:tr2bl w:val="nil"/>
                  </w:tcBorders>
                  <w:noWrap w:val="0"/>
                  <w:textDirection w:val="tbRlV"/>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30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p>
              </w:tc>
              <w:tc>
                <w:tcPr>
                  <w:tcW w:w="131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过期、变质或被污染而被废弃的药品</w:t>
                  </w:r>
                </w:p>
              </w:tc>
              <w:tc>
                <w:tcPr>
                  <w:tcW w:w="41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T</w:t>
                  </w:r>
                </w:p>
              </w:tc>
              <w:tc>
                <w:tcPr>
                  <w:tcW w:w="73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sz w:val="21"/>
                      <w:szCs w:val="21"/>
                    </w:rPr>
                  </w:pPr>
                </w:p>
              </w:tc>
            </w:tr>
          </w:tbl>
          <w:p>
            <w:pPr>
              <w:pStyle w:val="6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default" w:ascii="Times New Roman" w:hAnsi="Times New Roman" w:eastAsia="宋体" w:cs="Times New Roman"/>
                <w:b/>
                <w:bCs w:val="0"/>
                <w:color w:val="000000"/>
                <w:sz w:val="21"/>
                <w:szCs w:val="21"/>
                <w:highlight w:val="none"/>
                <w:lang w:val="en-US" w:eastAsia="zh-CN"/>
              </w:rPr>
            </w:pPr>
            <w:r>
              <w:rPr>
                <w:rFonts w:hint="default" w:ascii="Times New Roman" w:hAnsi="Times New Roman" w:eastAsia="宋体" w:cs="Times New Roman"/>
                <w:b/>
                <w:bCs w:val="0"/>
                <w:color w:val="000000"/>
                <w:sz w:val="21"/>
                <w:szCs w:val="21"/>
                <w:highlight w:val="none"/>
                <w:lang w:val="en-US" w:eastAsia="zh-CN"/>
              </w:rPr>
              <w:t>表4-</w:t>
            </w:r>
            <w:r>
              <w:rPr>
                <w:rFonts w:hint="eastAsia" w:ascii="Times New Roman" w:hAnsi="Times New Roman" w:eastAsia="宋体" w:cs="Times New Roman"/>
                <w:b/>
                <w:bCs w:val="0"/>
                <w:color w:val="000000"/>
                <w:sz w:val="21"/>
                <w:szCs w:val="21"/>
                <w:highlight w:val="none"/>
                <w:lang w:val="en-US" w:eastAsia="zh-CN"/>
              </w:rPr>
              <w:t>1</w:t>
            </w:r>
            <w:r>
              <w:rPr>
                <w:rFonts w:hint="eastAsia" w:cs="Times New Roman"/>
                <w:b/>
                <w:bCs w:val="0"/>
                <w:color w:val="000000"/>
                <w:sz w:val="21"/>
                <w:szCs w:val="21"/>
                <w:highlight w:val="none"/>
                <w:lang w:val="en-US" w:eastAsia="zh-CN"/>
              </w:rPr>
              <w:t>1</w:t>
            </w:r>
            <w:r>
              <w:rPr>
                <w:rFonts w:hint="default" w:ascii="Times New Roman" w:hAnsi="Times New Roman" w:eastAsia="宋体" w:cs="Times New Roman"/>
                <w:b/>
                <w:bCs w:val="0"/>
                <w:color w:val="000000"/>
                <w:sz w:val="21"/>
                <w:szCs w:val="21"/>
                <w:highlight w:val="none"/>
                <w:lang w:val="en-US" w:eastAsia="zh-CN"/>
              </w:rPr>
              <w:t xml:space="preserve">       </w:t>
            </w:r>
            <w:r>
              <w:rPr>
                <w:rFonts w:hint="eastAsia" w:cs="Times New Roman"/>
                <w:b/>
                <w:bCs w:val="0"/>
                <w:color w:val="000000"/>
                <w:sz w:val="21"/>
                <w:szCs w:val="21"/>
                <w:highlight w:val="none"/>
                <w:lang w:val="en-US" w:eastAsia="zh-CN"/>
              </w:rPr>
              <w:t>固体废物</w:t>
            </w:r>
            <w:r>
              <w:rPr>
                <w:rFonts w:hint="default" w:ascii="Times New Roman" w:hAnsi="Times New Roman" w:eastAsia="宋体" w:cs="Times New Roman"/>
                <w:b/>
                <w:bCs w:val="0"/>
                <w:color w:val="000000"/>
                <w:sz w:val="21"/>
                <w:szCs w:val="21"/>
                <w:highlight w:val="none"/>
                <w:lang w:val="en-US" w:eastAsia="zh-CN"/>
              </w:rPr>
              <w:t>污染源源强核算结果及相关参数一览表</w:t>
            </w:r>
          </w:p>
          <w:tbl>
            <w:tblPr>
              <w:tblStyle w:val="30"/>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665"/>
              <w:gridCol w:w="623"/>
              <w:gridCol w:w="445"/>
              <w:gridCol w:w="1406"/>
              <w:gridCol w:w="427"/>
              <w:gridCol w:w="871"/>
              <w:gridCol w:w="971"/>
              <w:gridCol w:w="871"/>
              <w:gridCol w:w="99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4"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t>工序/生产线</w:t>
                  </w:r>
                </w:p>
              </w:tc>
              <w:tc>
                <w:tcPr>
                  <w:tcW w:w="424"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t>装置</w:t>
                  </w:r>
                </w:p>
              </w:tc>
              <w:tc>
                <w:tcPr>
                  <w:tcW w:w="397"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t>固体废物名称</w:t>
                  </w:r>
                </w:p>
              </w:tc>
              <w:tc>
                <w:tcPr>
                  <w:tcW w:w="285"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t>固废属性</w:t>
                  </w:r>
                </w:p>
              </w:tc>
              <w:tc>
                <w:tcPr>
                  <w:tcW w:w="866"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t>固废代码</w:t>
                  </w:r>
                </w:p>
              </w:tc>
              <w:tc>
                <w:tcPr>
                  <w:tcW w:w="801" w:type="pct"/>
                  <w:gridSpan w:val="2"/>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t>产生情况</w:t>
                  </w:r>
                </w:p>
              </w:tc>
              <w:tc>
                <w:tcPr>
                  <w:tcW w:w="1151" w:type="pct"/>
                  <w:gridSpan w:val="2"/>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t>处置措施</w:t>
                  </w:r>
                </w:p>
              </w:tc>
              <w:tc>
                <w:tcPr>
                  <w:tcW w:w="628"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t>最终去向</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4"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pPr>
                </w:p>
              </w:tc>
              <w:tc>
                <w:tcPr>
                  <w:tcW w:w="424"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pPr>
                </w:p>
              </w:tc>
              <w:tc>
                <w:tcPr>
                  <w:tcW w:w="397"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pPr>
                </w:p>
              </w:tc>
              <w:tc>
                <w:tcPr>
                  <w:tcW w:w="285"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pPr>
                </w:p>
              </w:tc>
              <w:tc>
                <w:tcPr>
                  <w:tcW w:w="866"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pPr>
                </w:p>
              </w:tc>
              <w:tc>
                <w:tcPr>
                  <w:tcW w:w="26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t>核算方法</w:t>
                  </w:r>
                </w:p>
              </w:tc>
              <w:tc>
                <w:tcPr>
                  <w:tcW w:w="53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t>产生量（t/a）</w:t>
                  </w:r>
                </w:p>
              </w:tc>
              <w:tc>
                <w:tcPr>
                  <w:tcW w:w="61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t>工艺</w:t>
                  </w:r>
                </w:p>
              </w:tc>
              <w:tc>
                <w:tcPr>
                  <w:tcW w:w="53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spacing w:val="0"/>
                      <w:kern w:val="0"/>
                      <w:position w:val="0"/>
                      <w:sz w:val="21"/>
                      <w:szCs w:val="21"/>
                      <w:highlight w:val="none"/>
                      <w:lang w:val="en-US" w:eastAsia="zh-CN"/>
                      <w14:textFill>
                        <w14:solidFill>
                          <w14:schemeClr w14:val="tx1"/>
                        </w14:solidFill>
                      </w14:textFill>
                    </w:rPr>
                    <w:t>处置量（t/a）</w:t>
                  </w:r>
                </w:p>
              </w:tc>
              <w:tc>
                <w:tcPr>
                  <w:tcW w:w="628"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4"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color w:val="000000" w:themeColor="text1"/>
                      <w:spacing w:val="0"/>
                      <w:kern w:val="0"/>
                      <w:position w:val="0"/>
                      <w:sz w:val="21"/>
                      <w:szCs w:val="21"/>
                      <w:highlight w:val="none"/>
                      <w:lang w:val="en-US" w:eastAsia="zh-CN"/>
                      <w14:textFill>
                        <w14:solidFill>
                          <w14:schemeClr w14:val="tx1"/>
                        </w14:solidFill>
                      </w14:textFill>
                    </w:rPr>
                    <w:t>医院运营</w:t>
                  </w:r>
                </w:p>
              </w:tc>
              <w:tc>
                <w:tcPr>
                  <w:tcW w:w="42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color w:val="000000" w:themeColor="text1"/>
                      <w:spacing w:val="0"/>
                      <w:kern w:val="0"/>
                      <w:position w:val="0"/>
                      <w:sz w:val="21"/>
                      <w:szCs w:val="21"/>
                      <w:highlight w:val="none"/>
                      <w:lang w:val="en-US" w:eastAsia="zh-CN"/>
                      <w14:textFill>
                        <w14:solidFill>
                          <w14:schemeClr w14:val="tx1"/>
                        </w14:solidFill>
                      </w14:textFill>
                    </w:rPr>
                    <w:t>宠物住院</w:t>
                  </w:r>
                </w:p>
              </w:tc>
              <w:tc>
                <w:tcPr>
                  <w:tcW w:w="397"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color w:val="000000" w:themeColor="text1"/>
                      <w:spacing w:val="0"/>
                      <w:kern w:val="0"/>
                      <w:position w:val="0"/>
                      <w:sz w:val="21"/>
                      <w:szCs w:val="21"/>
                      <w:highlight w:val="none"/>
                      <w:lang w:val="en-US" w:eastAsia="zh-CN"/>
                      <w14:textFill>
                        <w14:solidFill>
                          <w14:schemeClr w14:val="tx1"/>
                        </w14:solidFill>
                      </w14:textFill>
                    </w:rPr>
                    <w:t>宠物粪便</w:t>
                  </w:r>
                </w:p>
              </w:tc>
              <w:tc>
                <w:tcPr>
                  <w:tcW w:w="28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t>一般固废</w:t>
                  </w:r>
                </w:p>
              </w:tc>
              <w:tc>
                <w:tcPr>
                  <w:tcW w:w="86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t>030-001-S82</w:t>
                  </w:r>
                </w:p>
              </w:tc>
              <w:tc>
                <w:tcPr>
                  <w:tcW w:w="26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t>类比法</w:t>
                  </w:r>
                </w:p>
              </w:tc>
              <w:tc>
                <w:tcPr>
                  <w:tcW w:w="53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color w:val="000000" w:themeColor="text1"/>
                      <w:spacing w:val="0"/>
                      <w:kern w:val="0"/>
                      <w:position w:val="0"/>
                      <w:sz w:val="21"/>
                      <w:szCs w:val="21"/>
                      <w:highlight w:val="none"/>
                      <w:lang w:val="en-US" w:eastAsia="zh-CN"/>
                      <w14:textFill>
                        <w14:solidFill>
                          <w14:schemeClr w14:val="tx1"/>
                        </w14:solidFill>
                      </w14:textFill>
                    </w:rPr>
                    <w:t>0.05</w:t>
                  </w:r>
                </w:p>
              </w:tc>
              <w:tc>
                <w:tcPr>
                  <w:tcW w:w="615"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kern w:val="0"/>
                      <w:sz w:val="21"/>
                      <w:szCs w:val="21"/>
                      <w:highlight w:val="none"/>
                      <w:lang w:val="en-US" w:eastAsia="zh-CN" w:bidi="ar-SA"/>
                    </w:rPr>
                    <w:t>集中收集后定期交环卫部门处理</w:t>
                  </w:r>
                </w:p>
              </w:tc>
              <w:tc>
                <w:tcPr>
                  <w:tcW w:w="536"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color w:val="000000" w:themeColor="text1"/>
                      <w:spacing w:val="0"/>
                      <w:kern w:val="0"/>
                      <w:position w:val="0"/>
                      <w:sz w:val="21"/>
                      <w:szCs w:val="21"/>
                      <w:highlight w:val="none"/>
                      <w:lang w:val="en-US" w:eastAsia="zh-CN"/>
                      <w14:textFill>
                        <w14:solidFill>
                          <w14:schemeClr w14:val="tx1"/>
                        </w14:solidFill>
                      </w14:textFill>
                    </w:rPr>
                    <w:t>0.05</w:t>
                  </w:r>
                </w:p>
              </w:tc>
              <w:tc>
                <w:tcPr>
                  <w:tcW w:w="628" w:type="pct"/>
                  <w:vMerge w:val="restar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kern w:val="0"/>
                      <w:sz w:val="21"/>
                      <w:szCs w:val="21"/>
                      <w:highlight w:val="none"/>
                      <w:lang w:val="en-US" w:eastAsia="zh-CN" w:bidi="ar-SA"/>
                    </w:rPr>
                    <w:t>集中收集后定期交环卫部门处理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444"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p>
              </w:tc>
              <w:tc>
                <w:tcPr>
                  <w:tcW w:w="42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color w:val="000000" w:themeColor="text1"/>
                      <w:spacing w:val="0"/>
                      <w:kern w:val="0"/>
                      <w:position w:val="0"/>
                      <w:sz w:val="21"/>
                      <w:szCs w:val="21"/>
                      <w:highlight w:val="none"/>
                      <w:lang w:val="en-US" w:eastAsia="zh-CN"/>
                      <w14:textFill>
                        <w14:solidFill>
                          <w14:schemeClr w14:val="tx1"/>
                        </w14:solidFill>
                      </w14:textFill>
                    </w:rPr>
                    <w:t>宠物服务</w:t>
                  </w:r>
                </w:p>
              </w:tc>
              <w:tc>
                <w:tcPr>
                  <w:tcW w:w="39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t>废包装</w:t>
                  </w:r>
                </w:p>
              </w:tc>
              <w:tc>
                <w:tcPr>
                  <w:tcW w:w="28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t>一般固废</w:t>
                  </w:r>
                </w:p>
              </w:tc>
              <w:tc>
                <w:tcPr>
                  <w:tcW w:w="866" w:type="pct"/>
                  <w:tcBorders>
                    <w:tl2br w:val="nil"/>
                    <w:tr2bl w:val="nil"/>
                  </w:tcBorders>
                  <w:vAlign w:val="center"/>
                </w:tcPr>
                <w:p>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spacing w:val="-1"/>
                    </w:rPr>
                    <w:t>900-003-S17</w:t>
                  </w:r>
                </w:p>
              </w:tc>
              <w:tc>
                <w:tcPr>
                  <w:tcW w:w="26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both"/>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t>类比法</w:t>
                  </w:r>
                </w:p>
              </w:tc>
              <w:tc>
                <w:tcPr>
                  <w:tcW w:w="536" w:type="pct"/>
                  <w:tcBorders>
                    <w:tl2br w:val="nil"/>
                    <w:tr2bl w:val="nil"/>
                  </w:tcBorders>
                  <w:vAlign w:val="center"/>
                </w:tcPr>
                <w:p>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color w:val="000000" w:themeColor="text1"/>
                      <w:spacing w:val="0"/>
                      <w:kern w:val="0"/>
                      <w:position w:val="0"/>
                      <w:sz w:val="21"/>
                      <w:szCs w:val="21"/>
                      <w:highlight w:val="none"/>
                      <w:lang w:val="en-US" w:eastAsia="zh-CN"/>
                      <w14:textFill>
                        <w14:solidFill>
                          <w14:schemeClr w14:val="tx1"/>
                        </w14:solidFill>
                      </w14:textFill>
                    </w:rPr>
                    <w:t>0.05</w:t>
                  </w:r>
                </w:p>
              </w:tc>
              <w:tc>
                <w:tcPr>
                  <w:tcW w:w="615"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p>
              </w:tc>
              <w:tc>
                <w:tcPr>
                  <w:tcW w:w="536" w:type="pct"/>
                  <w:tcBorders>
                    <w:tl2br w:val="nil"/>
                    <w:tr2bl w:val="nil"/>
                  </w:tcBorders>
                  <w:vAlign w:val="center"/>
                </w:tcPr>
                <w:p>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color w:val="000000" w:themeColor="text1"/>
                      <w:spacing w:val="0"/>
                      <w:kern w:val="0"/>
                      <w:position w:val="0"/>
                      <w:sz w:val="21"/>
                      <w:szCs w:val="21"/>
                      <w:highlight w:val="none"/>
                      <w:lang w:val="en-US" w:eastAsia="zh-CN"/>
                      <w14:textFill>
                        <w14:solidFill>
                          <w14:schemeClr w14:val="tx1"/>
                        </w14:solidFill>
                      </w14:textFill>
                    </w:rPr>
                    <w:t>0.05</w:t>
                  </w:r>
                </w:p>
              </w:tc>
              <w:tc>
                <w:tcPr>
                  <w:tcW w:w="628" w:type="pct"/>
                  <w:vMerge w:val="continue"/>
                  <w:tcBorders>
                    <w:tl2br w:val="nil"/>
                    <w:tr2bl w:val="nil"/>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SA"/>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44" w:type="pct"/>
                  <w:vMerge w:val="continue"/>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p>
              </w:tc>
              <w:tc>
                <w:tcPr>
                  <w:tcW w:w="42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color w:val="000000" w:themeColor="text1"/>
                      <w:spacing w:val="0"/>
                      <w:kern w:val="0"/>
                      <w:position w:val="0"/>
                      <w:sz w:val="21"/>
                      <w:szCs w:val="21"/>
                      <w:highlight w:val="none"/>
                      <w:lang w:val="en-US" w:eastAsia="zh-CN"/>
                      <w14:textFill>
                        <w14:solidFill>
                          <w14:schemeClr w14:val="tx1"/>
                        </w14:solidFill>
                      </w14:textFill>
                    </w:rPr>
                    <w:t>宠物诊疗、疫苗接种</w:t>
                  </w:r>
                </w:p>
              </w:tc>
              <w:tc>
                <w:tcPr>
                  <w:tcW w:w="397"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eastAsia" w:cs="Times New Roman"/>
                      <w:color w:val="auto"/>
                      <w:sz w:val="21"/>
                      <w:szCs w:val="21"/>
                      <w:highlight w:val="none"/>
                      <w:lang w:val="en-US" w:eastAsia="zh-CN"/>
                    </w:rPr>
                    <w:t>动物诊疗废物</w:t>
                  </w:r>
                </w:p>
              </w:tc>
              <w:tc>
                <w:tcPr>
                  <w:tcW w:w="285"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t>危险废物</w:t>
                  </w:r>
                </w:p>
              </w:tc>
              <w:tc>
                <w:tcPr>
                  <w:tcW w:w="866" w:type="pct"/>
                  <w:tcBorders>
                    <w:tl2br w:val="nil"/>
                    <w:tr2bl w:val="nil"/>
                  </w:tcBorders>
                  <w:vAlign w:val="center"/>
                </w:tcPr>
                <w:p>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t>841-001-01、841-002-01、841-003-01、841-004-01、841-005-01</w:t>
                  </w:r>
                </w:p>
              </w:tc>
              <w:tc>
                <w:tcPr>
                  <w:tcW w:w="264" w:type="pct"/>
                  <w:tcBorders>
                    <w:tl2br w:val="nil"/>
                    <w:tr2bl w:val="nil"/>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t>类比法</w:t>
                  </w:r>
                </w:p>
              </w:tc>
              <w:tc>
                <w:tcPr>
                  <w:tcW w:w="536" w:type="pct"/>
                  <w:tcBorders>
                    <w:tl2br w:val="nil"/>
                    <w:tr2bl w:val="nil"/>
                  </w:tcBorders>
                  <w:vAlign w:val="center"/>
                </w:tcPr>
                <w:p>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color w:val="000000" w:themeColor="text1"/>
                      <w:spacing w:val="0"/>
                      <w:kern w:val="0"/>
                      <w:position w:val="0"/>
                      <w:sz w:val="21"/>
                      <w:szCs w:val="21"/>
                      <w:highlight w:val="none"/>
                      <w:lang w:val="en-US" w:eastAsia="zh-CN"/>
                      <w14:textFill>
                        <w14:solidFill>
                          <w14:schemeClr w14:val="tx1"/>
                        </w14:solidFill>
                      </w14:textFill>
                    </w:rPr>
                    <w:t>0.1</w:t>
                  </w:r>
                </w:p>
              </w:tc>
              <w:tc>
                <w:tcPr>
                  <w:tcW w:w="615" w:type="pct"/>
                  <w:tcBorders>
                    <w:tl2br w:val="nil"/>
                    <w:tr2bl w:val="nil"/>
                  </w:tcBorders>
                  <w:vAlign w:val="center"/>
                </w:tcPr>
                <w:p>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default" w:ascii="Times New Roman" w:hAnsi="Times New Roman" w:eastAsia="宋体" w:cs="Times New Roman"/>
                      <w:sz w:val="21"/>
                      <w:szCs w:val="21"/>
                    </w:rPr>
                    <w:t>集中收集</w:t>
                  </w:r>
                  <w:r>
                    <w:rPr>
                      <w:rFonts w:hint="eastAsia" w:ascii="Times New Roman" w:hAnsi="Times New Roman" w:eastAsia="宋体" w:cs="Times New Roman"/>
                      <w:sz w:val="21"/>
                      <w:szCs w:val="21"/>
                      <w:lang w:val="en-US" w:eastAsia="zh-CN"/>
                    </w:rPr>
                    <w:t>至</w:t>
                  </w:r>
                  <w:r>
                    <w:rPr>
                      <w:rFonts w:hint="default" w:ascii="Times New Roman" w:hAnsi="Times New Roman" w:eastAsia="宋体" w:cs="Times New Roman"/>
                      <w:sz w:val="21"/>
                      <w:szCs w:val="21"/>
                      <w:lang w:val="en-US" w:eastAsia="zh-CN"/>
                    </w:rPr>
                    <w:t>医疗废物</w:t>
                  </w:r>
                  <w:r>
                    <w:rPr>
                      <w:rFonts w:hint="eastAsia" w:cs="Times New Roman"/>
                      <w:sz w:val="21"/>
                      <w:szCs w:val="21"/>
                      <w:lang w:val="en-US" w:eastAsia="zh-CN"/>
                    </w:rPr>
                    <w:t>暂存间</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val="en-US" w:eastAsia="zh-CN"/>
                    </w:rPr>
                    <w:t>定期委托库尔勒天达环卫有限责任公司处理</w:t>
                  </w:r>
                </w:p>
              </w:tc>
              <w:tc>
                <w:tcPr>
                  <w:tcW w:w="536" w:type="pct"/>
                  <w:tcBorders>
                    <w:tl2br w:val="nil"/>
                    <w:tr2bl w:val="nil"/>
                  </w:tcBorders>
                  <w:vAlign w:val="center"/>
                </w:tcPr>
                <w:p>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pacing w:val="0"/>
                      <w:kern w:val="0"/>
                      <w:position w:val="0"/>
                      <w:sz w:val="21"/>
                      <w:szCs w:val="21"/>
                      <w:highlight w:val="none"/>
                      <w:lang w:val="en-US" w:eastAsia="zh-CN"/>
                      <w14:textFill>
                        <w14:solidFill>
                          <w14:schemeClr w14:val="tx1"/>
                        </w14:solidFill>
                      </w14:textFill>
                    </w:rPr>
                  </w:pPr>
                  <w:r>
                    <w:rPr>
                      <w:rFonts w:hint="eastAsia" w:cs="Times New Roman"/>
                      <w:color w:val="000000" w:themeColor="text1"/>
                      <w:spacing w:val="0"/>
                      <w:kern w:val="0"/>
                      <w:position w:val="0"/>
                      <w:sz w:val="21"/>
                      <w:szCs w:val="21"/>
                      <w:highlight w:val="none"/>
                      <w:lang w:val="en-US" w:eastAsia="zh-CN"/>
                      <w14:textFill>
                        <w14:solidFill>
                          <w14:schemeClr w14:val="tx1"/>
                        </w14:solidFill>
                      </w14:textFill>
                    </w:rPr>
                    <w:t>0.1</w:t>
                  </w:r>
                </w:p>
              </w:tc>
              <w:tc>
                <w:tcPr>
                  <w:tcW w:w="628" w:type="pct"/>
                  <w:tcBorders>
                    <w:tl2br w:val="nil"/>
                    <w:tr2bl w:val="nil"/>
                  </w:tcBorders>
                  <w:shd w:val="clear" w:color="auto" w:fill="auto"/>
                  <w:vAlign w:val="center"/>
                </w:tcPr>
                <w:p>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SA"/>
                    </w:rPr>
                  </w:pPr>
                  <w:r>
                    <w:rPr>
                      <w:rFonts w:hint="default" w:ascii="Times New Roman" w:hAnsi="Times New Roman" w:eastAsia="宋体" w:cs="Times New Roman"/>
                      <w:sz w:val="21"/>
                      <w:szCs w:val="21"/>
                    </w:rPr>
                    <w:t>集中收集</w:t>
                  </w:r>
                  <w:r>
                    <w:rPr>
                      <w:rFonts w:hint="eastAsia" w:ascii="Times New Roman" w:hAnsi="Times New Roman" w:eastAsia="宋体" w:cs="Times New Roman"/>
                      <w:sz w:val="21"/>
                      <w:szCs w:val="21"/>
                      <w:lang w:val="en-US" w:eastAsia="zh-CN"/>
                    </w:rPr>
                    <w:t>至</w:t>
                  </w:r>
                  <w:r>
                    <w:rPr>
                      <w:rFonts w:hint="default" w:ascii="Times New Roman" w:hAnsi="Times New Roman" w:eastAsia="宋体" w:cs="Times New Roman"/>
                      <w:sz w:val="21"/>
                      <w:szCs w:val="21"/>
                      <w:lang w:val="en-US" w:eastAsia="zh-CN"/>
                    </w:rPr>
                    <w:t>医疗废物</w:t>
                  </w:r>
                  <w:r>
                    <w:rPr>
                      <w:rFonts w:hint="eastAsia" w:cs="Times New Roman"/>
                      <w:sz w:val="21"/>
                      <w:szCs w:val="21"/>
                      <w:lang w:val="en-US" w:eastAsia="zh-CN"/>
                    </w:rPr>
                    <w:t>暂存间</w:t>
                  </w: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val="en-US" w:eastAsia="zh-CN"/>
                    </w:rPr>
                    <w:t>定期委托库尔勒天达环卫有限责任公司处理</w:t>
                  </w:r>
                </w:p>
              </w:tc>
            </w:tr>
          </w:tbl>
          <w:p>
            <w:pPr>
              <w:numPr>
                <w:ilvl w:val="0"/>
                <w:numId w:val="0"/>
              </w:num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4.2.4.</w:t>
            </w:r>
            <w:r>
              <w:rPr>
                <w:rFonts w:hint="eastAsia" w:cs="Times New Roman"/>
                <w:b/>
                <w:bCs/>
                <w:color w:val="000000" w:themeColor="text1"/>
                <w:kern w:val="2"/>
                <w:sz w:val="24"/>
                <w:szCs w:val="24"/>
                <w:lang w:val="en-US" w:eastAsia="zh-CN" w:bidi="ar-SA"/>
                <w14:textFill>
                  <w14:solidFill>
                    <w14:schemeClr w14:val="tx1"/>
                  </w14:solidFill>
                </w14:textFill>
              </w:rPr>
              <w:t>4</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 xml:space="preserve"> </w:t>
            </w:r>
            <w:r>
              <w:rPr>
                <w:rFonts w:hint="eastAsia" w:cs="Times New Roman"/>
                <w:b/>
                <w:bCs/>
                <w:color w:val="000000" w:themeColor="text1"/>
                <w:kern w:val="2"/>
                <w:sz w:val="24"/>
                <w:szCs w:val="24"/>
                <w:lang w:val="en-US" w:eastAsia="zh-CN" w:bidi="ar-SA"/>
                <w14:textFill>
                  <w14:solidFill>
                    <w14:schemeClr w14:val="tx1"/>
                  </w14:solidFill>
                </w14:textFill>
              </w:rPr>
              <w:t>环境</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管理要求</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420" w:leftChars="200" w:right="0" w:rightChars="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w:t>
            </w:r>
            <w:r>
              <w:rPr>
                <w:rFonts w:hint="eastAsia" w:ascii="Times New Roman" w:hAnsi="Times New Roman" w:eastAsia="宋体" w:cs="Times New Roman"/>
                <w:kern w:val="0"/>
                <w:sz w:val="24"/>
                <w:szCs w:val="24"/>
                <w:lang w:val="en-US" w:eastAsia="zh-CN" w:bidi="ar-SA"/>
              </w:rPr>
              <w:t>1</w:t>
            </w:r>
            <w:r>
              <w:rPr>
                <w:rFonts w:hint="default" w:ascii="Times New Roman" w:hAnsi="Times New Roman" w:eastAsia="宋体" w:cs="Times New Roman"/>
                <w:kern w:val="0"/>
                <w:sz w:val="24"/>
                <w:szCs w:val="24"/>
                <w:lang w:val="en-US" w:eastAsia="zh-CN" w:bidi="ar-SA"/>
              </w:rPr>
              <w:t>）</w:t>
            </w:r>
            <w:r>
              <w:rPr>
                <w:rFonts w:hint="eastAsia" w:ascii="Times New Roman" w:hAnsi="Times New Roman" w:eastAsia="宋体" w:cs="Times New Roman"/>
                <w:kern w:val="0"/>
                <w:sz w:val="24"/>
                <w:szCs w:val="24"/>
                <w:lang w:val="en-US" w:eastAsia="zh-CN" w:bidi="ar-SA"/>
              </w:rPr>
              <w:t>动物诊疗废物</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根据《医疗废物管理条例》（2011年修订）、《医疗废物集中处置技术规范</w:t>
            </w:r>
            <w:r>
              <w:rPr>
                <w:rFonts w:hint="eastAsia" w:ascii="Times New Roman" w:hAnsi="Times New Roman" w:eastAsia="宋体" w:cs="Times New Roman"/>
                <w:kern w:val="0"/>
                <w:sz w:val="24"/>
                <w:szCs w:val="24"/>
                <w:lang w:val="en-US" w:eastAsia="zh-CN" w:bidi="ar-SA"/>
              </w:rPr>
              <w:t>（试行）</w:t>
            </w:r>
            <w:r>
              <w:rPr>
                <w:rFonts w:hint="default" w:ascii="Times New Roman" w:hAnsi="Times New Roman" w:eastAsia="宋体" w:cs="Times New Roman"/>
                <w:kern w:val="0"/>
                <w:sz w:val="24"/>
                <w:szCs w:val="24"/>
                <w:lang w:val="en-US" w:eastAsia="zh-CN" w:bidi="ar-SA"/>
              </w:rPr>
              <w:t>》（环发</w:t>
            </w:r>
            <w:r>
              <w:rPr>
                <w:rFonts w:hint="eastAsia" w:ascii="Times New Roman" w:hAnsi="Times New Roman" w:eastAsia="宋体" w:cs="Times New Roman"/>
                <w:kern w:val="0"/>
                <w:sz w:val="24"/>
                <w:szCs w:val="24"/>
                <w:lang w:val="en-US" w:eastAsia="zh-CN" w:bidi="ar-SA"/>
              </w:rPr>
              <w:t>〔</w:t>
            </w:r>
            <w:r>
              <w:rPr>
                <w:rFonts w:hint="default" w:ascii="Times New Roman" w:hAnsi="Times New Roman" w:eastAsia="宋体" w:cs="Times New Roman"/>
                <w:kern w:val="0"/>
                <w:sz w:val="24"/>
                <w:szCs w:val="24"/>
                <w:lang w:val="en-US" w:eastAsia="zh-CN" w:bidi="ar-SA"/>
              </w:rPr>
              <w:t>2003</w:t>
            </w:r>
            <w:r>
              <w:rPr>
                <w:rFonts w:hint="eastAsia" w:ascii="Times New Roman" w:hAnsi="Times New Roman" w:eastAsia="宋体" w:cs="Times New Roman"/>
                <w:kern w:val="0"/>
                <w:sz w:val="24"/>
                <w:szCs w:val="24"/>
                <w:lang w:val="en-US" w:eastAsia="zh-CN" w:bidi="ar-SA"/>
              </w:rPr>
              <w:t>〕</w:t>
            </w:r>
            <w:r>
              <w:rPr>
                <w:rFonts w:hint="default" w:ascii="Times New Roman" w:hAnsi="Times New Roman" w:eastAsia="宋体" w:cs="Times New Roman"/>
                <w:kern w:val="0"/>
                <w:sz w:val="24"/>
                <w:szCs w:val="24"/>
                <w:lang w:val="en-US" w:eastAsia="zh-CN" w:bidi="ar-SA"/>
              </w:rPr>
              <w:t>206号）</w:t>
            </w:r>
            <w:r>
              <w:rPr>
                <w:rFonts w:hint="eastAsia" w:ascii="Times New Roman" w:hAnsi="Times New Roman" w:eastAsia="宋体" w:cs="Times New Roman"/>
                <w:kern w:val="0"/>
                <w:sz w:val="24"/>
                <w:szCs w:val="24"/>
                <w:lang w:val="en-US" w:eastAsia="zh-CN" w:bidi="ar-SA"/>
              </w:rPr>
              <w:t>以及</w:t>
            </w:r>
            <w:r>
              <w:rPr>
                <w:rFonts w:hint="default" w:ascii="Times New Roman" w:hAnsi="Times New Roman" w:eastAsia="宋体" w:cs="Times New Roman"/>
                <w:kern w:val="0"/>
                <w:sz w:val="24"/>
                <w:szCs w:val="24"/>
                <w:lang w:val="en-US" w:eastAsia="zh-CN" w:bidi="ar-SA"/>
              </w:rPr>
              <w:t>《医疗卫生机构医疗废物管理办法》中的相应要求，</w:t>
            </w:r>
            <w:r>
              <w:rPr>
                <w:rFonts w:hint="eastAsia" w:ascii="Times New Roman" w:hAnsi="Times New Roman" w:eastAsia="宋体" w:cs="Times New Roman"/>
                <w:kern w:val="0"/>
                <w:sz w:val="24"/>
                <w:szCs w:val="24"/>
                <w:lang w:val="en-US" w:eastAsia="zh-CN" w:bidi="ar-SA"/>
              </w:rPr>
              <w:t>本次</w:t>
            </w:r>
            <w:r>
              <w:rPr>
                <w:rFonts w:hint="default" w:ascii="Times New Roman" w:hAnsi="Times New Roman" w:eastAsia="宋体" w:cs="Times New Roman"/>
                <w:kern w:val="0"/>
                <w:sz w:val="24"/>
                <w:szCs w:val="24"/>
                <w:lang w:val="en-US" w:eastAsia="zh-CN" w:bidi="ar-SA"/>
              </w:rPr>
              <w:t>环评对危险废物的</w:t>
            </w:r>
            <w:r>
              <w:rPr>
                <w:rFonts w:hint="eastAsia" w:ascii="Times New Roman" w:hAnsi="Times New Roman" w:eastAsia="宋体" w:cs="Times New Roman"/>
                <w:kern w:val="0"/>
                <w:sz w:val="24"/>
                <w:szCs w:val="24"/>
                <w:lang w:val="en-US" w:eastAsia="zh-CN" w:bidi="ar-SA"/>
              </w:rPr>
              <w:t>管理、</w:t>
            </w:r>
            <w:r>
              <w:rPr>
                <w:rFonts w:hint="default" w:ascii="Times New Roman" w:hAnsi="Times New Roman" w:eastAsia="宋体" w:cs="Times New Roman"/>
                <w:kern w:val="0"/>
                <w:sz w:val="24"/>
                <w:szCs w:val="24"/>
                <w:lang w:val="en-US" w:eastAsia="zh-CN" w:bidi="ar-SA"/>
              </w:rPr>
              <w:t>收集、暂存、运输及交接提出如下要求：</w:t>
            </w:r>
          </w:p>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70" w:firstLineChars="200"/>
              <w:textAlignment w:val="auto"/>
              <w:rPr>
                <w:rFonts w:hint="default"/>
                <w:b w:val="0"/>
                <w:bCs w:val="0"/>
                <w:spacing w:val="-3"/>
                <w:sz w:val="24"/>
                <w:szCs w:val="24"/>
              </w:rPr>
            </w:pPr>
            <w:r>
              <w:rPr>
                <w:rFonts w:hint="eastAsia"/>
                <w:b/>
                <w:bCs/>
                <w:spacing w:val="-3"/>
                <w:sz w:val="24"/>
                <w:szCs w:val="24"/>
                <w:lang w:val="en-US" w:eastAsia="zh-CN"/>
              </w:rPr>
              <w:t>库房</w:t>
            </w:r>
            <w:r>
              <w:rPr>
                <w:rFonts w:hint="default"/>
                <w:b/>
                <w:bCs/>
                <w:spacing w:val="-3"/>
                <w:sz w:val="24"/>
                <w:szCs w:val="24"/>
              </w:rPr>
              <w:t>建设要求</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具有住院病床的医疗卫生机构应建立专门的医疗废物暂时贮存库房，并应满足下述要求：</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eastAsia" w:cs="Times New Roman"/>
                <w:kern w:val="0"/>
                <w:sz w:val="24"/>
                <w:szCs w:val="24"/>
                <w:lang w:val="en-US" w:eastAsia="zh-CN" w:bidi="ar-SA"/>
              </w:rPr>
              <w:t>a.</w:t>
            </w:r>
            <w:r>
              <w:rPr>
                <w:rFonts w:hint="default" w:ascii="Times New Roman" w:hAnsi="Times New Roman" w:eastAsia="宋体" w:cs="Times New Roman"/>
                <w:kern w:val="0"/>
                <w:sz w:val="24"/>
                <w:szCs w:val="24"/>
                <w:lang w:val="en-US" w:eastAsia="zh-CN" w:bidi="ar-SA"/>
              </w:rPr>
              <w:t>必须与生活垃圾存放地分开，有防雨淋的装置，地基高度应确保设施内不受雨洪冲击或浸泡；</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eastAsia" w:cs="Times New Roman"/>
                <w:kern w:val="0"/>
                <w:sz w:val="24"/>
                <w:szCs w:val="24"/>
                <w:lang w:val="en-US" w:eastAsia="zh-CN" w:bidi="ar-SA"/>
              </w:rPr>
              <w:t>b.</w:t>
            </w:r>
            <w:r>
              <w:rPr>
                <w:rFonts w:hint="default" w:ascii="Times New Roman" w:hAnsi="Times New Roman" w:eastAsia="宋体" w:cs="Times New Roman"/>
                <w:kern w:val="0"/>
                <w:sz w:val="24"/>
                <w:szCs w:val="24"/>
                <w:lang w:val="en-US" w:eastAsia="zh-CN" w:bidi="ar-SA"/>
              </w:rPr>
              <w:t>必须与医疗区、食品加工区和人员活动密集区隔开，方便医疗废物的装卸、装卸人员及运送车辆的出入；</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eastAsia" w:cs="Times New Roman"/>
                <w:kern w:val="0"/>
                <w:sz w:val="24"/>
                <w:szCs w:val="24"/>
                <w:lang w:val="en-US" w:eastAsia="zh-CN" w:bidi="ar-SA"/>
              </w:rPr>
              <w:t>c</w:t>
            </w:r>
            <w:r>
              <w:rPr>
                <w:rFonts w:hint="default" w:ascii="Times New Roman" w:hAnsi="Times New Roman" w:eastAsia="宋体" w:cs="Times New Roman"/>
                <w:kern w:val="0"/>
                <w:sz w:val="24"/>
                <w:szCs w:val="24"/>
                <w:lang w:val="en-US" w:eastAsia="zh-CN" w:bidi="ar-SA"/>
              </w:rPr>
              <w:t>.应有严密的封闭措施，设专人管理，避免非工作人员进出，以及防鼠、防蚊蝇、防蟑螂、防盗以及预防儿童接触等安全措施；</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eastAsia" w:cs="Times New Roman"/>
                <w:kern w:val="0"/>
                <w:sz w:val="24"/>
                <w:szCs w:val="24"/>
                <w:lang w:val="en-US" w:eastAsia="zh-CN" w:bidi="ar-SA"/>
              </w:rPr>
              <w:t>d</w:t>
            </w:r>
            <w:r>
              <w:rPr>
                <w:rFonts w:hint="default" w:ascii="Times New Roman" w:hAnsi="Times New Roman" w:eastAsia="宋体" w:cs="Times New Roman"/>
                <w:kern w:val="0"/>
                <w:sz w:val="24"/>
                <w:szCs w:val="24"/>
                <w:lang w:val="en-US" w:eastAsia="zh-CN" w:bidi="ar-SA"/>
              </w:rPr>
              <w:t>.地面和1.0米高的墙裙须进行防渗处理，地面有良好的排水性能，易于清洁和消毒，产生的废水应采用管道直接排入医疗卫生机构内的医疗废水消毒、处理系统，禁止将产生的废水直接排入外环境；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eastAsia" w:cs="Times New Roman"/>
                <w:kern w:val="0"/>
                <w:sz w:val="24"/>
                <w:szCs w:val="24"/>
                <w:lang w:val="en-US" w:eastAsia="zh-CN" w:bidi="ar-SA"/>
              </w:rPr>
              <w:t>e</w:t>
            </w:r>
            <w:r>
              <w:rPr>
                <w:rFonts w:hint="default" w:ascii="Times New Roman" w:hAnsi="Times New Roman" w:eastAsia="宋体" w:cs="Times New Roman"/>
                <w:kern w:val="0"/>
                <w:sz w:val="24"/>
                <w:szCs w:val="24"/>
                <w:lang w:val="en-US" w:eastAsia="zh-CN" w:bidi="ar-SA"/>
              </w:rPr>
              <w:t>.库房外宜设有供水龙头，以供暂时贮存库房的清洗用；</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eastAsia" w:cs="Times New Roman"/>
                <w:kern w:val="0"/>
                <w:sz w:val="24"/>
                <w:szCs w:val="24"/>
                <w:lang w:val="en-US" w:eastAsia="zh-CN" w:bidi="ar-SA"/>
              </w:rPr>
              <w:t>f</w:t>
            </w:r>
            <w:r>
              <w:rPr>
                <w:rFonts w:hint="default" w:ascii="Times New Roman" w:hAnsi="Times New Roman" w:eastAsia="宋体" w:cs="Times New Roman"/>
                <w:kern w:val="0"/>
                <w:sz w:val="24"/>
                <w:szCs w:val="24"/>
                <w:lang w:val="en-US" w:eastAsia="zh-CN" w:bidi="ar-SA"/>
              </w:rPr>
              <w:t>.避免阳光直射库内，应有良好的照明设备和通风条件；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eastAsia" w:cs="Times New Roman"/>
                <w:kern w:val="0"/>
                <w:sz w:val="24"/>
                <w:szCs w:val="24"/>
                <w:lang w:val="en-US" w:eastAsia="zh-CN" w:bidi="ar-SA"/>
              </w:rPr>
              <w:t>g</w:t>
            </w:r>
            <w:r>
              <w:rPr>
                <w:rFonts w:hint="default" w:ascii="Times New Roman" w:hAnsi="Times New Roman" w:eastAsia="宋体" w:cs="Times New Roman"/>
                <w:kern w:val="0"/>
                <w:sz w:val="24"/>
                <w:szCs w:val="24"/>
                <w:lang w:val="en-US" w:eastAsia="zh-CN" w:bidi="ar-SA"/>
              </w:rPr>
              <w:t>.库房内应张贴</w:t>
            </w:r>
            <w:r>
              <w:rPr>
                <w:rFonts w:hint="eastAsia" w:cs="Times New Roman"/>
                <w:kern w:val="0"/>
                <w:sz w:val="24"/>
                <w:szCs w:val="24"/>
                <w:lang w:val="en-US" w:eastAsia="zh-CN" w:bidi="ar-SA"/>
              </w:rPr>
              <w:t>“</w:t>
            </w:r>
            <w:r>
              <w:rPr>
                <w:rFonts w:hint="default" w:ascii="Times New Roman" w:hAnsi="Times New Roman" w:eastAsia="宋体" w:cs="Times New Roman"/>
                <w:kern w:val="0"/>
                <w:sz w:val="24"/>
                <w:szCs w:val="24"/>
                <w:lang w:val="en-US" w:eastAsia="zh-CN" w:bidi="ar-SA"/>
              </w:rPr>
              <w:t>禁止吸烟、饮食</w:t>
            </w:r>
            <w:r>
              <w:rPr>
                <w:rFonts w:hint="eastAsia" w:cs="Times New Roman"/>
                <w:kern w:val="0"/>
                <w:sz w:val="24"/>
                <w:szCs w:val="24"/>
                <w:lang w:val="en-US" w:eastAsia="zh-CN" w:bidi="ar-SA"/>
              </w:rPr>
              <w:t>”</w:t>
            </w:r>
            <w:r>
              <w:rPr>
                <w:rFonts w:hint="default" w:ascii="Times New Roman" w:hAnsi="Times New Roman" w:eastAsia="宋体" w:cs="Times New Roman"/>
                <w:kern w:val="0"/>
                <w:sz w:val="24"/>
                <w:szCs w:val="24"/>
                <w:lang w:val="en-US" w:eastAsia="zh-CN" w:bidi="ar-SA"/>
              </w:rPr>
              <w:t>的警示标识；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cs="Times New Roman"/>
                <w:kern w:val="0"/>
                <w:sz w:val="24"/>
                <w:szCs w:val="24"/>
                <w:lang w:val="en-US" w:eastAsia="zh-CN" w:bidi="ar-SA"/>
              </w:rPr>
            </w:pPr>
            <w:r>
              <w:rPr>
                <w:rFonts w:hint="eastAsia" w:cs="Times New Roman"/>
                <w:kern w:val="0"/>
                <w:sz w:val="24"/>
                <w:szCs w:val="24"/>
                <w:lang w:val="en-US" w:eastAsia="zh-CN" w:bidi="ar-SA"/>
              </w:rPr>
              <w:t>h</w:t>
            </w:r>
            <w:r>
              <w:rPr>
                <w:rFonts w:hint="default" w:ascii="Times New Roman" w:hAnsi="Times New Roman" w:eastAsia="宋体" w:cs="Times New Roman"/>
                <w:kern w:val="0"/>
                <w:sz w:val="24"/>
                <w:szCs w:val="24"/>
                <w:lang w:val="en-US" w:eastAsia="zh-CN" w:bidi="ar-SA"/>
              </w:rPr>
              <w:t>.应按 GB15562.2 和卫生、环保部门制定的专用医疗废物警示标识要求，在库房外的明显处同时设置危险废物</w:t>
            </w:r>
            <w:r>
              <w:rPr>
                <w:rFonts w:hint="eastAsia" w:cs="Times New Roman"/>
                <w:kern w:val="0"/>
                <w:sz w:val="24"/>
                <w:szCs w:val="24"/>
                <w:lang w:val="en-US" w:eastAsia="zh-CN" w:bidi="ar-SA"/>
              </w:rPr>
              <w:t>（图4-1）</w:t>
            </w:r>
            <w:r>
              <w:rPr>
                <w:rFonts w:hint="default" w:ascii="Times New Roman" w:hAnsi="Times New Roman" w:eastAsia="宋体" w:cs="Times New Roman"/>
                <w:kern w:val="0"/>
                <w:sz w:val="24"/>
                <w:szCs w:val="24"/>
                <w:lang w:val="en-US" w:eastAsia="zh-CN" w:bidi="ar-SA"/>
              </w:rPr>
              <w:t>和医疗废物的警示标识</w:t>
            </w:r>
            <w:r>
              <w:rPr>
                <w:rFonts w:hint="eastAsia" w:cs="Times New Roman"/>
                <w:kern w:val="0"/>
                <w:sz w:val="24"/>
                <w:szCs w:val="24"/>
                <w:lang w:val="en-US" w:eastAsia="zh-CN" w:bidi="ar-SA"/>
              </w:rPr>
              <w:t>（图4-2）。</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textAlignment w:val="auto"/>
              <w:rPr>
                <w:rFonts w:hint="default" w:cs="Times New Roman"/>
                <w:kern w:val="0"/>
                <w:sz w:val="24"/>
                <w:szCs w:val="24"/>
                <w:lang w:val="en-US" w:eastAsia="zh-CN" w:bidi="ar-SA"/>
              </w:rPr>
            </w:pPr>
            <w:r>
              <w:rPr>
                <w:position w:val="-93"/>
              </w:rPr>
              <w:drawing>
                <wp:inline distT="0" distB="0" distL="0" distR="0">
                  <wp:extent cx="4542790" cy="2962275"/>
                  <wp:effectExtent l="0" t="0" r="10160" b="9525"/>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8"/>
                          <a:stretch>
                            <a:fillRect/>
                          </a:stretch>
                        </pic:blipFill>
                        <pic:spPr>
                          <a:xfrm>
                            <a:off x="0" y="0"/>
                            <a:ext cx="4543044" cy="2962655"/>
                          </a:xfrm>
                          <a:prstGeom prst="rect">
                            <a:avLst/>
                          </a:prstGeom>
                        </pic:spPr>
                      </pic:pic>
                    </a:graphicData>
                  </a:graphic>
                </wp:inline>
              </w:drawing>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jc w:val="center"/>
              <w:textAlignment w:val="auto"/>
              <w:rPr>
                <w:rFonts w:ascii="宋体" w:hAnsi="宋体" w:eastAsia="宋体" w:cs="宋体"/>
                <w:b/>
                <w:bCs/>
                <w:spacing w:val="-4"/>
                <w:sz w:val="24"/>
                <w:szCs w:val="24"/>
              </w:rPr>
            </w:pPr>
            <w:r>
              <w:rPr>
                <w:rFonts w:hint="eastAsia" w:cs="Times New Roman"/>
                <w:b/>
                <w:bCs/>
                <w:kern w:val="0"/>
                <w:sz w:val="24"/>
                <w:szCs w:val="24"/>
                <w:lang w:val="en-US" w:eastAsia="zh-CN" w:bidi="ar-SA"/>
              </w:rPr>
              <w:t>图4-1危险废物</w:t>
            </w:r>
            <w:r>
              <w:rPr>
                <w:rFonts w:ascii="宋体" w:hAnsi="宋体" w:eastAsia="宋体" w:cs="宋体"/>
                <w:b/>
                <w:bCs/>
                <w:spacing w:val="-4"/>
                <w:sz w:val="24"/>
                <w:szCs w:val="24"/>
              </w:rPr>
              <w:t>警示标志式样</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center"/>
              <w:textAlignment w:val="auto"/>
              <w:rPr>
                <w:rFonts w:ascii="宋体" w:hAnsi="宋体" w:eastAsia="宋体" w:cs="宋体"/>
                <w:b/>
                <w:bCs/>
                <w:spacing w:val="-4"/>
                <w:sz w:val="24"/>
                <w:szCs w:val="24"/>
              </w:rPr>
            </w:pPr>
            <w:r>
              <w:rPr>
                <w:position w:val="-110"/>
              </w:rPr>
              <w:drawing>
                <wp:inline distT="0" distB="0" distL="0" distR="0">
                  <wp:extent cx="3933825" cy="3514725"/>
                  <wp:effectExtent l="0" t="0" r="9525" b="9525"/>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9"/>
                          <a:stretch>
                            <a:fillRect/>
                          </a:stretch>
                        </pic:blipFill>
                        <pic:spPr>
                          <a:xfrm>
                            <a:off x="0" y="0"/>
                            <a:ext cx="3933825" cy="3514725"/>
                          </a:xfrm>
                          <a:prstGeom prst="rect">
                            <a:avLst/>
                          </a:prstGeom>
                        </pic:spPr>
                      </pic:pic>
                    </a:graphicData>
                  </a:graphic>
                </wp:inline>
              </w:drawing>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jc w:val="center"/>
              <w:textAlignment w:val="auto"/>
              <w:rPr>
                <w:rFonts w:hint="default" w:ascii="宋体" w:hAnsi="宋体" w:eastAsia="宋体" w:cs="宋体"/>
                <w:b/>
                <w:bCs/>
                <w:spacing w:val="-4"/>
                <w:sz w:val="24"/>
                <w:szCs w:val="24"/>
                <w:lang w:val="en-US" w:eastAsia="zh-CN"/>
              </w:rPr>
            </w:pPr>
            <w:r>
              <w:rPr>
                <w:rFonts w:hint="eastAsia" w:cs="Times New Roman"/>
                <w:b/>
                <w:bCs/>
                <w:kern w:val="0"/>
                <w:sz w:val="24"/>
                <w:szCs w:val="24"/>
                <w:lang w:val="en-US" w:eastAsia="zh-CN" w:bidi="ar-SA"/>
              </w:rPr>
              <w:t>图4-2医疗废物</w:t>
            </w:r>
            <w:r>
              <w:rPr>
                <w:rFonts w:ascii="宋体" w:hAnsi="宋体" w:eastAsia="宋体" w:cs="宋体"/>
                <w:b/>
                <w:bCs/>
                <w:spacing w:val="-4"/>
                <w:sz w:val="24"/>
                <w:szCs w:val="24"/>
              </w:rPr>
              <w:t>警示标志式样</w:t>
            </w:r>
          </w:p>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70" w:firstLineChars="200"/>
              <w:textAlignment w:val="auto"/>
              <w:rPr>
                <w:rFonts w:hint="default"/>
                <w:b/>
                <w:bCs/>
                <w:spacing w:val="-3"/>
                <w:sz w:val="24"/>
                <w:szCs w:val="24"/>
              </w:rPr>
            </w:pPr>
            <w:r>
              <w:rPr>
                <w:rFonts w:hint="default"/>
                <w:b/>
                <w:bCs/>
                <w:spacing w:val="-3"/>
                <w:sz w:val="24"/>
                <w:szCs w:val="24"/>
              </w:rPr>
              <w:t>管理要求</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eastAsia" w:cs="Times New Roman"/>
                <w:kern w:val="0"/>
                <w:sz w:val="24"/>
                <w:szCs w:val="24"/>
                <w:lang w:val="en-US" w:eastAsia="zh-CN" w:bidi="ar-SA"/>
              </w:rPr>
              <w:t>a.</w:t>
            </w:r>
            <w:r>
              <w:rPr>
                <w:rFonts w:hint="default" w:ascii="Times New Roman" w:hAnsi="Times New Roman" w:eastAsia="宋体" w:cs="Times New Roman"/>
                <w:kern w:val="0"/>
                <w:sz w:val="24"/>
                <w:szCs w:val="24"/>
                <w:lang w:val="en-US" w:eastAsia="zh-CN" w:bidi="ar-SA"/>
              </w:rPr>
              <w:t>医疗废物暂时贮存</w:t>
            </w:r>
            <w:r>
              <w:rPr>
                <w:rFonts w:hint="eastAsia" w:cs="Times New Roman"/>
                <w:snapToGrid w:val="0"/>
                <w:kern w:val="0"/>
                <w:sz w:val="24"/>
                <w:szCs w:val="24"/>
                <w:highlight w:val="none"/>
                <w:lang w:val="en-US" w:eastAsia="zh-CN"/>
              </w:rPr>
              <w:t>库房</w:t>
            </w:r>
            <w:r>
              <w:rPr>
                <w:rFonts w:hint="default" w:ascii="Times New Roman" w:hAnsi="Times New Roman" w:eastAsia="宋体" w:cs="Times New Roman"/>
                <w:kern w:val="0"/>
                <w:sz w:val="24"/>
                <w:szCs w:val="24"/>
                <w:lang w:val="en-US" w:eastAsia="zh-CN" w:bidi="ar-SA"/>
              </w:rPr>
              <w:t>应每天消毒一次</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kern w:val="0"/>
                <w:sz w:val="24"/>
                <w:szCs w:val="24"/>
                <w:lang w:val="en-US" w:eastAsia="zh-CN" w:bidi="ar-SA"/>
              </w:rPr>
            </w:pPr>
            <w:r>
              <w:rPr>
                <w:rFonts w:hint="eastAsia" w:cs="Times New Roman"/>
                <w:kern w:val="0"/>
                <w:sz w:val="24"/>
                <w:szCs w:val="24"/>
                <w:lang w:val="en-US" w:eastAsia="zh-CN" w:bidi="ar-SA"/>
              </w:rPr>
              <w:t>b.</w:t>
            </w:r>
            <w:r>
              <w:rPr>
                <w:rFonts w:hint="eastAsia" w:ascii="Times New Roman" w:hAnsi="Times New Roman" w:eastAsia="宋体" w:cs="Times New Roman"/>
                <w:kern w:val="0"/>
                <w:sz w:val="24"/>
                <w:szCs w:val="24"/>
                <w:lang w:val="en-US" w:eastAsia="zh-CN" w:bidi="ar-SA"/>
              </w:rPr>
              <w:t>应防止医疗废物在暂时贮存库房和专用暂时贮存</w:t>
            </w:r>
            <w:r>
              <w:rPr>
                <w:rFonts w:hint="eastAsia" w:cs="Times New Roman"/>
                <w:snapToGrid w:val="0"/>
                <w:kern w:val="0"/>
                <w:sz w:val="24"/>
                <w:szCs w:val="24"/>
                <w:highlight w:val="none"/>
                <w:lang w:val="en-US" w:eastAsia="zh-CN"/>
              </w:rPr>
              <w:t>库房</w:t>
            </w:r>
            <w:r>
              <w:rPr>
                <w:rFonts w:hint="eastAsia" w:ascii="Times New Roman" w:hAnsi="Times New Roman" w:eastAsia="宋体" w:cs="Times New Roman"/>
                <w:kern w:val="0"/>
                <w:sz w:val="24"/>
                <w:szCs w:val="24"/>
                <w:lang w:val="en-US" w:eastAsia="zh-CN" w:bidi="ar-SA"/>
              </w:rPr>
              <w:t>中腐败散发恶臭，尽量做到日产日清。</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kern w:val="0"/>
                <w:sz w:val="24"/>
                <w:szCs w:val="24"/>
                <w:lang w:val="en-US" w:eastAsia="zh-CN" w:bidi="ar-SA"/>
              </w:rPr>
            </w:pPr>
            <w:r>
              <w:rPr>
                <w:rFonts w:hint="eastAsia" w:cs="Times New Roman"/>
                <w:kern w:val="0"/>
                <w:sz w:val="24"/>
                <w:szCs w:val="24"/>
                <w:lang w:val="en-US" w:eastAsia="zh-CN" w:bidi="ar-SA"/>
              </w:rPr>
              <w:t>c.</w:t>
            </w:r>
            <w:r>
              <w:rPr>
                <w:rFonts w:hint="eastAsia" w:ascii="Times New Roman" w:hAnsi="Times New Roman" w:eastAsia="宋体" w:cs="Times New Roman"/>
                <w:kern w:val="0"/>
                <w:sz w:val="24"/>
                <w:szCs w:val="24"/>
                <w:lang w:val="en-US" w:eastAsia="zh-CN" w:bidi="ar-SA"/>
              </w:rPr>
              <w:t>确实不能做到日产日清，且当地最高气温高于25℃时，应将医疗废物低温暂时贮存，暂时贮存温度应低于20℃，时间最长不超过48小时。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kern w:val="0"/>
                <w:sz w:val="24"/>
                <w:szCs w:val="24"/>
                <w:lang w:val="en-US" w:eastAsia="zh-CN" w:bidi="ar-SA"/>
              </w:rPr>
            </w:pPr>
            <w:r>
              <w:rPr>
                <w:rFonts w:hint="eastAsia" w:cs="Times New Roman"/>
                <w:kern w:val="0"/>
                <w:sz w:val="24"/>
                <w:szCs w:val="24"/>
                <w:lang w:val="en-US" w:eastAsia="zh-CN" w:bidi="ar-SA"/>
              </w:rPr>
              <w:t>d.</w:t>
            </w:r>
            <w:r>
              <w:rPr>
                <w:rFonts w:hint="eastAsia" w:ascii="Times New Roman" w:hAnsi="Times New Roman" w:eastAsia="宋体" w:cs="Times New Roman"/>
                <w:kern w:val="0"/>
                <w:sz w:val="24"/>
                <w:szCs w:val="24"/>
                <w:lang w:val="en-US" w:eastAsia="zh-CN" w:bidi="ar-SA"/>
              </w:rPr>
              <w:t>医疗卫生机构应制定医疗废物暂时贮存管理的有关规章制度、工作程序及应急处理措施。</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70" w:firstLineChars="200"/>
              <w:textAlignment w:val="auto"/>
              <w:rPr>
                <w:rFonts w:hint="default"/>
                <w:b/>
                <w:bCs/>
                <w:spacing w:val="-3"/>
                <w:sz w:val="24"/>
                <w:szCs w:val="24"/>
                <w:highlight w:val="none"/>
              </w:rPr>
            </w:pPr>
            <w:r>
              <w:rPr>
                <w:rFonts w:hint="default"/>
                <w:b/>
                <w:bCs/>
                <w:spacing w:val="-3"/>
                <w:sz w:val="24"/>
                <w:szCs w:val="24"/>
                <w:highlight w:val="none"/>
              </w:rPr>
              <w:t>医疗废物院内收集要求</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根据《医疗卫生机构医疗废物管理办法》，医院应当按照以下要求，及时分类收集医疗废物：</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a.根据医疗废物的类别，将医疗废物分置于符合《医疗废物专用包装物、容器的标准和警示标识的规定》的包装物或者容器内；</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b.在盛装医疗废物前，应当对医疗废物包装物或者容器进行认真检查，确保无破损、渗漏</w:t>
            </w:r>
            <w:r>
              <w:rPr>
                <w:rFonts w:hint="eastAsia" w:ascii="Times New Roman" w:hAnsi="Times New Roman" w:eastAsia="宋体" w:cs="Times New Roman"/>
                <w:kern w:val="0"/>
                <w:sz w:val="24"/>
                <w:szCs w:val="24"/>
                <w:lang w:val="en-US" w:eastAsia="zh-CN" w:bidi="ar-SA"/>
              </w:rPr>
              <w:t>和其他</w:t>
            </w:r>
            <w:r>
              <w:rPr>
                <w:rFonts w:hint="default" w:ascii="Times New Roman" w:hAnsi="Times New Roman" w:eastAsia="宋体" w:cs="Times New Roman"/>
                <w:kern w:val="0"/>
                <w:sz w:val="24"/>
                <w:szCs w:val="24"/>
                <w:lang w:val="en-US" w:eastAsia="zh-CN" w:bidi="ar-SA"/>
              </w:rPr>
              <w:t>缺陷；</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c.感染性废物、病理性废物、损伤性废物、药物性废物及化学性废物不能混合收集。少量的药物性废物可以混入感染性废物，但应当在标签上注明；</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d.废弃的麻醉、精神、放射性、毒性等药品及其相关的废物的管理，依照有关法 律、行政法规和国家有关规定、标准执行；化学性废物中批量的废化学试剂、废消毒剂应当交由专门机构处置；批量的含有汞的体温计、血压计等医疗器具报废时，应当交由专门机构处置；医疗废物中病原体的培养基、标本和菌种、毒种保存液等 高危险废物，应当首先在产生地点进行压力蒸汽灭菌或者化学消毒处理，然后按感染性废物收集处理；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e.放入包装物或者容器内的感染性废物、病理性废物、损伤性废物不得取出；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f.医疗卫生机构内医疗废物产生地点应当有医疗废物分类收集方法的示意图或者文字说明；</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g.盛装的医疗废物达到包装物或者容器的3/4时，应当使用有效的封口方式，使包装物或者容器的封口紧实、严密；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h.包装物或者容器的外表面被感染性废物污染时，应当对被污染处进行消毒处理或者增加一层包装；</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i.盛装医疗废物的每个包装物、容器外表面应当有警示标识，在每</w:t>
            </w:r>
            <w:r>
              <w:rPr>
                <w:rFonts w:hint="eastAsia" w:cs="Times New Roman"/>
                <w:kern w:val="0"/>
                <w:sz w:val="24"/>
                <w:szCs w:val="24"/>
                <w:lang w:val="en-US" w:eastAsia="zh-CN" w:bidi="ar-SA"/>
              </w:rPr>
              <w:t>个包</w:t>
            </w:r>
            <w:r>
              <w:rPr>
                <w:rFonts w:hint="default" w:ascii="Times New Roman" w:hAnsi="Times New Roman" w:eastAsia="宋体" w:cs="Times New Roman"/>
                <w:kern w:val="0"/>
                <w:sz w:val="24"/>
                <w:szCs w:val="24"/>
                <w:lang w:val="en-US" w:eastAsia="zh-CN" w:bidi="ar-SA"/>
              </w:rPr>
              <w:t>装物、容器上应当系中文标签，中文标签的内容应当包括：医疗废物产生单位、产生日期、类别及需要的特别说明等</w:t>
            </w:r>
            <w:r>
              <w:rPr>
                <w:rFonts w:hint="eastAsia" w:ascii="Times New Roman" w:hAnsi="Times New Roman" w:eastAsia="宋体" w:cs="Times New Roman"/>
                <w:kern w:val="0"/>
                <w:sz w:val="24"/>
                <w:szCs w:val="24"/>
                <w:lang w:val="en-US" w:eastAsia="zh-CN" w:bidi="ar-SA"/>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2" w:firstLineChars="200"/>
              <w:textAlignment w:val="auto"/>
              <w:rPr>
                <w:rFonts w:hint="default" w:ascii="Times New Roman" w:hAnsi="Times New Roman" w:cs="Times New Roman"/>
                <w:b/>
                <w:bCs/>
                <w:sz w:val="24"/>
                <w:szCs w:val="24"/>
              </w:rPr>
            </w:pPr>
            <w:r>
              <w:rPr>
                <w:rFonts w:hint="default" w:ascii="Times New Roman" w:hAnsi="Times New Roman" w:eastAsia="宋体" w:cs="Times New Roman"/>
                <w:b/>
                <w:bCs/>
                <w:color w:val="auto"/>
                <w:sz w:val="24"/>
                <w:szCs w:val="24"/>
                <w:lang w:val="en-US" w:eastAsia="zh-CN"/>
              </w:rPr>
              <w:t>医疗废物运输的要求</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a.医疗废物运输工具选择符合《医疗废物转运车技术要求》（GB19217-2003）</w:t>
            </w:r>
            <w:r>
              <w:rPr>
                <w:rFonts w:hint="eastAsia" w:ascii="Times New Roman" w:hAnsi="Times New Roman" w:eastAsia="宋体" w:cs="Times New Roman"/>
                <w:kern w:val="0"/>
                <w:sz w:val="24"/>
                <w:szCs w:val="24"/>
                <w:lang w:val="en-US" w:eastAsia="zh-CN" w:bidi="ar-SA"/>
              </w:rPr>
              <w:t>的</w:t>
            </w:r>
            <w:r>
              <w:rPr>
                <w:rFonts w:hint="default" w:ascii="Times New Roman" w:hAnsi="Times New Roman" w:eastAsia="宋体" w:cs="Times New Roman"/>
                <w:kern w:val="0"/>
                <w:sz w:val="24"/>
                <w:szCs w:val="24"/>
                <w:lang w:val="en-US" w:eastAsia="zh-CN" w:bidi="ar-SA"/>
              </w:rPr>
              <w:t>专用医疗废物运输车；</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b.在运输车上必须配置有橡胶手套、工作手套、口罩、消毒水、急救医药箱、灭火器、紧急应变手册等工具；</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c.医疗废物运输工具应当采取防漏措施，防止医疗废物流失、泄漏和扩散。</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d.</w:t>
            </w:r>
            <w:r>
              <w:rPr>
                <w:rFonts w:hint="eastAsia" w:cs="Times New Roman"/>
                <w:kern w:val="0"/>
                <w:sz w:val="24"/>
                <w:szCs w:val="24"/>
                <w:lang w:val="en-US" w:eastAsia="zh-CN" w:bidi="ar-SA"/>
              </w:rPr>
              <w:t>运</w:t>
            </w:r>
            <w:r>
              <w:rPr>
                <w:rFonts w:hint="default" w:ascii="Times New Roman" w:hAnsi="Times New Roman" w:eastAsia="宋体" w:cs="Times New Roman"/>
                <w:kern w:val="0"/>
                <w:sz w:val="24"/>
                <w:szCs w:val="24"/>
                <w:lang w:val="en-US" w:eastAsia="zh-CN" w:bidi="ar-SA"/>
              </w:rPr>
              <w:t>送人员每天从医疗废物产生地点将分类包装的医疗废物按照规定的时间和路线运送至内部指定的暂时贮存地点；</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e.运送人员在运送医疗废物前，应当检查包装物或者容器的标识、标签及封口是否符合要求，不得将不符合要求的医疗废物运送至暂时贮存地点；</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f.运送人员在运送医疗废物时，应当防止造成包装物或容器破损和医疗废物的流失、泄漏和扩散，并防止医疗废物直接接触身体；</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g.运送医疗废物应当使用防渗漏、防遗撒、无锐利边角、易于装卸和清洁的专用运送工具；</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h.每天运送工作结束后，应当对运送工具及时进行清洁和消毒；</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eastAsia="宋体"/>
                <w:lang w:val="en-US" w:eastAsia="zh-CN"/>
              </w:rPr>
            </w:pPr>
            <w:r>
              <w:rPr>
                <w:rFonts w:hint="eastAsia" w:ascii="Times New Roman" w:hAnsi="Times New Roman" w:eastAsia="宋体" w:cs="Times New Roman"/>
                <w:kern w:val="0"/>
                <w:sz w:val="24"/>
                <w:szCs w:val="24"/>
                <w:lang w:val="en-US" w:eastAsia="zh-CN" w:bidi="ar-SA"/>
              </w:rPr>
              <w:t>i.</w:t>
            </w:r>
            <w:r>
              <w:rPr>
                <w:rFonts w:hint="default" w:ascii="Times New Roman" w:hAnsi="Times New Roman" w:eastAsia="宋体" w:cs="Times New Roman"/>
                <w:kern w:val="0"/>
                <w:sz w:val="24"/>
                <w:szCs w:val="24"/>
                <w:lang w:val="en-US" w:eastAsia="zh-CN" w:bidi="ar-SA"/>
              </w:rPr>
              <w:t>确实不能做到日产日清，且当地最高气温高于25℃时，应将医疗废物低温暂时贮存，暂时贮存温度应低于20℃，时间最长不超过48小时。</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70" w:firstLineChars="200"/>
              <w:textAlignment w:val="auto"/>
              <w:rPr>
                <w:rFonts w:hint="default" w:ascii="Times New Roman" w:hAnsi="Times New Roman" w:eastAsia="宋体" w:cs="Times New Roman"/>
                <w:b/>
                <w:bCs/>
                <w:spacing w:val="-3"/>
                <w:sz w:val="24"/>
                <w:szCs w:val="24"/>
              </w:rPr>
            </w:pPr>
            <w:r>
              <w:rPr>
                <w:rFonts w:hint="default" w:ascii="Times New Roman" w:hAnsi="Times New Roman" w:eastAsia="宋体" w:cs="Times New Roman"/>
                <w:b/>
                <w:bCs/>
                <w:spacing w:val="-3"/>
                <w:sz w:val="24"/>
                <w:szCs w:val="24"/>
              </w:rPr>
              <w:t>事故应急措施</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eastAsia="宋体" w:cs="Times New Roman"/>
                <w:kern w:val="0"/>
                <w:sz w:val="24"/>
                <w:szCs w:val="24"/>
                <w:lang w:val="en-US" w:eastAsia="zh-CN" w:bidi="ar-SA"/>
              </w:rPr>
              <w:t>发生</w:t>
            </w:r>
            <w:r>
              <w:rPr>
                <w:rFonts w:hint="eastAsia" w:ascii="Times New Roman" w:hAnsi="Times New Roman" w:eastAsia="宋体" w:cs="Times New Roman"/>
                <w:kern w:val="0"/>
                <w:sz w:val="24"/>
                <w:szCs w:val="24"/>
                <w:lang w:val="en-US" w:eastAsia="zh-CN" w:bidi="ar-SA"/>
              </w:rPr>
              <w:t>动物诊疗废物</w:t>
            </w:r>
            <w:r>
              <w:rPr>
                <w:rFonts w:hint="default" w:ascii="Times New Roman" w:hAnsi="Times New Roman" w:eastAsia="宋体" w:cs="Times New Roman"/>
                <w:kern w:val="0"/>
                <w:sz w:val="24"/>
                <w:szCs w:val="24"/>
                <w:lang w:val="en-US" w:eastAsia="zh-CN" w:bidi="ar-SA"/>
              </w:rPr>
              <w:t>流失、泄漏、扩散和意外事故时，应当按照以下要求及时采取紧急处理措施：确定流失、泄漏、扩散的</w:t>
            </w:r>
            <w:r>
              <w:rPr>
                <w:rFonts w:hint="eastAsia" w:ascii="Times New Roman" w:hAnsi="Times New Roman" w:eastAsia="宋体" w:cs="Times New Roman"/>
                <w:kern w:val="0"/>
                <w:sz w:val="24"/>
                <w:szCs w:val="24"/>
                <w:lang w:val="en-US" w:eastAsia="zh-CN" w:bidi="ar-SA"/>
              </w:rPr>
              <w:t>动物诊疗废物</w:t>
            </w:r>
            <w:r>
              <w:rPr>
                <w:rFonts w:hint="default" w:ascii="Times New Roman" w:hAnsi="Times New Roman" w:eastAsia="宋体" w:cs="Times New Roman"/>
                <w:kern w:val="0"/>
                <w:sz w:val="24"/>
                <w:szCs w:val="24"/>
                <w:lang w:val="en-US" w:eastAsia="zh-CN" w:bidi="ar-SA"/>
              </w:rPr>
              <w:t>的类别、数量、发生时间、影响范围及严重程度；组织有关人员尽快按照应急方案，对发生</w:t>
            </w:r>
            <w:r>
              <w:rPr>
                <w:rFonts w:hint="eastAsia" w:ascii="Times New Roman" w:hAnsi="Times New Roman" w:eastAsia="宋体" w:cs="Times New Roman"/>
                <w:kern w:val="0"/>
                <w:sz w:val="24"/>
                <w:szCs w:val="24"/>
                <w:lang w:val="en-US" w:eastAsia="zh-CN" w:bidi="ar-SA"/>
              </w:rPr>
              <w:t>动物诊疗废物</w:t>
            </w:r>
            <w:r>
              <w:rPr>
                <w:rFonts w:hint="default" w:ascii="Times New Roman" w:hAnsi="Times New Roman" w:eastAsia="宋体" w:cs="Times New Roman"/>
                <w:kern w:val="0"/>
                <w:sz w:val="24"/>
                <w:szCs w:val="24"/>
                <w:lang w:val="en-US" w:eastAsia="zh-CN" w:bidi="ar-SA"/>
              </w:rPr>
              <w:t>泄漏、扩散的现场进行处理；对被</w:t>
            </w:r>
            <w:r>
              <w:rPr>
                <w:rFonts w:hint="eastAsia" w:ascii="Times New Roman" w:hAnsi="Times New Roman" w:eastAsia="宋体" w:cs="Times New Roman"/>
                <w:kern w:val="0"/>
                <w:sz w:val="24"/>
                <w:szCs w:val="24"/>
                <w:lang w:val="en-US" w:eastAsia="zh-CN" w:bidi="ar-SA"/>
              </w:rPr>
              <w:t>动物诊疗废物</w:t>
            </w:r>
            <w:r>
              <w:rPr>
                <w:rFonts w:hint="default" w:ascii="Times New Roman" w:hAnsi="Times New Roman" w:eastAsia="宋体" w:cs="Times New Roman"/>
                <w:kern w:val="0"/>
                <w:sz w:val="24"/>
                <w:szCs w:val="24"/>
                <w:lang w:val="en-US" w:eastAsia="zh-CN" w:bidi="ar-SA"/>
              </w:rPr>
              <w:t>污染的区域进行处理时，应当尽可能减少对病人、医护人员、</w:t>
            </w:r>
            <w:r>
              <w:rPr>
                <w:rFonts w:hint="eastAsia" w:ascii="Times New Roman" w:hAnsi="Times New Roman" w:eastAsia="宋体" w:cs="Times New Roman"/>
                <w:kern w:val="0"/>
                <w:sz w:val="24"/>
                <w:szCs w:val="24"/>
                <w:lang w:val="en-US" w:eastAsia="zh-CN" w:bidi="ar-SA"/>
              </w:rPr>
              <w:t>其他</w:t>
            </w:r>
            <w:r>
              <w:rPr>
                <w:rFonts w:hint="default" w:ascii="Times New Roman" w:hAnsi="Times New Roman" w:eastAsia="宋体" w:cs="Times New Roman"/>
                <w:kern w:val="0"/>
                <w:sz w:val="24"/>
                <w:szCs w:val="24"/>
                <w:lang w:val="en-US" w:eastAsia="zh-CN" w:bidi="ar-SA"/>
              </w:rPr>
              <w:t>现场人员及环境的影响；采取适当的安全处置措施，对泄漏物及受污染的区域、物品进行消毒或者其他无害化处置，必要时封锁污染区域，以防扩大污染；对感染性废物污染区域进行消毒时，消毒工作从污染最轻区域向污染最严重区域进行，对可能被污染的所有使用过的工具也应当进行消毒；工作人员应当做好卫生安全防护后进行工作。处理工作结束后，医疗卫生机构应当对事件的起因进行调查，并采取有效的防范措施预防类似事件的发生。</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70" w:firstLineChars="200"/>
              <w:textAlignment w:val="auto"/>
              <w:rPr>
                <w:rFonts w:hint="default" w:ascii="Times New Roman" w:hAnsi="Times New Roman" w:eastAsia="宋体" w:cs="Times New Roman"/>
                <w:b/>
                <w:bCs/>
                <w:spacing w:val="-3"/>
                <w:sz w:val="24"/>
                <w:szCs w:val="24"/>
              </w:rPr>
            </w:pPr>
            <w:r>
              <w:rPr>
                <w:rFonts w:hint="default" w:ascii="Times New Roman" w:hAnsi="Times New Roman" w:eastAsia="宋体" w:cs="Times New Roman"/>
                <w:b/>
                <w:bCs/>
                <w:spacing w:val="-3"/>
                <w:sz w:val="24"/>
                <w:szCs w:val="24"/>
              </w:rPr>
              <w:t>注意事项</w:t>
            </w:r>
          </w:p>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由于</w:t>
            </w:r>
            <w:r>
              <w:rPr>
                <w:rFonts w:hint="eastAsia" w:cs="Times New Roman"/>
                <w:sz w:val="24"/>
                <w:szCs w:val="24"/>
                <w:lang w:val="en-US" w:eastAsia="zh-CN"/>
              </w:rPr>
              <w:t>动物诊疗废物按医疗废物进行管理处置</w:t>
            </w:r>
            <w:r>
              <w:rPr>
                <w:rFonts w:hint="default" w:ascii="Times New Roman" w:hAnsi="Times New Roman" w:cs="Times New Roman"/>
                <w:sz w:val="24"/>
                <w:szCs w:val="24"/>
              </w:rPr>
              <w:t>，因此在其储运过程中还应注意以下几点：</w:t>
            </w:r>
          </w:p>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Ⅰ、在诊室等高危区必须采用双层废物袋或可密封处理的塑料桶。针头等锐器不应和其他废物混放，使用后要稳妥安全地放入防漏、防刺的专用锐器容器中。锐器容器要求有盖，并做好明显的标识，防止转运人员被锐器划伤引起疾病感染。</w:t>
            </w:r>
          </w:p>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Ⅱ、对</w:t>
            </w:r>
            <w:r>
              <w:rPr>
                <w:rFonts w:hint="eastAsia" w:cs="Times New Roman"/>
                <w:sz w:val="24"/>
                <w:szCs w:val="24"/>
                <w:lang w:eastAsia="zh-CN"/>
              </w:rPr>
              <w:t>动物诊疗废物</w:t>
            </w:r>
            <w:r>
              <w:rPr>
                <w:rFonts w:hint="default" w:ascii="Times New Roman" w:hAnsi="Times New Roman" w:cs="Times New Roman"/>
                <w:sz w:val="24"/>
                <w:szCs w:val="24"/>
              </w:rPr>
              <w:t>必须按照</w:t>
            </w:r>
            <w:r>
              <w:rPr>
                <w:rFonts w:hint="eastAsia" w:cs="Times New Roman"/>
                <w:sz w:val="24"/>
                <w:szCs w:val="24"/>
                <w:lang w:val="en-US" w:eastAsia="zh-CN"/>
              </w:rPr>
              <w:t>原</w:t>
            </w:r>
            <w:r>
              <w:rPr>
                <w:rFonts w:hint="default" w:ascii="Times New Roman" w:hAnsi="Times New Roman" w:cs="Times New Roman"/>
                <w:sz w:val="24"/>
                <w:szCs w:val="24"/>
              </w:rPr>
              <w:t>国家环境保护总局制定的《医疗废物分类目录》进行分类收集，并及时浸泡、消毒。废物袋的颜色为黄色，印有盛装医疗废物的文字说明和医疗废物警示标识。</w:t>
            </w:r>
          </w:p>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Ⅲ、要求使用专用手推车，要装卸方便、密封良好，废物袋破裂时不至于外漏，还要易于消毒和清洁。</w:t>
            </w:r>
          </w:p>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b/>
                <w:bCs/>
                <w:spacing w:val="-5"/>
                <w:sz w:val="24"/>
                <w:szCs w:val="24"/>
              </w:rPr>
            </w:pPr>
            <w:r>
              <w:rPr>
                <w:rFonts w:hint="default" w:ascii="Times New Roman" w:hAnsi="Times New Roman" w:cs="Times New Roman"/>
                <w:sz w:val="24"/>
                <w:szCs w:val="24"/>
              </w:rPr>
              <w:t>Ⅴ、医院必须严格遵守中华人民共和国国务院令第380号《医疗废物管理条例》中的禁止性规定：禁止任何单位和个人转让、买卖医疗废物。禁止在运送过程中丢弃医疗废物；禁止在非贮存地点倾倒、堆放医疗废物或者将医疗废物混入其他废物和生活垃圾。禁止邮寄医疗废物。禁止通过铁路、航空运输医疗废物。有陆路通道的，禁止通过水路运输医疗废物；没有陆路通道</w:t>
            </w:r>
            <w:r>
              <w:rPr>
                <w:rFonts w:hint="eastAsia" w:cs="Times New Roman"/>
                <w:sz w:val="24"/>
                <w:szCs w:val="24"/>
                <w:lang w:eastAsia="zh-CN"/>
              </w:rPr>
              <w:t>必须</w:t>
            </w:r>
            <w:r>
              <w:rPr>
                <w:rFonts w:hint="default" w:ascii="Times New Roman" w:hAnsi="Times New Roman" w:cs="Times New Roman"/>
                <w:sz w:val="24"/>
                <w:szCs w:val="24"/>
              </w:rPr>
              <w:t>经水路运输医疗废物的，应当经设区的市级以上人民政府环境保护行政主管部门批准，并采取严格的环境保护措施后，方可通过水路运输。禁止将医疗废物与旅客在同一运输工具上载运。禁止在饮用水源保护区的水体上运输医疗废物。</w:t>
            </w:r>
          </w:p>
          <w:p>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pacing w:val="0"/>
                <w:kern w:val="0"/>
                <w:position w:val="0"/>
                <w:sz w:val="24"/>
                <w:highlight w:val="none"/>
                <w:lang w:bidi="ar"/>
                <w14:textFill>
                  <w14:solidFill>
                    <w14:schemeClr w14:val="tx1"/>
                  </w14:solidFill>
                </w14:textFill>
              </w:rPr>
            </w:pPr>
            <w:r>
              <w:rPr>
                <w:rFonts w:hint="default" w:ascii="Times New Roman" w:hAnsi="Times New Roman" w:eastAsia="宋体" w:cs="Times New Roman"/>
                <w:color w:val="auto"/>
                <w:sz w:val="24"/>
                <w:szCs w:val="24"/>
                <w:lang w:val="en-US" w:eastAsia="zh-CN"/>
              </w:rPr>
              <w:t>建设单位认真落实上述处置方法，项目固体废弃物对周围环境不会产生明显影响。</w:t>
            </w:r>
          </w:p>
          <w:p>
            <w:pPr>
              <w:numPr>
                <w:ilvl w:val="0"/>
                <w:numId w:val="0"/>
              </w:num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4.2.5运营期地下水、土壤环境影响及保护措施</w:t>
            </w:r>
          </w:p>
          <w:p>
            <w:p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4.2.5.1 地下水污染途径分析及评价</w:t>
            </w:r>
          </w:p>
          <w:p>
            <w:pPr>
              <w:spacing w:line="360" w:lineRule="auto"/>
              <w:ind w:firstLine="480" w:firstLineChars="200"/>
              <w:rPr>
                <w:rFonts w:hint="default" w:ascii="Times New Roman" w:hAnsi="Times New Roman" w:cs="Times New Roman"/>
                <w:color w:val="000000"/>
                <w:sz w:val="24"/>
                <w:highlight w:val="none"/>
                <w:lang w:val="en-US" w:eastAsia="zh-CN"/>
              </w:rPr>
            </w:pPr>
            <w:r>
              <w:rPr>
                <w:rFonts w:hint="eastAsia" w:ascii="Times New Roman" w:hAnsi="Times New Roman" w:cs="Times New Roman"/>
                <w:color w:val="000000"/>
                <w:sz w:val="24"/>
                <w:highlight w:val="none"/>
                <w:lang w:val="en-US" w:eastAsia="zh-CN"/>
              </w:rPr>
              <w:t>项目正常运营情况下，不存在污染土壤及地下水环境的途径，非正常工况下，</w:t>
            </w:r>
            <w:r>
              <w:rPr>
                <w:rFonts w:hint="default" w:ascii="Times New Roman" w:hAnsi="Times New Roman" w:cs="Times New Roman"/>
                <w:color w:val="000000"/>
                <w:sz w:val="24"/>
                <w:highlight w:val="none"/>
                <w:lang w:val="en-US" w:eastAsia="zh-CN"/>
              </w:rPr>
              <w:t>项目运营期地下水</w:t>
            </w:r>
            <w:r>
              <w:rPr>
                <w:rFonts w:hint="eastAsia" w:ascii="Times New Roman" w:hAnsi="Times New Roman" w:cs="Times New Roman"/>
                <w:color w:val="000000"/>
                <w:sz w:val="24"/>
                <w:highlight w:val="none"/>
                <w:lang w:val="en-US" w:eastAsia="zh-CN"/>
              </w:rPr>
              <w:t>及土壤的</w:t>
            </w:r>
            <w:r>
              <w:rPr>
                <w:rFonts w:hint="default" w:ascii="Times New Roman" w:hAnsi="Times New Roman" w:cs="Times New Roman"/>
                <w:color w:val="000000"/>
                <w:sz w:val="24"/>
                <w:highlight w:val="none"/>
                <w:lang w:val="en-US" w:eastAsia="zh-CN"/>
              </w:rPr>
              <w:t>污染源危险固废及</w:t>
            </w:r>
            <w:r>
              <w:rPr>
                <w:rFonts w:hint="eastAsia" w:ascii="Times New Roman" w:hAnsi="Times New Roman" w:cs="Times New Roman"/>
                <w:color w:val="000000"/>
                <w:sz w:val="24"/>
                <w:highlight w:val="none"/>
                <w:lang w:val="en-US" w:eastAsia="zh-CN"/>
              </w:rPr>
              <w:t>宠物诊疗</w:t>
            </w:r>
            <w:r>
              <w:rPr>
                <w:rFonts w:hint="default" w:ascii="Times New Roman" w:hAnsi="Times New Roman" w:cs="Times New Roman"/>
                <w:color w:val="000000"/>
                <w:sz w:val="24"/>
                <w:highlight w:val="none"/>
                <w:lang w:val="en-US" w:eastAsia="zh-CN"/>
              </w:rPr>
              <w:t>废水</w:t>
            </w:r>
            <w:r>
              <w:rPr>
                <w:rFonts w:hint="eastAsia" w:ascii="Times New Roman" w:hAnsi="Times New Roman" w:cs="Times New Roman"/>
                <w:color w:val="000000"/>
                <w:sz w:val="24"/>
                <w:highlight w:val="none"/>
                <w:lang w:val="en-US" w:eastAsia="zh-CN"/>
              </w:rPr>
              <w:t>，</w:t>
            </w:r>
            <w:r>
              <w:rPr>
                <w:rFonts w:hint="default" w:ascii="Times New Roman" w:hAnsi="Times New Roman" w:cs="Times New Roman"/>
                <w:color w:val="000000"/>
                <w:sz w:val="24"/>
                <w:highlight w:val="none"/>
                <w:lang w:val="en-US" w:eastAsia="zh-CN"/>
              </w:rPr>
              <w:t>本工程对地下水的主要污染途径项目</w:t>
            </w:r>
            <w:r>
              <w:rPr>
                <w:rFonts w:hint="eastAsia" w:ascii="Times New Roman" w:hAnsi="Times New Roman" w:cs="Times New Roman"/>
                <w:color w:val="000000"/>
                <w:sz w:val="24"/>
                <w:highlight w:val="none"/>
                <w:lang w:val="en-US" w:eastAsia="zh-CN"/>
              </w:rPr>
              <w:t>动物诊疗废物</w:t>
            </w:r>
            <w:r>
              <w:rPr>
                <w:rFonts w:hint="default" w:ascii="Times New Roman" w:hAnsi="Times New Roman" w:cs="Times New Roman"/>
                <w:color w:val="000000"/>
                <w:sz w:val="24"/>
                <w:highlight w:val="none"/>
                <w:lang w:val="en-US" w:eastAsia="zh-CN"/>
              </w:rPr>
              <w:t>暂存过程，盛装容器发生破裂，液体下渗污染地下水及土壤</w:t>
            </w:r>
            <w:r>
              <w:rPr>
                <w:rFonts w:hint="eastAsia" w:cs="Times New Roman"/>
                <w:color w:val="000000"/>
                <w:sz w:val="24"/>
                <w:highlight w:val="none"/>
                <w:lang w:val="en-US" w:eastAsia="zh-CN"/>
              </w:rPr>
              <w:t>。</w:t>
            </w:r>
          </w:p>
          <w:p>
            <w:pPr>
              <w:spacing w:line="360" w:lineRule="auto"/>
              <w:rPr>
                <w:rFonts w:hint="default" w:ascii="Times New Roman" w:hAnsi="Times New Roman" w:eastAsia="宋体"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4.2.5.</w:t>
            </w:r>
            <w:r>
              <w:rPr>
                <w:rFonts w:hint="eastAsia" w:cs="Times New Roman"/>
                <w:b/>
                <w:bCs/>
                <w:color w:val="000000" w:themeColor="text1"/>
                <w:kern w:val="2"/>
                <w:sz w:val="24"/>
                <w:szCs w:val="24"/>
                <w:lang w:val="en-US" w:eastAsia="zh-CN" w:bidi="ar-SA"/>
                <w14:textFill>
                  <w14:solidFill>
                    <w14:schemeClr w14:val="tx1"/>
                  </w14:solidFill>
                </w14:textFill>
              </w:rPr>
              <w:t>2</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 xml:space="preserve"> </w:t>
            </w:r>
            <w:r>
              <w:rPr>
                <w:rFonts w:hint="default" w:ascii="Times New Roman" w:hAnsi="Times New Roman" w:eastAsia="宋体" w:cs="Times New Roman"/>
                <w:b/>
                <w:bCs/>
                <w:color w:val="auto"/>
                <w:sz w:val="24"/>
                <w:szCs w:val="24"/>
                <w:highlight w:val="none"/>
                <w:lang w:val="en-US" w:eastAsia="zh-CN"/>
              </w:rPr>
              <w:t>防控措施</w:t>
            </w:r>
          </w:p>
          <w:p>
            <w:pPr>
              <w:keepNext w:val="0"/>
              <w:keepLines w:val="0"/>
              <w:pageBreakBefore w:val="0"/>
              <w:widowControl/>
              <w:numPr>
                <w:ilvl w:val="0"/>
                <w:numId w:val="4"/>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防渗分区措施</w:t>
            </w:r>
          </w:p>
          <w:p>
            <w:pPr>
              <w:pStyle w:val="69"/>
              <w:keepNext w:val="0"/>
              <w:keepLines w:val="0"/>
              <w:suppressLineNumbers w:val="0"/>
              <w:bidi w:val="0"/>
              <w:spacing w:before="0" w:beforeAutospacing="0" w:after="0" w:afterAutospacing="0" w:line="360" w:lineRule="auto"/>
              <w:ind w:left="0" w:right="0"/>
              <w:jc w:val="both"/>
              <w:rPr>
                <w:rFonts w:hint="default" w:cs="Times New Roman"/>
                <w:lang w:val="en-US" w:eastAsia="zh-CN"/>
              </w:rPr>
            </w:pPr>
            <w:r>
              <w:rPr>
                <w:rFonts w:hint="default" w:cs="Times New Roman"/>
                <w:lang w:val="en-US" w:eastAsia="zh-CN"/>
              </w:rPr>
              <w:t>对医疗废物专用暂时贮存</w:t>
            </w:r>
            <w:r>
              <w:rPr>
                <w:rFonts w:hint="eastAsia" w:cs="Times New Roman"/>
                <w:snapToGrid w:val="0"/>
                <w:kern w:val="0"/>
                <w:sz w:val="24"/>
                <w:szCs w:val="24"/>
                <w:highlight w:val="none"/>
                <w:lang w:val="en-US" w:eastAsia="zh-CN"/>
              </w:rPr>
              <w:t>库房</w:t>
            </w:r>
            <w:r>
              <w:rPr>
                <w:rFonts w:hint="default" w:cs="Times New Roman"/>
                <w:lang w:val="en-US" w:eastAsia="zh-CN"/>
              </w:rPr>
              <w:t>采取防雨、防渗、防腐等措施，医疗废物专用暂时贮存</w:t>
            </w:r>
            <w:r>
              <w:rPr>
                <w:rFonts w:hint="eastAsia" w:cs="Times New Roman"/>
                <w:snapToGrid w:val="0"/>
                <w:kern w:val="0"/>
                <w:sz w:val="24"/>
                <w:szCs w:val="24"/>
                <w:highlight w:val="none"/>
                <w:lang w:val="en-US" w:eastAsia="zh-CN"/>
              </w:rPr>
              <w:t>库房</w:t>
            </w:r>
            <w:r>
              <w:rPr>
                <w:rFonts w:hint="eastAsia" w:cs="Times New Roman"/>
                <w:lang w:val="en-US" w:eastAsia="zh-CN"/>
              </w:rPr>
              <w:t>地</w:t>
            </w:r>
            <w:r>
              <w:rPr>
                <w:rFonts w:hint="default" w:cs="Times New Roman"/>
                <w:lang w:val="en-US" w:eastAsia="zh-CN"/>
              </w:rPr>
              <w:t>面采取防腐防渗措施并按《危险废物贮存污染控制标准》（GB18597-2023）进行设计。</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为有效预防地下水污染，本项目采取分区防渗措施。本项目按重点防渗区和简单防渗区分区域进行防渗处理。</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eastAsia" w:cs="Times New Roman"/>
                <w:color w:val="000000"/>
                <w:kern w:val="0"/>
                <w:sz w:val="24"/>
                <w:szCs w:val="24"/>
                <w:lang w:val="en-US" w:eastAsia="zh-CN" w:bidi="ar"/>
              </w:rPr>
              <w:t>医疗废物专用暂时贮存</w:t>
            </w:r>
            <w:r>
              <w:rPr>
                <w:rFonts w:hint="eastAsia" w:cs="Times New Roman"/>
                <w:snapToGrid w:val="0"/>
                <w:kern w:val="0"/>
                <w:sz w:val="24"/>
                <w:szCs w:val="24"/>
                <w:highlight w:val="none"/>
                <w:lang w:val="en-US" w:eastAsia="zh-CN"/>
              </w:rPr>
              <w:t>库房</w:t>
            </w:r>
            <w:r>
              <w:rPr>
                <w:rFonts w:hint="eastAsia" w:cs="Times New Roman"/>
                <w:color w:val="000000"/>
                <w:kern w:val="0"/>
                <w:sz w:val="24"/>
                <w:szCs w:val="24"/>
                <w:lang w:val="en-US" w:eastAsia="zh-CN" w:bidi="ar"/>
              </w:rPr>
              <w:t>为</w:t>
            </w:r>
            <w:r>
              <w:rPr>
                <w:rFonts w:hint="default" w:ascii="Times New Roman" w:hAnsi="Times New Roman" w:eastAsia="宋体" w:cs="Times New Roman"/>
                <w:color w:val="000000"/>
                <w:kern w:val="0"/>
                <w:sz w:val="24"/>
                <w:szCs w:val="24"/>
                <w:lang w:val="en-US" w:eastAsia="zh-CN" w:bidi="ar"/>
              </w:rPr>
              <w:t>重点防渗区</w:t>
            </w:r>
            <w:r>
              <w:rPr>
                <w:rFonts w:hint="eastAsia" w:ascii="Times New Roman" w:hAnsi="Times New Roman" w:eastAsia="宋体" w:cs="Times New Roman"/>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其他生产生活设施为简单防渗区，仅做一般地面硬化。</w:t>
            </w:r>
          </w:p>
          <w:p>
            <w:pPr>
              <w:pStyle w:val="96"/>
              <w:keepNext w:val="0"/>
              <w:keepLines w:val="0"/>
              <w:suppressLineNumbers w:val="0"/>
              <w:spacing w:before="0" w:beforeAutospacing="0" w:after="0" w:afterAutospacing="0"/>
              <w:ind w:left="0" w:right="0" w:firstLine="48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eastAsia" w:eastAsia="宋体" w:cs="Times New Roman"/>
                <w:b/>
                <w:bCs/>
                <w:color w:val="auto"/>
                <w:sz w:val="21"/>
                <w:szCs w:val="21"/>
                <w:highlight w:val="none"/>
                <w:lang w:val="en-US" w:eastAsia="zh-CN"/>
              </w:rPr>
              <w:t>4-12</w:t>
            </w:r>
            <w:r>
              <w:rPr>
                <w:rFonts w:hint="default" w:ascii="Times New Roman" w:hAnsi="Times New Roman" w:eastAsia="宋体" w:cs="Times New Roman"/>
                <w:b/>
                <w:bCs/>
                <w:color w:val="auto"/>
                <w:sz w:val="21"/>
                <w:szCs w:val="21"/>
                <w:highlight w:val="none"/>
              </w:rPr>
              <w:t xml:space="preserve">      项目污染地下水途径及防治措施一览表</w:t>
            </w:r>
          </w:p>
          <w:tbl>
            <w:tblPr>
              <w:tblStyle w:val="29"/>
              <w:tblW w:w="499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641"/>
              <w:gridCol w:w="1375"/>
              <w:gridCol w:w="1525"/>
              <w:gridCol w:w="4430"/>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40" w:hRule="atLeast"/>
                <w:jc w:val="center"/>
              </w:trPr>
              <w:tc>
                <w:tcPr>
                  <w:tcW w:w="402" w:type="pct"/>
                  <w:tcBorders>
                    <w:bottom w:val="single" w:color="auto" w:sz="12" w:space="0"/>
                  </w:tcBorders>
                  <w:noWrap w:val="0"/>
                  <w:vAlign w:val="center"/>
                </w:tcPr>
                <w:p>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bCs/>
                      <w:color w:val="000000"/>
                      <w:sz w:val="21"/>
                      <w:szCs w:val="21"/>
                      <w:highlight w:val="none"/>
                      <w:lang w:eastAsia="zh-CN"/>
                    </w:rPr>
                  </w:pPr>
                  <w:r>
                    <w:rPr>
                      <w:rFonts w:hint="default" w:ascii="Times New Roman" w:hAnsi="Times New Roman" w:eastAsia="宋体" w:cs="Times New Roman"/>
                      <w:b/>
                      <w:bCs/>
                      <w:color w:val="000000"/>
                      <w:sz w:val="21"/>
                      <w:szCs w:val="21"/>
                      <w:highlight w:val="none"/>
                      <w:lang w:eastAsia="zh-CN"/>
                    </w:rPr>
                    <w:t>序号</w:t>
                  </w:r>
                </w:p>
              </w:tc>
              <w:tc>
                <w:tcPr>
                  <w:tcW w:w="862" w:type="pct"/>
                  <w:tcBorders>
                    <w:bottom w:val="single" w:color="auto" w:sz="12" w:space="0"/>
                  </w:tcBorders>
                  <w:noWrap w:val="0"/>
                  <w:vAlign w:val="center"/>
                </w:tcPr>
                <w:p>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bCs/>
                      <w:color w:val="000000"/>
                      <w:sz w:val="21"/>
                      <w:szCs w:val="21"/>
                      <w:highlight w:val="none"/>
                      <w:lang w:eastAsia="zh-CN"/>
                    </w:rPr>
                  </w:pPr>
                  <w:r>
                    <w:rPr>
                      <w:rFonts w:hint="default" w:ascii="Times New Roman" w:hAnsi="Times New Roman" w:eastAsia="宋体" w:cs="Times New Roman"/>
                      <w:b/>
                      <w:bCs/>
                      <w:color w:val="000000"/>
                      <w:sz w:val="21"/>
                      <w:szCs w:val="21"/>
                      <w:highlight w:val="none"/>
                      <w:lang w:eastAsia="zh-CN"/>
                    </w:rPr>
                    <w:t>类别</w:t>
                  </w:r>
                </w:p>
              </w:tc>
              <w:tc>
                <w:tcPr>
                  <w:tcW w:w="956" w:type="pct"/>
                  <w:tcBorders>
                    <w:bottom w:val="single" w:color="auto" w:sz="12" w:space="0"/>
                  </w:tcBorders>
                  <w:noWrap w:val="0"/>
                  <w:vAlign w:val="center"/>
                </w:tcPr>
                <w:p>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项目</w:t>
                  </w:r>
                </w:p>
              </w:tc>
              <w:tc>
                <w:tcPr>
                  <w:tcW w:w="2778" w:type="pct"/>
                  <w:tcBorders>
                    <w:bottom w:val="single" w:color="auto" w:sz="12" w:space="0"/>
                  </w:tcBorders>
                  <w:noWrap w:val="0"/>
                  <w:vAlign w:val="center"/>
                </w:tcPr>
                <w:p>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保护措施</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1192" w:hRule="atLeast"/>
                <w:jc w:val="center"/>
              </w:trPr>
              <w:tc>
                <w:tcPr>
                  <w:tcW w:w="402" w:type="pct"/>
                  <w:tcBorders>
                    <w:top w:val="single" w:color="auto" w:sz="12" w:space="0"/>
                  </w:tcBorders>
                  <w:noWrap w:val="0"/>
                  <w:vAlign w:val="center"/>
                </w:tcPr>
                <w:p>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1</w:t>
                  </w:r>
                </w:p>
              </w:tc>
              <w:tc>
                <w:tcPr>
                  <w:tcW w:w="862" w:type="pct"/>
                  <w:tcBorders>
                    <w:top w:val="single" w:color="auto" w:sz="12" w:space="0"/>
                  </w:tcBorders>
                  <w:noWrap w:val="0"/>
                  <w:vAlign w:val="center"/>
                </w:tcPr>
                <w:p>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重点防渗区</w:t>
                  </w:r>
                </w:p>
              </w:tc>
              <w:tc>
                <w:tcPr>
                  <w:tcW w:w="956" w:type="pct"/>
                  <w:tcBorders>
                    <w:top w:val="single" w:color="auto" w:sz="12" w:space="0"/>
                  </w:tcBorders>
                  <w:noWrap w:val="0"/>
                  <w:vAlign w:val="center"/>
                </w:tcPr>
                <w:p>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医疗废物专用暂时贮存</w:t>
                  </w:r>
                  <w:r>
                    <w:rPr>
                      <w:rFonts w:hint="default" w:ascii="Times New Roman" w:hAnsi="Times New Roman" w:eastAsia="宋体" w:cs="Times New Roman"/>
                      <w:color w:val="000000"/>
                      <w:sz w:val="21"/>
                      <w:szCs w:val="21"/>
                      <w:highlight w:val="none"/>
                      <w:lang w:val="en-US" w:eastAsia="zh-CN"/>
                    </w:rPr>
                    <w:t>库房</w:t>
                  </w:r>
                </w:p>
              </w:tc>
              <w:tc>
                <w:tcPr>
                  <w:tcW w:w="2778" w:type="pct"/>
                  <w:tcBorders>
                    <w:top w:val="single" w:color="auto" w:sz="12" w:space="0"/>
                  </w:tcBorders>
                  <w:noWrap w:val="0"/>
                  <w:vAlign w:val="center"/>
                </w:tcPr>
                <w:p>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lang w:val="en-US" w:eastAsia="zh-CN"/>
                    </w:rPr>
                    <w:t>确保防渗性能达到《危险废物贮存污染控制标准》（GB18597-2023）防渗系数要求：（防渗层为至少1m厚黏土层（渗透系数不大于10</w:t>
                  </w:r>
                  <w:r>
                    <w:rPr>
                      <w:rFonts w:hint="default" w:ascii="Times New Roman" w:hAnsi="Times New Roman" w:eastAsia="宋体" w:cs="Times New Roman"/>
                      <w:color w:val="000000"/>
                      <w:sz w:val="21"/>
                      <w:szCs w:val="21"/>
                      <w:highlight w:val="none"/>
                      <w:vertAlign w:val="superscript"/>
                      <w:lang w:val="en-US" w:eastAsia="zh-CN"/>
                    </w:rPr>
                    <w:t>-7</w:t>
                  </w:r>
                  <w:r>
                    <w:rPr>
                      <w:rFonts w:hint="default" w:ascii="Times New Roman" w:hAnsi="Times New Roman" w:eastAsia="宋体" w:cs="Times New Roman"/>
                      <w:color w:val="000000"/>
                      <w:sz w:val="21"/>
                      <w:szCs w:val="21"/>
                      <w:highlight w:val="none"/>
                      <w:lang w:val="en-US" w:eastAsia="zh-CN"/>
                    </w:rPr>
                    <w:t>cm/s），或至少2mm厚高密度聚乙烯膜等人工防渗材料（渗透系数不大于10</w:t>
                  </w:r>
                  <w:r>
                    <w:rPr>
                      <w:rFonts w:hint="default" w:ascii="Times New Roman" w:hAnsi="Times New Roman" w:eastAsia="宋体" w:cs="Times New Roman"/>
                      <w:color w:val="000000"/>
                      <w:sz w:val="21"/>
                      <w:szCs w:val="21"/>
                      <w:highlight w:val="none"/>
                      <w:vertAlign w:val="superscript"/>
                      <w:lang w:val="en-US" w:eastAsia="zh-CN"/>
                    </w:rPr>
                    <w:t>-10</w:t>
                  </w:r>
                  <w:r>
                    <w:rPr>
                      <w:rFonts w:hint="default" w:ascii="Times New Roman" w:hAnsi="Times New Roman" w:eastAsia="宋体" w:cs="Times New Roman"/>
                      <w:color w:val="000000"/>
                      <w:sz w:val="21"/>
                      <w:szCs w:val="21"/>
                      <w:highlight w:val="none"/>
                      <w:lang w:val="en-US" w:eastAsia="zh-CN"/>
                    </w:rPr>
                    <w:t>cm/s），或其他防渗性能等效的材料）。</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340" w:hRule="atLeast"/>
                <w:jc w:val="center"/>
              </w:trPr>
              <w:tc>
                <w:tcPr>
                  <w:tcW w:w="402" w:type="pct"/>
                  <w:noWrap w:val="0"/>
                  <w:vAlign w:val="center"/>
                </w:tcPr>
                <w:p>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2</w:t>
                  </w:r>
                </w:p>
              </w:tc>
              <w:tc>
                <w:tcPr>
                  <w:tcW w:w="862" w:type="pct"/>
                  <w:noWrap w:val="0"/>
                  <w:vAlign w:val="center"/>
                </w:tcPr>
                <w:p>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eastAsia="zh-CN"/>
                    </w:rPr>
                    <w:t>简单防渗区</w:t>
                  </w:r>
                </w:p>
              </w:tc>
              <w:tc>
                <w:tcPr>
                  <w:tcW w:w="956" w:type="pct"/>
                  <w:noWrap w:val="0"/>
                  <w:vAlign w:val="center"/>
                </w:tcPr>
                <w:p>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其他设施</w:t>
                  </w:r>
                </w:p>
              </w:tc>
              <w:tc>
                <w:tcPr>
                  <w:tcW w:w="2778" w:type="pct"/>
                  <w:noWrap w:val="0"/>
                  <w:vAlign w:val="center"/>
                </w:tcPr>
                <w:p>
                  <w:pPr>
                    <w:pStyle w:val="43"/>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地面硬化</w:t>
                  </w:r>
                </w:p>
              </w:tc>
            </w:tr>
          </w:tbl>
          <w:p>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Autospacing="0" w:line="360" w:lineRule="auto"/>
              <w:ind w:left="0" w:right="0" w:firstLine="480" w:firstLineChars="200"/>
              <w:jc w:val="both"/>
              <w:rPr>
                <w:rFonts w:hint="default" w:ascii="Times New Roman" w:hAnsi="Times New Roman" w:cs="Times New Roman"/>
                <w:color w:val="000000"/>
                <w:sz w:val="24"/>
                <w:highlight w:val="none"/>
                <w:lang w:val="en-US" w:eastAsia="zh-CN"/>
              </w:rPr>
            </w:pPr>
            <w:r>
              <w:rPr>
                <w:rFonts w:hint="eastAsia" w:ascii="Times New Roman" w:hAnsi="Times New Roman" w:cs="Times New Roman"/>
                <w:color w:val="000000"/>
                <w:sz w:val="24"/>
                <w:highlight w:val="none"/>
                <w:lang w:val="en-US" w:eastAsia="zh-CN"/>
              </w:rPr>
              <w:t>本项目在设置</w:t>
            </w:r>
            <w:r>
              <w:rPr>
                <w:rFonts w:hint="eastAsia" w:ascii="Times New Roman" w:hAnsi="Times New Roman" w:cs="Times New Roman"/>
                <w:color w:val="000000"/>
                <w:sz w:val="24"/>
                <w:highlight w:val="none"/>
              </w:rPr>
              <w:t>医疗废物专用暂时贮存</w:t>
            </w:r>
            <w:r>
              <w:rPr>
                <w:rFonts w:hint="eastAsia" w:cs="Times New Roman"/>
                <w:snapToGrid w:val="0"/>
                <w:kern w:val="0"/>
                <w:sz w:val="24"/>
                <w:szCs w:val="24"/>
                <w:highlight w:val="none"/>
                <w:lang w:val="en-US" w:eastAsia="zh-CN"/>
              </w:rPr>
              <w:t>库房</w:t>
            </w:r>
            <w:r>
              <w:rPr>
                <w:rFonts w:hint="eastAsia" w:ascii="Times New Roman" w:hAnsi="Times New Roman" w:cs="Times New Roman"/>
                <w:color w:val="000000"/>
                <w:sz w:val="24"/>
                <w:highlight w:val="none"/>
                <w:lang w:val="en-US" w:eastAsia="zh-CN"/>
              </w:rPr>
              <w:t>并对其底部采取完善的防渗措施后，可有效阻止污染物下渗，本项目建设运行对地下水环境影响程度较小。</w:t>
            </w:r>
          </w:p>
          <w:p>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Autospacing="0" w:line="360" w:lineRule="auto"/>
              <w:ind w:right="0"/>
              <w:jc w:val="both"/>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4.2.6环境风险</w:t>
            </w:r>
          </w:p>
          <w:p>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Autospacing="0" w:line="360" w:lineRule="auto"/>
              <w:ind w:left="0" w:right="0" w:firstLine="480" w:firstLineChars="200"/>
              <w:jc w:val="both"/>
              <w:rPr>
                <w:rFonts w:hint="default" w:ascii="Times New Roman" w:hAnsi="Times New Roman" w:cs="Times New Roman"/>
                <w:color w:val="000000"/>
                <w:sz w:val="24"/>
                <w:highlight w:val="none"/>
                <w:lang w:val="en-US" w:eastAsia="zh-CN"/>
              </w:rPr>
            </w:pPr>
            <w:r>
              <w:rPr>
                <w:rFonts w:hint="default" w:ascii="Times New Roman" w:hAnsi="Times New Roman" w:cs="Times New Roman"/>
                <w:color w:val="000000"/>
                <w:sz w:val="24"/>
                <w:highlight w:val="none"/>
                <w:lang w:val="en-US" w:eastAsia="zh-CN"/>
              </w:rPr>
              <w:t>环境风险评价的目的是分析和预测建设项目存在的潜在危险、有害因素，建设项目建设和运行期间可能发生的突发性</w:t>
            </w:r>
            <w:r>
              <w:rPr>
                <w:rFonts w:hint="eastAsia" w:ascii="Times New Roman" w:hAnsi="Times New Roman" w:cs="Times New Roman"/>
                <w:color w:val="000000"/>
                <w:sz w:val="24"/>
                <w:highlight w:val="none"/>
                <w:lang w:val="en-US" w:eastAsia="zh-CN"/>
              </w:rPr>
              <w:t>事件</w:t>
            </w:r>
            <w:r>
              <w:rPr>
                <w:rFonts w:hint="default" w:ascii="Times New Roman" w:hAnsi="Times New Roman" w:cs="Times New Roman"/>
                <w:color w:val="000000"/>
                <w:sz w:val="24"/>
                <w:highlight w:val="none"/>
                <w:lang w:val="en-US" w:eastAsia="zh-CN"/>
              </w:rPr>
              <w:t>或事故，引起有毒有害和易燃易爆等物质的</w:t>
            </w:r>
            <w:r>
              <w:rPr>
                <w:rFonts w:hint="eastAsia" w:ascii="Times New Roman" w:hAnsi="Times New Roman" w:cs="Times New Roman"/>
                <w:color w:val="000000"/>
                <w:sz w:val="24"/>
                <w:highlight w:val="none"/>
                <w:lang w:val="en-US" w:eastAsia="zh-CN"/>
              </w:rPr>
              <w:t>泄漏</w:t>
            </w:r>
            <w:r>
              <w:rPr>
                <w:rFonts w:hint="default" w:ascii="Times New Roman" w:hAnsi="Times New Roman" w:cs="Times New Roman"/>
                <w:color w:val="000000"/>
                <w:sz w:val="24"/>
                <w:highlight w:val="none"/>
                <w:lang w:val="en-US" w:eastAsia="zh-CN"/>
              </w:rPr>
              <w:t>，所造成的人身安全与环境影响和损害程度，提出合理可行的防范、应急与减缓措施，以使建设项目事故率、损失和环境影响达到可接受的水平。</w:t>
            </w:r>
          </w:p>
          <w:p>
            <w:pPr>
              <w:numPr>
                <w:ilvl w:val="0"/>
                <w:numId w:val="0"/>
              </w:num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w:t>
            </w:r>
            <w:r>
              <w:rPr>
                <w:rFonts w:hint="eastAsia" w:cs="Times New Roman"/>
                <w:b/>
                <w:bCs/>
                <w:color w:val="000000" w:themeColor="text1"/>
                <w:kern w:val="2"/>
                <w:sz w:val="24"/>
                <w:szCs w:val="24"/>
                <w:lang w:val="en-US" w:eastAsia="zh-CN" w:bidi="ar-SA"/>
                <w14:textFill>
                  <w14:solidFill>
                    <w14:schemeClr w14:val="tx1"/>
                  </w14:solidFill>
                </w14:textFill>
              </w:rPr>
              <w:t>6</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 xml:space="preserve">.1 </w:t>
            </w:r>
            <w:r>
              <w:rPr>
                <w:rFonts w:hint="eastAsia" w:cs="Times New Roman"/>
                <w:b/>
                <w:bCs/>
                <w:color w:val="000000" w:themeColor="text1"/>
                <w:kern w:val="2"/>
                <w:sz w:val="24"/>
                <w:szCs w:val="24"/>
                <w:lang w:val="en-US" w:eastAsia="zh-CN" w:bidi="ar-SA"/>
                <w14:textFill>
                  <w14:solidFill>
                    <w14:schemeClr w14:val="tx1"/>
                  </w14:solidFill>
                </w14:textFill>
              </w:rPr>
              <w:t>评价依据</w:t>
            </w:r>
          </w:p>
          <w:p>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Autospacing="0" w:line="360" w:lineRule="auto"/>
              <w:ind w:left="0" w:right="0" w:firstLine="480" w:firstLineChars="200"/>
              <w:jc w:val="both"/>
              <w:rPr>
                <w:rFonts w:hint="default" w:ascii="Times New Roman" w:hAnsi="Times New Roman" w:cs="Times New Roman"/>
                <w:color w:val="000000"/>
                <w:sz w:val="24"/>
                <w:highlight w:val="none"/>
                <w:lang w:val="en-US" w:eastAsia="zh-CN"/>
              </w:rPr>
            </w:pPr>
            <w:r>
              <w:rPr>
                <w:rFonts w:hint="default" w:ascii="Times New Roman" w:hAnsi="Times New Roman" w:cs="Times New Roman"/>
                <w:color w:val="000000"/>
                <w:sz w:val="24"/>
                <w:highlight w:val="none"/>
                <w:lang w:val="en-US" w:eastAsia="zh-CN"/>
              </w:rPr>
              <w:t>根据《建设项目环境风险评价技术导则》（HJ169-2018）中</w:t>
            </w:r>
            <w:r>
              <w:rPr>
                <w:rFonts w:hint="eastAsia" w:ascii="Times New Roman" w:hAnsi="Times New Roman" w:cs="Times New Roman"/>
                <w:color w:val="000000"/>
                <w:sz w:val="24"/>
                <w:highlight w:val="none"/>
                <w:lang w:val="en-US" w:eastAsia="zh-CN"/>
              </w:rPr>
              <w:t>“</w:t>
            </w:r>
            <w:r>
              <w:rPr>
                <w:rFonts w:hint="default" w:ascii="Times New Roman" w:hAnsi="Times New Roman" w:cs="Times New Roman"/>
                <w:color w:val="000000"/>
                <w:sz w:val="24"/>
                <w:highlight w:val="none"/>
                <w:lang w:val="en-US" w:eastAsia="zh-CN"/>
              </w:rPr>
              <w:t>附录B重点关注的危险物质及临界量</w:t>
            </w:r>
            <w:r>
              <w:rPr>
                <w:rFonts w:hint="eastAsia" w:ascii="Times New Roman" w:hAnsi="Times New Roman" w:cs="Times New Roman"/>
                <w:color w:val="000000"/>
                <w:sz w:val="24"/>
                <w:highlight w:val="none"/>
                <w:lang w:val="en-US" w:eastAsia="zh-CN"/>
              </w:rPr>
              <w:t>”</w:t>
            </w:r>
            <w:r>
              <w:rPr>
                <w:rFonts w:hint="default" w:ascii="Times New Roman" w:hAnsi="Times New Roman" w:cs="Times New Roman"/>
                <w:color w:val="000000"/>
                <w:sz w:val="24"/>
                <w:highlight w:val="none"/>
                <w:lang w:val="en-US" w:eastAsia="zh-CN"/>
              </w:rPr>
              <w:t>、附录C，计算危险物质数量与临界量比值Q：</w:t>
            </w:r>
          </w:p>
          <w:p>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Autospacing="0" w:line="360" w:lineRule="auto"/>
              <w:ind w:left="0" w:right="0" w:firstLine="480" w:firstLineChars="200"/>
              <w:jc w:val="both"/>
              <w:rPr>
                <w:rFonts w:hint="default" w:ascii="Times New Roman" w:hAnsi="Times New Roman" w:cs="Times New Roman"/>
                <w:color w:val="000000"/>
                <w:sz w:val="24"/>
                <w:highlight w:val="none"/>
                <w:lang w:val="en-US" w:eastAsia="zh-CN"/>
              </w:rPr>
            </w:pPr>
            <w:r>
              <w:rPr>
                <w:rFonts w:hint="default" w:ascii="Times New Roman" w:hAnsi="Times New Roman" w:cs="Times New Roman"/>
                <w:color w:val="000000"/>
                <w:sz w:val="24"/>
                <w:highlight w:val="none"/>
                <w:lang w:val="en-US" w:eastAsia="zh-CN"/>
              </w:rPr>
              <w:t>q1/Q1+q2/Q2+…+qn/Qn≥1</w:t>
            </w:r>
          </w:p>
          <w:p>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Autospacing="0" w:line="360" w:lineRule="auto"/>
              <w:ind w:left="0" w:right="0" w:firstLine="480" w:firstLineChars="200"/>
              <w:jc w:val="both"/>
              <w:rPr>
                <w:rFonts w:hint="default" w:ascii="Times New Roman" w:hAnsi="Times New Roman" w:cs="Times New Roman"/>
                <w:color w:val="000000"/>
                <w:sz w:val="24"/>
                <w:highlight w:val="none"/>
                <w:lang w:val="en-US" w:eastAsia="zh-CN"/>
              </w:rPr>
            </w:pPr>
            <w:r>
              <w:rPr>
                <w:rFonts w:hint="default" w:ascii="Times New Roman" w:hAnsi="Times New Roman" w:cs="Times New Roman"/>
                <w:color w:val="000000"/>
                <w:sz w:val="24"/>
                <w:highlight w:val="none"/>
                <w:lang w:val="en-US" w:eastAsia="zh-CN"/>
              </w:rPr>
              <w:t>式中：q1、q2、qn每种危险物质最大存在总量，t；</w:t>
            </w:r>
          </w:p>
          <w:p>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Autospacing="0" w:line="360" w:lineRule="auto"/>
              <w:ind w:left="0" w:right="0" w:firstLine="480" w:firstLineChars="200"/>
              <w:jc w:val="both"/>
              <w:rPr>
                <w:rFonts w:hint="default" w:ascii="Times New Roman" w:hAnsi="Times New Roman" w:cs="Times New Roman"/>
                <w:color w:val="000000"/>
                <w:sz w:val="24"/>
                <w:highlight w:val="none"/>
                <w:lang w:val="en-US" w:eastAsia="zh-CN"/>
              </w:rPr>
            </w:pPr>
            <w:r>
              <w:rPr>
                <w:rFonts w:hint="default" w:ascii="Times New Roman" w:hAnsi="Times New Roman" w:cs="Times New Roman"/>
                <w:color w:val="000000"/>
                <w:sz w:val="24"/>
                <w:highlight w:val="none"/>
                <w:lang w:val="en-US" w:eastAsia="zh-CN"/>
              </w:rPr>
              <w:t>Q1、Q2、Qn每种危险物质的临界量，t；</w:t>
            </w:r>
          </w:p>
          <w:p>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Autospacing="0" w:line="360" w:lineRule="auto"/>
              <w:ind w:left="0" w:right="0" w:firstLine="480" w:firstLineChars="200"/>
              <w:jc w:val="both"/>
              <w:rPr>
                <w:rFonts w:hint="default" w:ascii="Times New Roman" w:hAnsi="Times New Roman" w:cs="Times New Roman"/>
                <w:color w:val="000000"/>
                <w:sz w:val="24"/>
                <w:highlight w:val="none"/>
                <w:lang w:val="en-US" w:eastAsia="zh-CN"/>
              </w:rPr>
            </w:pPr>
            <w:r>
              <w:rPr>
                <w:rFonts w:hint="default" w:ascii="Times New Roman" w:hAnsi="Times New Roman" w:cs="Times New Roman"/>
                <w:color w:val="000000"/>
                <w:sz w:val="24"/>
                <w:highlight w:val="none"/>
                <w:lang w:val="en-US" w:eastAsia="zh-CN"/>
              </w:rPr>
              <w:t>当Q＜1时，该项目环境风险潜势为I。</w:t>
            </w:r>
          </w:p>
          <w:p>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Autospacing="0" w:line="360" w:lineRule="auto"/>
              <w:ind w:left="0" w:right="0" w:firstLine="480" w:firstLineChars="200"/>
              <w:jc w:val="both"/>
              <w:rPr>
                <w:rFonts w:hint="default" w:ascii="Times New Roman" w:hAnsi="Times New Roman" w:cs="Times New Roman"/>
                <w:color w:val="000000"/>
                <w:sz w:val="24"/>
                <w:highlight w:val="none"/>
                <w:lang w:val="en-US" w:eastAsia="zh-CN"/>
              </w:rPr>
            </w:pPr>
            <w:r>
              <w:rPr>
                <w:rFonts w:hint="default" w:ascii="Times New Roman" w:hAnsi="Times New Roman" w:cs="Times New Roman"/>
                <w:color w:val="000000"/>
                <w:sz w:val="24"/>
                <w:highlight w:val="none"/>
                <w:lang w:val="en-US" w:eastAsia="zh-CN"/>
              </w:rPr>
              <w:t>当Q≥1时，将Q值划分为：①1≤Q＜10；②10≤Q＜100；③100≤Q。</w:t>
            </w:r>
          </w:p>
          <w:p>
            <w:pPr>
              <w:keepNext w:val="0"/>
              <w:keepLines w:val="0"/>
              <w:pageBreakBefore w:val="0"/>
              <w:widowControl w:val="0"/>
              <w:suppressLineNumbers w:val="0"/>
              <w:kinsoku/>
              <w:wordWrap/>
              <w:overflowPunct w:val="0"/>
              <w:topLinePunct w:val="0"/>
              <w:autoSpaceDE w:val="0"/>
              <w:autoSpaceDN/>
              <w:bidi w:val="0"/>
              <w:adjustRightInd/>
              <w:snapToGrid/>
              <w:spacing w:before="0" w:beforeAutospacing="0" w:after="0" w:afterAutospacing="0" w:line="360" w:lineRule="auto"/>
              <w:ind w:left="0" w:right="0" w:firstLine="480" w:firstLineChars="200"/>
              <w:jc w:val="both"/>
              <w:rPr>
                <w:rFonts w:hint="default" w:ascii="Times New Roman" w:hAnsi="Times New Roman" w:cs="Times New Roman"/>
                <w:color w:val="000000"/>
                <w:sz w:val="24"/>
                <w:highlight w:val="none"/>
                <w:lang w:val="en-US" w:eastAsia="zh-CN"/>
              </w:rPr>
            </w:pPr>
            <w:r>
              <w:rPr>
                <w:rFonts w:hint="default" w:ascii="Times New Roman" w:hAnsi="Times New Roman" w:cs="Times New Roman"/>
                <w:color w:val="000000"/>
                <w:sz w:val="24"/>
                <w:highlight w:val="none"/>
                <w:lang w:val="en-US" w:eastAsia="zh-CN"/>
              </w:rPr>
              <w:t>本项目各物质的具体暂存情况如下：</w:t>
            </w:r>
          </w:p>
          <w:p>
            <w:pPr>
              <w:pStyle w:val="43"/>
              <w:bidi w:val="0"/>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4-</w:t>
            </w:r>
            <w:r>
              <w:rPr>
                <w:rFonts w:hint="eastAsia" w:ascii="Times New Roman" w:hAnsi="Times New Roman" w:cs="Times New Roman"/>
                <w:b/>
                <w:bCs/>
                <w:color w:val="000000" w:themeColor="text1"/>
                <w:lang w:val="en-US" w:eastAsia="zh-CN"/>
                <w14:textFill>
                  <w14:solidFill>
                    <w14:schemeClr w14:val="tx1"/>
                  </w14:solidFill>
                </w14:textFill>
              </w:rPr>
              <w:t xml:space="preserve">13     </w:t>
            </w:r>
            <w:r>
              <w:rPr>
                <w:rFonts w:hint="default" w:ascii="Times New Roman" w:hAnsi="Times New Roman" w:cs="Times New Roman"/>
                <w:b/>
                <w:bCs/>
                <w:color w:val="000000" w:themeColor="text1"/>
                <w:lang w:val="en-US" w:eastAsia="zh-CN"/>
                <w14:textFill>
                  <w14:solidFill>
                    <w14:schemeClr w14:val="tx1"/>
                  </w14:solidFill>
                </w14:textFill>
              </w:rPr>
              <w:t xml:space="preserve">    </w:t>
            </w:r>
            <w:r>
              <w:rPr>
                <w:rFonts w:hint="eastAsia" w:ascii="Times New Roman" w:hAnsi="Times New Roman" w:cs="Times New Roman"/>
                <w:b/>
                <w:bCs/>
                <w:color w:val="000000" w:themeColor="text1"/>
                <w14:textFill>
                  <w14:solidFill>
                    <w14:schemeClr w14:val="tx1"/>
                  </w14:solidFill>
                </w14:textFill>
              </w:rPr>
              <w:t xml:space="preserve"> </w:t>
            </w:r>
            <w:r>
              <w:rPr>
                <w:rFonts w:hint="default" w:ascii="Times New Roman" w:hAnsi="Times New Roman" w:cs="Times New Roman"/>
                <w:b/>
                <w:bCs/>
                <w:color w:val="000000" w:themeColor="text1"/>
                <w14:textFill>
                  <w14:solidFill>
                    <w14:schemeClr w14:val="tx1"/>
                  </w14:solidFill>
                </w14:textFill>
              </w:rPr>
              <w:t>建设项目Q值确定表</w:t>
            </w:r>
          </w:p>
          <w:tbl>
            <w:tblPr>
              <w:tblStyle w:val="30"/>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64"/>
              <w:gridCol w:w="2258"/>
              <w:gridCol w:w="2017"/>
              <w:gridCol w:w="183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87" w:hRule="atLeast"/>
                <w:jc w:val="center"/>
              </w:trPr>
              <w:tc>
                <w:tcPr>
                  <w:tcW w:w="1169" w:type="pct"/>
                  <w:tcBorders>
                    <w:bottom w:val="single" w:color="auto" w:sz="12" w:space="0"/>
                  </w:tcBorders>
                  <w:noWrap w:val="0"/>
                  <w:vAlign w:val="center"/>
                </w:tcPr>
                <w:p>
                  <w:pPr>
                    <w:adjustRightInd w:val="0"/>
                    <w:snapToGrid w:val="0"/>
                    <w:spacing w:line="240" w:lineRule="auto"/>
                    <w:jc w:val="center"/>
                    <w:rPr>
                      <w:rFonts w:hint="default" w:ascii="Times New Roman" w:hAnsi="Times New Roman" w:eastAsia="宋体" w:cs="Times New Roman"/>
                      <w:b/>
                      <w:bCs/>
                      <w:sz w:val="21"/>
                      <w:szCs w:val="21"/>
                      <w:highlight w:val="none"/>
                      <w:vertAlign w:val="baseline"/>
                      <w:lang w:eastAsia="zh-CN"/>
                    </w:rPr>
                  </w:pPr>
                  <w:r>
                    <w:rPr>
                      <w:rFonts w:hint="default" w:ascii="Times New Roman" w:hAnsi="Times New Roman" w:cs="Times New Roman"/>
                      <w:b/>
                      <w:bCs/>
                      <w:sz w:val="21"/>
                      <w:szCs w:val="21"/>
                      <w:highlight w:val="none"/>
                      <w:vertAlign w:val="baseline"/>
                      <w:lang w:eastAsia="zh-CN"/>
                    </w:rPr>
                    <w:t>危险物质</w:t>
                  </w:r>
                </w:p>
              </w:tc>
              <w:tc>
                <w:tcPr>
                  <w:tcW w:w="1416" w:type="pct"/>
                  <w:tcBorders>
                    <w:bottom w:val="single" w:color="auto" w:sz="12" w:space="0"/>
                  </w:tcBorders>
                  <w:noWrap w:val="0"/>
                  <w:vAlign w:val="center"/>
                </w:tcPr>
                <w:p>
                  <w:pPr>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eastAsia="zh-CN"/>
                    </w:rPr>
                    <w:t>最大储存量</w:t>
                  </w:r>
                  <w:r>
                    <w:rPr>
                      <w:rFonts w:hint="default" w:ascii="Times New Roman" w:hAnsi="Times New Roman" w:cs="Times New Roman"/>
                      <w:b/>
                      <w:bCs/>
                      <w:sz w:val="21"/>
                      <w:szCs w:val="21"/>
                      <w:highlight w:val="none"/>
                      <w:vertAlign w:val="baseline"/>
                      <w:lang w:val="en-US" w:eastAsia="zh-CN"/>
                    </w:rPr>
                    <w:t>t/a</w:t>
                  </w:r>
                </w:p>
              </w:tc>
              <w:tc>
                <w:tcPr>
                  <w:tcW w:w="1265" w:type="pct"/>
                  <w:tcBorders>
                    <w:bottom w:val="single" w:color="auto" w:sz="12" w:space="0"/>
                  </w:tcBorders>
                  <w:noWrap w:val="0"/>
                  <w:vAlign w:val="center"/>
                </w:tcPr>
                <w:p>
                  <w:pPr>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eastAsia="zh-CN"/>
                    </w:rPr>
                    <w:t>临界量（</w:t>
                  </w:r>
                  <w:r>
                    <w:rPr>
                      <w:rFonts w:hint="default" w:ascii="Times New Roman" w:hAnsi="Times New Roman" w:cs="Times New Roman"/>
                      <w:b/>
                      <w:bCs/>
                      <w:sz w:val="21"/>
                      <w:szCs w:val="21"/>
                      <w:highlight w:val="none"/>
                      <w:vertAlign w:val="baseline"/>
                      <w:lang w:val="en-US" w:eastAsia="zh-CN"/>
                    </w:rPr>
                    <w:t>t）</w:t>
                  </w:r>
                </w:p>
              </w:tc>
              <w:tc>
                <w:tcPr>
                  <w:tcW w:w="1148" w:type="pct"/>
                  <w:tcBorders>
                    <w:bottom w:val="single" w:color="auto" w:sz="12" w:space="0"/>
                  </w:tcBorders>
                  <w:noWrap w:val="0"/>
                  <w:vAlign w:val="center"/>
                </w:tcPr>
                <w:p>
                  <w:pPr>
                    <w:adjustRightInd w:val="0"/>
                    <w:snapToGrid w:val="0"/>
                    <w:spacing w:line="240" w:lineRule="auto"/>
                    <w:jc w:val="center"/>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Q</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866" w:type="dxa"/>
                  <w:tcBorders>
                    <w:top w:val="single" w:color="auto" w:sz="12" w:space="0"/>
                    <w:bottom w:val="single" w:color="auto" w:sz="4" w:space="0"/>
                  </w:tcBorders>
                  <w:noWrap w:val="0"/>
                  <w:vAlign w:val="center"/>
                </w:tcPr>
                <w:p>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vertAlign w:val="baseline"/>
                      <w:lang w:eastAsia="zh-CN"/>
                    </w:rPr>
                  </w:pPr>
                  <w:r>
                    <w:rPr>
                      <w:rFonts w:hint="eastAsia"/>
                      <w:color w:val="000000"/>
                      <w:sz w:val="21"/>
                      <w:szCs w:val="21"/>
                      <w:lang w:val="en-US" w:eastAsia="zh-CN"/>
                    </w:rPr>
                    <w:t>医用酒精</w:t>
                  </w:r>
                </w:p>
              </w:tc>
              <w:tc>
                <w:tcPr>
                  <w:tcW w:w="1416" w:type="pct"/>
                  <w:tcBorders>
                    <w:top w:val="single" w:color="auto" w:sz="12" w:space="0"/>
                    <w:bottom w:val="single" w:color="auto" w:sz="4" w:space="0"/>
                  </w:tcBorders>
                  <w:noWrap w:val="0"/>
                  <w:vAlign w:val="center"/>
                </w:tcPr>
                <w:p>
                  <w:p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0.01</w:t>
                  </w:r>
                </w:p>
              </w:tc>
              <w:tc>
                <w:tcPr>
                  <w:tcW w:w="2019" w:type="dxa"/>
                  <w:tcBorders>
                    <w:top w:val="single" w:color="auto" w:sz="12" w:space="0"/>
                    <w:bottom w:val="single" w:color="auto" w:sz="4" w:space="0"/>
                  </w:tcBorders>
                  <w:noWrap w:val="0"/>
                  <w:vAlign w:val="center"/>
                </w:tcPr>
                <w:p>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vertAlign w:val="baseline"/>
                      <w:lang w:val="en-US" w:eastAsia="zh-CN"/>
                    </w:rPr>
                  </w:pPr>
                  <w:r>
                    <w:rPr>
                      <w:rFonts w:hint="eastAsia"/>
                      <w:color w:val="000000"/>
                      <w:sz w:val="21"/>
                      <w:szCs w:val="21"/>
                      <w:lang w:val="en-US" w:eastAsia="zh-CN"/>
                    </w:rPr>
                    <w:t>500</w:t>
                  </w:r>
                </w:p>
              </w:tc>
              <w:tc>
                <w:tcPr>
                  <w:tcW w:w="1148" w:type="pct"/>
                  <w:tcBorders>
                    <w:top w:val="single" w:color="auto" w:sz="12" w:space="0"/>
                    <w:bottom w:val="single" w:color="auto" w:sz="4" w:space="0"/>
                  </w:tcBorders>
                  <w:noWrap w:val="0"/>
                  <w:vAlign w:val="center"/>
                </w:tcPr>
                <w:p>
                  <w:pPr>
                    <w:adjustRightInd w:val="0"/>
                    <w:snapToGrid w:val="0"/>
                    <w:spacing w:line="240" w:lineRule="auto"/>
                    <w:jc w:val="center"/>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val="en-US" w:eastAsia="zh-CN"/>
                    </w:rPr>
                    <w:t>0.0000</w:t>
                  </w:r>
                  <w:r>
                    <w:rPr>
                      <w:rFonts w:hint="eastAsia" w:cs="Times New Roman"/>
                      <w:sz w:val="21"/>
                      <w:szCs w:val="21"/>
                      <w:highlight w:val="none"/>
                      <w:vertAlign w:val="baseline"/>
                      <w:lang w:val="en-US" w:eastAsia="zh-CN"/>
                    </w:rPr>
                    <w:t>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866" w:type="dxa"/>
                  <w:tcBorders>
                    <w:top w:val="single" w:color="auto" w:sz="4" w:space="0"/>
                    <w:bottom w:val="single" w:color="auto" w:sz="4" w:space="0"/>
                  </w:tcBorders>
                  <w:noWrap w:val="0"/>
                  <w:vAlign w:val="center"/>
                </w:tcPr>
                <w:p>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1"/>
                      <w:szCs w:val="21"/>
                      <w:highlight w:val="none"/>
                      <w:vertAlign w:val="baseline"/>
                      <w:lang w:val="en-US" w:eastAsia="zh-CN"/>
                    </w:rPr>
                  </w:pPr>
                  <w:r>
                    <w:rPr>
                      <w:rFonts w:hint="eastAsia"/>
                      <w:color w:val="000000"/>
                      <w:sz w:val="21"/>
                      <w:szCs w:val="21"/>
                      <w:lang w:val="en-US" w:eastAsia="zh-CN"/>
                    </w:rPr>
                    <w:t>动物诊疗废物</w:t>
                  </w:r>
                </w:p>
              </w:tc>
              <w:tc>
                <w:tcPr>
                  <w:tcW w:w="1416" w:type="pct"/>
                  <w:tcBorders>
                    <w:top w:val="single" w:color="auto" w:sz="4" w:space="0"/>
                    <w:bottom w:val="single" w:color="auto" w:sz="4" w:space="0"/>
                  </w:tcBorders>
                  <w:noWrap w:val="0"/>
                  <w:vAlign w:val="center"/>
                </w:tcPr>
                <w:p>
                  <w:pPr>
                    <w:adjustRightInd w:val="0"/>
                    <w:snapToGrid w:val="0"/>
                    <w:spacing w:line="240" w:lineRule="auto"/>
                    <w:jc w:val="center"/>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0.1</w:t>
                  </w:r>
                </w:p>
              </w:tc>
              <w:tc>
                <w:tcPr>
                  <w:tcW w:w="2019" w:type="dxa"/>
                  <w:tcBorders>
                    <w:top w:val="single" w:color="auto" w:sz="4" w:space="0"/>
                    <w:bottom w:val="single" w:color="auto" w:sz="4" w:space="0"/>
                  </w:tcBorders>
                  <w:noWrap w:val="0"/>
                  <w:vAlign w:val="center"/>
                </w:tcPr>
                <w:p>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1"/>
                      <w:szCs w:val="21"/>
                      <w:highlight w:val="none"/>
                      <w:vertAlign w:val="baseline"/>
                      <w:lang w:val="en-US" w:eastAsia="zh-CN"/>
                    </w:rPr>
                  </w:pPr>
                  <w:r>
                    <w:rPr>
                      <w:rFonts w:hint="eastAsia"/>
                      <w:color w:val="000000"/>
                      <w:sz w:val="21"/>
                      <w:szCs w:val="21"/>
                      <w:lang w:val="en-US" w:eastAsia="zh-CN"/>
                    </w:rPr>
                    <w:t>5</w:t>
                  </w:r>
                </w:p>
              </w:tc>
              <w:tc>
                <w:tcPr>
                  <w:tcW w:w="1148" w:type="pct"/>
                  <w:tcBorders>
                    <w:top w:val="single" w:color="auto" w:sz="4" w:space="0"/>
                    <w:bottom w:val="single" w:color="auto" w:sz="4" w:space="0"/>
                  </w:tcBorders>
                  <w:noWrap w:val="0"/>
                  <w:vAlign w:val="center"/>
                </w:tcPr>
                <w:p>
                  <w:pPr>
                    <w:adjustRightInd w:val="0"/>
                    <w:snapToGrid w:val="0"/>
                    <w:spacing w:line="240" w:lineRule="auto"/>
                    <w:jc w:val="center"/>
                    <w:rPr>
                      <w:rFonts w:hint="default" w:ascii="Times New Roman" w:hAnsi="Times New Roman"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0.</w:t>
                  </w:r>
                  <w:r>
                    <w:rPr>
                      <w:rFonts w:hint="eastAsia" w:cs="Times New Roman"/>
                      <w:sz w:val="21"/>
                      <w:szCs w:val="21"/>
                      <w:highlight w:val="none"/>
                      <w:vertAlign w:val="baseline"/>
                      <w:lang w:val="en-US" w:eastAsia="zh-CN"/>
                    </w:rPr>
                    <w:t>02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866" w:type="dxa"/>
                  <w:tcBorders>
                    <w:top w:val="single" w:color="auto" w:sz="4" w:space="0"/>
                  </w:tcBorders>
                  <w:noWrap w:val="0"/>
                  <w:vAlign w:val="center"/>
                </w:tcPr>
                <w:p>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1"/>
                      <w:szCs w:val="21"/>
                      <w:highlight w:val="none"/>
                      <w:vertAlign w:val="baseline"/>
                      <w:lang w:val="en-US" w:eastAsia="zh-CN"/>
                    </w:rPr>
                  </w:pPr>
                  <w:r>
                    <w:rPr>
                      <w:rFonts w:hint="eastAsia"/>
                      <w:color w:val="000000"/>
                      <w:sz w:val="21"/>
                      <w:szCs w:val="21"/>
                      <w:lang w:val="en-US" w:eastAsia="zh-CN"/>
                    </w:rPr>
                    <w:t>氯片（次氯酸钠）</w:t>
                  </w:r>
                </w:p>
              </w:tc>
              <w:tc>
                <w:tcPr>
                  <w:tcW w:w="1416" w:type="pct"/>
                  <w:tcBorders>
                    <w:top w:val="single" w:color="auto" w:sz="4" w:space="0"/>
                  </w:tcBorders>
                  <w:noWrap w:val="0"/>
                  <w:vAlign w:val="center"/>
                </w:tcPr>
                <w:p>
                  <w:pPr>
                    <w:adjustRightInd w:val="0"/>
                    <w:snapToGrid w:val="0"/>
                    <w:spacing w:line="240" w:lineRule="auto"/>
                    <w:jc w:val="center"/>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0.0005</w:t>
                  </w:r>
                </w:p>
              </w:tc>
              <w:tc>
                <w:tcPr>
                  <w:tcW w:w="2019" w:type="dxa"/>
                  <w:tcBorders>
                    <w:top w:val="single" w:color="auto" w:sz="4" w:space="0"/>
                  </w:tcBorders>
                  <w:noWrap w:val="0"/>
                  <w:vAlign w:val="center"/>
                </w:tcPr>
                <w:p>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default" w:ascii="Times New Roman" w:hAnsi="Times New Roman" w:cs="Times New Roman"/>
                      <w:sz w:val="21"/>
                      <w:szCs w:val="21"/>
                      <w:highlight w:val="none"/>
                      <w:vertAlign w:val="baseline"/>
                      <w:lang w:val="en-US" w:eastAsia="zh-CN"/>
                    </w:rPr>
                  </w:pPr>
                  <w:r>
                    <w:rPr>
                      <w:rFonts w:hint="eastAsia"/>
                      <w:color w:val="000000"/>
                      <w:sz w:val="21"/>
                      <w:szCs w:val="21"/>
                      <w:lang w:val="en-US" w:eastAsia="zh-CN"/>
                    </w:rPr>
                    <w:t>0.5</w:t>
                  </w:r>
                </w:p>
              </w:tc>
              <w:tc>
                <w:tcPr>
                  <w:tcW w:w="1148" w:type="pct"/>
                  <w:tcBorders>
                    <w:top w:val="single" w:color="auto" w:sz="4" w:space="0"/>
                  </w:tcBorders>
                  <w:noWrap w:val="0"/>
                  <w:vAlign w:val="center"/>
                </w:tcPr>
                <w:p>
                  <w:pPr>
                    <w:adjustRightInd w:val="0"/>
                    <w:snapToGrid w:val="0"/>
                    <w:spacing w:line="240" w:lineRule="auto"/>
                    <w:jc w:val="center"/>
                    <w:rPr>
                      <w:rFonts w:hint="default" w:ascii="Times New Roman" w:hAnsi="Times New Roman"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0.001</w:t>
                  </w:r>
                </w:p>
              </w:tc>
            </w:tr>
          </w:tbl>
          <w:p>
            <w:pPr>
              <w:spacing w:beforeAutospacing="0" w:line="360" w:lineRule="auto"/>
              <w:jc w:val="left"/>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则本项目Q=0</w:t>
            </w:r>
            <w:r>
              <w:rPr>
                <w:rFonts w:hint="default" w:ascii="Times New Roman" w:hAnsi="Times New Roman" w:cs="Times New Roman"/>
                <w:color w:val="000000" w:themeColor="text1"/>
                <w:sz w:val="24"/>
                <w:highlight w:val="none"/>
                <w:lang w:val="en-US" w:eastAsia="zh-CN"/>
                <w14:textFill>
                  <w14:solidFill>
                    <w14:schemeClr w14:val="tx1"/>
                  </w14:solidFill>
                </w14:textFill>
              </w:rPr>
              <w:t>.02</w:t>
            </w:r>
            <w:r>
              <w:rPr>
                <w:rFonts w:hint="eastAsia" w:cs="Times New Roman"/>
                <w:color w:val="000000" w:themeColor="text1"/>
                <w:sz w:val="24"/>
                <w:highlight w:val="none"/>
                <w:lang w:val="en-US" w:eastAsia="zh-CN"/>
                <w14:textFill>
                  <w14:solidFill>
                    <w14:schemeClr w14:val="tx1"/>
                  </w14:solidFill>
                </w14:textFill>
              </w:rPr>
              <w:t>102</w:t>
            </w: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＜1，故本项目风险潜势为I，按照下表确定评价等级。</w:t>
            </w:r>
          </w:p>
          <w:p>
            <w:pPr>
              <w:pStyle w:val="43"/>
              <w:bidi w:val="0"/>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表</w:t>
            </w:r>
            <w:r>
              <w:rPr>
                <w:rFonts w:hint="default" w:ascii="Times New Roman" w:hAnsi="Times New Roman" w:cs="Times New Roman"/>
                <w:b/>
                <w:bCs/>
                <w:color w:val="000000" w:themeColor="text1"/>
                <w:lang w:val="en-US" w:eastAsia="zh-CN"/>
                <w14:textFill>
                  <w14:solidFill>
                    <w14:schemeClr w14:val="tx1"/>
                  </w14:solidFill>
                </w14:textFill>
              </w:rPr>
              <w:t>4-</w:t>
            </w:r>
            <w:r>
              <w:rPr>
                <w:rFonts w:hint="eastAsia" w:ascii="Times New Roman" w:hAnsi="Times New Roman" w:cs="Times New Roman"/>
                <w:b/>
                <w:bCs/>
                <w:color w:val="000000" w:themeColor="text1"/>
                <w:lang w:val="en-US" w:eastAsia="zh-CN"/>
                <w14:textFill>
                  <w14:solidFill>
                    <w14:schemeClr w14:val="tx1"/>
                  </w14:solidFill>
                </w14:textFill>
              </w:rPr>
              <w:t xml:space="preserve">14       </w:t>
            </w:r>
            <w:r>
              <w:rPr>
                <w:rFonts w:hint="default" w:ascii="Times New Roman" w:hAnsi="Times New Roman" w:cs="Times New Roman"/>
                <w:b/>
                <w:bCs/>
                <w:color w:val="000000" w:themeColor="text1"/>
                <w:lang w:val="en-US" w:eastAsia="zh-CN"/>
                <w14:textFill>
                  <w14:solidFill>
                    <w14:schemeClr w14:val="tx1"/>
                  </w14:solidFill>
                </w14:textFill>
              </w:rPr>
              <w:t xml:space="preserve"> </w:t>
            </w:r>
            <w:r>
              <w:rPr>
                <w:rFonts w:hint="default" w:ascii="Times New Roman" w:hAnsi="Times New Roman" w:cs="Times New Roman"/>
                <w:b/>
                <w:bCs/>
                <w:color w:val="000000" w:themeColor="text1"/>
                <w14:textFill>
                  <w14:solidFill>
                    <w14:schemeClr w14:val="tx1"/>
                  </w14:solidFill>
                </w14:textFill>
              </w:rPr>
              <w:t xml:space="preserve">  评价工作等级划分</w:t>
            </w:r>
          </w:p>
          <w:tbl>
            <w:tblPr>
              <w:tblStyle w:val="29"/>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93"/>
              <w:gridCol w:w="1594"/>
              <w:gridCol w:w="1594"/>
              <w:gridCol w:w="1594"/>
              <w:gridCol w:w="159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9" w:type="pct"/>
                  <w:tcBorders>
                    <w:bottom w:val="single" w:color="auto" w:sz="12" w:space="0"/>
                  </w:tcBorders>
                  <w:noWrap w:val="0"/>
                  <w:vAlign w:val="center"/>
                </w:tcPr>
                <w:p>
                  <w:pPr>
                    <w:pStyle w:val="43"/>
                    <w:bidi w:val="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环境风险潜势</w:t>
                  </w:r>
                </w:p>
              </w:tc>
              <w:tc>
                <w:tcPr>
                  <w:tcW w:w="1000" w:type="pct"/>
                  <w:tcBorders>
                    <w:bottom w:val="single" w:color="auto" w:sz="12" w:space="0"/>
                  </w:tcBorders>
                  <w:noWrap w:val="0"/>
                  <w:vAlign w:val="center"/>
                </w:tcPr>
                <w:p>
                  <w:pPr>
                    <w:pStyle w:val="43"/>
                    <w:bidi w:val="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Ⅳ、Ⅳ+</w:t>
                  </w:r>
                </w:p>
              </w:tc>
              <w:tc>
                <w:tcPr>
                  <w:tcW w:w="1000" w:type="pct"/>
                  <w:tcBorders>
                    <w:bottom w:val="single" w:color="auto" w:sz="12" w:space="0"/>
                  </w:tcBorders>
                  <w:noWrap w:val="0"/>
                  <w:vAlign w:val="center"/>
                </w:tcPr>
                <w:p>
                  <w:pPr>
                    <w:pStyle w:val="43"/>
                    <w:bidi w:val="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Ⅲ</w:t>
                  </w:r>
                </w:p>
              </w:tc>
              <w:tc>
                <w:tcPr>
                  <w:tcW w:w="1000" w:type="pct"/>
                  <w:tcBorders>
                    <w:bottom w:val="single" w:color="auto" w:sz="12" w:space="0"/>
                  </w:tcBorders>
                  <w:noWrap w:val="0"/>
                  <w:vAlign w:val="center"/>
                </w:tcPr>
                <w:p>
                  <w:pPr>
                    <w:pStyle w:val="43"/>
                    <w:bidi w:val="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Ⅱ</w:t>
                  </w:r>
                </w:p>
              </w:tc>
              <w:tc>
                <w:tcPr>
                  <w:tcW w:w="1000" w:type="pct"/>
                  <w:tcBorders>
                    <w:bottom w:val="single" w:color="auto" w:sz="12" w:space="0"/>
                  </w:tcBorders>
                  <w:noWrap w:val="0"/>
                  <w:vAlign w:val="center"/>
                </w:tcPr>
                <w:p>
                  <w:pPr>
                    <w:pStyle w:val="43"/>
                    <w:bidi w:val="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99" w:type="pct"/>
                  <w:tcBorders>
                    <w:top w:val="single" w:color="auto" w:sz="12" w:space="0"/>
                  </w:tcBorders>
                  <w:noWrap w:val="0"/>
                  <w:vAlign w:val="center"/>
                </w:tcPr>
                <w:p>
                  <w:pPr>
                    <w:pStyle w:val="43"/>
                    <w:bidi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评价工作等级</w:t>
                  </w:r>
                </w:p>
              </w:tc>
              <w:tc>
                <w:tcPr>
                  <w:tcW w:w="1000" w:type="pct"/>
                  <w:tcBorders>
                    <w:top w:val="single" w:color="auto" w:sz="12" w:space="0"/>
                  </w:tcBorders>
                  <w:noWrap w:val="0"/>
                  <w:vAlign w:val="center"/>
                </w:tcPr>
                <w:p>
                  <w:pPr>
                    <w:pStyle w:val="43"/>
                    <w:bidi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一</w:t>
                  </w:r>
                </w:p>
              </w:tc>
              <w:tc>
                <w:tcPr>
                  <w:tcW w:w="1000" w:type="pct"/>
                  <w:tcBorders>
                    <w:top w:val="single" w:color="auto" w:sz="12" w:space="0"/>
                  </w:tcBorders>
                  <w:noWrap w:val="0"/>
                  <w:vAlign w:val="center"/>
                </w:tcPr>
                <w:p>
                  <w:pPr>
                    <w:pStyle w:val="43"/>
                    <w:bidi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二</w:t>
                  </w:r>
                </w:p>
              </w:tc>
              <w:tc>
                <w:tcPr>
                  <w:tcW w:w="1000" w:type="pct"/>
                  <w:tcBorders>
                    <w:top w:val="single" w:color="auto" w:sz="12" w:space="0"/>
                  </w:tcBorders>
                  <w:noWrap w:val="0"/>
                  <w:vAlign w:val="center"/>
                </w:tcPr>
                <w:p>
                  <w:pPr>
                    <w:pStyle w:val="43"/>
                    <w:bidi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三</w:t>
                  </w:r>
                </w:p>
              </w:tc>
              <w:tc>
                <w:tcPr>
                  <w:tcW w:w="1000" w:type="pct"/>
                  <w:tcBorders>
                    <w:top w:val="single" w:color="auto" w:sz="12" w:space="0"/>
                  </w:tcBorders>
                  <w:noWrap w:val="0"/>
                  <w:vAlign w:val="center"/>
                </w:tcPr>
                <w:p>
                  <w:pPr>
                    <w:pStyle w:val="43"/>
                    <w:bidi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简单分析a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gridSpan w:val="5"/>
                  <w:noWrap w:val="0"/>
                  <w:vAlign w:val="center"/>
                </w:tcPr>
                <w:p>
                  <w:pPr>
                    <w:pStyle w:val="43"/>
                    <w:bidi w:val="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a是相对详细评价工作内容而言，在描述危险物质、环境影响途径、环境危害后果、风险防范措施</w:t>
                  </w:r>
                  <w:r>
                    <w:rPr>
                      <w:rFonts w:hint="default" w:ascii="Times New Roman" w:hAnsi="Times New Roman" w:cs="Times New Roman"/>
                      <w:color w:val="000000" w:themeColor="text1"/>
                      <w:sz w:val="21"/>
                      <w:szCs w:val="21"/>
                      <w:lang w:eastAsia="zh-CN"/>
                      <w14:textFill>
                        <w14:solidFill>
                          <w14:schemeClr w14:val="tx1"/>
                        </w14:solidFill>
                      </w14:textFill>
                    </w:rPr>
                    <w:t>等方面</w:t>
                  </w:r>
                  <w:r>
                    <w:rPr>
                      <w:rFonts w:hint="default" w:ascii="Times New Roman" w:hAnsi="Times New Roman" w:cs="Times New Roman"/>
                      <w:color w:val="000000" w:themeColor="text1"/>
                      <w:sz w:val="21"/>
                      <w:szCs w:val="21"/>
                      <w14:textFill>
                        <w14:solidFill>
                          <w14:schemeClr w14:val="tx1"/>
                        </w14:solidFill>
                      </w14:textFill>
                    </w:rPr>
                    <w:t>给出定性的说明。</w:t>
                  </w:r>
                </w:p>
              </w:tc>
            </w:tr>
          </w:tbl>
          <w:p>
            <w:pPr>
              <w:spacing w:beforeAutospacing="0" w:line="360" w:lineRule="auto"/>
              <w:ind w:firstLine="480" w:firstLineChars="200"/>
              <w:jc w:val="left"/>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通过上表可知，本项目风险潜势为I，评价工作等级为简单分析。</w:t>
            </w:r>
          </w:p>
          <w:p>
            <w:pPr>
              <w:numPr>
                <w:ilvl w:val="0"/>
                <w:numId w:val="0"/>
              </w:num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w:t>
            </w:r>
            <w:r>
              <w:rPr>
                <w:rFonts w:hint="eastAsia" w:cs="Times New Roman"/>
                <w:b/>
                <w:bCs/>
                <w:color w:val="000000" w:themeColor="text1"/>
                <w:kern w:val="2"/>
                <w:sz w:val="24"/>
                <w:szCs w:val="24"/>
                <w:lang w:val="en-US" w:eastAsia="zh-CN" w:bidi="ar-SA"/>
                <w14:textFill>
                  <w14:solidFill>
                    <w14:schemeClr w14:val="tx1"/>
                  </w14:solidFill>
                </w14:textFill>
              </w:rPr>
              <w:t>6</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w:t>
            </w:r>
            <w:r>
              <w:rPr>
                <w:rFonts w:hint="eastAsia" w:cs="Times New Roman"/>
                <w:b/>
                <w:bCs/>
                <w:color w:val="000000" w:themeColor="text1"/>
                <w:kern w:val="2"/>
                <w:sz w:val="24"/>
                <w:szCs w:val="24"/>
                <w:lang w:val="en-US" w:eastAsia="zh-CN" w:bidi="ar-SA"/>
                <w14:textFill>
                  <w14:solidFill>
                    <w14:schemeClr w14:val="tx1"/>
                  </w14:solidFill>
                </w14:textFill>
              </w:rPr>
              <w:t>2</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 xml:space="preserve"> </w:t>
            </w:r>
            <w:r>
              <w:rPr>
                <w:rFonts w:hint="eastAsia" w:cs="Times New Roman"/>
                <w:b/>
                <w:bCs/>
                <w:color w:val="000000" w:themeColor="text1"/>
                <w:kern w:val="2"/>
                <w:sz w:val="24"/>
                <w:szCs w:val="24"/>
                <w:lang w:val="en-US" w:eastAsia="zh-CN" w:bidi="ar-SA"/>
                <w14:textFill>
                  <w14:solidFill>
                    <w14:schemeClr w14:val="tx1"/>
                  </w14:solidFill>
                </w14:textFill>
              </w:rPr>
              <w:t>风险源分布情况</w:t>
            </w:r>
          </w:p>
          <w:p>
            <w:pPr>
              <w:spacing w:line="360" w:lineRule="auto"/>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根据《建设项目环境风险评价技术导则》（HJ169-2018）对本项目运营过程中涉及的物质进行风险识别，本项目环境风险识别见下表。</w:t>
            </w:r>
          </w:p>
          <w:p>
            <w:pPr>
              <w:keepNext w:val="0"/>
              <w:keepLines w:val="0"/>
              <w:suppressLineNumbers w:val="0"/>
              <w:adjustRightInd w:val="0"/>
              <w:snapToGrid w:val="0"/>
              <w:spacing w:before="0" w:beforeAutospacing="0" w:after="0" w:afterAutospacing="0" w:line="240" w:lineRule="auto"/>
              <w:ind w:left="0" w:right="0" w:firstLine="422" w:firstLineChars="200"/>
              <w:rPr>
                <w:rFonts w:hint="default"/>
                <w:color w:val="000000"/>
              </w:rPr>
            </w:pPr>
            <w:r>
              <w:rPr>
                <w:rFonts w:hint="default"/>
                <w:b/>
                <w:bCs/>
                <w:color w:val="000000"/>
                <w:sz w:val="21"/>
                <w:szCs w:val="21"/>
              </w:rPr>
              <w:t>表</w:t>
            </w:r>
            <w:r>
              <w:rPr>
                <w:rFonts w:hint="eastAsia"/>
                <w:b/>
                <w:bCs/>
                <w:color w:val="000000"/>
                <w:sz w:val="21"/>
                <w:szCs w:val="21"/>
                <w:lang w:val="en-US" w:eastAsia="zh-CN"/>
              </w:rPr>
              <w:t>4-14</w:t>
            </w:r>
            <w:r>
              <w:rPr>
                <w:rFonts w:hint="eastAsia"/>
                <w:b/>
                <w:bCs/>
                <w:color w:val="000000"/>
                <w:sz w:val="21"/>
                <w:szCs w:val="21"/>
              </w:rPr>
              <w:t xml:space="preserve">          </w:t>
            </w:r>
            <w:r>
              <w:rPr>
                <w:rFonts w:hint="default"/>
                <w:b/>
                <w:bCs/>
                <w:color w:val="000000"/>
                <w:sz w:val="21"/>
                <w:szCs w:val="21"/>
              </w:rPr>
              <w:t>建设项目环境风险识别表</w:t>
            </w:r>
          </w:p>
          <w:tbl>
            <w:tblPr>
              <w:tblStyle w:val="29"/>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531"/>
              <w:gridCol w:w="1280"/>
              <w:gridCol w:w="1477"/>
              <w:gridCol w:w="1328"/>
              <w:gridCol w:w="1272"/>
              <w:gridCol w:w="2082"/>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333" w:type="pct"/>
                  <w:tcBorders>
                    <w:bottom w:val="single" w:color="000000"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b/>
                      <w:bCs/>
                      <w:color w:val="000000"/>
                      <w:sz w:val="21"/>
                      <w:szCs w:val="21"/>
                    </w:rPr>
                  </w:pPr>
                  <w:r>
                    <w:rPr>
                      <w:rFonts w:hint="default"/>
                      <w:b/>
                      <w:bCs/>
                      <w:color w:val="000000"/>
                      <w:spacing w:val="-4"/>
                      <w:sz w:val="21"/>
                      <w:szCs w:val="21"/>
                    </w:rPr>
                    <w:t>序号</w:t>
                  </w:r>
                </w:p>
              </w:tc>
              <w:tc>
                <w:tcPr>
                  <w:tcW w:w="803" w:type="pct"/>
                  <w:tcBorders>
                    <w:bottom w:val="single" w:color="000000"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b/>
                      <w:bCs/>
                      <w:color w:val="000000"/>
                      <w:sz w:val="21"/>
                      <w:szCs w:val="21"/>
                    </w:rPr>
                  </w:pPr>
                  <w:r>
                    <w:rPr>
                      <w:rFonts w:hint="default"/>
                      <w:b/>
                      <w:bCs/>
                      <w:color w:val="000000"/>
                      <w:spacing w:val="-2"/>
                      <w:sz w:val="21"/>
                      <w:szCs w:val="21"/>
                    </w:rPr>
                    <w:t>危险单元</w:t>
                  </w:r>
                </w:p>
              </w:tc>
              <w:tc>
                <w:tcPr>
                  <w:tcW w:w="926" w:type="pct"/>
                  <w:tcBorders>
                    <w:bottom w:val="single" w:color="000000"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b/>
                      <w:bCs/>
                      <w:color w:val="000000"/>
                      <w:sz w:val="21"/>
                      <w:szCs w:val="21"/>
                    </w:rPr>
                  </w:pPr>
                  <w:r>
                    <w:rPr>
                      <w:rFonts w:hint="default"/>
                      <w:b/>
                      <w:bCs/>
                      <w:color w:val="000000"/>
                      <w:spacing w:val="-3"/>
                      <w:sz w:val="21"/>
                      <w:szCs w:val="21"/>
                    </w:rPr>
                    <w:t>风险源</w:t>
                  </w:r>
                </w:p>
              </w:tc>
              <w:tc>
                <w:tcPr>
                  <w:tcW w:w="833" w:type="pct"/>
                  <w:tcBorders>
                    <w:bottom w:val="single" w:color="000000"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b/>
                      <w:bCs/>
                      <w:color w:val="000000"/>
                      <w:sz w:val="21"/>
                      <w:szCs w:val="21"/>
                    </w:rPr>
                  </w:pPr>
                  <w:r>
                    <w:rPr>
                      <w:rFonts w:hint="default"/>
                      <w:b/>
                      <w:bCs/>
                      <w:color w:val="000000"/>
                      <w:spacing w:val="-3"/>
                      <w:sz w:val="21"/>
                      <w:szCs w:val="21"/>
                    </w:rPr>
                    <w:t>主要危险</w:t>
                  </w:r>
                  <w:r>
                    <w:rPr>
                      <w:rFonts w:hint="default"/>
                      <w:b/>
                      <w:bCs/>
                      <w:color w:val="000000"/>
                      <w:spacing w:val="-4"/>
                      <w:sz w:val="21"/>
                      <w:szCs w:val="21"/>
                    </w:rPr>
                    <w:t>物质</w:t>
                  </w:r>
                </w:p>
              </w:tc>
              <w:tc>
                <w:tcPr>
                  <w:tcW w:w="798" w:type="pct"/>
                  <w:tcBorders>
                    <w:bottom w:val="single" w:color="000000"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b/>
                      <w:bCs/>
                      <w:color w:val="000000"/>
                      <w:sz w:val="21"/>
                      <w:szCs w:val="21"/>
                    </w:rPr>
                  </w:pPr>
                  <w:r>
                    <w:rPr>
                      <w:rFonts w:hint="default"/>
                      <w:b/>
                      <w:bCs/>
                      <w:color w:val="000000"/>
                      <w:spacing w:val="-2"/>
                      <w:sz w:val="21"/>
                      <w:szCs w:val="21"/>
                    </w:rPr>
                    <w:t>环境风险</w:t>
                  </w:r>
                  <w:r>
                    <w:rPr>
                      <w:rFonts w:hint="default"/>
                      <w:b/>
                      <w:bCs/>
                      <w:color w:val="000000"/>
                      <w:spacing w:val="-7"/>
                      <w:sz w:val="21"/>
                      <w:szCs w:val="21"/>
                    </w:rPr>
                    <w:t>类型</w:t>
                  </w:r>
                </w:p>
              </w:tc>
              <w:tc>
                <w:tcPr>
                  <w:tcW w:w="1305" w:type="pct"/>
                  <w:tcBorders>
                    <w:bottom w:val="single" w:color="000000"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b/>
                      <w:bCs/>
                      <w:color w:val="000000"/>
                      <w:sz w:val="21"/>
                      <w:szCs w:val="21"/>
                    </w:rPr>
                  </w:pPr>
                  <w:r>
                    <w:rPr>
                      <w:rFonts w:hint="default"/>
                      <w:b/>
                      <w:bCs/>
                      <w:color w:val="000000"/>
                      <w:spacing w:val="-2"/>
                      <w:sz w:val="21"/>
                      <w:szCs w:val="21"/>
                    </w:rPr>
                    <w:t>环境影响途径</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333" w:type="pct"/>
                  <w:tcBorders>
                    <w:top w:val="single" w:color="000000"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color w:val="000000"/>
                      <w:sz w:val="21"/>
                      <w:szCs w:val="21"/>
                    </w:rPr>
                  </w:pPr>
                  <w:r>
                    <w:rPr>
                      <w:rFonts w:hint="eastAsia"/>
                      <w:color w:val="000000"/>
                      <w:sz w:val="21"/>
                      <w:szCs w:val="21"/>
                    </w:rPr>
                    <w:t>1</w:t>
                  </w:r>
                </w:p>
              </w:tc>
              <w:tc>
                <w:tcPr>
                  <w:tcW w:w="803" w:type="pct"/>
                  <w:tcBorders>
                    <w:top w:val="single" w:color="000000" w:sz="12" w:space="0"/>
                  </w:tcBorders>
                  <w:noWrap w:val="0"/>
                  <w:vAlign w:val="center"/>
                </w:tcPr>
                <w:p>
                  <w:pPr>
                    <w:pStyle w:val="8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000000"/>
                      <w:sz w:val="21"/>
                      <w:szCs w:val="21"/>
                      <w:lang w:val="en-US" w:eastAsia="zh-CN"/>
                    </w:rPr>
                  </w:pPr>
                  <w:r>
                    <w:rPr>
                      <w:rFonts w:hint="eastAsia" w:cs="Times New Roman"/>
                      <w:color w:val="000000"/>
                      <w:spacing w:val="-3"/>
                      <w:sz w:val="21"/>
                      <w:szCs w:val="21"/>
                      <w:lang w:val="en-US" w:eastAsia="zh-CN"/>
                    </w:rPr>
                    <w:t>库房</w:t>
                  </w:r>
                </w:p>
              </w:tc>
              <w:tc>
                <w:tcPr>
                  <w:tcW w:w="926" w:type="pct"/>
                  <w:tcBorders>
                    <w:top w:val="single" w:color="000000" w:sz="12" w:space="0"/>
                  </w:tcBorders>
                  <w:noWrap w:val="0"/>
                  <w:vAlign w:val="center"/>
                </w:tcPr>
                <w:p>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Times New Roman" w:hAnsi="Times New Roman" w:cs="Times New Roman"/>
                      <w:color w:val="000000"/>
                      <w:sz w:val="21"/>
                      <w:szCs w:val="21"/>
                      <w:lang w:eastAsia="zh-CN"/>
                    </w:rPr>
                  </w:pPr>
                  <w:r>
                    <w:rPr>
                      <w:rFonts w:hint="eastAsia"/>
                      <w:color w:val="000000"/>
                      <w:sz w:val="21"/>
                      <w:szCs w:val="21"/>
                      <w:lang w:val="en-US" w:eastAsia="zh-CN"/>
                    </w:rPr>
                    <w:t>医用酒精</w:t>
                  </w:r>
                </w:p>
              </w:tc>
              <w:tc>
                <w:tcPr>
                  <w:tcW w:w="833" w:type="pct"/>
                  <w:tcBorders>
                    <w:top w:val="single" w:color="000000" w:sz="12" w:space="0"/>
                  </w:tcBorders>
                  <w:noWrap w:val="0"/>
                  <w:vAlign w:val="center"/>
                </w:tcPr>
                <w:p>
                  <w:pPr>
                    <w:pStyle w:val="8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color w:val="000000"/>
                      <w:sz w:val="21"/>
                      <w:szCs w:val="21"/>
                      <w:lang w:eastAsia="zh-CN"/>
                    </w:rPr>
                  </w:pPr>
                  <w:r>
                    <w:rPr>
                      <w:rFonts w:hint="eastAsia" w:cs="Times New Roman"/>
                      <w:color w:val="000000"/>
                      <w:spacing w:val="-3"/>
                      <w:sz w:val="21"/>
                      <w:szCs w:val="21"/>
                      <w:lang w:val="en-US" w:eastAsia="zh-CN"/>
                    </w:rPr>
                    <w:t>乙醇</w:t>
                  </w:r>
                </w:p>
              </w:tc>
              <w:tc>
                <w:tcPr>
                  <w:tcW w:w="798" w:type="pct"/>
                  <w:tcBorders>
                    <w:top w:val="single" w:color="000000" w:sz="12" w:space="0"/>
                  </w:tcBorders>
                  <w:noWrap w:val="0"/>
                  <w:vAlign w:val="center"/>
                </w:tcPr>
                <w:p>
                  <w:pPr>
                    <w:pStyle w:val="8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000000"/>
                      <w:sz w:val="21"/>
                      <w:szCs w:val="21"/>
                      <w:lang w:eastAsia="zh-CN"/>
                    </w:rPr>
                  </w:pPr>
                  <w:r>
                    <w:rPr>
                      <w:rFonts w:hint="eastAsia" w:ascii="Times New Roman" w:hAnsi="Times New Roman" w:cs="Times New Roman"/>
                      <w:color w:val="000000"/>
                      <w:spacing w:val="-13"/>
                      <w:sz w:val="21"/>
                      <w:szCs w:val="21"/>
                      <w:lang w:eastAsia="zh-CN"/>
                    </w:rPr>
                    <w:t>泄漏</w:t>
                  </w:r>
                  <w:r>
                    <w:rPr>
                      <w:rFonts w:hint="default" w:ascii="Times New Roman" w:hAnsi="Times New Roman" w:cs="Times New Roman"/>
                      <w:color w:val="000000"/>
                      <w:spacing w:val="-13"/>
                      <w:sz w:val="21"/>
                      <w:szCs w:val="21"/>
                      <w:lang w:eastAsia="zh-CN"/>
                    </w:rPr>
                    <w:t>、火灾</w:t>
                  </w:r>
                </w:p>
              </w:tc>
              <w:tc>
                <w:tcPr>
                  <w:tcW w:w="1305" w:type="pct"/>
                  <w:tcBorders>
                    <w:top w:val="single" w:color="000000" w:sz="12" w:space="0"/>
                  </w:tcBorders>
                  <w:noWrap w:val="0"/>
                  <w:vAlign w:val="center"/>
                </w:tcPr>
                <w:p>
                  <w:pPr>
                    <w:pStyle w:val="8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000000"/>
                      <w:sz w:val="21"/>
                      <w:szCs w:val="21"/>
                      <w:lang w:eastAsia="zh-CN"/>
                    </w:rPr>
                  </w:pPr>
                  <w:r>
                    <w:rPr>
                      <w:rFonts w:hint="default" w:ascii="Times New Roman" w:hAnsi="Times New Roman" w:cs="Times New Roman"/>
                      <w:color w:val="000000"/>
                      <w:spacing w:val="-6"/>
                      <w:sz w:val="21"/>
                      <w:szCs w:val="21"/>
                      <w:lang w:eastAsia="zh-CN"/>
                    </w:rPr>
                    <w:t>大气、地表水、</w:t>
                  </w:r>
                  <w:r>
                    <w:rPr>
                      <w:rFonts w:hint="default" w:ascii="Times New Roman" w:hAnsi="Times New Roman" w:cs="Times New Roman"/>
                      <w:color w:val="000000"/>
                      <w:spacing w:val="-4"/>
                      <w:sz w:val="21"/>
                      <w:szCs w:val="21"/>
                      <w:lang w:eastAsia="zh-CN"/>
                    </w:rPr>
                    <w:t>土壤</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33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eastAsia="宋体"/>
                      <w:color w:val="000000"/>
                      <w:sz w:val="21"/>
                      <w:szCs w:val="21"/>
                      <w:lang w:val="en-US" w:eastAsia="zh-CN"/>
                    </w:rPr>
                  </w:pPr>
                  <w:r>
                    <w:rPr>
                      <w:rFonts w:hint="eastAsia"/>
                      <w:color w:val="000000"/>
                      <w:sz w:val="21"/>
                      <w:szCs w:val="21"/>
                      <w:lang w:val="en-US" w:eastAsia="zh-CN"/>
                    </w:rPr>
                    <w:t>2</w:t>
                  </w:r>
                </w:p>
              </w:tc>
              <w:tc>
                <w:tcPr>
                  <w:tcW w:w="803" w:type="pct"/>
                  <w:noWrap w:val="0"/>
                  <w:vAlign w:val="center"/>
                </w:tcPr>
                <w:p>
                  <w:pPr>
                    <w:pStyle w:val="8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color w:val="000000"/>
                      <w:spacing w:val="-3"/>
                      <w:sz w:val="21"/>
                      <w:szCs w:val="21"/>
                      <w:lang w:val="en-US" w:eastAsia="zh-CN"/>
                    </w:rPr>
                  </w:pPr>
                  <w:r>
                    <w:rPr>
                      <w:rFonts w:hint="default" w:ascii="Times New Roman" w:hAnsi="Times New Roman" w:eastAsia="宋体" w:cs="Times New Roman"/>
                      <w:color w:val="000000"/>
                      <w:sz w:val="21"/>
                      <w:szCs w:val="21"/>
                      <w:highlight w:val="none"/>
                      <w:lang w:eastAsia="zh-CN"/>
                    </w:rPr>
                    <w:t>医疗废物专用暂时贮存</w:t>
                  </w:r>
                  <w:r>
                    <w:rPr>
                      <w:rFonts w:hint="default" w:ascii="Times New Roman" w:hAnsi="Times New Roman" w:eastAsia="宋体" w:cs="Times New Roman"/>
                      <w:color w:val="000000"/>
                      <w:sz w:val="21"/>
                      <w:szCs w:val="21"/>
                      <w:highlight w:val="none"/>
                      <w:lang w:val="en-US" w:eastAsia="zh-CN"/>
                    </w:rPr>
                    <w:t>库房</w:t>
                  </w:r>
                </w:p>
              </w:tc>
              <w:tc>
                <w:tcPr>
                  <w:tcW w:w="926" w:type="pct"/>
                  <w:noWrap w:val="0"/>
                  <w:vAlign w:val="center"/>
                </w:tcPr>
                <w:p>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Times New Roman" w:hAnsi="Times New Roman" w:cs="Times New Roman"/>
                      <w:color w:val="000000"/>
                      <w:spacing w:val="-3"/>
                      <w:sz w:val="21"/>
                      <w:szCs w:val="21"/>
                      <w:lang w:val="en-US" w:eastAsia="zh-CN"/>
                    </w:rPr>
                  </w:pPr>
                  <w:r>
                    <w:rPr>
                      <w:rFonts w:hint="eastAsia"/>
                      <w:color w:val="000000"/>
                      <w:sz w:val="21"/>
                      <w:szCs w:val="21"/>
                      <w:lang w:val="en-US" w:eastAsia="zh-CN"/>
                    </w:rPr>
                    <w:t>动物诊疗废物</w:t>
                  </w:r>
                </w:p>
              </w:tc>
              <w:tc>
                <w:tcPr>
                  <w:tcW w:w="833" w:type="pct"/>
                  <w:noWrap w:val="0"/>
                  <w:vAlign w:val="center"/>
                </w:tcPr>
                <w:p>
                  <w:pPr>
                    <w:pStyle w:val="8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color w:val="000000"/>
                      <w:spacing w:val="-3"/>
                      <w:sz w:val="21"/>
                      <w:szCs w:val="21"/>
                      <w:lang w:val="en-US" w:eastAsia="zh-CN"/>
                    </w:rPr>
                  </w:pPr>
                  <w:r>
                    <w:rPr>
                      <w:rFonts w:hint="eastAsia"/>
                      <w:color w:val="000000"/>
                      <w:sz w:val="21"/>
                      <w:szCs w:val="21"/>
                      <w:lang w:val="en-US" w:eastAsia="zh-CN"/>
                    </w:rPr>
                    <w:t>动物诊疗废物</w:t>
                  </w:r>
                </w:p>
              </w:tc>
              <w:tc>
                <w:tcPr>
                  <w:tcW w:w="798" w:type="pct"/>
                  <w:noWrap w:val="0"/>
                  <w:vAlign w:val="center"/>
                </w:tcPr>
                <w:p>
                  <w:pPr>
                    <w:pStyle w:val="8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000000"/>
                      <w:spacing w:val="-13"/>
                      <w:sz w:val="21"/>
                      <w:szCs w:val="21"/>
                      <w:lang w:val="en-US" w:eastAsia="zh-CN"/>
                    </w:rPr>
                  </w:pPr>
                  <w:r>
                    <w:rPr>
                      <w:rFonts w:hint="eastAsia" w:cs="Times New Roman"/>
                      <w:color w:val="000000"/>
                      <w:spacing w:val="-13"/>
                      <w:sz w:val="21"/>
                      <w:szCs w:val="21"/>
                      <w:lang w:val="en-US" w:eastAsia="zh-CN"/>
                    </w:rPr>
                    <w:t>泄漏</w:t>
                  </w:r>
                </w:p>
              </w:tc>
              <w:tc>
                <w:tcPr>
                  <w:tcW w:w="1305" w:type="pct"/>
                  <w:noWrap w:val="0"/>
                  <w:vAlign w:val="center"/>
                </w:tcPr>
                <w:p>
                  <w:pPr>
                    <w:pStyle w:val="8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000000"/>
                      <w:spacing w:val="-6"/>
                      <w:sz w:val="21"/>
                      <w:szCs w:val="21"/>
                      <w:lang w:eastAsia="zh-CN"/>
                    </w:rPr>
                  </w:pPr>
                  <w:r>
                    <w:rPr>
                      <w:rFonts w:hint="default" w:ascii="Times New Roman" w:hAnsi="Times New Roman" w:cs="Times New Roman"/>
                      <w:color w:val="000000"/>
                      <w:spacing w:val="-6"/>
                      <w:sz w:val="21"/>
                      <w:szCs w:val="21"/>
                      <w:lang w:eastAsia="zh-CN"/>
                    </w:rPr>
                    <w:t>大气、地表水、</w:t>
                  </w:r>
                  <w:r>
                    <w:rPr>
                      <w:rFonts w:hint="default" w:ascii="Times New Roman" w:hAnsi="Times New Roman" w:cs="Times New Roman"/>
                      <w:color w:val="000000"/>
                      <w:spacing w:val="-4"/>
                      <w:sz w:val="21"/>
                      <w:szCs w:val="21"/>
                      <w:lang w:eastAsia="zh-CN"/>
                    </w:rPr>
                    <w:t>土壤</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333"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eastAsia="宋体"/>
                      <w:color w:val="000000"/>
                      <w:sz w:val="21"/>
                      <w:szCs w:val="21"/>
                      <w:lang w:val="en-US" w:eastAsia="zh-CN"/>
                    </w:rPr>
                  </w:pPr>
                  <w:r>
                    <w:rPr>
                      <w:rFonts w:hint="eastAsia"/>
                      <w:color w:val="000000"/>
                      <w:sz w:val="21"/>
                      <w:szCs w:val="21"/>
                      <w:lang w:val="en-US" w:eastAsia="zh-CN"/>
                    </w:rPr>
                    <w:t>3</w:t>
                  </w:r>
                </w:p>
              </w:tc>
              <w:tc>
                <w:tcPr>
                  <w:tcW w:w="803" w:type="pct"/>
                  <w:noWrap w:val="0"/>
                  <w:vAlign w:val="center"/>
                </w:tcPr>
                <w:p>
                  <w:pPr>
                    <w:pStyle w:val="8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000000"/>
                      <w:spacing w:val="-3"/>
                      <w:sz w:val="21"/>
                      <w:szCs w:val="21"/>
                      <w:lang w:val="en-US" w:eastAsia="zh-CN"/>
                    </w:rPr>
                  </w:pPr>
                  <w:r>
                    <w:rPr>
                      <w:rFonts w:hint="eastAsia" w:cs="Times New Roman"/>
                      <w:color w:val="000000"/>
                      <w:spacing w:val="-3"/>
                      <w:sz w:val="21"/>
                      <w:szCs w:val="21"/>
                      <w:lang w:val="en-US" w:eastAsia="zh-CN"/>
                    </w:rPr>
                    <w:t>消毒室</w:t>
                  </w:r>
                </w:p>
              </w:tc>
              <w:tc>
                <w:tcPr>
                  <w:tcW w:w="926" w:type="pct"/>
                  <w:noWrap w:val="0"/>
                  <w:vAlign w:val="center"/>
                </w:tcPr>
                <w:p>
                  <w:pPr>
                    <w:keepNext w:val="0"/>
                    <w:keepLines w:val="0"/>
                    <w:suppressLineNumbers w:val="0"/>
                    <w:adjustRightInd w:val="0"/>
                    <w:snapToGrid w:val="0"/>
                    <w:spacing w:before="0" w:beforeAutospacing="0" w:after="0" w:afterAutospacing="0" w:line="240" w:lineRule="auto"/>
                    <w:ind w:left="0" w:leftChars="0" w:right="0" w:rightChars="0" w:firstLine="0" w:firstLineChars="0"/>
                    <w:jc w:val="center"/>
                    <w:rPr>
                      <w:rFonts w:hint="eastAsia" w:ascii="Times New Roman" w:hAnsi="Times New Roman" w:cs="Times New Roman"/>
                      <w:color w:val="000000"/>
                      <w:spacing w:val="-3"/>
                      <w:sz w:val="21"/>
                      <w:szCs w:val="21"/>
                      <w:lang w:val="en-US" w:eastAsia="zh-CN"/>
                    </w:rPr>
                  </w:pPr>
                  <w:r>
                    <w:rPr>
                      <w:rFonts w:hint="eastAsia"/>
                      <w:color w:val="000000"/>
                      <w:sz w:val="21"/>
                      <w:szCs w:val="21"/>
                      <w:lang w:val="en-US" w:eastAsia="zh-CN"/>
                    </w:rPr>
                    <w:t>氯片（次氯酸钠）</w:t>
                  </w:r>
                </w:p>
              </w:tc>
              <w:tc>
                <w:tcPr>
                  <w:tcW w:w="833" w:type="pct"/>
                  <w:noWrap w:val="0"/>
                  <w:vAlign w:val="center"/>
                </w:tcPr>
                <w:p>
                  <w:pPr>
                    <w:pStyle w:val="8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000000"/>
                      <w:spacing w:val="-3"/>
                      <w:sz w:val="21"/>
                      <w:szCs w:val="21"/>
                      <w:lang w:val="en-US" w:eastAsia="zh-CN"/>
                    </w:rPr>
                  </w:pPr>
                  <w:r>
                    <w:rPr>
                      <w:rFonts w:hint="eastAsia" w:cs="Times New Roman"/>
                      <w:color w:val="000000"/>
                      <w:spacing w:val="-3"/>
                      <w:sz w:val="21"/>
                      <w:szCs w:val="21"/>
                      <w:lang w:val="en-US" w:eastAsia="zh-CN"/>
                    </w:rPr>
                    <w:t>次氯酸钠</w:t>
                  </w:r>
                </w:p>
              </w:tc>
              <w:tc>
                <w:tcPr>
                  <w:tcW w:w="798" w:type="pct"/>
                  <w:noWrap w:val="0"/>
                  <w:vAlign w:val="center"/>
                </w:tcPr>
                <w:p>
                  <w:pPr>
                    <w:pStyle w:val="8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ascii="Times New Roman" w:hAnsi="Times New Roman" w:cs="Times New Roman"/>
                      <w:color w:val="000000"/>
                      <w:spacing w:val="-13"/>
                      <w:sz w:val="21"/>
                      <w:szCs w:val="21"/>
                      <w:lang w:eastAsia="zh-CN"/>
                    </w:rPr>
                  </w:pPr>
                  <w:r>
                    <w:rPr>
                      <w:rFonts w:hint="eastAsia" w:ascii="Times New Roman" w:hAnsi="Times New Roman" w:cs="Times New Roman"/>
                      <w:color w:val="000000"/>
                      <w:spacing w:val="-13"/>
                      <w:sz w:val="21"/>
                      <w:szCs w:val="21"/>
                      <w:lang w:eastAsia="zh-CN"/>
                    </w:rPr>
                    <w:t>泄漏</w:t>
                  </w:r>
                </w:p>
              </w:tc>
              <w:tc>
                <w:tcPr>
                  <w:tcW w:w="1305" w:type="pct"/>
                  <w:noWrap w:val="0"/>
                  <w:vAlign w:val="center"/>
                </w:tcPr>
                <w:p>
                  <w:pPr>
                    <w:pStyle w:val="8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000000"/>
                      <w:spacing w:val="-6"/>
                      <w:sz w:val="21"/>
                      <w:szCs w:val="21"/>
                      <w:lang w:eastAsia="zh-CN"/>
                    </w:rPr>
                  </w:pPr>
                  <w:r>
                    <w:rPr>
                      <w:rFonts w:hint="eastAsia" w:ascii="Times New Roman" w:hAnsi="Times New Roman" w:cs="Times New Roman"/>
                      <w:color w:val="000000"/>
                      <w:spacing w:val="-13"/>
                      <w:sz w:val="21"/>
                      <w:szCs w:val="21"/>
                      <w:lang w:val="en-US" w:eastAsia="zh-CN"/>
                    </w:rPr>
                    <w:t>地下水、土壤、人体健康</w:t>
                  </w:r>
                </w:p>
              </w:tc>
            </w:tr>
          </w:tbl>
          <w:p>
            <w:pPr>
              <w:numPr>
                <w:ilvl w:val="0"/>
                <w:numId w:val="0"/>
              </w:numPr>
              <w:spacing w:line="360" w:lineRule="auto"/>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4.2.</w:t>
            </w: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6</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w:t>
            </w: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3</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环境风险</w:t>
            </w: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分析</w:t>
            </w:r>
          </w:p>
          <w:p>
            <w:pPr>
              <w:spacing w:beforeAutospacing="0" w:line="360" w:lineRule="auto"/>
              <w:ind w:firstLine="480" w:firstLineChars="200"/>
              <w:jc w:val="left"/>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t>最大可信事故是基于经验统计分析，在一定可能性区间内发生的事故中，造成环境危害最严重的事故。根据本项目物质危险性识别、生产设施危险性识别和重大危险源的识别分析结果，确定本报告可能发生的事故为：</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项目主要环境风险物质为医用酒精、氯片及动物诊疗废物，医用酒精存放于药房，动物诊疗废物存放于医疗废物专用暂时贮存</w:t>
            </w:r>
            <w:r>
              <w:rPr>
                <w:rFonts w:hint="eastAsia" w:cs="Times New Roman"/>
                <w:snapToGrid w:val="0"/>
                <w:kern w:val="0"/>
                <w:sz w:val="24"/>
                <w:szCs w:val="24"/>
                <w:highlight w:val="none"/>
                <w:lang w:val="en-US" w:eastAsia="zh-CN"/>
              </w:rPr>
              <w:t>库房</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酒精以及动物诊疗废物在储存、转运过程中，如果发生泄漏，有污染地下水和土壤的环境风险；泄漏后的物料不及时收集，有污染周边大气的环境风险，遇明火发生火灾，可能引发次生环境事故，消防尾水进入雨水管网有污染周边水体的环境风险；氯消毒片密封不好受潮，内部可能发生反应，次氯酸钠溶液与有机物或还原剂相混易爆炸。呈碱性，并缓慢分解为NaCl、NaClO</w:t>
            </w:r>
            <w:r>
              <w:rPr>
                <w:rFonts w:hint="eastAsia"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3</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和O</w:t>
            </w:r>
            <w:r>
              <w:rPr>
                <w:rFonts w:hint="eastAsia" w:ascii="Times New Roman" w:hAnsi="Times New Roman" w:eastAsia="宋体" w:cs="Times New Roman"/>
                <w:color w:val="000000" w:themeColor="text1"/>
                <w:sz w:val="24"/>
                <w:highlight w:val="none"/>
                <w:vertAlign w:val="subscript"/>
                <w:lang w:val="en-US" w:eastAsia="zh-CN"/>
                <w14:textFill>
                  <w14:solidFill>
                    <w14:schemeClr w14:val="tx1"/>
                  </w14:solidFill>
                </w14:textFill>
              </w:rPr>
              <w:t>2</w:t>
            </w:r>
            <w:r>
              <w:rPr>
                <w:rFonts w:hint="eastAsia" w:ascii="Times New Roman" w:hAnsi="Times New Roman" w:eastAsia="宋体" w:cs="Times New Roman"/>
                <w:color w:val="000000" w:themeColor="text1"/>
                <w:sz w:val="24"/>
                <w:highlight w:val="none"/>
                <w:lang w:val="en-US" w:eastAsia="zh-CN"/>
                <w14:textFill>
                  <w14:solidFill>
                    <w14:schemeClr w14:val="tx1"/>
                  </w14:solidFill>
                </w14:textFill>
              </w:rPr>
              <w:t>，受热受光快速分解，具有强氧化性，主要用于宠物诊疗污水净化处理，次氯酸钠泄漏后，释放出的游离氯有可能引起中毒；此外本项目配备的废水消毒设备若出现异常状况，可能出现宠物服务废水未达到消毒要求就外排的环境风险；发生动物疫情等风险。</w:t>
            </w:r>
          </w:p>
          <w:p>
            <w:pPr>
              <w:numPr>
                <w:ilvl w:val="0"/>
                <w:numId w:val="0"/>
              </w:numPr>
              <w:spacing w:line="360" w:lineRule="auto"/>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pPr>
            <w:r>
              <w:rPr>
                <w:rFonts w:hint="eastAsia" w:cs="Times New Roman"/>
                <w:b/>
                <w:bCs/>
                <w:color w:val="000000" w:themeColor="text1"/>
                <w:kern w:val="2"/>
                <w:sz w:val="24"/>
                <w:szCs w:val="24"/>
                <w:lang w:val="en-US" w:eastAsia="zh-CN" w:bidi="ar-SA"/>
                <w14:textFill>
                  <w14:solidFill>
                    <w14:schemeClr w14:val="tx1"/>
                  </w14:solidFill>
                </w14:textFill>
              </w:rPr>
              <w:t>4.2.</w:t>
            </w:r>
            <w:r>
              <w:rPr>
                <w:rFonts w:hint="eastAsia" w:ascii="Times New Roman" w:hAnsi="Times New Roman" w:eastAsia="宋体" w:cs="Times New Roman"/>
                <w:b/>
                <w:bCs/>
                <w:color w:val="000000" w:themeColor="text1"/>
                <w:kern w:val="2"/>
                <w:sz w:val="24"/>
                <w:szCs w:val="24"/>
                <w:lang w:val="en-US" w:eastAsia="zh-CN" w:bidi="ar-SA"/>
                <w14:textFill>
                  <w14:solidFill>
                    <w14:schemeClr w14:val="tx1"/>
                  </w14:solidFill>
                </w14:textFill>
              </w:rPr>
              <w:t>6.4</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环境</w:t>
            </w:r>
            <w:r>
              <w:rPr>
                <w:rFonts w:hint="eastAsia" w:cs="Times New Roman"/>
                <w:b/>
                <w:bCs/>
                <w:color w:val="000000" w:themeColor="text1"/>
                <w:kern w:val="2"/>
                <w:sz w:val="24"/>
                <w:szCs w:val="24"/>
                <w:lang w:val="en-US" w:eastAsia="zh-CN" w:bidi="ar-SA"/>
                <w14:textFill>
                  <w14:solidFill>
                    <w14:schemeClr w14:val="tx1"/>
                  </w14:solidFill>
                </w14:textFill>
              </w:rPr>
              <w:t>风险</w:t>
            </w:r>
            <w:r>
              <w:rPr>
                <w:rFonts w:hint="default" w:ascii="Times New Roman" w:hAnsi="Times New Roman" w:eastAsia="宋体" w:cs="Times New Roman"/>
                <w:b/>
                <w:bCs/>
                <w:color w:val="000000" w:themeColor="text1"/>
                <w:kern w:val="2"/>
                <w:sz w:val="24"/>
                <w:szCs w:val="24"/>
                <w:lang w:val="en-US" w:eastAsia="zh-CN" w:bidi="ar-SA"/>
                <w14:textFill>
                  <w14:solidFill>
                    <w14:schemeClr w14:val="tx1"/>
                  </w14:solidFill>
                </w14:textFill>
              </w:rPr>
              <w:t>防范措施</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医院污水排放风险防范措施</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A、</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医院必须加强污水治理设施的运行管理。加强对各种管道的维护保养，及时处理隐患、杜绝</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宠物诊疗废水</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收集和处理过程中的跑、冒、滴、漏，确保废水处理系统正常运行。</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B、</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处理后出水指标要按照环境管理工作制度的要求，定期、定时进行监测，以保证污水稳定达标排放。</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C、</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若废水处理设施发生故障时，应停止污水排入城镇管网，关闭排水阀门，加快对污水处理设施的维护，待污水处理设施正常后，废水经处理后方可进入城市管网。</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D、</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加强运行管理和设备维护工作，关键设备一用一备，保持设备的完好率和处理的高效率。备用设备或替换下来的设备要及时检修，并定期检查，使其在需要时能及时使用。加强事故苗头监控。定期巡查、调节、保养、维修，</w:t>
            </w:r>
            <w:r>
              <w:rPr>
                <w:rFonts w:hint="eastAsia" w:cs="Times New Roman"/>
                <w:color w:val="000000" w:themeColor="text1"/>
                <w:sz w:val="24"/>
                <w:szCs w:val="24"/>
                <w:lang w:val="en-US" w:eastAsia="zh-CN"/>
                <w14:textFill>
                  <w14:solidFill>
                    <w14:schemeClr w14:val="tx1"/>
                  </w14:solidFill>
                </w14:textFill>
              </w:rPr>
              <w:t>及时发现</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可能引起的事故异常运行苗头，消除事故隐患。</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（2）动物诊疗废物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的防范措施</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动物诊疗废物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的极大危害性，医院在收集、贮存、运送</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动物诊疗废物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的</w:t>
            </w:r>
            <w:r>
              <w:rPr>
                <w:rFonts w:hint="eastAsia" w:cs="Times New Roman"/>
                <w:color w:val="000000" w:themeColor="text1"/>
                <w:sz w:val="24"/>
                <w:szCs w:val="24"/>
                <w:lang w:val="en-US" w:eastAsia="zh-CN"/>
                <w14:textFill>
                  <w14:solidFill>
                    <w14:schemeClr w14:val="tx1"/>
                  </w14:solidFill>
                </w14:textFill>
              </w:rPr>
              <w:t>过程中存在</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一定的风险。为保证医院产生的</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动物诊疗废物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得到安全处置，使其风险减少到</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最低程度</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，而不会对周围环境造成不良影响，应具体采取</w:t>
            </w:r>
            <w:r>
              <w:rPr>
                <w:rFonts w:hint="eastAsia" w:cs="Times New Roman"/>
                <w:color w:val="000000" w:themeColor="text1"/>
                <w:sz w:val="24"/>
                <w:szCs w:val="24"/>
                <w:lang w:val="en-US" w:eastAsia="zh-CN"/>
                <w14:textFill>
                  <w14:solidFill>
                    <w14:schemeClr w14:val="tx1"/>
                  </w14:solidFill>
                </w14:textFill>
              </w:rPr>
              <w:t>如下</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措施进行防范。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A、应对项目产生的</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动物诊疗废物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进行科学</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的</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分类收集。科学的分类是消除污染、无害化处置的保证，要采用专用容器，明确各类废弃物标识，分类包装，分类堆放，并本着及时、方便、安全、快捷的原则，进行收集。感染性废物、病理性废物、损伤性废物、药物性废物及化学性</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废物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不能混合收集；放入包装物或者容器内的感染性废物、病理性废物、损伤性废物不得取出。当盛装的</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动物诊疗废物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达到包装物或者容器的3/4时，应当使用有效的封口方式，使包装物或者容器的封口紧实、严密。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B、本项目应当建立</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动物诊疗废物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暂时贮存设施、设备，不得露天存放</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动物诊疗废物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动物诊疗废物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暂时贮存的时间不得超过2d，应得到及时、有效</w:t>
            </w:r>
            <w:r>
              <w:rPr>
                <w:rFonts w:hint="eastAsia" w:cs="Times New Roman"/>
                <w:color w:val="000000" w:themeColor="text1"/>
                <w:sz w:val="24"/>
                <w:szCs w:val="24"/>
                <w:lang w:val="en-US" w:eastAsia="zh-CN"/>
                <w14:textFill>
                  <w14:solidFill>
                    <w14:schemeClr w14:val="tx1"/>
                  </w14:solidFill>
                </w14:textFill>
              </w:rPr>
              <w:t>地</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处理。</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动物诊疗废物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暂时贮存设施、设备应当达到以下要求：远离医疗区、人员活动区和生活垃圾存放场所；有严密的封闭措施，设专（兼）职人员管理，防止非工作人员接触</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动物诊疗废物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；有防鼠、防蚊蝇、防蟑螂的安全措施；防止渗漏和雨水冲刷；易于清洁和消毒；避免阳光直射；设有明显的</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动物诊疗废物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警示标识和</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禁止吸烟、饮食</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的警示标识。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C、对于</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动物诊疗</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废物，禁止将其在非收集、非暂时贮存地点倾倒、堆放；禁止将</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动物诊疗废物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混入</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其他</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废物和生活垃圾；禁止在内部运送过程中丢弃</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动物诊疗废物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动物诊疗废物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的贮存应满足《危险废物贮存污染控制标准》（GB18597-20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23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及修改单</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中相关规定；在转交及运送过程中，应当严格执行生态环境部公安部交通运输部令第23号</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《危险废物转移管理办法》中的相关条款，确保危废安全转移运输。</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动物诊疗废物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转交出去后，应当对暂时贮存地点、设施及时进行清洁和消毒处理。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化学试剂的防范措施</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乙醇易燃，其</w:t>
            </w:r>
            <w:r>
              <w:rPr>
                <w:rFonts w:hint="eastAsia" w:cs="Times New Roman"/>
                <w:color w:val="000000" w:themeColor="text1"/>
                <w:sz w:val="24"/>
                <w:szCs w:val="24"/>
                <w:lang w:val="en-US" w:eastAsia="zh-CN"/>
                <w14:textFill>
                  <w14:solidFill>
                    <w14:schemeClr w14:val="tx1"/>
                  </w14:solidFill>
                </w14:textFill>
              </w:rPr>
              <w:t>蒸汽</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与空气可形成爆炸性混合物。遇明火、高热能引起燃烧爆炸。与氧化剂接触发生化学反应或引起燃烧。乙醇</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储存量和使用量均很小，本项目宠物服务过程中酒精的用量及危险废物的产生量都比较少，</w:t>
            </w:r>
            <w:r>
              <w:rPr>
                <w:rFonts w:hint="eastAsia" w:cs="Times New Roman"/>
                <w:color w:val="000000" w:themeColor="text1"/>
                <w:sz w:val="24"/>
                <w:szCs w:val="24"/>
                <w:lang w:val="en-US" w:eastAsia="zh-CN"/>
                <w14:textFill>
                  <w14:solidFill>
                    <w14:schemeClr w14:val="tx1"/>
                  </w14:solidFill>
                </w14:textFill>
              </w:rPr>
              <w:t>泄漏</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时尽可能采用不产生冲击、静电火花的工具进行泄漏物的回收，将泄漏物收集在密闭容器内，用砂土、活性炭或</w:t>
            </w:r>
            <w:r>
              <w:rPr>
                <w:rFonts w:hint="eastAsia" w:cs="Times New Roman"/>
                <w:color w:val="000000" w:themeColor="text1"/>
                <w:sz w:val="24"/>
                <w:szCs w:val="24"/>
                <w:lang w:val="en-US" w:eastAsia="zh-CN"/>
                <w14:textFill>
                  <w14:solidFill>
                    <w14:schemeClr w14:val="tx1"/>
                  </w14:solidFill>
                </w14:textFill>
              </w:rPr>
              <w:t>其他</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惰性材料吸收残液</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管理不善发生泄漏对环境和周围人群产生影响</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较小</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为防止乙醇泄漏应采取以下措施：</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①做好防盗工作，每天上班开防，下班设防，有专人检查。</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②闲杂人员一律不得进入库房重地。</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③库房内严禁吸烟。</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④做好药品进库及使用的登记工作。</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（4）氯片</w:t>
            </w:r>
            <w:r>
              <w:rPr>
                <w:rFonts w:hint="default" w:cs="Times New Roman"/>
                <w:color w:val="000000" w:themeColor="text1"/>
                <w:sz w:val="24"/>
                <w:szCs w:val="24"/>
                <w:lang w:val="en-US" w:eastAsia="zh-CN"/>
                <w14:textFill>
                  <w14:solidFill>
                    <w14:schemeClr w14:val="tx1"/>
                  </w14:solidFill>
                </w14:textFill>
              </w:rPr>
              <w:t>泄漏防范措施</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本项目污水处理使用消毒剂为次氯酸钠消毒片，固态，储存较为安全，加水反应为次氯酸钠溶液，次氯酸钠溶液与有机物或还原剂相混易爆炸。呈碱性，并缓慢分解为NaCl、NaClO3和O2，受热受光快速分解，具有强氧化性，主要用于宠物诊疗污水净化处理，次氯酸钠泄漏后，释放出的游离氯有可能引起中毒。所以需要采用塑料桶密封，</w:t>
            </w:r>
            <w:r>
              <w:rPr>
                <w:rFonts w:hint="eastAsia" w:cs="Times New Roman"/>
                <w:color w:val="000000" w:themeColor="text1"/>
                <w:sz w:val="24"/>
                <w:szCs w:val="24"/>
                <w:lang w:val="en-US" w:eastAsia="zh-CN"/>
                <w14:textFill>
                  <w14:solidFill>
                    <w14:schemeClr w14:val="tx1"/>
                  </w14:solidFill>
                </w14:textFill>
              </w:rPr>
              <w:t>防止</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受潮。本项目采用手工投药，一般情况下不会造成次氯酸钠溶液泄漏，泄漏主要为废水处理设施管线老化、</w:t>
            </w:r>
            <w:r>
              <w:rPr>
                <w:rFonts w:hint="eastAsia" w:ascii="Times New Roman" w:hAnsi="Times New Roman" w:eastAsia="宋体" w:cs="Times New Roman"/>
                <w:b w:val="0"/>
                <w:bCs w:val="0"/>
                <w:color w:val="000000" w:themeColor="text1"/>
                <w:sz w:val="24"/>
                <w:szCs w:val="24"/>
                <w:lang w:val="en-US" w:eastAsia="zh-CN"/>
                <w14:textFill>
                  <w14:solidFill>
                    <w14:schemeClr w14:val="tx1"/>
                  </w14:solidFill>
                </w14:textFill>
              </w:rPr>
              <w:t>破损等引起的泄漏，使用工具将泄漏次氯酸钠溶液转移至完好的容器内储存，</w:t>
            </w:r>
            <w:r>
              <w:rPr>
                <w:rFonts w:hint="eastAsia" w:ascii="Times New Roman" w:hAnsi="Times New Roman" w:eastAsia="宋体" w:cs="Times New Roman"/>
                <w:b w:val="0"/>
                <w:bCs w:val="0"/>
                <w:color w:val="auto"/>
                <w:sz w:val="24"/>
                <w:szCs w:val="24"/>
                <w:highlight w:val="none"/>
                <w:lang w:val="en-US" w:eastAsia="zh-CN"/>
              </w:rPr>
              <w:t>本项目医院储存规模不大，消毒剂使用、暂存量小，对外环境影响不大。</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eastAsia"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（5）动物疫情风险防范措施</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auto"/>
                <w:sz w:val="24"/>
                <w:szCs w:val="24"/>
                <w:highlight w:val="none"/>
                <w:lang w:val="en-US" w:eastAsia="zh-CN"/>
              </w:rPr>
              <w:t>诊疗过</w:t>
            </w:r>
            <w:r>
              <w:rPr>
                <w:rFonts w:hint="eastAsia" w:cs="Times New Roman"/>
                <w:b w:val="0"/>
                <w:bCs w:val="0"/>
                <w:color w:val="auto"/>
                <w:sz w:val="24"/>
                <w:szCs w:val="24"/>
                <w:highlight w:val="none"/>
                <w:lang w:val="en-US" w:eastAsia="zh-CN"/>
              </w:rPr>
              <w:t>程中</w:t>
            </w:r>
            <w:r>
              <w:rPr>
                <w:rFonts w:hint="default" w:ascii="Times New Roman" w:hAnsi="Times New Roman" w:eastAsia="宋体" w:cs="Times New Roman"/>
                <w:b w:val="0"/>
                <w:bCs w:val="0"/>
                <w:color w:val="auto"/>
                <w:sz w:val="24"/>
                <w:szCs w:val="24"/>
                <w:highlight w:val="none"/>
                <w:lang w:val="en-US" w:eastAsia="zh-CN"/>
              </w:rPr>
              <w:t>发现有（传染）疫情的宠物，立即报告当地兽医主管部门、动物卫生监督机构或动物疾病预防控</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制机构，并</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将宠物放置在隔离室内，不得擅自进行治疗，防止动物疫情扩散，并配合当地兽医主管部门、动物卫生监督机构或动物疾病预防控制机构采取隔离、扑杀、销毁、消毒、无害化处理、紧急免疫接种、限制易感染的动物和动物产品及有关物品出入等措施。虑到本项目</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动物诊疗废物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、清洗废水</w:t>
            </w:r>
            <w:r>
              <w:rPr>
                <w:rFonts w:hint="eastAsia" w:cs="Times New Roman"/>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产生量较少，且顾客大多会对宠物进行疫苗接种，故发生疫情的</w:t>
            </w:r>
            <w:r>
              <w:rPr>
                <w:rFonts w:hint="eastAsia" w:cs="Times New Roman"/>
                <w:color w:val="000000" w:themeColor="text1"/>
                <w:sz w:val="24"/>
                <w:szCs w:val="24"/>
                <w:lang w:val="en-US" w:eastAsia="zh-CN"/>
                <w14:textFill>
                  <w14:solidFill>
                    <w14:schemeClr w14:val="tx1"/>
                  </w14:solidFill>
                </w14:textFill>
              </w:rPr>
              <w:t>概率</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很小。通过加强日常监督检查、管理，严格规范医护人员的操作流程等，可以有效</w:t>
            </w:r>
            <w:r>
              <w:rPr>
                <w:rFonts w:hint="eastAsia" w:cs="Times New Roman"/>
                <w:color w:val="000000" w:themeColor="text1"/>
                <w:sz w:val="24"/>
                <w:szCs w:val="24"/>
                <w:lang w:val="en-US" w:eastAsia="zh-CN"/>
                <w14:textFill>
                  <w14:solidFill>
                    <w14:schemeClr w14:val="tx1"/>
                  </w14:solidFill>
                </w14:textFill>
              </w:rPr>
              <w:t>防止</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风险事故的发生，环境风险处于可接受范围。</w:t>
            </w:r>
          </w:p>
          <w:p>
            <w:pPr>
              <w:numPr>
                <w:ilvl w:val="0"/>
                <w:numId w:val="0"/>
              </w:numPr>
              <w:spacing w:line="360" w:lineRule="auto"/>
              <w:rPr>
                <w:rFonts w:hint="default" w:cs="Times New Roman"/>
                <w:b/>
                <w:bCs/>
                <w:color w:val="000000" w:themeColor="text1"/>
                <w:kern w:val="2"/>
                <w:sz w:val="24"/>
                <w:szCs w:val="24"/>
                <w:lang w:val="en-US" w:eastAsia="zh-CN" w:bidi="ar-SA"/>
                <w14:textFill>
                  <w14:solidFill>
                    <w14:schemeClr w14:val="tx1"/>
                  </w14:solidFill>
                </w14:textFill>
              </w:rPr>
            </w:pPr>
            <w:r>
              <w:rPr>
                <w:rFonts w:hint="eastAsia" w:cs="Times New Roman"/>
                <w:b/>
                <w:bCs/>
                <w:color w:val="000000" w:themeColor="text1"/>
                <w:kern w:val="2"/>
                <w:sz w:val="24"/>
                <w:szCs w:val="24"/>
                <w:lang w:val="en-US" w:eastAsia="zh-CN" w:bidi="ar-SA"/>
                <w14:textFill>
                  <w14:solidFill>
                    <w14:schemeClr w14:val="tx1"/>
                  </w14:solidFill>
                </w14:textFill>
              </w:rPr>
              <w:t>4.2.6</w:t>
            </w:r>
            <w:r>
              <w:rPr>
                <w:rFonts w:hint="default" w:cs="Times New Roman"/>
                <w:b/>
                <w:bCs/>
                <w:color w:val="000000" w:themeColor="text1"/>
                <w:kern w:val="2"/>
                <w:sz w:val="24"/>
                <w:szCs w:val="24"/>
                <w:lang w:val="en-US" w:eastAsia="zh-CN" w:bidi="ar-SA"/>
                <w14:textFill>
                  <w14:solidFill>
                    <w14:schemeClr w14:val="tx1"/>
                  </w14:solidFill>
                </w14:textFill>
              </w:rPr>
              <w:t>.5分析结论</w:t>
            </w:r>
          </w:p>
          <w:p>
            <w:pPr>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结合项目特点，本项目最大可信事故确定为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危险化学品</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或</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动物诊疗废物</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泄漏与</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乙醇</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引起火灾事故。在采取有效安全措施后，广大社会公众能清</w:t>
            </w:r>
            <w:r>
              <w:rPr>
                <w:rFonts w:hint="eastAsia" w:cs="Times New Roman"/>
                <w:color w:val="000000" w:themeColor="text1"/>
                <w:sz w:val="24"/>
                <w:szCs w:val="24"/>
                <w:lang w:val="en-US" w:eastAsia="zh-CN"/>
                <w14:textFill>
                  <w14:solidFill>
                    <w14:schemeClr w14:val="tx1"/>
                  </w14:solidFill>
                </w14:textFill>
              </w:rPr>
              <w:t>楚地</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认识可能发生重大事故的风险性。本项目在生产装置及其公用工程的设计、施工、运行及维护的全过程中将采用先进的生产技术和成熟可靠的抗风险措施。同时企业加强管理，落实预防措施之后，可以杜绝这类事故的发生，因此，项目的安全性将得到有效保证，不会对周围环境敏感目标产生较大影响。</w:t>
            </w:r>
          </w:p>
          <w:p>
            <w:pPr>
              <w:numPr>
                <w:ilvl w:val="0"/>
                <w:numId w:val="0"/>
              </w:numPr>
              <w:spacing w:line="360" w:lineRule="auto"/>
              <w:rPr>
                <w:rFonts w:hint="default" w:cs="Times New Roman"/>
                <w:b/>
                <w:bCs/>
                <w:color w:val="000000" w:themeColor="text1"/>
                <w:kern w:val="2"/>
                <w:sz w:val="24"/>
                <w:szCs w:val="24"/>
                <w:lang w:val="en-US" w:eastAsia="zh-CN" w:bidi="ar-SA"/>
                <w14:textFill>
                  <w14:solidFill>
                    <w14:schemeClr w14:val="tx1"/>
                  </w14:solidFill>
                </w14:textFill>
              </w:rPr>
            </w:pPr>
            <w:r>
              <w:rPr>
                <w:rFonts w:hint="eastAsia" w:cs="Times New Roman"/>
                <w:b/>
                <w:bCs/>
                <w:color w:val="000000" w:themeColor="text1"/>
                <w:kern w:val="2"/>
                <w:sz w:val="24"/>
                <w:szCs w:val="24"/>
                <w:lang w:val="en-US" w:eastAsia="zh-CN" w:bidi="ar-SA"/>
                <w14:textFill>
                  <w14:solidFill>
                    <w14:schemeClr w14:val="tx1"/>
                  </w14:solidFill>
                </w14:textFill>
              </w:rPr>
              <w:t>4.2.7</w:t>
            </w:r>
            <w:r>
              <w:rPr>
                <w:rFonts w:hint="default" w:cs="Times New Roman"/>
                <w:b/>
                <w:bCs/>
                <w:color w:val="000000" w:themeColor="text1"/>
                <w:kern w:val="2"/>
                <w:sz w:val="24"/>
                <w:szCs w:val="24"/>
                <w:lang w:val="en-US" w:eastAsia="zh-CN" w:bidi="ar-SA"/>
                <w14:textFill>
                  <w14:solidFill>
                    <w14:schemeClr w14:val="tx1"/>
                  </w14:solidFill>
                </w14:textFill>
              </w:rPr>
              <w:t>电磁辐射</w:t>
            </w:r>
          </w:p>
          <w:p>
            <w:pPr>
              <w:spacing w:line="360" w:lineRule="auto"/>
              <w:ind w:firstLine="480" w:firstLineChars="20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本项目设有DR设备，属III类射线装置，建设单位已实行建设项目环境影响登记表网上备案，不在本次评价范围内</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pPr>
              <w:numPr>
                <w:ilvl w:val="0"/>
                <w:numId w:val="0"/>
              </w:numPr>
              <w:spacing w:line="360" w:lineRule="auto"/>
              <w:rPr>
                <w:rFonts w:hint="default" w:ascii="Times New Roman" w:hAnsi="Times New Roman" w:cs="Times New Roman"/>
                <w:b/>
                <w:bCs/>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b/>
                <w:bCs/>
                <w:color w:val="000000" w:themeColor="text1"/>
                <w:kern w:val="2"/>
                <w:sz w:val="24"/>
                <w:szCs w:val="24"/>
                <w:lang w:val="en-US" w:eastAsia="zh-CN" w:bidi="ar-SA"/>
                <w14:textFill>
                  <w14:solidFill>
                    <w14:schemeClr w14:val="tx1"/>
                  </w14:solidFill>
                </w14:textFill>
              </w:rPr>
              <w:t>4.2.</w:t>
            </w:r>
            <w:r>
              <w:rPr>
                <w:rFonts w:hint="eastAsia" w:ascii="Times New Roman" w:hAnsi="Times New Roman" w:cs="Times New Roman"/>
                <w:b/>
                <w:bCs/>
                <w:color w:val="000000" w:themeColor="text1"/>
                <w:kern w:val="2"/>
                <w:sz w:val="24"/>
                <w:szCs w:val="24"/>
                <w:lang w:val="en-US" w:eastAsia="zh-CN" w:bidi="ar-SA"/>
                <w14:textFill>
                  <w14:solidFill>
                    <w14:schemeClr w14:val="tx1"/>
                  </w14:solidFill>
                </w14:textFill>
              </w:rPr>
              <w:t>8环保投资</w:t>
            </w:r>
          </w:p>
          <w:p>
            <w:pPr>
              <w:spacing w:line="360" w:lineRule="auto"/>
              <w:ind w:firstLine="480" w:firstLineChars="200"/>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本项目总投资为</w:t>
            </w:r>
            <w:r>
              <w:rPr>
                <w:rFonts w:hint="eastAsia" w:cs="Times New Roman"/>
                <w:color w:val="000000" w:themeColor="text1"/>
                <w:sz w:val="24"/>
                <w:szCs w:val="24"/>
                <w:lang w:val="en-US" w:eastAsia="zh-CN"/>
                <w14:textFill>
                  <w14:solidFill>
                    <w14:schemeClr w14:val="tx1"/>
                  </w14:solidFill>
                </w14:textFill>
              </w:rPr>
              <w:t>50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万元，其中环保投资</w:t>
            </w:r>
            <w:r>
              <w:rPr>
                <w:rFonts w:hint="eastAsia" w:cs="Times New Roman"/>
                <w:color w:val="000000" w:themeColor="text1"/>
                <w:sz w:val="24"/>
                <w:szCs w:val="24"/>
                <w:lang w:val="en-US" w:eastAsia="zh-CN"/>
                <w14:textFill>
                  <w14:solidFill>
                    <w14:schemeClr w14:val="tx1"/>
                  </w14:solidFill>
                </w14:textFill>
              </w:rPr>
              <w:t>2.8</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万元，占总投资的</w:t>
            </w:r>
            <w:r>
              <w:rPr>
                <w:rFonts w:hint="eastAsia" w:cs="Times New Roman"/>
                <w:color w:val="000000" w:themeColor="text1"/>
                <w:sz w:val="24"/>
                <w:szCs w:val="24"/>
                <w:lang w:val="en-US" w:eastAsia="zh-CN"/>
                <w14:textFill>
                  <w14:solidFill>
                    <w14:schemeClr w14:val="tx1"/>
                  </w14:solidFill>
                </w14:textFill>
              </w:rPr>
              <w:t>5.6</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％，详见表</w:t>
            </w:r>
            <w:r>
              <w:rPr>
                <w:rFonts w:hint="eastAsia" w:cs="Times New Roman"/>
                <w:color w:val="000000" w:themeColor="text1"/>
                <w:sz w:val="24"/>
                <w:szCs w:val="24"/>
                <w:lang w:val="en-US" w:eastAsia="zh-CN"/>
                <w14:textFill>
                  <w14:solidFill>
                    <w14:schemeClr w14:val="tx1"/>
                  </w14:solidFill>
                </w14:textFill>
              </w:rPr>
              <w:t>4</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r>
              <w:rPr>
                <w:rFonts w:hint="eastAsia" w:cs="Times New Roman"/>
                <w:color w:val="000000" w:themeColor="text1"/>
                <w:sz w:val="24"/>
                <w:szCs w:val="24"/>
                <w:lang w:val="en-US" w:eastAsia="zh-CN"/>
                <w14:textFill>
                  <w14:solidFill>
                    <w14:schemeClr w14:val="tx1"/>
                  </w14:solidFill>
                </w14:textFill>
              </w:rPr>
              <w:t>15</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w:t>
            </w:r>
          </w:p>
          <w:p>
            <w:pPr>
              <w:pStyle w:val="9"/>
              <w:suppressLineNumbers w:val="0"/>
              <w:bidi w:val="0"/>
              <w:spacing w:before="0" w:beforeAutospacing="0" w:after="0" w:afterAutospacing="0"/>
              <w:ind w:left="0" w:right="0" w:firstLine="632" w:firstLineChars="300"/>
              <w:rPr>
                <w:rFonts w:hint="eastAsia" w:ascii="Times New Roman" w:hAnsi="Times New Roman" w:eastAsia="宋体" w:cs="Times New Roman"/>
                <w:b/>
                <w:bCs/>
                <w:color w:val="000000"/>
                <w:kern w:val="2"/>
                <w:sz w:val="21"/>
                <w:szCs w:val="21"/>
                <w:lang w:val="en-US" w:eastAsia="zh-CN" w:bidi="ar-SA"/>
              </w:rPr>
            </w:pPr>
            <w:r>
              <w:rPr>
                <w:rFonts w:hint="default" w:ascii="Times New Roman" w:hAnsi="Times New Roman" w:eastAsia="宋体" w:cs="Times New Roman"/>
                <w:b/>
                <w:bCs/>
                <w:color w:val="000000"/>
                <w:kern w:val="2"/>
                <w:sz w:val="21"/>
                <w:szCs w:val="21"/>
                <w:lang w:val="en-US" w:eastAsia="zh-CN" w:bidi="ar-SA"/>
              </w:rPr>
              <w:t>表</w:t>
            </w:r>
            <w:r>
              <w:rPr>
                <w:rFonts w:hint="eastAsia" w:cs="Times New Roman"/>
                <w:b/>
                <w:bCs/>
                <w:color w:val="000000"/>
                <w:kern w:val="2"/>
                <w:sz w:val="21"/>
                <w:szCs w:val="21"/>
                <w:lang w:val="en-US" w:eastAsia="zh-CN" w:bidi="ar-SA"/>
              </w:rPr>
              <w:t xml:space="preserve">4-15                     </w:t>
            </w:r>
            <w:r>
              <w:rPr>
                <w:rFonts w:hint="eastAsia" w:ascii="Times New Roman" w:hAnsi="Times New Roman" w:eastAsia="宋体" w:cs="Times New Roman"/>
                <w:b/>
                <w:bCs/>
                <w:color w:val="000000"/>
                <w:kern w:val="2"/>
                <w:sz w:val="21"/>
                <w:szCs w:val="21"/>
                <w:lang w:val="en-US" w:eastAsia="zh-CN" w:bidi="ar-SA"/>
              </w:rPr>
              <w:t>环保设施及投资一览表</w:t>
            </w:r>
          </w:p>
          <w:tbl>
            <w:tblPr>
              <w:tblStyle w:val="29"/>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24"/>
              <w:gridCol w:w="1142"/>
              <w:gridCol w:w="4845"/>
              <w:gridCol w:w="105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580" w:type="pct"/>
                  <w:tcBorders>
                    <w:bottom w:val="single" w:color="auto"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bCs w:val="0"/>
                      <w:color w:val="000000"/>
                      <w:sz w:val="21"/>
                      <w:szCs w:val="21"/>
                      <w:lang w:eastAsia="zh-CN"/>
                    </w:rPr>
                  </w:pPr>
                  <w:r>
                    <w:rPr>
                      <w:rFonts w:hint="default" w:ascii="Times New Roman" w:hAnsi="Times New Roman" w:eastAsia="宋体" w:cs="Times New Roman"/>
                      <w:b/>
                      <w:bCs w:val="0"/>
                      <w:color w:val="000000"/>
                      <w:sz w:val="21"/>
                      <w:szCs w:val="21"/>
                      <w:lang w:eastAsia="zh-CN"/>
                    </w:rPr>
                    <w:t>项目</w:t>
                  </w:r>
                </w:p>
              </w:tc>
              <w:tc>
                <w:tcPr>
                  <w:tcW w:w="716" w:type="pct"/>
                  <w:tcBorders>
                    <w:bottom w:val="single" w:color="auto"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bCs w:val="0"/>
                      <w:color w:val="000000"/>
                      <w:sz w:val="21"/>
                      <w:szCs w:val="21"/>
                      <w:lang w:eastAsia="zh-CN"/>
                    </w:rPr>
                  </w:pPr>
                  <w:r>
                    <w:rPr>
                      <w:rFonts w:hint="default" w:ascii="Times New Roman" w:hAnsi="Times New Roman" w:eastAsia="宋体" w:cs="Times New Roman"/>
                      <w:b/>
                      <w:bCs w:val="0"/>
                      <w:color w:val="000000"/>
                      <w:sz w:val="21"/>
                      <w:szCs w:val="21"/>
                      <w:lang w:eastAsia="zh-CN"/>
                    </w:rPr>
                    <w:t>内容</w:t>
                  </w:r>
                </w:p>
              </w:tc>
              <w:tc>
                <w:tcPr>
                  <w:tcW w:w="3038" w:type="pct"/>
                  <w:tcBorders>
                    <w:bottom w:val="single" w:color="auto"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bCs w:val="0"/>
                      <w:color w:val="000000"/>
                      <w:sz w:val="21"/>
                      <w:szCs w:val="21"/>
                      <w:lang w:eastAsia="zh-CN"/>
                    </w:rPr>
                  </w:pPr>
                  <w:r>
                    <w:rPr>
                      <w:rFonts w:hint="default" w:ascii="Times New Roman" w:hAnsi="Times New Roman" w:eastAsia="宋体" w:cs="Times New Roman"/>
                      <w:b/>
                      <w:bCs w:val="0"/>
                      <w:color w:val="000000"/>
                      <w:sz w:val="21"/>
                      <w:szCs w:val="21"/>
                      <w:lang w:eastAsia="zh-CN"/>
                    </w:rPr>
                    <w:t>处理措施</w:t>
                  </w:r>
                </w:p>
              </w:tc>
              <w:tc>
                <w:tcPr>
                  <w:tcW w:w="664" w:type="pct"/>
                  <w:tcBorders>
                    <w:bottom w:val="single" w:color="auto" w:sz="12" w:space="0"/>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
                      <w:bCs w:val="0"/>
                      <w:color w:val="000000"/>
                      <w:sz w:val="21"/>
                      <w:szCs w:val="21"/>
                      <w:lang w:eastAsia="zh-CN"/>
                    </w:rPr>
                  </w:pPr>
                  <w:r>
                    <w:rPr>
                      <w:rFonts w:hint="default" w:ascii="Times New Roman" w:hAnsi="Times New Roman" w:eastAsia="宋体" w:cs="Times New Roman"/>
                      <w:b/>
                      <w:bCs w:val="0"/>
                      <w:color w:val="000000"/>
                      <w:sz w:val="21"/>
                      <w:szCs w:val="21"/>
                      <w:lang w:eastAsia="zh-CN"/>
                    </w:rPr>
                    <w:t>环保投资</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580" w:type="pct"/>
                  <w:vMerge w:val="restart"/>
                  <w:tcBorders>
                    <w:top w:val="single" w:color="auto" w:sz="12" w:space="0"/>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Cs/>
                      <w:color w:val="000000"/>
                      <w:sz w:val="21"/>
                      <w:szCs w:val="21"/>
                      <w:lang w:eastAsia="zh-CN"/>
                    </w:rPr>
                  </w:pPr>
                  <w:r>
                    <w:rPr>
                      <w:rFonts w:hint="default" w:ascii="Times New Roman" w:hAnsi="Times New Roman" w:eastAsia="宋体" w:cs="Times New Roman"/>
                      <w:bCs/>
                      <w:color w:val="000000"/>
                      <w:sz w:val="21"/>
                      <w:szCs w:val="21"/>
                      <w:lang w:eastAsia="zh-CN"/>
                    </w:rPr>
                    <w:t>运营期</w:t>
                  </w:r>
                </w:p>
              </w:tc>
              <w:tc>
                <w:tcPr>
                  <w:tcW w:w="716" w:type="pct"/>
                  <w:tcBorders>
                    <w:top w:val="single" w:color="auto" w:sz="12" w:space="0"/>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Cs/>
                      <w:color w:val="000000"/>
                      <w:sz w:val="21"/>
                      <w:szCs w:val="21"/>
                      <w:lang w:eastAsia="zh-CN"/>
                    </w:rPr>
                  </w:pPr>
                  <w:r>
                    <w:rPr>
                      <w:rFonts w:hint="default" w:ascii="Times New Roman" w:hAnsi="Times New Roman" w:eastAsia="宋体" w:cs="Times New Roman"/>
                      <w:bCs/>
                      <w:color w:val="000000"/>
                      <w:sz w:val="21"/>
                      <w:szCs w:val="21"/>
                      <w:lang w:eastAsia="zh-CN"/>
                    </w:rPr>
                    <w:t>废气治理</w:t>
                  </w:r>
                </w:p>
              </w:tc>
              <w:tc>
                <w:tcPr>
                  <w:tcW w:w="3038" w:type="pct"/>
                  <w:tcBorders>
                    <w:top w:val="single" w:color="auto" w:sz="12" w:space="0"/>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Cs/>
                      <w:color w:val="000000"/>
                      <w:sz w:val="21"/>
                      <w:szCs w:val="21"/>
                      <w:lang w:val="en-US" w:eastAsia="zh-CN"/>
                    </w:rPr>
                  </w:pPr>
                  <w:r>
                    <w:rPr>
                      <w:rFonts w:hint="eastAsia" w:cs="Times New Roman"/>
                      <w:bCs/>
                      <w:color w:val="000000"/>
                      <w:sz w:val="21"/>
                      <w:szCs w:val="21"/>
                      <w:highlight w:val="none"/>
                      <w:lang w:val="en-US" w:eastAsia="zh-CN"/>
                    </w:rPr>
                    <w:t>紫外线消毒灯</w:t>
                  </w:r>
                </w:p>
              </w:tc>
              <w:tc>
                <w:tcPr>
                  <w:tcW w:w="664" w:type="pct"/>
                  <w:tcBorders>
                    <w:top w:val="single" w:color="auto" w:sz="12" w:space="0"/>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Cs/>
                      <w:color w:val="000000"/>
                      <w:sz w:val="21"/>
                      <w:szCs w:val="21"/>
                      <w:lang w:val="en-US" w:eastAsia="zh-CN"/>
                    </w:rPr>
                  </w:pPr>
                  <w:r>
                    <w:rPr>
                      <w:rFonts w:hint="eastAsia" w:cs="Times New Roman"/>
                      <w:bCs/>
                      <w:color w:val="000000"/>
                      <w:sz w:val="21"/>
                      <w:szCs w:val="21"/>
                      <w:lang w:val="en-US" w:eastAsia="zh-CN"/>
                    </w:rPr>
                    <w:t>0.3</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580"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Cs/>
                      <w:color w:val="000000"/>
                      <w:sz w:val="21"/>
                      <w:szCs w:val="21"/>
                      <w:lang w:eastAsia="zh-CN"/>
                    </w:rPr>
                  </w:pPr>
                </w:p>
              </w:tc>
              <w:tc>
                <w:tcPr>
                  <w:tcW w:w="716"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Cs/>
                      <w:color w:val="000000"/>
                      <w:sz w:val="21"/>
                      <w:szCs w:val="21"/>
                      <w:lang w:val="en-US" w:eastAsia="zh-CN"/>
                    </w:rPr>
                  </w:pPr>
                  <w:r>
                    <w:rPr>
                      <w:rFonts w:hint="eastAsia" w:cs="Times New Roman"/>
                      <w:bCs/>
                      <w:color w:val="000000"/>
                      <w:sz w:val="21"/>
                      <w:szCs w:val="21"/>
                      <w:lang w:val="en-US" w:eastAsia="zh-CN"/>
                    </w:rPr>
                    <w:t>污水治理</w:t>
                  </w:r>
                </w:p>
              </w:tc>
              <w:tc>
                <w:tcPr>
                  <w:tcW w:w="303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cs="Times New Roman"/>
                      <w:bCs/>
                      <w:color w:val="000000"/>
                      <w:sz w:val="21"/>
                      <w:szCs w:val="21"/>
                      <w:lang w:val="en-US" w:eastAsia="zh-CN"/>
                    </w:rPr>
                  </w:pPr>
                  <w:r>
                    <w:rPr>
                      <w:rFonts w:hint="eastAsia" w:cs="Times New Roman"/>
                      <w:bCs/>
                      <w:color w:val="000000"/>
                      <w:sz w:val="21"/>
                      <w:szCs w:val="21"/>
                      <w:highlight w:val="none"/>
                      <w:lang w:val="en-US" w:eastAsia="zh-CN"/>
                    </w:rPr>
                    <w:t>小型废水处理设施</w:t>
                  </w:r>
                </w:p>
              </w:tc>
              <w:tc>
                <w:tcPr>
                  <w:tcW w:w="664"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cs="Times New Roman"/>
                      <w:bCs/>
                      <w:color w:val="000000"/>
                      <w:sz w:val="21"/>
                      <w:szCs w:val="21"/>
                      <w:lang w:val="en-US" w:eastAsia="zh-CN"/>
                    </w:rPr>
                  </w:pPr>
                  <w:r>
                    <w:rPr>
                      <w:rFonts w:hint="eastAsia" w:cs="Times New Roman"/>
                      <w:bCs/>
                      <w:color w:val="00000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580"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Cs/>
                      <w:color w:val="000000"/>
                      <w:sz w:val="21"/>
                      <w:szCs w:val="21"/>
                    </w:rPr>
                  </w:pPr>
                </w:p>
              </w:tc>
              <w:tc>
                <w:tcPr>
                  <w:tcW w:w="716"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Cs/>
                      <w:color w:val="000000"/>
                      <w:sz w:val="21"/>
                      <w:szCs w:val="21"/>
                      <w:lang w:eastAsia="zh-CN"/>
                    </w:rPr>
                  </w:pPr>
                  <w:r>
                    <w:rPr>
                      <w:rFonts w:hint="default" w:ascii="Times New Roman" w:hAnsi="Times New Roman" w:eastAsia="宋体" w:cs="Times New Roman"/>
                      <w:bCs/>
                      <w:color w:val="000000"/>
                      <w:sz w:val="21"/>
                      <w:szCs w:val="21"/>
                      <w:lang w:eastAsia="zh-CN"/>
                    </w:rPr>
                    <w:t>噪声治理</w:t>
                  </w:r>
                </w:p>
              </w:tc>
              <w:tc>
                <w:tcPr>
                  <w:tcW w:w="303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Cs/>
                      <w:color w:val="000000"/>
                      <w:sz w:val="21"/>
                      <w:szCs w:val="21"/>
                      <w:lang w:eastAsia="zh-CN"/>
                    </w:rPr>
                  </w:pPr>
                  <w:r>
                    <w:rPr>
                      <w:rFonts w:hint="default" w:ascii="Times New Roman" w:hAnsi="Times New Roman" w:eastAsia="宋体" w:cs="Times New Roman"/>
                      <w:bCs/>
                      <w:color w:val="000000"/>
                      <w:sz w:val="21"/>
                      <w:szCs w:val="21"/>
                      <w:lang w:eastAsia="zh-CN"/>
                    </w:rPr>
                    <w:t>采用低噪声设备</w:t>
                  </w:r>
                  <w:r>
                    <w:rPr>
                      <w:rFonts w:hint="eastAsia" w:eastAsia="宋体" w:cs="Times New Roman"/>
                      <w:bCs/>
                      <w:color w:val="000000"/>
                      <w:sz w:val="21"/>
                      <w:szCs w:val="21"/>
                      <w:lang w:eastAsia="zh-CN"/>
                    </w:rPr>
                    <w:t>、</w:t>
                  </w:r>
                  <w:r>
                    <w:rPr>
                      <w:rFonts w:hint="default" w:ascii="Times New Roman" w:hAnsi="Times New Roman" w:eastAsia="宋体" w:cs="Times New Roman"/>
                      <w:bCs/>
                      <w:color w:val="000000"/>
                      <w:sz w:val="21"/>
                      <w:szCs w:val="21"/>
                      <w:lang w:eastAsia="zh-CN"/>
                    </w:rPr>
                    <w:t>隔声</w:t>
                  </w:r>
                  <w:r>
                    <w:rPr>
                      <w:rFonts w:hint="eastAsia" w:cs="Times New Roman"/>
                      <w:bCs/>
                      <w:color w:val="000000"/>
                      <w:sz w:val="21"/>
                      <w:szCs w:val="21"/>
                      <w:lang w:val="en-US" w:eastAsia="zh-CN"/>
                    </w:rPr>
                    <w:t>窗</w:t>
                  </w:r>
                  <w:r>
                    <w:rPr>
                      <w:rFonts w:hint="default" w:ascii="Times New Roman" w:hAnsi="Times New Roman" w:eastAsia="宋体" w:cs="Times New Roman"/>
                      <w:bCs/>
                      <w:color w:val="000000"/>
                      <w:sz w:val="21"/>
                      <w:szCs w:val="21"/>
                      <w:lang w:eastAsia="zh-CN"/>
                    </w:rPr>
                    <w:t>等措施</w:t>
                  </w:r>
                </w:p>
              </w:tc>
              <w:tc>
                <w:tcPr>
                  <w:tcW w:w="664"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Cs/>
                      <w:color w:val="000000"/>
                      <w:sz w:val="21"/>
                      <w:szCs w:val="21"/>
                      <w:lang w:val="en-US" w:eastAsia="zh-CN"/>
                    </w:rPr>
                  </w:pPr>
                  <w:r>
                    <w:rPr>
                      <w:rFonts w:hint="eastAsia"/>
                      <w:sz w:val="21"/>
                      <w:szCs w:val="21"/>
                      <w:lang w:val="en-US" w:eastAsia="zh-CN"/>
                    </w:rPr>
                    <w:t>0.5</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80" w:type="pct"/>
                  <w:vMerge w:val="continue"/>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Cs/>
                      <w:color w:val="000000"/>
                      <w:sz w:val="21"/>
                      <w:szCs w:val="21"/>
                    </w:rPr>
                  </w:pPr>
                </w:p>
              </w:tc>
              <w:tc>
                <w:tcPr>
                  <w:tcW w:w="716"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Cs/>
                      <w:color w:val="000000"/>
                      <w:sz w:val="21"/>
                      <w:szCs w:val="21"/>
                      <w:lang w:eastAsia="zh-CN"/>
                    </w:rPr>
                  </w:pPr>
                  <w:r>
                    <w:rPr>
                      <w:rFonts w:hint="default" w:ascii="Times New Roman" w:hAnsi="Times New Roman" w:eastAsia="宋体" w:cs="Times New Roman"/>
                      <w:bCs/>
                      <w:color w:val="000000"/>
                      <w:sz w:val="21"/>
                      <w:szCs w:val="21"/>
                      <w:lang w:eastAsia="zh-CN"/>
                    </w:rPr>
                    <w:t>固废治理</w:t>
                  </w:r>
                </w:p>
              </w:tc>
              <w:tc>
                <w:tcPr>
                  <w:tcW w:w="3038"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Cs/>
                      <w:color w:val="000000"/>
                      <w:sz w:val="21"/>
                      <w:szCs w:val="21"/>
                      <w:lang w:val="en-US" w:eastAsia="zh-CN"/>
                    </w:rPr>
                  </w:pPr>
                  <w:r>
                    <w:rPr>
                      <w:rFonts w:hint="eastAsia" w:cs="Times New Roman"/>
                      <w:bCs/>
                      <w:color w:val="000000"/>
                      <w:sz w:val="21"/>
                      <w:szCs w:val="21"/>
                      <w:highlight w:val="none"/>
                      <w:lang w:val="en-US" w:eastAsia="zh-CN"/>
                    </w:rPr>
                    <w:t>生活垃圾</w:t>
                  </w:r>
                  <w:r>
                    <w:rPr>
                      <w:rFonts w:hint="default" w:ascii="Times New Roman" w:hAnsi="Times New Roman" w:eastAsia="宋体" w:cs="Times New Roman"/>
                      <w:bCs/>
                      <w:color w:val="000000"/>
                      <w:sz w:val="21"/>
                      <w:szCs w:val="21"/>
                      <w:highlight w:val="none"/>
                      <w:lang w:eastAsia="zh-CN"/>
                    </w:rPr>
                    <w:t>收集、</w:t>
                  </w:r>
                  <w:r>
                    <w:rPr>
                      <w:rFonts w:hint="eastAsia" w:cs="Times New Roman"/>
                      <w:bCs/>
                      <w:color w:val="000000"/>
                      <w:sz w:val="21"/>
                      <w:szCs w:val="21"/>
                      <w:highlight w:val="none"/>
                      <w:lang w:val="en-US" w:eastAsia="zh-CN"/>
                    </w:rPr>
                    <w:t>动物诊疗废物</w:t>
                  </w:r>
                  <w:r>
                    <w:rPr>
                      <w:rFonts w:hint="default" w:ascii="Times New Roman" w:hAnsi="Times New Roman" w:eastAsia="宋体" w:cs="Times New Roman"/>
                      <w:bCs/>
                      <w:color w:val="000000"/>
                      <w:sz w:val="21"/>
                      <w:szCs w:val="21"/>
                      <w:highlight w:val="none"/>
                      <w:lang w:eastAsia="zh-CN"/>
                    </w:rPr>
                    <w:t>收集处置</w:t>
                  </w:r>
                </w:p>
              </w:tc>
              <w:tc>
                <w:tcPr>
                  <w:tcW w:w="664"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Cs/>
                      <w:color w:val="000000"/>
                      <w:sz w:val="21"/>
                      <w:szCs w:val="21"/>
                      <w:lang w:val="en-US" w:eastAsia="zh-CN"/>
                    </w:rPr>
                  </w:pPr>
                  <w:r>
                    <w:rPr>
                      <w:rFonts w:hint="eastAsia" w:cs="Times New Roman"/>
                      <w:bCs/>
                      <w:color w:val="000000"/>
                      <w:sz w:val="21"/>
                      <w:szCs w:val="21"/>
                      <w:lang w:val="en-US" w:eastAsia="zh-CN"/>
                    </w:rPr>
                    <w:t>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4335" w:type="pct"/>
                  <w:gridSpan w:val="3"/>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Cs/>
                      <w:color w:val="000000"/>
                      <w:sz w:val="21"/>
                      <w:szCs w:val="21"/>
                      <w:lang w:eastAsia="zh-CN"/>
                    </w:rPr>
                  </w:pPr>
                  <w:r>
                    <w:rPr>
                      <w:rFonts w:hint="default" w:ascii="Times New Roman" w:hAnsi="Times New Roman" w:eastAsia="宋体" w:cs="Times New Roman"/>
                      <w:bCs/>
                      <w:color w:val="000000"/>
                      <w:sz w:val="21"/>
                      <w:szCs w:val="21"/>
                      <w:lang w:eastAsia="zh-CN"/>
                    </w:rPr>
                    <w:t>合计</w:t>
                  </w:r>
                </w:p>
              </w:tc>
              <w:tc>
                <w:tcPr>
                  <w:tcW w:w="664" w:type="pct"/>
                  <w:tcBorders>
                    <w:tl2br w:val="nil"/>
                    <w:tr2bl w:val="nil"/>
                  </w:tcBorders>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bCs/>
                      <w:color w:val="000000"/>
                      <w:sz w:val="21"/>
                      <w:szCs w:val="21"/>
                      <w:lang w:val="en-US" w:eastAsia="zh-CN"/>
                    </w:rPr>
                  </w:pPr>
                  <w:r>
                    <w:rPr>
                      <w:rFonts w:hint="eastAsia" w:cs="Times New Roman"/>
                      <w:bCs/>
                      <w:color w:val="000000"/>
                      <w:sz w:val="21"/>
                      <w:szCs w:val="21"/>
                      <w:lang w:val="en-US" w:eastAsia="zh-CN"/>
                    </w:rPr>
                    <w:t>2.8</w:t>
                  </w:r>
                </w:p>
              </w:tc>
            </w:tr>
          </w:tbl>
          <w:p>
            <w:pPr>
              <w:numPr>
                <w:ilvl w:val="0"/>
                <w:numId w:val="0"/>
              </w:numPr>
              <w:spacing w:line="360" w:lineRule="auto"/>
              <w:rPr>
                <w:rFonts w:hint="default" w:ascii="Times New Roman" w:hAnsi="Times New Roman" w:eastAsia="宋体" w:cs="Times New Roman"/>
                <w:color w:val="000000" w:themeColor="text1"/>
                <w:sz w:val="24"/>
                <w:highlight w:val="none"/>
                <w:lang w:val="en-US" w:eastAsia="zh-CN"/>
                <w14:textFill>
                  <w14:solidFill>
                    <w14:schemeClr w14:val="tx1"/>
                  </w14:solidFill>
                </w14:textFill>
              </w:rPr>
            </w:pPr>
          </w:p>
        </w:tc>
      </w:tr>
    </w:tbl>
    <w:p>
      <w:pPr>
        <w:adjustRightInd w:val="0"/>
        <w:snapToGrid w:val="0"/>
        <w:jc w:val="center"/>
        <w:rPr>
          <w:rFonts w:hint="default" w:ascii="Times New Roman" w:hAnsi="Times New Roman" w:cs="Times New Roman"/>
          <w:bCs/>
          <w:color w:val="FF0000"/>
          <w:sz w:val="24"/>
          <w:szCs w:val="24"/>
        </w:rPr>
        <w:sectPr>
          <w:pgSz w:w="11907" w:h="16840"/>
          <w:pgMar w:top="1440" w:right="1800" w:bottom="1440" w:left="1800" w:header="851" w:footer="851" w:gutter="0"/>
          <w:pgBorders>
            <w:top w:val="none" w:sz="0" w:space="0"/>
            <w:left w:val="none" w:sz="0" w:space="0"/>
            <w:bottom w:val="none" w:sz="0" w:space="0"/>
            <w:right w:val="none" w:sz="0" w:space="0"/>
          </w:pgBorders>
          <w:pgNumType w:fmt="numberInDash"/>
          <w:cols w:space="720" w:num="1"/>
          <w:docGrid w:linePitch="312" w:charSpace="0"/>
        </w:sectPr>
      </w:pPr>
    </w:p>
    <w:p>
      <w:pPr>
        <w:pStyle w:val="26"/>
        <w:spacing w:before="0" w:beforeAutospacing="0" w:after="0" w:afterAutospacing="0" w:line="360" w:lineRule="auto"/>
        <w:jc w:val="center"/>
        <w:outlineLvl w:val="0"/>
        <w:rPr>
          <w:rFonts w:hint="default" w:ascii="Times New Roman" w:hAnsi="Times New Roman" w:eastAsia="黑体" w:cs="Times New Roman"/>
          <w:snapToGrid w:val="0"/>
          <w:color w:val="000000" w:themeColor="text1"/>
          <w:sz w:val="30"/>
          <w:szCs w:val="30"/>
          <w14:textFill>
            <w14:solidFill>
              <w14:schemeClr w14:val="tx1"/>
            </w14:solidFill>
          </w14:textFill>
        </w:rPr>
      </w:pPr>
      <w:bookmarkStart w:id="27" w:name="_Toc32198"/>
      <w:bookmarkStart w:id="28" w:name="_Toc7314"/>
      <w:r>
        <w:rPr>
          <w:rFonts w:hint="default" w:ascii="Times New Roman" w:hAnsi="Times New Roman" w:eastAsia="黑体" w:cs="Times New Roman"/>
          <w:snapToGrid w:val="0"/>
          <w:color w:val="000000" w:themeColor="text1"/>
          <w:sz w:val="30"/>
          <w:szCs w:val="30"/>
          <w14:textFill>
            <w14:solidFill>
              <w14:schemeClr w14:val="tx1"/>
            </w14:solidFill>
          </w14:textFill>
        </w:rPr>
        <w:t>五、</w:t>
      </w:r>
      <w:bookmarkStart w:id="29" w:name="_Hlk54167917"/>
      <w:r>
        <w:rPr>
          <w:rFonts w:hint="default" w:ascii="Times New Roman" w:hAnsi="Times New Roman" w:eastAsia="黑体" w:cs="Times New Roman"/>
          <w:snapToGrid w:val="0"/>
          <w:color w:val="000000" w:themeColor="text1"/>
          <w:sz w:val="30"/>
          <w:szCs w:val="30"/>
          <w14:textFill>
            <w14:solidFill>
              <w14:schemeClr w14:val="tx1"/>
            </w14:solidFill>
          </w14:textFill>
        </w:rPr>
        <w:t>环境保护措施监督检查清单</w:t>
      </w:r>
      <w:bookmarkEnd w:id="27"/>
      <w:bookmarkEnd w:id="28"/>
      <w:bookmarkEnd w:id="29"/>
    </w:p>
    <w:tbl>
      <w:tblPr>
        <w:tblStyle w:val="2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78"/>
        <w:gridCol w:w="1853"/>
        <w:gridCol w:w="2"/>
        <w:gridCol w:w="1368"/>
        <w:gridCol w:w="2336"/>
        <w:gridCol w:w="156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678" w:type="dxa"/>
            <w:tcBorders>
              <w:tl2br w:val="single" w:color="auto" w:sz="4" w:space="0"/>
            </w:tcBorders>
            <w:noWrap w:val="0"/>
            <w:vAlign w:val="center"/>
          </w:tcPr>
          <w:p>
            <w:pPr>
              <w:adjustRightInd w:val="0"/>
              <w:snapToGrid w:val="0"/>
              <w:spacing w:beforeAutospacing="0" w:line="240" w:lineRule="auto"/>
              <w:ind w:firstLine="84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1"/>
                <w:szCs w:val="21"/>
                <w14:textFill>
                  <w14:solidFill>
                    <w14:schemeClr w14:val="tx1"/>
                  </w14:solidFill>
                </w14:textFill>
              </w:rPr>
              <w:t>内容</w:t>
            </w:r>
          </w:p>
          <w:p>
            <w:pPr>
              <w:adjustRightInd w:val="0"/>
              <w:snapToGrid w:val="0"/>
              <w:spacing w:line="240" w:lineRule="auto"/>
              <w:jc w:val="both"/>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要素</w:t>
            </w:r>
          </w:p>
        </w:tc>
        <w:tc>
          <w:tcPr>
            <w:tcW w:w="1855" w:type="dxa"/>
            <w:gridSpan w:val="2"/>
            <w:noWrap w:val="0"/>
            <w:vAlign w:val="center"/>
          </w:tcPr>
          <w:p>
            <w:pPr>
              <w:adjustRightInd w:val="0"/>
              <w:snapToGrid w:val="0"/>
              <w:spacing w:line="240" w:lineRule="auto"/>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排放口</w:t>
            </w:r>
            <w:r>
              <w:rPr>
                <w:rFonts w:hint="default" w:ascii="Times New Roman" w:hAnsi="Times New Roman" w:cs="Times New Roman"/>
                <w:b/>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
                <w:bCs/>
                <w:color w:val="000000" w:themeColor="text1"/>
                <w:sz w:val="21"/>
                <w:szCs w:val="21"/>
                <w14:textFill>
                  <w14:solidFill>
                    <w14:schemeClr w14:val="tx1"/>
                  </w14:solidFill>
                </w14:textFill>
              </w:rPr>
              <w:t>编号、</w:t>
            </w:r>
          </w:p>
          <w:p>
            <w:pPr>
              <w:adjustRightInd w:val="0"/>
              <w:snapToGrid w:val="0"/>
              <w:spacing w:line="240" w:lineRule="auto"/>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名称</w:t>
            </w:r>
            <w:r>
              <w:rPr>
                <w:rFonts w:hint="default" w:ascii="Times New Roman" w:hAnsi="Times New Roman" w:cs="Times New Roman"/>
                <w:b/>
                <w:bCs/>
                <w:color w:val="000000" w:themeColor="text1"/>
                <w:sz w:val="21"/>
                <w:szCs w:val="21"/>
                <w:lang w:eastAsia="zh-CN"/>
                <w14:textFill>
                  <w14:solidFill>
                    <w14:schemeClr w14:val="tx1"/>
                  </w14:solidFill>
                </w14:textFill>
              </w:rPr>
              <w:t>）</w:t>
            </w:r>
            <w:r>
              <w:rPr>
                <w:rFonts w:hint="default" w:ascii="Times New Roman" w:hAnsi="Times New Roman" w:eastAsia="宋体" w:cs="Times New Roman"/>
                <w:b/>
                <w:bCs/>
                <w:color w:val="000000" w:themeColor="text1"/>
                <w:sz w:val="21"/>
                <w:szCs w:val="21"/>
                <w14:textFill>
                  <w14:solidFill>
                    <w14:schemeClr w14:val="tx1"/>
                  </w14:solidFill>
                </w14:textFill>
              </w:rPr>
              <w:t>/污染源</w:t>
            </w:r>
          </w:p>
        </w:tc>
        <w:tc>
          <w:tcPr>
            <w:tcW w:w="1368" w:type="dxa"/>
            <w:noWrap w:val="0"/>
            <w:vAlign w:val="center"/>
          </w:tcPr>
          <w:p>
            <w:pPr>
              <w:adjustRightInd w:val="0"/>
              <w:snapToGrid w:val="0"/>
              <w:spacing w:line="240" w:lineRule="auto"/>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污染物项目</w:t>
            </w:r>
          </w:p>
        </w:tc>
        <w:tc>
          <w:tcPr>
            <w:tcW w:w="2336" w:type="dxa"/>
            <w:noWrap w:val="0"/>
            <w:vAlign w:val="center"/>
          </w:tcPr>
          <w:p>
            <w:pPr>
              <w:adjustRightInd w:val="0"/>
              <w:snapToGrid w:val="0"/>
              <w:spacing w:line="240" w:lineRule="auto"/>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环境保护措施</w:t>
            </w:r>
          </w:p>
        </w:tc>
        <w:tc>
          <w:tcPr>
            <w:tcW w:w="1563" w:type="dxa"/>
            <w:noWrap w:val="0"/>
            <w:vAlign w:val="center"/>
          </w:tcPr>
          <w:p>
            <w:pPr>
              <w:adjustRightInd w:val="0"/>
              <w:snapToGrid w:val="0"/>
              <w:spacing w:line="240" w:lineRule="auto"/>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78" w:type="dxa"/>
            <w:noWrap w:val="0"/>
            <w:vAlign w:val="center"/>
          </w:tcPr>
          <w:p>
            <w:pPr>
              <w:adjustRightInd w:val="0"/>
              <w:snapToGrid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大气环境</w:t>
            </w:r>
          </w:p>
        </w:tc>
        <w:tc>
          <w:tcPr>
            <w:tcW w:w="1855"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Cs w:val="21"/>
                <w:highlight w:val="none"/>
                <w:lang w:val="en-US" w:eastAsia="zh-CN"/>
              </w:rPr>
              <w:t>无组织废气</w:t>
            </w:r>
          </w:p>
        </w:tc>
        <w:tc>
          <w:tcPr>
            <w:tcW w:w="1368" w:type="dxa"/>
            <w:shd w:val="clear" w:color="auto" w:fill="auto"/>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i w:val="0"/>
                <w:iCs w:val="0"/>
                <w:color w:val="auto"/>
                <w:kern w:val="2"/>
                <w:sz w:val="21"/>
                <w:szCs w:val="21"/>
                <w:vertAlign w:val="baseline"/>
                <w:lang w:val="en-US" w:eastAsia="zh-CN" w:bidi="ar-SA"/>
              </w:rPr>
            </w:pPr>
            <w:r>
              <w:rPr>
                <w:rFonts w:hint="eastAsia" w:cs="Times New Roman"/>
                <w:color w:val="auto"/>
                <w:sz w:val="21"/>
                <w:szCs w:val="21"/>
                <w:highlight w:val="none"/>
                <w:vertAlign w:val="baseline"/>
                <w:lang w:val="en-US" w:eastAsia="zh-CN"/>
              </w:rPr>
              <w:t>臭气浓度</w:t>
            </w:r>
          </w:p>
        </w:tc>
        <w:tc>
          <w:tcPr>
            <w:tcW w:w="2336"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cs="Times New Roman"/>
                <w:sz w:val="21"/>
                <w:szCs w:val="21"/>
                <w:highlight w:val="none"/>
                <w:lang w:val="en-US" w:eastAsia="zh-CN"/>
              </w:rPr>
              <w:t>及时更换清理猫砂和狗笼内的排便排尿盒，废水在小型废水处理设施内停留时间极短且废水处理设施密闭，并定期使用除臭剂和紫外线消毒</w:t>
            </w:r>
            <w:r>
              <w:rPr>
                <w:rFonts w:hint="eastAsia" w:cs="Times New Roman"/>
                <w:sz w:val="21"/>
                <w:szCs w:val="21"/>
                <w:highlight w:val="none"/>
                <w:lang w:val="en-US" w:eastAsia="zh-CN"/>
              </w:rPr>
              <w:t>灯</w:t>
            </w:r>
            <w:r>
              <w:rPr>
                <w:rFonts w:hint="default" w:cs="Times New Roman"/>
                <w:sz w:val="21"/>
                <w:szCs w:val="21"/>
                <w:highlight w:val="none"/>
                <w:lang w:val="en-US" w:eastAsia="zh-CN"/>
              </w:rPr>
              <w:t>对院内空气及污水处理设施进行</w:t>
            </w:r>
            <w:r>
              <w:rPr>
                <w:rFonts w:hint="eastAsia" w:cs="Times New Roman"/>
                <w:sz w:val="21"/>
                <w:szCs w:val="21"/>
                <w:highlight w:val="none"/>
                <w:lang w:val="en-US" w:eastAsia="zh-CN"/>
              </w:rPr>
              <w:t>消毒</w:t>
            </w:r>
            <w:r>
              <w:rPr>
                <w:rFonts w:hint="default" w:cs="Times New Roman"/>
                <w:sz w:val="21"/>
                <w:szCs w:val="21"/>
                <w:highlight w:val="none"/>
                <w:lang w:val="en-US" w:eastAsia="zh-CN"/>
              </w:rPr>
              <w:t>加盖密封</w:t>
            </w:r>
          </w:p>
        </w:tc>
        <w:tc>
          <w:tcPr>
            <w:tcW w:w="1563"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rPr>
            </w:pPr>
            <w:r>
              <w:rPr>
                <w:rFonts w:hint="eastAsia" w:eastAsia="宋体" w:cs="Times New Roman"/>
                <w:color w:val="000000"/>
                <w:sz w:val="21"/>
                <w:szCs w:val="21"/>
                <w:lang w:val="en-US" w:eastAsia="zh-CN"/>
              </w:rPr>
              <w:t>《恶臭污染物排放标准》</w:t>
            </w:r>
            <w:r>
              <w:rPr>
                <w:rFonts w:hint="eastAsia" w:cs="Times New Roman"/>
                <w:color w:val="000000"/>
                <w:sz w:val="21"/>
                <w:szCs w:val="21"/>
                <w:lang w:val="en-US" w:eastAsia="zh-CN"/>
              </w:rPr>
              <w:t>（</w:t>
            </w:r>
            <w:r>
              <w:rPr>
                <w:rFonts w:hint="eastAsia" w:eastAsia="宋体" w:cs="Times New Roman"/>
                <w:color w:val="000000"/>
                <w:sz w:val="21"/>
                <w:szCs w:val="21"/>
                <w:lang w:val="en-US" w:eastAsia="zh-CN"/>
              </w:rPr>
              <w:t>GB14554-93</w:t>
            </w:r>
            <w:r>
              <w:rPr>
                <w:rFonts w:hint="eastAsia" w:cs="Times New Roman"/>
                <w:color w:val="000000"/>
                <w:sz w:val="21"/>
                <w:szCs w:val="21"/>
                <w:lang w:val="en-US" w:eastAsia="zh-CN"/>
              </w:rPr>
              <w:t>）</w:t>
            </w:r>
            <w:r>
              <w:rPr>
                <w:rFonts w:hint="eastAsia" w:eastAsia="宋体" w:cs="Times New Roman"/>
                <w:color w:val="000000"/>
                <w:sz w:val="21"/>
                <w:szCs w:val="21"/>
                <w:lang w:val="en-US" w:eastAsia="zh-CN"/>
              </w:rPr>
              <w:t>中表1二级新扩改建标准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678" w:type="dxa"/>
            <w:noWrap w:val="0"/>
            <w:vAlign w:val="center"/>
          </w:tcPr>
          <w:p>
            <w:pPr>
              <w:adjustRightInd w:val="0"/>
              <w:snapToGrid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地表水环境</w:t>
            </w:r>
          </w:p>
        </w:tc>
        <w:tc>
          <w:tcPr>
            <w:tcW w:w="1855"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DW001</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auto"/>
                <w:szCs w:val="21"/>
                <w:highlight w:val="none"/>
                <w:lang w:val="en-US" w:eastAsia="zh-CN"/>
              </w:rPr>
              <w:t>污水排放口</w:t>
            </w:r>
          </w:p>
        </w:tc>
        <w:tc>
          <w:tcPr>
            <w:tcW w:w="1368"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auto"/>
                <w:szCs w:val="21"/>
                <w:highlight w:val="none"/>
                <w:lang w:val="en-US" w:eastAsia="zh-CN"/>
              </w:rPr>
              <w:t>COD、</w:t>
            </w:r>
            <w:r>
              <w:rPr>
                <w:rFonts w:hint="eastAsia" w:ascii="Times New Roman" w:hAnsi="Times New Roman" w:eastAsia="宋体" w:cs="Times New Roman"/>
                <w:color w:val="auto"/>
                <w:szCs w:val="21"/>
                <w:highlight w:val="none"/>
                <w:lang w:val="en-US" w:eastAsia="zh-CN"/>
              </w:rPr>
              <w:t>氨氮</w:t>
            </w:r>
            <w:r>
              <w:rPr>
                <w:rFonts w:hint="default" w:ascii="Times New Roman" w:hAnsi="Times New Roman" w:eastAsia="宋体" w:cs="Times New Roman"/>
                <w:color w:val="auto"/>
                <w:szCs w:val="21"/>
                <w:highlight w:val="none"/>
                <w:lang w:val="en-US" w:eastAsia="zh-CN"/>
              </w:rPr>
              <w:t>、BOD</w:t>
            </w:r>
            <w:r>
              <w:rPr>
                <w:rFonts w:hint="default" w:ascii="Times New Roman" w:hAnsi="Times New Roman" w:eastAsia="宋体" w:cs="Times New Roman"/>
                <w:color w:val="auto"/>
                <w:szCs w:val="21"/>
                <w:highlight w:val="none"/>
                <w:vertAlign w:val="subscript"/>
                <w:lang w:val="en-US" w:eastAsia="zh-CN"/>
              </w:rPr>
              <w:t>5</w:t>
            </w:r>
            <w:r>
              <w:rPr>
                <w:rFonts w:hint="default" w:ascii="Times New Roman" w:hAnsi="Times New Roman" w:eastAsia="宋体" w:cs="Times New Roman"/>
                <w:color w:val="auto"/>
                <w:szCs w:val="21"/>
                <w:highlight w:val="none"/>
                <w:lang w:val="en-US" w:eastAsia="zh-CN"/>
              </w:rPr>
              <w:t>、SS</w:t>
            </w:r>
            <w:r>
              <w:rPr>
                <w:rFonts w:hint="eastAsia" w:cs="Times New Roman"/>
                <w:color w:val="auto"/>
                <w:szCs w:val="21"/>
                <w:highlight w:val="none"/>
                <w:lang w:val="en-US" w:eastAsia="zh-CN"/>
              </w:rPr>
              <w:t>、粪大肠杆菌群、总余氯</w:t>
            </w:r>
          </w:p>
        </w:tc>
        <w:tc>
          <w:tcPr>
            <w:tcW w:w="2336"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auto"/>
                <w:szCs w:val="21"/>
                <w:highlight w:val="none"/>
                <w:lang w:val="en-US" w:eastAsia="zh-CN"/>
              </w:rPr>
              <w:t>宠物诊疗</w:t>
            </w:r>
            <w:r>
              <w:rPr>
                <w:rFonts w:hint="default" w:ascii="Times New Roman" w:hAnsi="Times New Roman" w:eastAsia="宋体" w:cs="Times New Roman"/>
                <w:color w:val="auto"/>
                <w:szCs w:val="21"/>
                <w:highlight w:val="none"/>
                <w:lang w:val="en-US" w:eastAsia="zh-CN"/>
              </w:rPr>
              <w:t>废水经小型废水治理设施消毒处理后和生活污水一同进入小区化粪池处理，最终纳入市政污水管网，进入库尔勒市南市区污水处理厂集中处理。</w:t>
            </w:r>
          </w:p>
        </w:tc>
        <w:tc>
          <w:tcPr>
            <w:tcW w:w="1563"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auto"/>
                <w:szCs w:val="21"/>
                <w:highlight w:val="none"/>
                <w:lang w:val="en-US" w:eastAsia="zh-CN"/>
              </w:rPr>
              <w:t>《医疗机构水污染物排放标准》（GB18466-2005）表2中综合医疗机构和其他医疗机构水污染物排放限值的预处理标准限值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678" w:type="dxa"/>
            <w:noWrap w:val="0"/>
            <w:vAlign w:val="center"/>
          </w:tcPr>
          <w:p>
            <w:pPr>
              <w:adjustRightInd w:val="0"/>
              <w:snapToGrid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声环境</w:t>
            </w:r>
          </w:p>
        </w:tc>
        <w:tc>
          <w:tcPr>
            <w:tcW w:w="1853"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auto"/>
                <w:sz w:val="21"/>
                <w:szCs w:val="21"/>
                <w:highlight w:val="none"/>
                <w:lang w:val="en-US" w:eastAsia="zh-CN"/>
              </w:rPr>
              <w:t>宠物医院</w:t>
            </w:r>
          </w:p>
        </w:tc>
        <w:tc>
          <w:tcPr>
            <w:tcW w:w="1370" w:type="dxa"/>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color w:val="auto"/>
                <w:sz w:val="21"/>
                <w:szCs w:val="21"/>
                <w:highlight w:val="none"/>
                <w:lang w:val="en-US" w:eastAsia="zh-CN"/>
              </w:rPr>
              <w:t>宠物叫声</w:t>
            </w:r>
          </w:p>
        </w:tc>
        <w:tc>
          <w:tcPr>
            <w:tcW w:w="2336"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cs="Times New Roman"/>
                <w:sz w:val="21"/>
                <w:szCs w:val="21"/>
                <w:highlight w:val="none"/>
                <w:lang w:val="en-US" w:eastAsia="zh-CN"/>
              </w:rPr>
              <w:t>已</w:t>
            </w:r>
            <w:r>
              <w:rPr>
                <w:rFonts w:hint="default" w:ascii="Times New Roman" w:hAnsi="Times New Roman" w:eastAsia="宋体" w:cs="Times New Roman"/>
                <w:sz w:val="21"/>
                <w:szCs w:val="21"/>
                <w:highlight w:val="none"/>
                <w:lang w:val="en-US" w:eastAsia="zh-CN"/>
              </w:rPr>
              <w:t>采用低噪设备、加强对宠物的管理，避免宠物处于饥饿状态，医院合理布局，采用墙体建筑降</w:t>
            </w:r>
            <w:r>
              <w:rPr>
                <w:rFonts w:hint="eastAsia" w:cs="Times New Roman"/>
                <w:sz w:val="21"/>
                <w:szCs w:val="21"/>
                <w:highlight w:val="none"/>
                <w:lang w:val="en-US" w:eastAsia="zh-CN"/>
              </w:rPr>
              <w:t>噪</w:t>
            </w:r>
            <w:r>
              <w:rPr>
                <w:rFonts w:hint="default" w:ascii="Times New Roman" w:hAnsi="Times New Roman" w:eastAsia="宋体" w:cs="Times New Roman"/>
                <w:sz w:val="21"/>
                <w:szCs w:val="21"/>
                <w:highlight w:val="none"/>
                <w:lang w:val="en-US" w:eastAsia="zh-CN"/>
              </w:rPr>
              <w:t>，夜间关闭门窗，减少宠物可能产生的噪声影响</w:t>
            </w:r>
          </w:p>
        </w:tc>
        <w:tc>
          <w:tcPr>
            <w:tcW w:w="1563" w:type="dxa"/>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sz w:val="21"/>
                <w:szCs w:val="21"/>
                <w:highlight w:val="none"/>
                <w:lang w:eastAsia="zh-CN"/>
              </w:rPr>
              <w:t>《工业企业厂界环境噪声排放标准》（GB 12348-2008）中</w:t>
            </w:r>
            <w:r>
              <w:rPr>
                <w:rFonts w:hint="default" w:ascii="Times New Roman" w:hAnsi="Times New Roman" w:eastAsia="宋体" w:cs="Times New Roman"/>
                <w:sz w:val="21"/>
                <w:szCs w:val="21"/>
                <w:highlight w:val="none"/>
                <w:lang w:val="en-US" w:eastAsia="zh-CN"/>
              </w:rPr>
              <w:t>2类</w:t>
            </w:r>
            <w:r>
              <w:rPr>
                <w:rFonts w:hint="default" w:ascii="Times New Roman" w:hAnsi="Times New Roman" w:eastAsia="宋体" w:cs="Times New Roman"/>
                <w:sz w:val="21"/>
                <w:szCs w:val="21"/>
                <w:highlight w:val="none"/>
                <w:lang w:eastAsia="zh-CN"/>
              </w:rPr>
              <w:t>标准，</w:t>
            </w:r>
            <w:r>
              <w:rPr>
                <w:rFonts w:hint="default" w:ascii="Times New Roman" w:hAnsi="Times New Roman" w:eastAsia="宋体" w:cs="Times New Roman"/>
                <w:sz w:val="21"/>
                <w:szCs w:val="21"/>
                <w:highlight w:val="none"/>
                <w:lang w:val="en-US" w:eastAsia="zh-CN"/>
              </w:rPr>
              <w:t>北侧执行4类标准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78" w:type="dxa"/>
            <w:noWrap w:val="0"/>
            <w:vAlign w:val="center"/>
          </w:tcPr>
          <w:p>
            <w:pPr>
              <w:adjustRightInd w:val="0"/>
              <w:snapToGrid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电磁辐射</w:t>
            </w:r>
          </w:p>
        </w:tc>
        <w:tc>
          <w:tcPr>
            <w:tcW w:w="7122" w:type="dxa"/>
            <w:gridSpan w:val="5"/>
            <w:noWrap w:val="0"/>
            <w:vAlign w:val="center"/>
          </w:tcPr>
          <w:p>
            <w:pPr>
              <w:adjustRightInd w:val="0"/>
              <w:snapToGrid w:val="0"/>
              <w:spacing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sz w:val="21"/>
                <w:szCs w:val="21"/>
                <w:lang w:val="en-US" w:eastAsia="zh-CN"/>
              </w:rPr>
              <w:t>本项目不涉及电磁辐射相关内容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1678" w:type="dxa"/>
            <w:noWrap w:val="0"/>
            <w:vAlign w:val="center"/>
          </w:tcPr>
          <w:p>
            <w:pPr>
              <w:adjustRightInd w:val="0"/>
              <w:snapToGrid w:val="0"/>
              <w:spacing w:line="240" w:lineRule="auto"/>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固体废物</w:t>
            </w:r>
          </w:p>
        </w:tc>
        <w:tc>
          <w:tcPr>
            <w:tcW w:w="7122" w:type="dxa"/>
            <w:gridSpan w:val="5"/>
            <w:noWrap w:val="0"/>
            <w:vAlign w:val="center"/>
          </w:tcPr>
          <w:p>
            <w:pPr>
              <w:keepNext w:val="0"/>
              <w:keepLines w:val="0"/>
              <w:pageBreakBefore w:val="0"/>
              <w:widowControl w:val="0"/>
              <w:suppressLineNumbers w:val="0"/>
              <w:tabs>
                <w:tab w:val="left" w:pos="278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eastAsia="宋体" w:cs="Times New Roman"/>
                <w:bCs/>
                <w:sz w:val="21"/>
                <w:szCs w:val="21"/>
                <w:lang w:val="en-US" w:eastAsia="zh-CN"/>
              </w:rPr>
            </w:pPr>
            <w:r>
              <w:rPr>
                <w:rFonts w:hint="eastAsia" w:eastAsia="宋体" w:cs="Times New Roman"/>
                <w:bCs/>
                <w:sz w:val="21"/>
                <w:szCs w:val="21"/>
                <w:lang w:val="en-US" w:eastAsia="zh-CN"/>
              </w:rPr>
              <w:t>（1）</w:t>
            </w:r>
            <w:r>
              <w:rPr>
                <w:rFonts w:hint="default" w:eastAsia="宋体" w:cs="Times New Roman"/>
                <w:bCs/>
                <w:sz w:val="21"/>
                <w:szCs w:val="21"/>
                <w:lang w:val="en-US" w:eastAsia="zh-CN"/>
              </w:rPr>
              <w:t>宠物粪便与生活垃圾一同暂存于垃圾桶，交由环卫部门</w:t>
            </w:r>
            <w:r>
              <w:rPr>
                <w:rFonts w:hint="eastAsia" w:cs="Times New Roman"/>
                <w:bCs/>
                <w:sz w:val="21"/>
                <w:szCs w:val="21"/>
                <w:lang w:val="en-US" w:eastAsia="zh-CN"/>
              </w:rPr>
              <w:t>统一</w:t>
            </w:r>
            <w:r>
              <w:rPr>
                <w:rFonts w:hint="default" w:eastAsia="宋体" w:cs="Times New Roman"/>
                <w:bCs/>
                <w:sz w:val="21"/>
                <w:szCs w:val="21"/>
                <w:lang w:val="en-US" w:eastAsia="zh-CN"/>
              </w:rPr>
              <w:t>清运。</w:t>
            </w:r>
          </w:p>
          <w:p>
            <w:pPr>
              <w:keepNext w:val="0"/>
              <w:keepLines w:val="0"/>
              <w:pageBreakBefore w:val="0"/>
              <w:widowControl w:val="0"/>
              <w:suppressLineNumbers w:val="0"/>
              <w:tabs>
                <w:tab w:val="left" w:pos="278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eastAsia="宋体" w:cs="Times New Roman"/>
                <w:bCs/>
                <w:sz w:val="21"/>
                <w:szCs w:val="21"/>
                <w:lang w:val="en-US" w:eastAsia="zh-CN"/>
              </w:rPr>
              <w:t>（2）动物诊疗废物按医疗废物进行管理，</w:t>
            </w:r>
            <w:r>
              <w:rPr>
                <w:rFonts w:hint="default" w:eastAsia="宋体" w:cs="Times New Roman"/>
                <w:bCs/>
                <w:sz w:val="21"/>
                <w:szCs w:val="21"/>
                <w:lang w:val="en-US" w:eastAsia="zh-CN"/>
              </w:rPr>
              <w:t>收集至</w:t>
            </w:r>
            <w:r>
              <w:rPr>
                <w:rFonts w:hint="eastAsia" w:eastAsia="宋体" w:cs="Times New Roman"/>
                <w:bCs/>
                <w:sz w:val="21"/>
                <w:szCs w:val="21"/>
                <w:lang w:val="en-US" w:eastAsia="zh-CN"/>
              </w:rPr>
              <w:t>医疗</w:t>
            </w:r>
            <w:r>
              <w:rPr>
                <w:rFonts w:hint="default" w:eastAsia="宋体" w:cs="Times New Roman"/>
                <w:bCs/>
                <w:sz w:val="21"/>
                <w:szCs w:val="21"/>
                <w:lang w:val="en-US" w:eastAsia="zh-CN"/>
              </w:rPr>
              <w:t>废物暂时贮存库房</w:t>
            </w:r>
            <w:r>
              <w:rPr>
                <w:rFonts w:hint="eastAsia" w:eastAsia="宋体" w:cs="Times New Roman"/>
                <w:bCs/>
                <w:sz w:val="21"/>
                <w:szCs w:val="21"/>
                <w:lang w:val="en-US" w:eastAsia="zh-CN"/>
              </w:rPr>
              <w:t>，</w:t>
            </w:r>
            <w:r>
              <w:rPr>
                <w:rFonts w:hint="default" w:eastAsia="宋体" w:cs="Times New Roman"/>
                <w:bCs/>
                <w:sz w:val="21"/>
                <w:szCs w:val="21"/>
                <w:lang w:val="en-US" w:eastAsia="zh-CN"/>
              </w:rPr>
              <w:t>委托库尔勒天达环卫有限责任公司集中处置，做到日产日清。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678" w:type="dxa"/>
            <w:noWrap w:val="0"/>
            <w:vAlign w:val="center"/>
          </w:tcPr>
          <w:p>
            <w:pPr>
              <w:adjustRightInd w:val="0"/>
              <w:snapToGrid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土壤及地下水</w:t>
            </w:r>
          </w:p>
          <w:p>
            <w:pPr>
              <w:adjustRightInd w:val="0"/>
              <w:snapToGrid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污染防治措施</w:t>
            </w:r>
          </w:p>
        </w:tc>
        <w:tc>
          <w:tcPr>
            <w:tcW w:w="7122" w:type="dxa"/>
            <w:gridSpan w:val="5"/>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both"/>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sz w:val="21"/>
                <w:szCs w:val="21"/>
                <w:highlight w:val="none"/>
                <w:lang w:val="en-US" w:eastAsia="zh-CN"/>
              </w:rPr>
              <w:t>采取分区防渗措施：医疗废物</w:t>
            </w:r>
            <w:r>
              <w:rPr>
                <w:rFonts w:hint="eastAsia" w:cs="Times New Roman"/>
                <w:sz w:val="21"/>
                <w:szCs w:val="21"/>
                <w:highlight w:val="none"/>
                <w:lang w:val="en-US" w:eastAsia="zh-CN"/>
              </w:rPr>
              <w:t>暂存间</w:t>
            </w:r>
            <w:r>
              <w:rPr>
                <w:rFonts w:hint="default" w:ascii="Times New Roman" w:hAnsi="Times New Roman" w:eastAsia="宋体" w:cs="Times New Roman"/>
                <w:sz w:val="21"/>
                <w:szCs w:val="21"/>
                <w:highlight w:val="none"/>
                <w:lang w:val="en-US" w:eastAsia="zh-CN"/>
              </w:rPr>
              <w:t>为重点防渗区、其他生产生活设施为简单防渗区，仅做一般地面硬化。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78" w:type="dxa"/>
            <w:noWrap w:val="0"/>
            <w:vAlign w:val="center"/>
          </w:tcPr>
          <w:p>
            <w:pPr>
              <w:adjustRightInd w:val="0"/>
              <w:snapToGrid w:val="0"/>
              <w:spacing w:line="240" w:lineRule="auto"/>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生态保护措施</w:t>
            </w:r>
          </w:p>
        </w:tc>
        <w:tc>
          <w:tcPr>
            <w:tcW w:w="7122" w:type="dxa"/>
            <w:gridSpan w:val="5"/>
            <w:noWrap w:val="0"/>
            <w:vAlign w:val="center"/>
          </w:tcPr>
          <w:p>
            <w:pPr>
              <w:adjustRightInd w:val="0"/>
              <w:snapToGrid w:val="0"/>
              <w:spacing w:line="240" w:lineRule="auto"/>
              <w:jc w:val="center"/>
              <w:rPr>
                <w:rFonts w:hint="default" w:ascii="Times New Roman" w:hAnsi="Times New Roman" w:eastAsia="宋体" w:cs="Times New Roman"/>
                <w:color w:val="auto"/>
                <w:sz w:val="21"/>
                <w:szCs w:val="21"/>
              </w:rPr>
            </w:pPr>
            <w:r>
              <w:rPr>
                <w:rFonts w:hint="eastAsia" w:cs="Times New Roman"/>
                <w:color w:val="auto"/>
                <w:spacing w:val="-8"/>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678" w:type="dxa"/>
            <w:noWrap w:val="0"/>
            <w:vAlign w:val="center"/>
          </w:tcPr>
          <w:p>
            <w:pPr>
              <w:adjustRightInd w:val="0"/>
              <w:snapToGrid w:val="0"/>
              <w:spacing w:line="240" w:lineRule="auto"/>
              <w:jc w:val="center"/>
              <w:rPr>
                <w:rFonts w:hint="default" w:ascii="Times New Roman" w:hAnsi="Times New Roman" w:eastAsia="宋体" w:cs="Times New Roman"/>
                <w:color w:val="000000" w:themeColor="text1"/>
                <w:spacing w:val="-8"/>
                <w:sz w:val="21"/>
                <w:szCs w:val="21"/>
                <w14:textFill>
                  <w14:solidFill>
                    <w14:schemeClr w14:val="tx1"/>
                  </w14:solidFill>
                </w14:textFill>
              </w:rPr>
            </w:pPr>
            <w:r>
              <w:rPr>
                <w:rFonts w:hint="default" w:ascii="Times New Roman" w:hAnsi="Times New Roman" w:eastAsia="宋体" w:cs="Times New Roman"/>
                <w:color w:val="000000" w:themeColor="text1"/>
                <w:spacing w:val="-8"/>
                <w:sz w:val="21"/>
                <w:szCs w:val="21"/>
                <w14:textFill>
                  <w14:solidFill>
                    <w14:schemeClr w14:val="tx1"/>
                  </w14:solidFill>
                </w14:textFill>
              </w:rPr>
              <w:t>环境风险</w:t>
            </w:r>
          </w:p>
          <w:p>
            <w:pPr>
              <w:adjustRightInd w:val="0"/>
              <w:snapToGrid w:val="0"/>
              <w:spacing w:line="240" w:lineRule="auto"/>
              <w:jc w:val="center"/>
              <w:rPr>
                <w:rFonts w:hint="default" w:ascii="Times New Roman" w:hAnsi="Times New Roman" w:eastAsia="宋体" w:cs="Times New Roman"/>
                <w:color w:val="000000" w:themeColor="text1"/>
                <w:spacing w:val="-8"/>
                <w:sz w:val="21"/>
                <w:szCs w:val="21"/>
                <w14:textFill>
                  <w14:solidFill>
                    <w14:schemeClr w14:val="tx1"/>
                  </w14:solidFill>
                </w14:textFill>
              </w:rPr>
            </w:pPr>
            <w:r>
              <w:rPr>
                <w:rFonts w:hint="default" w:ascii="Times New Roman" w:hAnsi="Times New Roman" w:eastAsia="宋体" w:cs="Times New Roman"/>
                <w:color w:val="000000" w:themeColor="text1"/>
                <w:spacing w:val="-8"/>
                <w:sz w:val="21"/>
                <w:szCs w:val="21"/>
                <w14:textFill>
                  <w14:solidFill>
                    <w14:schemeClr w14:val="tx1"/>
                  </w14:solidFill>
                </w14:textFill>
              </w:rPr>
              <w:t>防范措施</w:t>
            </w:r>
          </w:p>
        </w:tc>
        <w:tc>
          <w:tcPr>
            <w:tcW w:w="7122" w:type="dxa"/>
            <w:gridSpan w:val="5"/>
            <w:noWrap w:val="0"/>
            <w:vAlign w:val="center"/>
          </w:tcPr>
          <w:p>
            <w:pPr>
              <w:keepNext w:val="0"/>
              <w:keepLines w:val="0"/>
              <w:pageBreakBefore w:val="0"/>
              <w:widowControl w:val="0"/>
              <w:suppressLineNumbers w:val="0"/>
              <w:tabs>
                <w:tab w:val="left" w:pos="278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bCs/>
                <w:sz w:val="21"/>
                <w:szCs w:val="21"/>
                <w:lang w:eastAsia="zh-CN"/>
              </w:rPr>
            </w:pPr>
            <w:r>
              <w:rPr>
                <w:rFonts w:hint="eastAsia" w:cs="Times New Roman"/>
                <w:bCs/>
                <w:sz w:val="21"/>
                <w:szCs w:val="21"/>
                <w:lang w:val="en-US" w:eastAsia="zh-CN"/>
              </w:rPr>
              <w:t>1、</w:t>
            </w:r>
            <w:r>
              <w:rPr>
                <w:rFonts w:hint="default" w:ascii="Times New Roman" w:hAnsi="Times New Roman" w:eastAsia="宋体" w:cs="Times New Roman"/>
                <w:bCs/>
                <w:sz w:val="21"/>
                <w:szCs w:val="21"/>
                <w:lang w:val="en-US" w:eastAsia="zh-CN"/>
              </w:rPr>
              <w:t xml:space="preserve">本项目地面全部硬化，配备消防栓、灭火器等消防设施； </w:t>
            </w:r>
          </w:p>
          <w:p>
            <w:pPr>
              <w:keepNext w:val="0"/>
              <w:keepLines w:val="0"/>
              <w:pageBreakBefore w:val="0"/>
              <w:widowControl w:val="0"/>
              <w:suppressLineNumbers w:val="0"/>
              <w:tabs>
                <w:tab w:val="left" w:pos="278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bCs/>
                <w:sz w:val="21"/>
                <w:szCs w:val="21"/>
                <w:lang w:eastAsia="zh-CN"/>
              </w:rPr>
            </w:pPr>
            <w:r>
              <w:rPr>
                <w:rFonts w:hint="eastAsia" w:cs="Times New Roman"/>
                <w:bCs/>
                <w:sz w:val="21"/>
                <w:szCs w:val="21"/>
                <w:lang w:val="en-US" w:eastAsia="zh-CN"/>
              </w:rPr>
              <w:t>2、动物诊疗废物</w:t>
            </w:r>
            <w:r>
              <w:rPr>
                <w:rFonts w:hint="default" w:ascii="Times New Roman" w:hAnsi="Times New Roman" w:eastAsia="宋体" w:cs="Times New Roman"/>
                <w:bCs/>
                <w:sz w:val="21"/>
                <w:szCs w:val="21"/>
                <w:lang w:val="en-US" w:eastAsia="zh-CN"/>
              </w:rPr>
              <w:t xml:space="preserve">贮存设置警示标识； </w:t>
            </w:r>
          </w:p>
          <w:p>
            <w:pPr>
              <w:keepNext w:val="0"/>
              <w:keepLines w:val="0"/>
              <w:pageBreakBefore w:val="0"/>
              <w:widowControl w:val="0"/>
              <w:suppressLineNumbers w:val="0"/>
              <w:tabs>
                <w:tab w:val="left" w:pos="278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val="en-US" w:eastAsia="zh-CN"/>
              </w:rPr>
              <w:t>3</w:t>
            </w:r>
            <w:r>
              <w:rPr>
                <w:rFonts w:hint="eastAsia" w:ascii="Times New Roman" w:hAnsi="Times New Roman" w:eastAsia="宋体" w:cs="Times New Roman"/>
                <w:bCs/>
                <w:sz w:val="21"/>
                <w:szCs w:val="21"/>
                <w:lang w:val="en-US" w:eastAsia="zh-CN"/>
              </w:rPr>
              <w:t>、</w:t>
            </w:r>
            <w:r>
              <w:rPr>
                <w:rFonts w:hint="default" w:ascii="Times New Roman" w:hAnsi="Times New Roman" w:eastAsia="宋体" w:cs="Times New Roman"/>
                <w:bCs/>
                <w:sz w:val="21"/>
                <w:szCs w:val="21"/>
                <w:lang w:val="en-US" w:eastAsia="zh-CN"/>
              </w:rPr>
              <w:t xml:space="preserve">酒精泄漏时采用不产生冲击、静电火花的工具回收； </w:t>
            </w:r>
          </w:p>
          <w:p>
            <w:pPr>
              <w:keepNext w:val="0"/>
              <w:keepLines w:val="0"/>
              <w:pageBreakBefore w:val="0"/>
              <w:widowControl w:val="0"/>
              <w:suppressLineNumbers w:val="0"/>
              <w:tabs>
                <w:tab w:val="left" w:pos="2780"/>
              </w:tabs>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default" w:ascii="Times New Roman" w:hAnsi="Times New Roman" w:eastAsia="宋体" w:cs="Times New Roman"/>
                <w:bCs/>
                <w:sz w:val="21"/>
                <w:szCs w:val="21"/>
                <w:lang w:eastAsia="zh-CN"/>
              </w:rPr>
            </w:pPr>
            <w:r>
              <w:rPr>
                <w:rFonts w:hint="default" w:ascii="Times New Roman" w:hAnsi="Times New Roman" w:eastAsia="宋体" w:cs="Times New Roman"/>
                <w:bCs/>
                <w:sz w:val="21"/>
                <w:szCs w:val="21"/>
                <w:lang w:val="en-US" w:eastAsia="zh-CN"/>
              </w:rPr>
              <w:t>4</w:t>
            </w:r>
            <w:r>
              <w:rPr>
                <w:rFonts w:hint="eastAsia" w:ascii="Times New Roman" w:hAnsi="Times New Roman" w:eastAsia="宋体" w:cs="Times New Roman"/>
                <w:bCs/>
                <w:sz w:val="21"/>
                <w:szCs w:val="21"/>
                <w:lang w:val="en-US" w:eastAsia="zh-CN"/>
              </w:rPr>
              <w:t>、</w:t>
            </w:r>
            <w:r>
              <w:rPr>
                <w:rFonts w:hint="default" w:ascii="Times New Roman" w:hAnsi="Times New Roman" w:eastAsia="宋体" w:cs="Times New Roman"/>
                <w:bCs/>
                <w:sz w:val="21"/>
                <w:szCs w:val="21"/>
                <w:lang w:val="en-US" w:eastAsia="zh-CN"/>
              </w:rPr>
              <w:t>氯片密闭储存，确保不受潮；污水处理设备专人专管，确保废水处理后排放</w:t>
            </w:r>
            <w:r>
              <w:rPr>
                <w:rFonts w:hint="eastAsia" w:cs="Times New Roman"/>
                <w:bCs/>
                <w:sz w:val="21"/>
                <w:szCs w:val="21"/>
                <w:lang w:val="en-US" w:eastAsia="zh-CN"/>
              </w:rPr>
              <w:t>；</w:t>
            </w:r>
          </w:p>
          <w:p>
            <w:pPr>
              <w:adjustRightInd w:val="0"/>
              <w:snapToGrid w:val="0"/>
              <w:spacing w:line="240" w:lineRule="auto"/>
              <w:jc w:val="both"/>
              <w:rPr>
                <w:rFonts w:hint="default" w:ascii="Times New Roman" w:hAnsi="Times New Roman" w:eastAsia="宋体" w:cs="Times New Roman"/>
                <w:color w:val="auto"/>
                <w:sz w:val="21"/>
                <w:szCs w:val="21"/>
              </w:rPr>
            </w:pPr>
            <w:r>
              <w:rPr>
                <w:rFonts w:hint="eastAsia" w:cs="Times New Roman"/>
                <w:sz w:val="21"/>
                <w:szCs w:val="21"/>
                <w:lang w:val="en-US" w:eastAsia="zh-CN"/>
              </w:rPr>
              <w:t>5、诊疗过程中发现有（传染）疫情的宠物，立即报告当地兽医主管部门、动物卫生监督机构或动物疾病预防控制机构，并将宠物放置在隔离室内，不得擅自进行治疗，防止动物疫情扩散。</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678" w:type="dxa"/>
            <w:noWrap w:val="0"/>
            <w:vAlign w:val="center"/>
          </w:tcPr>
          <w:p>
            <w:pPr>
              <w:adjustRightInd w:val="0"/>
              <w:snapToGrid w:val="0"/>
              <w:spacing w:line="360" w:lineRule="auto"/>
              <w:jc w:val="center"/>
              <w:rPr>
                <w:rFonts w:hint="default" w:ascii="Times New Roman" w:hAnsi="Times New Roman" w:cs="Times New Roman"/>
                <w:color w:val="000000" w:themeColor="text1"/>
                <w:spacing w:val="-8"/>
                <w:sz w:val="21"/>
                <w:szCs w:val="21"/>
                <w14:textFill>
                  <w14:solidFill>
                    <w14:schemeClr w14:val="tx1"/>
                  </w14:solidFill>
                </w14:textFill>
              </w:rPr>
            </w:pPr>
            <w:r>
              <w:rPr>
                <w:rFonts w:hint="default" w:ascii="Times New Roman" w:hAnsi="Times New Roman" w:cs="Times New Roman"/>
                <w:color w:val="000000" w:themeColor="text1"/>
                <w:spacing w:val="-8"/>
                <w:sz w:val="21"/>
                <w:szCs w:val="21"/>
                <w14:textFill>
                  <w14:solidFill>
                    <w14:schemeClr w14:val="tx1"/>
                  </w14:solidFill>
                </w14:textFill>
              </w:rPr>
              <w:t>其他环境</w:t>
            </w:r>
          </w:p>
          <w:p>
            <w:pPr>
              <w:adjustRightInd w:val="0"/>
              <w:snapToGrid w:val="0"/>
              <w:spacing w:line="360" w:lineRule="auto"/>
              <w:jc w:val="center"/>
              <w:rPr>
                <w:rFonts w:hint="default" w:ascii="Times New Roman" w:hAnsi="Times New Roman" w:eastAsia="宋体" w:cs="Times New Roman"/>
                <w:color w:val="000000" w:themeColor="text1"/>
                <w:spacing w:val="-8"/>
                <w:sz w:val="21"/>
                <w:szCs w:val="21"/>
                <w14:textFill>
                  <w14:solidFill>
                    <w14:schemeClr w14:val="tx1"/>
                  </w14:solidFill>
                </w14:textFill>
              </w:rPr>
            </w:pPr>
            <w:r>
              <w:rPr>
                <w:rFonts w:hint="default" w:ascii="Times New Roman" w:hAnsi="Times New Roman" w:cs="Times New Roman"/>
                <w:color w:val="000000" w:themeColor="text1"/>
                <w:spacing w:val="-8"/>
                <w:sz w:val="21"/>
                <w:szCs w:val="21"/>
                <w14:textFill>
                  <w14:solidFill>
                    <w14:schemeClr w14:val="tx1"/>
                  </w14:solidFill>
                </w14:textFill>
              </w:rPr>
              <w:t>管理要求</w:t>
            </w:r>
          </w:p>
        </w:tc>
        <w:tc>
          <w:tcPr>
            <w:tcW w:w="7122" w:type="dxa"/>
            <w:gridSpan w:val="5"/>
            <w:noWrap w:val="0"/>
            <w:vAlign w:val="center"/>
          </w:tcPr>
          <w:p>
            <w:pPr>
              <w:adjustRightInd w:val="0"/>
              <w:snapToGrid w:val="0"/>
              <w:spacing w:line="240" w:lineRule="auto"/>
              <w:ind w:firstLine="420" w:firstLineChars="200"/>
              <w:jc w:val="left"/>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1、加强环境管理，确保环保设施正常、稳定运行，确保污染物达标排放，同时要推广及应用先进的环保技术和经验，最大限度降低污染物的排放量。</w:t>
            </w:r>
          </w:p>
          <w:p>
            <w:pPr>
              <w:adjustRightInd w:val="0"/>
              <w:snapToGrid w:val="0"/>
              <w:spacing w:line="240" w:lineRule="auto"/>
              <w:ind w:firstLine="420" w:firstLineChars="200"/>
              <w:jc w:val="left"/>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2、落实</w:t>
            </w:r>
            <w:r>
              <w:rPr>
                <w:rFonts w:hint="eastAsia" w:cs="Times New Roman"/>
                <w:color w:val="000000"/>
                <w:sz w:val="21"/>
                <w:szCs w:val="21"/>
                <w:lang w:val="en-US" w:eastAsia="zh-CN"/>
              </w:rPr>
              <w:t>“</w:t>
            </w:r>
            <w:r>
              <w:rPr>
                <w:rFonts w:hint="default" w:ascii="Times New Roman" w:hAnsi="Times New Roman" w:eastAsia="宋体" w:cs="Times New Roman"/>
                <w:color w:val="000000"/>
                <w:sz w:val="21"/>
                <w:szCs w:val="21"/>
                <w:lang w:val="en-US" w:eastAsia="zh-CN"/>
              </w:rPr>
              <w:t>三同时</w:t>
            </w:r>
            <w:r>
              <w:rPr>
                <w:rFonts w:hint="eastAsia" w:cs="Times New Roman"/>
                <w:color w:val="000000"/>
                <w:sz w:val="21"/>
                <w:szCs w:val="21"/>
                <w:lang w:val="en-US" w:eastAsia="zh-CN"/>
              </w:rPr>
              <w:t>”</w:t>
            </w:r>
            <w:r>
              <w:rPr>
                <w:rFonts w:hint="default" w:ascii="Times New Roman" w:hAnsi="Times New Roman" w:eastAsia="宋体" w:cs="Times New Roman"/>
                <w:color w:val="000000"/>
                <w:sz w:val="21"/>
                <w:szCs w:val="21"/>
                <w:lang w:val="en-US" w:eastAsia="zh-CN"/>
              </w:rPr>
              <w:t>制度，按照要求开展竣工环境保护验收。</w:t>
            </w:r>
          </w:p>
          <w:p>
            <w:pPr>
              <w:adjustRightInd w:val="0"/>
              <w:snapToGrid w:val="0"/>
              <w:spacing w:line="240" w:lineRule="auto"/>
              <w:ind w:firstLine="420" w:firstLineChars="200"/>
              <w:jc w:val="left"/>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3、根据国家和地方相关环保政策和法规，制定企业环境保护计划的环保方针目标。并建立相应的管理监督制度。</w:t>
            </w:r>
          </w:p>
          <w:p>
            <w:pPr>
              <w:adjustRightInd w:val="0"/>
              <w:snapToGrid w:val="0"/>
              <w:spacing w:line="240" w:lineRule="auto"/>
              <w:ind w:firstLine="420" w:firstLineChars="200"/>
              <w:jc w:val="left"/>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4、加强环保教育宣传，并制定紧急情况应急措施，预防或减少可能的环境影响。</w:t>
            </w:r>
          </w:p>
          <w:p>
            <w:pPr>
              <w:adjustRightInd w:val="0"/>
              <w:snapToGrid w:val="0"/>
              <w:spacing w:line="240" w:lineRule="auto"/>
              <w:ind w:firstLine="420" w:firstLineChars="200"/>
              <w:jc w:val="left"/>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5、严格遵照国家和地方有关环境保护的方针、政策、法规、条例，如《中华人民共和国环境保护法》《全国生态环境保护纲要》等，结合企业的实际情况，确定环境保护控制目标，制定环境保护发展规划和年度实施计划，建立环境保护制度，并组织、监督实施。</w:t>
            </w:r>
          </w:p>
          <w:p>
            <w:pPr>
              <w:spacing w:line="360" w:lineRule="auto"/>
              <w:ind w:firstLine="422" w:firstLineChars="200"/>
              <w:rPr>
                <w:rFonts w:hint="eastAsia" w:ascii="Times New Roman" w:hAnsi="Times New Roman" w:cs="Times New Roman"/>
                <w:b/>
                <w:bCs/>
                <w:color w:val="000000" w:themeColor="text1"/>
                <w:sz w:val="21"/>
                <w:szCs w:val="21"/>
                <w:lang w:val="en-US" w:eastAsia="zh-CN"/>
                <w14:textFill>
                  <w14:solidFill>
                    <w14:schemeClr w14:val="tx1"/>
                  </w14:solidFill>
                </w14:textFill>
              </w:rPr>
            </w:pPr>
          </w:p>
          <w:p>
            <w:pPr>
              <w:spacing w:line="360" w:lineRule="auto"/>
              <w:ind w:firstLine="422" w:firstLineChars="200"/>
              <w:rPr>
                <w:rFonts w:hint="eastAsia" w:ascii="Times New Roman" w:hAnsi="Times New Roman" w:cs="Times New Roman"/>
                <w:b/>
                <w:bCs/>
                <w:color w:val="000000" w:themeColor="text1"/>
                <w:sz w:val="21"/>
                <w:szCs w:val="21"/>
                <w:lang w:val="en-US" w:eastAsia="zh-CN"/>
                <w14:textFill>
                  <w14:solidFill>
                    <w14:schemeClr w14:val="tx1"/>
                  </w14:solidFill>
                </w14:textFill>
              </w:rPr>
            </w:pPr>
          </w:p>
          <w:p>
            <w:pPr>
              <w:spacing w:line="360" w:lineRule="auto"/>
              <w:ind w:firstLine="422" w:firstLineChars="200"/>
              <w:rPr>
                <w:rFonts w:hint="eastAsia" w:ascii="Times New Roman" w:hAnsi="Times New Roman" w:cs="Times New Roman"/>
                <w:b/>
                <w:bCs/>
                <w:color w:val="000000" w:themeColor="text1"/>
                <w:sz w:val="21"/>
                <w:szCs w:val="21"/>
                <w:lang w:val="en-US" w:eastAsia="zh-CN"/>
                <w14:textFill>
                  <w14:solidFill>
                    <w14:schemeClr w14:val="tx1"/>
                  </w14:solidFill>
                </w14:textFill>
              </w:rPr>
            </w:pPr>
          </w:p>
          <w:p>
            <w:pPr>
              <w:spacing w:line="360" w:lineRule="auto"/>
              <w:ind w:firstLine="422" w:firstLineChars="200"/>
              <w:rPr>
                <w:rFonts w:hint="eastAsia" w:ascii="Times New Roman" w:hAnsi="Times New Roman" w:cs="Times New Roman"/>
                <w:b/>
                <w:bCs/>
                <w:color w:val="000000" w:themeColor="text1"/>
                <w:sz w:val="21"/>
                <w:szCs w:val="21"/>
                <w:lang w:val="en-US" w:eastAsia="zh-CN"/>
                <w14:textFill>
                  <w14:solidFill>
                    <w14:schemeClr w14:val="tx1"/>
                  </w14:solidFill>
                </w14:textFill>
              </w:rPr>
            </w:pPr>
          </w:p>
          <w:p>
            <w:pPr>
              <w:spacing w:line="360" w:lineRule="auto"/>
              <w:ind w:firstLine="422" w:firstLineChars="200"/>
              <w:rPr>
                <w:rFonts w:hint="eastAsia" w:ascii="Times New Roman" w:hAnsi="Times New Roman" w:cs="Times New Roman"/>
                <w:b/>
                <w:bCs/>
                <w:color w:val="000000" w:themeColor="text1"/>
                <w:sz w:val="21"/>
                <w:szCs w:val="21"/>
                <w:lang w:val="en-US" w:eastAsia="zh-CN"/>
                <w14:textFill>
                  <w14:solidFill>
                    <w14:schemeClr w14:val="tx1"/>
                  </w14:solidFill>
                </w14:textFill>
              </w:rPr>
            </w:pPr>
          </w:p>
          <w:p>
            <w:pPr>
              <w:spacing w:line="360" w:lineRule="auto"/>
              <w:ind w:firstLine="422" w:firstLineChars="200"/>
              <w:rPr>
                <w:rFonts w:hint="eastAsia" w:ascii="Times New Roman" w:hAnsi="Times New Roman" w:cs="Times New Roman"/>
                <w:b/>
                <w:bCs/>
                <w:color w:val="000000" w:themeColor="text1"/>
                <w:sz w:val="21"/>
                <w:szCs w:val="21"/>
                <w:lang w:val="en-US" w:eastAsia="zh-CN"/>
                <w14:textFill>
                  <w14:solidFill>
                    <w14:schemeClr w14:val="tx1"/>
                  </w14:solidFill>
                </w14:textFill>
              </w:rPr>
            </w:pPr>
          </w:p>
          <w:p>
            <w:pPr>
              <w:spacing w:line="360" w:lineRule="auto"/>
              <w:ind w:firstLine="422" w:firstLineChars="200"/>
              <w:rPr>
                <w:rFonts w:hint="eastAsia" w:ascii="Times New Roman" w:hAnsi="Times New Roman" w:cs="Times New Roman"/>
                <w:b/>
                <w:bCs/>
                <w:color w:val="000000" w:themeColor="text1"/>
                <w:sz w:val="21"/>
                <w:szCs w:val="21"/>
                <w:lang w:val="en-US" w:eastAsia="zh-CN"/>
                <w14:textFill>
                  <w14:solidFill>
                    <w14:schemeClr w14:val="tx1"/>
                  </w14:solidFill>
                </w14:textFill>
              </w:rPr>
            </w:pPr>
          </w:p>
          <w:p>
            <w:pPr>
              <w:spacing w:line="360" w:lineRule="auto"/>
              <w:ind w:firstLine="422" w:firstLineChars="200"/>
              <w:rPr>
                <w:rFonts w:hint="eastAsia" w:ascii="Times New Roman" w:hAnsi="Times New Roman" w:cs="Times New Roman"/>
                <w:b/>
                <w:bCs/>
                <w:color w:val="000000" w:themeColor="text1"/>
                <w:sz w:val="21"/>
                <w:szCs w:val="21"/>
                <w:lang w:val="en-US" w:eastAsia="zh-CN"/>
                <w14:textFill>
                  <w14:solidFill>
                    <w14:schemeClr w14:val="tx1"/>
                  </w14:solidFill>
                </w14:textFill>
              </w:rPr>
            </w:pPr>
          </w:p>
          <w:p>
            <w:pPr>
              <w:spacing w:line="360" w:lineRule="auto"/>
              <w:ind w:firstLine="422" w:firstLineChars="200"/>
              <w:rPr>
                <w:rFonts w:hint="eastAsia" w:ascii="Times New Roman" w:hAnsi="Times New Roman" w:cs="Times New Roman"/>
                <w:b/>
                <w:bCs/>
                <w:color w:val="000000" w:themeColor="text1"/>
                <w:sz w:val="21"/>
                <w:szCs w:val="21"/>
                <w:lang w:val="en-US" w:eastAsia="zh-CN"/>
                <w14:textFill>
                  <w14:solidFill>
                    <w14:schemeClr w14:val="tx1"/>
                  </w14:solidFill>
                </w14:textFill>
              </w:rPr>
            </w:pPr>
          </w:p>
          <w:p>
            <w:pPr>
              <w:adjustRightInd w:val="0"/>
              <w:snapToGrid w:val="0"/>
              <w:spacing w:line="360" w:lineRule="auto"/>
              <w:rPr>
                <w:rFonts w:hint="default" w:ascii="Times New Roman" w:hAnsi="Times New Roman" w:eastAsia="宋体" w:cs="Times New Roman"/>
                <w:color w:val="000000" w:themeColor="text1"/>
                <w:sz w:val="21"/>
                <w:szCs w:val="21"/>
                <w14:textFill>
                  <w14:solidFill>
                    <w14:schemeClr w14:val="tx1"/>
                  </w14:solidFill>
                </w14:textFill>
              </w:rPr>
            </w:pPr>
          </w:p>
          <w:p>
            <w:pPr>
              <w:pStyle w:val="44"/>
              <w:spacing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p>
          <w:p>
            <w:pPr>
              <w:pStyle w:val="44"/>
              <w:spacing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p>
          <w:p>
            <w:pPr>
              <w:pStyle w:val="44"/>
              <w:spacing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p>
          <w:p>
            <w:pPr>
              <w:pStyle w:val="44"/>
              <w:spacing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p>
        </w:tc>
      </w:tr>
    </w:tbl>
    <w:p>
      <w:pPr>
        <w:pStyle w:val="26"/>
        <w:spacing w:before="0" w:beforeAutospacing="0" w:after="0" w:afterAutospacing="0" w:line="360" w:lineRule="auto"/>
        <w:jc w:val="center"/>
        <w:outlineLvl w:val="0"/>
        <w:rPr>
          <w:rFonts w:hint="default" w:ascii="Times New Roman" w:hAnsi="Times New Roman" w:eastAsia="黑体" w:cs="Times New Roman"/>
          <w:snapToGrid w:val="0"/>
          <w:color w:val="FF0000"/>
          <w:sz w:val="30"/>
          <w:szCs w:val="30"/>
          <w:lang w:val="en-US" w:eastAsia="zh-CN"/>
        </w:rPr>
      </w:pPr>
      <w:r>
        <w:rPr>
          <w:rFonts w:hint="default" w:ascii="Times New Roman" w:hAnsi="Times New Roman" w:cs="Times New Roman"/>
          <w:snapToGrid w:val="0"/>
          <w:color w:val="FF0000"/>
        </w:rPr>
        <w:br w:type="page"/>
      </w:r>
      <w:bookmarkStart w:id="30" w:name="_Toc19378"/>
      <w:bookmarkStart w:id="31" w:name="_Toc7624"/>
      <w:r>
        <w:rPr>
          <w:rFonts w:hint="default" w:ascii="Times New Roman" w:hAnsi="Times New Roman" w:eastAsia="黑体" w:cs="Times New Roman"/>
          <w:snapToGrid w:val="0"/>
          <w:color w:val="000000" w:themeColor="text1"/>
          <w:sz w:val="30"/>
          <w:szCs w:val="30"/>
          <w14:textFill>
            <w14:solidFill>
              <w14:schemeClr w14:val="tx1"/>
            </w14:solidFill>
          </w14:textFill>
        </w:rPr>
        <w:t>六、结论</w:t>
      </w:r>
      <w:bookmarkEnd w:id="30"/>
      <w:bookmarkEnd w:id="31"/>
    </w:p>
    <w:tbl>
      <w:tblPr>
        <w:tblStyle w:val="2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5000" w:type="pct"/>
            <w:noWrap w:val="0"/>
            <w:vAlign w:val="top"/>
          </w:tcPr>
          <w:p>
            <w:pPr>
              <w:spacing w:line="360" w:lineRule="auto"/>
              <w:rPr>
                <w:rFonts w:hint="default" w:ascii="Times New Roman" w:hAnsi="Times New Roman" w:cs="Times New Roman"/>
                <w:color w:val="FF0000"/>
                <w:sz w:val="24"/>
                <w:lang w:eastAsia="zh-CN"/>
              </w:rPr>
            </w:pPr>
            <w:r>
              <w:rPr>
                <w:rFonts w:hint="default" w:ascii="Times New Roman" w:hAnsi="Times New Roman" w:cs="Times New Roman"/>
                <w:color w:val="FF0000"/>
                <w:sz w:val="24"/>
                <w:lang w:eastAsia="zh-CN"/>
              </w:rPr>
              <w:tab/>
            </w:r>
            <w:r>
              <w:rPr>
                <w:rFonts w:hint="default" w:ascii="Times New Roman" w:hAnsi="Times New Roman" w:cs="Times New Roman"/>
                <w:color w:val="auto"/>
                <w:sz w:val="24"/>
              </w:rPr>
              <w:t>该项目只要切实落实报告表中提出的各项防治措施，严格执行各项污染物的排放标准，积极有效地进行污染治理和防范，并使各项污染物达标排放，从环境保护角度考虑，该项目的</w:t>
            </w:r>
            <w:r>
              <w:rPr>
                <w:rFonts w:hint="default" w:ascii="Times New Roman" w:hAnsi="Times New Roman" w:cs="Times New Roman"/>
                <w:color w:val="auto"/>
                <w:sz w:val="24"/>
                <w:lang w:val="en-US" w:eastAsia="zh-CN"/>
              </w:rPr>
              <w:t>环境影响</w:t>
            </w:r>
            <w:r>
              <w:rPr>
                <w:rFonts w:hint="default" w:ascii="Times New Roman" w:hAnsi="Times New Roman" w:cs="Times New Roman"/>
                <w:color w:val="auto"/>
                <w:sz w:val="24"/>
              </w:rPr>
              <w:t>是可行的</w:t>
            </w:r>
            <w:r>
              <w:rPr>
                <w:rFonts w:hint="default" w:ascii="Times New Roman" w:hAnsi="Times New Roman" w:cs="Times New Roman"/>
                <w:color w:val="auto"/>
                <w:sz w:val="24"/>
                <w:lang w:eastAsia="zh-CN"/>
              </w:rPr>
              <w:t>。</w:t>
            </w:r>
          </w:p>
          <w:p>
            <w:pPr>
              <w:spacing w:line="360" w:lineRule="auto"/>
              <w:rPr>
                <w:rFonts w:hint="default" w:ascii="Times New Roman" w:hAnsi="Times New Roman" w:cs="Times New Roman"/>
                <w:color w:val="FF0000"/>
                <w:sz w:val="24"/>
              </w:rPr>
            </w:pPr>
          </w:p>
        </w:tc>
      </w:tr>
    </w:tbl>
    <w:p>
      <w:pPr>
        <w:rPr>
          <w:rFonts w:hint="default" w:ascii="Times New Roman" w:hAnsi="Times New Roman" w:cs="Times New Roman"/>
          <w:color w:val="FF0000"/>
        </w:rPr>
        <w:sectPr>
          <w:pgSz w:w="11906" w:h="16838"/>
          <w:pgMar w:top="1701" w:right="1531" w:bottom="1701" w:left="1531" w:header="851" w:footer="851" w:gutter="0"/>
          <w:pgBorders>
            <w:top w:val="none" w:sz="0" w:space="0"/>
            <w:left w:val="none" w:sz="0" w:space="0"/>
            <w:bottom w:val="none" w:sz="0" w:space="0"/>
            <w:right w:val="none" w:sz="0" w:space="0"/>
          </w:pgBorders>
          <w:pgNumType w:fmt="numberInDash"/>
          <w:cols w:space="720" w:num="1"/>
          <w:docGrid w:linePitch="312" w:charSpace="0"/>
        </w:sectPr>
      </w:pPr>
    </w:p>
    <w:p>
      <w:pPr>
        <w:pStyle w:val="26"/>
        <w:adjustRightInd w:val="0"/>
        <w:snapToGrid w:val="0"/>
        <w:spacing w:before="0" w:beforeAutospacing="0" w:after="0" w:afterAutospacing="0" w:line="360" w:lineRule="auto"/>
        <w:outlineLvl w:val="0"/>
        <w:rPr>
          <w:rFonts w:hint="default" w:ascii="Times New Roman" w:hAnsi="Times New Roman" w:eastAsia="黑体" w:cs="Times New Roman"/>
          <w:snapToGrid w:val="0"/>
          <w:color w:val="000000" w:themeColor="text1"/>
          <w:sz w:val="32"/>
          <w:szCs w:val="32"/>
          <w14:textFill>
            <w14:solidFill>
              <w14:schemeClr w14:val="tx1"/>
            </w14:solidFill>
          </w14:textFill>
        </w:rPr>
      </w:pPr>
      <w:bookmarkStart w:id="32" w:name="_Toc23299"/>
      <w:bookmarkStart w:id="33" w:name="_Toc25204"/>
      <w:r>
        <w:rPr>
          <w:rFonts w:hint="default" w:ascii="Times New Roman" w:hAnsi="Times New Roman" w:eastAsia="黑体" w:cs="Times New Roman"/>
          <w:snapToGrid w:val="0"/>
          <w:color w:val="000000" w:themeColor="text1"/>
          <w:sz w:val="32"/>
          <w:szCs w:val="32"/>
          <w14:textFill>
            <w14:solidFill>
              <w14:schemeClr w14:val="tx1"/>
            </w14:solidFill>
          </w14:textFill>
        </w:rPr>
        <w:t>附表</w:t>
      </w:r>
      <w:bookmarkEnd w:id="32"/>
      <w:bookmarkEnd w:id="33"/>
    </w:p>
    <w:p>
      <w:pPr>
        <w:pStyle w:val="26"/>
        <w:adjustRightInd w:val="0"/>
        <w:snapToGrid w:val="0"/>
        <w:spacing w:before="0" w:beforeAutospacing="0" w:after="0" w:afterAutospacing="0" w:line="360" w:lineRule="auto"/>
        <w:jc w:val="center"/>
        <w:outlineLvl w:val="0"/>
        <w:rPr>
          <w:rFonts w:hint="default" w:ascii="Times New Roman" w:hAnsi="Times New Roman" w:eastAsia="方正小标宋_GBK" w:cs="Times New Roman"/>
          <w:snapToGrid w:val="0"/>
          <w:color w:val="000000" w:themeColor="text1"/>
          <w:sz w:val="38"/>
          <w:szCs w:val="38"/>
          <w14:textFill>
            <w14:solidFill>
              <w14:schemeClr w14:val="tx1"/>
            </w14:solidFill>
          </w14:textFill>
        </w:rPr>
      </w:pPr>
      <w:bookmarkStart w:id="34" w:name="_Toc28818"/>
      <w:bookmarkStart w:id="35" w:name="_Toc19368"/>
      <w:r>
        <w:rPr>
          <w:rFonts w:hint="default" w:ascii="Times New Roman" w:hAnsi="Times New Roman" w:eastAsia="方正小标宋_GBK" w:cs="Times New Roman"/>
          <w:snapToGrid w:val="0"/>
          <w:color w:val="000000" w:themeColor="text1"/>
          <w:sz w:val="38"/>
          <w:szCs w:val="38"/>
          <w14:textFill>
            <w14:solidFill>
              <w14:schemeClr w14:val="tx1"/>
            </w14:solidFill>
          </w14:textFill>
        </w:rPr>
        <w:t>建设项目污染物排放量汇总表</w:t>
      </w:r>
      <w:bookmarkEnd w:id="34"/>
      <w:bookmarkEnd w:id="35"/>
    </w:p>
    <w:tbl>
      <w:tblPr>
        <w:tblStyle w:val="29"/>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721"/>
        <w:gridCol w:w="10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noWrap w:val="0"/>
            <w:tcMar>
              <w:left w:w="28" w:type="dxa"/>
              <w:right w:w="28" w:type="dxa"/>
            </w:tcMar>
            <w:vAlign w:val="center"/>
          </w:tcPr>
          <w:p>
            <w:pPr>
              <w:pStyle w:val="43"/>
              <w:spacing w:beforeLines="0" w:afterLines="0" w:line="240" w:lineRule="auto"/>
              <w:jc w:val="cente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pPr>
            <w:r>
              <w:rPr>
                <w:rFonts w:hint="default" w:ascii="Times New Roman" w:hAnsi="Times New Roman" w:cs="Times New Roman"/>
                <w:b/>
                <w:bCs/>
                <w:snapToGrid w:val="0"/>
                <w:color w:val="000000" w:themeColor="text1"/>
                <w:spacing w:val="-6"/>
                <w:kern w:val="21"/>
                <w:sz w:val="21"/>
                <w:szCs w:val="21"/>
                <w:lang w:val="en-US" w:eastAsia="zh-CN"/>
                <w14:textFill>
                  <w14:solidFill>
                    <w14:schemeClr w14:val="tx1"/>
                  </w14:solidFill>
                </w14:textFill>
              </w:rPr>
              <w:t xml:space="preserve">            </w:t>
            </w: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t>项目</w:t>
            </w:r>
          </w:p>
          <w:p>
            <w:pPr>
              <w:pStyle w:val="43"/>
              <w:spacing w:beforeLines="0" w:afterLines="0" w:line="240" w:lineRule="auto"/>
              <w:jc w:val="both"/>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t>分类</w:t>
            </w:r>
          </w:p>
        </w:tc>
        <w:tc>
          <w:tcPr>
            <w:tcW w:w="1417" w:type="dxa"/>
            <w:noWrap w:val="0"/>
            <w:tcMar>
              <w:left w:w="28" w:type="dxa"/>
              <w:right w:w="28" w:type="dxa"/>
            </w:tcMar>
            <w:vAlign w:val="center"/>
          </w:tcPr>
          <w:p>
            <w:pPr>
              <w:pStyle w:val="43"/>
              <w:spacing w:beforeLines="0" w:afterLines="0" w:line="240" w:lineRule="auto"/>
              <w:jc w:val="cente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t>污染物名称</w:t>
            </w:r>
          </w:p>
        </w:tc>
        <w:tc>
          <w:tcPr>
            <w:tcW w:w="1701" w:type="dxa"/>
            <w:noWrap w:val="0"/>
            <w:tcMar>
              <w:left w:w="28" w:type="dxa"/>
              <w:right w:w="28" w:type="dxa"/>
            </w:tcMar>
            <w:vAlign w:val="center"/>
          </w:tcPr>
          <w:p>
            <w:pPr>
              <w:pStyle w:val="43"/>
              <w:spacing w:beforeLines="0" w:afterLines="0" w:line="240" w:lineRule="auto"/>
              <w:jc w:val="cente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t>现有工程</w:t>
            </w:r>
          </w:p>
          <w:p>
            <w:pPr>
              <w:pStyle w:val="43"/>
              <w:spacing w:beforeLines="0" w:afterLines="0" w:line="240" w:lineRule="auto"/>
              <w:jc w:val="cente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t>排放量（固体废物产生量）</w:t>
            </w: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instrText xml:space="preserve"> = 1 \* GB3 \* MERGEFORMAT </w:instrText>
            </w: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eastAsia="宋体" w:cs="Times New Roman"/>
                <w:b/>
                <w:bCs/>
                <w:color w:val="000000" w:themeColor="text1"/>
                <w:kern w:val="2"/>
                <w:sz w:val="21"/>
                <w:szCs w:val="21"/>
                <w14:textFill>
                  <w14:solidFill>
                    <w14:schemeClr w14:val="tx1"/>
                  </w14:solidFill>
                </w14:textFill>
              </w:rPr>
              <w:t>①</w:t>
            </w: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fldChar w:fldCharType="end"/>
            </w:r>
          </w:p>
        </w:tc>
        <w:tc>
          <w:tcPr>
            <w:tcW w:w="1276" w:type="dxa"/>
            <w:noWrap w:val="0"/>
            <w:tcMar>
              <w:left w:w="28" w:type="dxa"/>
              <w:right w:w="28" w:type="dxa"/>
            </w:tcMar>
            <w:vAlign w:val="center"/>
          </w:tcPr>
          <w:p>
            <w:pPr>
              <w:pStyle w:val="43"/>
              <w:spacing w:beforeLines="0" w:afterLines="0" w:line="240" w:lineRule="auto"/>
              <w:jc w:val="cente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t>现有工程</w:t>
            </w:r>
          </w:p>
          <w:p>
            <w:pPr>
              <w:pStyle w:val="43"/>
              <w:spacing w:beforeLines="0" w:afterLines="0" w:line="240" w:lineRule="auto"/>
              <w:jc w:val="cente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t>许可排放量</w:t>
            </w:r>
          </w:p>
          <w:p>
            <w:pPr>
              <w:pStyle w:val="43"/>
              <w:spacing w:beforeLines="0" w:afterLines="0"/>
              <w:jc w:val="cente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instrText xml:space="preserve"> = 2 \* GB3 \* MERGEFORMAT </w:instrText>
            </w: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t>②</w:t>
            </w: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fldChar w:fldCharType="end"/>
            </w:r>
          </w:p>
        </w:tc>
        <w:tc>
          <w:tcPr>
            <w:tcW w:w="1701" w:type="dxa"/>
            <w:noWrap w:val="0"/>
            <w:tcMar>
              <w:left w:w="28" w:type="dxa"/>
              <w:right w:w="28" w:type="dxa"/>
            </w:tcMar>
            <w:vAlign w:val="center"/>
          </w:tcPr>
          <w:p>
            <w:pPr>
              <w:pStyle w:val="43"/>
              <w:spacing w:beforeLines="0" w:afterLines="0" w:line="240" w:lineRule="auto"/>
              <w:jc w:val="cente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t>在建工程</w:t>
            </w:r>
          </w:p>
          <w:p>
            <w:pPr>
              <w:pStyle w:val="43"/>
              <w:spacing w:beforeLines="0" w:afterLines="0" w:line="240" w:lineRule="auto"/>
              <w:jc w:val="cente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t>排放量（固体废物产生量）</w:t>
            </w: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instrText xml:space="preserve"> = 3 \* GB3 \* MERGEFORMAT </w:instrText>
            </w: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eastAsia="宋体" w:cs="Times New Roman"/>
                <w:b/>
                <w:bCs/>
                <w:color w:val="000000" w:themeColor="text1"/>
                <w:kern w:val="2"/>
                <w:sz w:val="21"/>
                <w:szCs w:val="21"/>
                <w14:textFill>
                  <w14:solidFill>
                    <w14:schemeClr w14:val="tx1"/>
                  </w14:solidFill>
                </w14:textFill>
              </w:rPr>
              <w:t>③</w:t>
            </w: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fldChar w:fldCharType="end"/>
            </w:r>
          </w:p>
        </w:tc>
        <w:tc>
          <w:tcPr>
            <w:tcW w:w="1559" w:type="dxa"/>
            <w:noWrap w:val="0"/>
            <w:tcMar>
              <w:left w:w="28" w:type="dxa"/>
              <w:right w:w="28" w:type="dxa"/>
            </w:tcMar>
            <w:vAlign w:val="center"/>
          </w:tcPr>
          <w:p>
            <w:pPr>
              <w:pStyle w:val="43"/>
              <w:spacing w:beforeLines="0" w:afterLines="0" w:line="240" w:lineRule="auto"/>
              <w:jc w:val="cente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t>本项目</w:t>
            </w:r>
          </w:p>
          <w:p>
            <w:pPr>
              <w:pStyle w:val="43"/>
              <w:spacing w:beforeLines="0" w:afterLines="0" w:line="240" w:lineRule="auto"/>
              <w:jc w:val="cente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t>排放量（固体废物产生量）</w:t>
            </w: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instrText xml:space="preserve"> = 4 \* GB3 \* MERGEFORMAT </w:instrText>
            </w: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eastAsia="宋体" w:cs="Times New Roman"/>
                <w:b/>
                <w:bCs/>
                <w:color w:val="000000" w:themeColor="text1"/>
                <w:kern w:val="2"/>
                <w:sz w:val="21"/>
                <w:szCs w:val="21"/>
                <w14:textFill>
                  <w14:solidFill>
                    <w14:schemeClr w14:val="tx1"/>
                  </w14:solidFill>
                </w14:textFill>
              </w:rPr>
              <w:t>④</w:t>
            </w: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fldChar w:fldCharType="end"/>
            </w:r>
          </w:p>
        </w:tc>
        <w:tc>
          <w:tcPr>
            <w:tcW w:w="1761" w:type="dxa"/>
            <w:noWrap w:val="0"/>
            <w:tcMar>
              <w:left w:w="28" w:type="dxa"/>
              <w:right w:w="28" w:type="dxa"/>
            </w:tcMar>
            <w:vAlign w:val="center"/>
          </w:tcPr>
          <w:p>
            <w:pPr>
              <w:pStyle w:val="43"/>
              <w:spacing w:beforeLines="0" w:afterLines="0" w:line="240" w:lineRule="auto"/>
              <w:jc w:val="center"/>
              <w:rPr>
                <w:rFonts w:hint="default" w:ascii="Times New Roman" w:hAnsi="Times New Roman" w:eastAsia="宋体" w:cs="Times New Roman"/>
                <w:b/>
                <w:bCs/>
                <w:snapToGrid w:val="0"/>
                <w:color w:val="000000" w:themeColor="text1"/>
                <w:spacing w:val="-16"/>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spacing w:val="-16"/>
                <w:kern w:val="21"/>
                <w:sz w:val="21"/>
                <w:szCs w:val="21"/>
                <w14:textFill>
                  <w14:solidFill>
                    <w14:schemeClr w14:val="tx1"/>
                  </w14:solidFill>
                </w14:textFill>
              </w:rPr>
              <w:t>以新带老削减量</w:t>
            </w:r>
          </w:p>
          <w:p>
            <w:pPr>
              <w:pStyle w:val="43"/>
              <w:spacing w:beforeLines="0" w:afterLines="0" w:line="240" w:lineRule="auto"/>
              <w:jc w:val="center"/>
              <w:rPr>
                <w:rFonts w:hint="default" w:ascii="Times New Roman" w:hAnsi="Times New Roman" w:eastAsia="宋体" w:cs="Times New Roman"/>
                <w:b/>
                <w:bCs/>
                <w:snapToGrid w:val="0"/>
                <w:color w:val="000000" w:themeColor="text1"/>
                <w:spacing w:val="-16"/>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spacing w:val="-16"/>
                <w:kern w:val="21"/>
                <w:sz w:val="21"/>
                <w:szCs w:val="21"/>
                <w14:textFill>
                  <w14:solidFill>
                    <w14:schemeClr w14:val="tx1"/>
                  </w14:solidFill>
                </w14:textFill>
              </w:rPr>
              <w:t>（新建项目不填）</w:t>
            </w:r>
            <w:r>
              <w:rPr>
                <w:rFonts w:hint="default" w:ascii="Times New Roman" w:hAnsi="Times New Roman" w:eastAsia="宋体" w:cs="Times New Roman"/>
                <w:b/>
                <w:bCs/>
                <w:snapToGrid w:val="0"/>
                <w:color w:val="000000" w:themeColor="text1"/>
                <w:spacing w:val="-16"/>
                <w:kern w:val="21"/>
                <w:sz w:val="21"/>
                <w:szCs w:val="21"/>
                <w14:textFill>
                  <w14:solidFill>
                    <w14:schemeClr w14:val="tx1"/>
                  </w14:solidFill>
                </w14:textFill>
              </w:rPr>
              <w:fldChar w:fldCharType="begin"/>
            </w:r>
            <w:r>
              <w:rPr>
                <w:rFonts w:hint="default" w:ascii="Times New Roman" w:hAnsi="Times New Roman" w:eastAsia="宋体" w:cs="Times New Roman"/>
                <w:b/>
                <w:bCs/>
                <w:snapToGrid w:val="0"/>
                <w:color w:val="000000" w:themeColor="text1"/>
                <w:spacing w:val="-16"/>
                <w:kern w:val="21"/>
                <w:sz w:val="21"/>
                <w:szCs w:val="21"/>
                <w14:textFill>
                  <w14:solidFill>
                    <w14:schemeClr w14:val="tx1"/>
                  </w14:solidFill>
                </w14:textFill>
              </w:rPr>
              <w:instrText xml:space="preserve"> = 5 \* GB3 \* MERGEFORMAT </w:instrText>
            </w:r>
            <w:r>
              <w:rPr>
                <w:rFonts w:hint="default" w:ascii="Times New Roman" w:hAnsi="Times New Roman" w:eastAsia="宋体" w:cs="Times New Roman"/>
                <w:b/>
                <w:bCs/>
                <w:snapToGrid w:val="0"/>
                <w:color w:val="000000" w:themeColor="text1"/>
                <w:spacing w:val="-16"/>
                <w:kern w:val="21"/>
                <w:sz w:val="21"/>
                <w:szCs w:val="21"/>
                <w14:textFill>
                  <w14:solidFill>
                    <w14:schemeClr w14:val="tx1"/>
                  </w14:solidFill>
                </w14:textFill>
              </w:rPr>
              <w:fldChar w:fldCharType="separate"/>
            </w:r>
            <w:r>
              <w:rPr>
                <w:rFonts w:hint="default" w:ascii="Times New Roman" w:hAnsi="Times New Roman" w:eastAsia="宋体" w:cs="Times New Roman"/>
                <w:b/>
                <w:bCs/>
                <w:color w:val="000000" w:themeColor="text1"/>
                <w:kern w:val="2"/>
                <w:sz w:val="21"/>
                <w:szCs w:val="21"/>
                <w14:textFill>
                  <w14:solidFill>
                    <w14:schemeClr w14:val="tx1"/>
                  </w14:solidFill>
                </w14:textFill>
              </w:rPr>
              <w:t>⑤</w:t>
            </w:r>
            <w:r>
              <w:rPr>
                <w:rFonts w:hint="default" w:ascii="Times New Roman" w:hAnsi="Times New Roman" w:eastAsia="宋体" w:cs="Times New Roman"/>
                <w:b/>
                <w:bCs/>
                <w:snapToGrid w:val="0"/>
                <w:color w:val="000000" w:themeColor="text1"/>
                <w:spacing w:val="-16"/>
                <w:kern w:val="21"/>
                <w:sz w:val="21"/>
                <w:szCs w:val="21"/>
                <w14:textFill>
                  <w14:solidFill>
                    <w14:schemeClr w14:val="tx1"/>
                  </w14:solidFill>
                </w14:textFill>
              </w:rPr>
              <w:fldChar w:fldCharType="end"/>
            </w:r>
          </w:p>
        </w:tc>
        <w:tc>
          <w:tcPr>
            <w:tcW w:w="1721" w:type="dxa"/>
            <w:noWrap w:val="0"/>
            <w:tcMar>
              <w:left w:w="28" w:type="dxa"/>
              <w:right w:w="28" w:type="dxa"/>
            </w:tcMar>
            <w:vAlign w:val="center"/>
          </w:tcPr>
          <w:p>
            <w:pPr>
              <w:pStyle w:val="43"/>
              <w:spacing w:beforeLines="0" w:afterLines="0" w:line="240" w:lineRule="auto"/>
              <w:jc w:val="center"/>
              <w:rPr>
                <w:rFonts w:hint="default" w:ascii="Times New Roman" w:hAnsi="Times New Roman" w:eastAsia="宋体" w:cs="Times New Roman"/>
                <w:b/>
                <w:bCs/>
                <w:snapToGrid w:val="0"/>
                <w:color w:val="000000" w:themeColor="text1"/>
                <w:spacing w:val="-16"/>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spacing w:val="-16"/>
                <w:kern w:val="21"/>
                <w:sz w:val="21"/>
                <w:szCs w:val="21"/>
                <w14:textFill>
                  <w14:solidFill>
                    <w14:schemeClr w14:val="tx1"/>
                  </w14:solidFill>
                </w14:textFill>
              </w:rPr>
              <w:t>本项目建成后</w:t>
            </w:r>
          </w:p>
          <w:p>
            <w:pPr>
              <w:pStyle w:val="43"/>
              <w:spacing w:beforeLines="0" w:afterLines="0" w:line="240" w:lineRule="auto"/>
              <w:jc w:val="center"/>
              <w:rPr>
                <w:rFonts w:hint="default" w:ascii="Times New Roman" w:hAnsi="Times New Roman" w:eastAsia="宋体" w:cs="Times New Roman"/>
                <w:b/>
                <w:bCs/>
                <w:snapToGrid w:val="0"/>
                <w:color w:val="000000" w:themeColor="text1"/>
                <w:spacing w:val="-16"/>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spacing w:val="-16"/>
                <w:kern w:val="21"/>
                <w:sz w:val="21"/>
                <w:szCs w:val="21"/>
                <w14:textFill>
                  <w14:solidFill>
                    <w14:schemeClr w14:val="tx1"/>
                  </w14:solidFill>
                </w14:textFill>
              </w:rPr>
              <w:t>全厂排放量（固体废物产生量）</w:t>
            </w:r>
            <w:r>
              <w:rPr>
                <w:rFonts w:hint="default" w:ascii="Times New Roman" w:hAnsi="Times New Roman" w:eastAsia="宋体" w:cs="Times New Roman"/>
                <w:b/>
                <w:bCs/>
                <w:snapToGrid w:val="0"/>
                <w:color w:val="000000" w:themeColor="text1"/>
                <w:spacing w:val="-16"/>
                <w:kern w:val="21"/>
                <w:sz w:val="21"/>
                <w:szCs w:val="21"/>
                <w14:textFill>
                  <w14:solidFill>
                    <w14:schemeClr w14:val="tx1"/>
                  </w14:solidFill>
                </w14:textFill>
              </w:rPr>
              <w:fldChar w:fldCharType="begin"/>
            </w:r>
            <w:r>
              <w:rPr>
                <w:rFonts w:hint="default" w:ascii="Times New Roman" w:hAnsi="Times New Roman" w:eastAsia="宋体" w:cs="Times New Roman"/>
                <w:b/>
                <w:bCs/>
                <w:snapToGrid w:val="0"/>
                <w:color w:val="000000" w:themeColor="text1"/>
                <w:spacing w:val="-16"/>
                <w:kern w:val="21"/>
                <w:sz w:val="21"/>
                <w:szCs w:val="21"/>
                <w14:textFill>
                  <w14:solidFill>
                    <w14:schemeClr w14:val="tx1"/>
                  </w14:solidFill>
                </w14:textFill>
              </w:rPr>
              <w:instrText xml:space="preserve"> = 6 \* GB3 \* MERGEFORMAT </w:instrText>
            </w:r>
            <w:r>
              <w:rPr>
                <w:rFonts w:hint="default" w:ascii="Times New Roman" w:hAnsi="Times New Roman" w:eastAsia="宋体" w:cs="Times New Roman"/>
                <w:b/>
                <w:bCs/>
                <w:snapToGrid w:val="0"/>
                <w:color w:val="000000" w:themeColor="text1"/>
                <w:spacing w:val="-16"/>
                <w:kern w:val="21"/>
                <w:sz w:val="21"/>
                <w:szCs w:val="21"/>
                <w14:textFill>
                  <w14:solidFill>
                    <w14:schemeClr w14:val="tx1"/>
                  </w14:solidFill>
                </w14:textFill>
              </w:rPr>
              <w:fldChar w:fldCharType="separate"/>
            </w:r>
            <w:r>
              <w:rPr>
                <w:rFonts w:hint="default" w:ascii="Times New Roman" w:hAnsi="Times New Roman" w:eastAsia="宋体" w:cs="Times New Roman"/>
                <w:b/>
                <w:bCs/>
                <w:color w:val="000000" w:themeColor="text1"/>
                <w:kern w:val="2"/>
                <w:sz w:val="21"/>
                <w:szCs w:val="21"/>
                <w14:textFill>
                  <w14:solidFill>
                    <w14:schemeClr w14:val="tx1"/>
                  </w14:solidFill>
                </w14:textFill>
              </w:rPr>
              <w:t>⑥</w:t>
            </w:r>
            <w:r>
              <w:rPr>
                <w:rFonts w:hint="default" w:ascii="Times New Roman" w:hAnsi="Times New Roman" w:eastAsia="宋体" w:cs="Times New Roman"/>
                <w:b/>
                <w:bCs/>
                <w:snapToGrid w:val="0"/>
                <w:color w:val="000000" w:themeColor="text1"/>
                <w:spacing w:val="-16"/>
                <w:kern w:val="21"/>
                <w:sz w:val="21"/>
                <w:szCs w:val="21"/>
                <w14:textFill>
                  <w14:solidFill>
                    <w14:schemeClr w14:val="tx1"/>
                  </w14:solidFill>
                </w14:textFill>
              </w:rPr>
              <w:fldChar w:fldCharType="end"/>
            </w:r>
          </w:p>
        </w:tc>
        <w:tc>
          <w:tcPr>
            <w:tcW w:w="1064" w:type="dxa"/>
            <w:noWrap w:val="0"/>
            <w:tcMar>
              <w:left w:w="28" w:type="dxa"/>
              <w:right w:w="28" w:type="dxa"/>
            </w:tcMar>
            <w:vAlign w:val="center"/>
          </w:tcPr>
          <w:p>
            <w:pPr>
              <w:pStyle w:val="43"/>
              <w:spacing w:beforeLines="0" w:afterLines="0" w:line="240" w:lineRule="auto"/>
              <w:jc w:val="cente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t>变化量</w:t>
            </w:r>
          </w:p>
          <w:p>
            <w:pPr>
              <w:pStyle w:val="43"/>
              <w:spacing w:beforeLines="0" w:afterLines="0" w:line="240" w:lineRule="auto"/>
              <w:jc w:val="cente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pP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fldChar w:fldCharType="begin"/>
            </w: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instrText xml:space="preserve"> = 7 \* GB3 \* MERGEFORMAT </w:instrText>
            </w: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fldChar w:fldCharType="separate"/>
            </w:r>
            <w:r>
              <w:rPr>
                <w:rFonts w:hint="default" w:ascii="Times New Roman" w:hAnsi="Times New Roman" w:eastAsia="宋体" w:cs="Times New Roman"/>
                <w:b/>
                <w:bCs/>
                <w:color w:val="000000" w:themeColor="text1"/>
                <w:kern w:val="2"/>
                <w:sz w:val="21"/>
                <w:szCs w:val="21"/>
                <w14:textFill>
                  <w14:solidFill>
                    <w14:schemeClr w14:val="tx1"/>
                  </w14:solidFill>
                </w14:textFill>
              </w:rPr>
              <w:t>⑦</w:t>
            </w:r>
            <w:r>
              <w:rPr>
                <w:rFonts w:hint="default" w:ascii="Times New Roman" w:hAnsi="Times New Roman" w:eastAsia="宋体" w:cs="Times New Roman"/>
                <w:b/>
                <w:bCs/>
                <w:snapToGrid w:val="0"/>
                <w:color w:val="000000" w:themeColor="text1"/>
                <w:spacing w:val="-6"/>
                <w:kern w:val="21"/>
                <w:sz w:val="21"/>
                <w:szCs w:val="21"/>
                <w14:textFill>
                  <w14:solidFill>
                    <w14:schemeClr w14:val="tx1"/>
                  </w14:solidFill>
                </w14:textFill>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noWrap w:val="0"/>
            <w:vAlign w:val="center"/>
          </w:tcPr>
          <w:p>
            <w:pPr>
              <w:pStyle w:val="43"/>
              <w:spacing w:beforeLines="0" w:afterLines="0" w:line="240" w:lineRule="auto"/>
              <w:jc w:val="center"/>
              <w:rPr>
                <w:rFonts w:hint="default" w:ascii="Times New Roman" w:hAnsi="Times New Roman" w:eastAsia="宋体" w:cs="Times New Roman"/>
                <w:snapToGrid w:val="0"/>
                <w:color w:val="FF0000"/>
                <w:kern w:val="21"/>
                <w:sz w:val="21"/>
                <w:szCs w:val="21"/>
              </w:rPr>
            </w:pPr>
            <w:r>
              <w:rPr>
                <w:rFonts w:hint="default" w:ascii="Times New Roman" w:hAnsi="Times New Roman" w:eastAsia="宋体" w:cs="Times New Roman"/>
                <w:snapToGrid w:val="0"/>
                <w:color w:val="000000" w:themeColor="text1"/>
                <w:kern w:val="21"/>
                <w:sz w:val="21"/>
                <w:szCs w:val="21"/>
                <w14:textFill>
                  <w14:solidFill>
                    <w14:schemeClr w14:val="tx1"/>
                  </w14:solidFill>
                </w14:textFill>
              </w:rPr>
              <w:t>废气</w:t>
            </w:r>
          </w:p>
        </w:tc>
        <w:tc>
          <w:tcPr>
            <w:tcW w:w="1417" w:type="dxa"/>
            <w:shd w:val="clear" w:color="auto" w:fill="auto"/>
            <w:noWrap w:val="0"/>
            <w:vAlign w:val="center"/>
          </w:tcPr>
          <w:p>
            <w:pPr>
              <w:pStyle w:val="87"/>
              <w:bidi w:val="0"/>
              <w:ind w:firstLine="0" w:firstLineChars="0"/>
              <w:rPr>
                <w:rFonts w:hint="default" w:ascii="Times New Roman" w:hAnsi="Times New Roman" w:eastAsia="宋体" w:cs="Times New Roman"/>
                <w:color w:val="000000"/>
                <w:kern w:val="2"/>
                <w:sz w:val="21"/>
                <w:szCs w:val="21"/>
                <w:highlight w:val="none"/>
                <w:lang w:val="en-US" w:eastAsia="zh-CN" w:bidi="ar-SA"/>
              </w:rPr>
            </w:pPr>
            <w:r>
              <w:rPr>
                <w:rFonts w:hint="eastAsia" w:cs="Times New Roman"/>
                <w:color w:val="000000"/>
                <w:kern w:val="2"/>
                <w:sz w:val="21"/>
                <w:szCs w:val="21"/>
                <w:highlight w:val="none"/>
                <w:lang w:val="en-US" w:eastAsia="zh-CN" w:bidi="ar-SA"/>
              </w:rPr>
              <w:t>/</w:t>
            </w:r>
          </w:p>
        </w:tc>
        <w:tc>
          <w:tcPr>
            <w:tcW w:w="170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276"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70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559" w:type="dxa"/>
            <w:shd w:val="clear" w:color="auto" w:fill="auto"/>
            <w:noWrap w:val="0"/>
            <w:vAlign w:val="center"/>
          </w:tcPr>
          <w:p>
            <w:pPr>
              <w:bidi w:val="0"/>
              <w:jc w:val="center"/>
              <w:rPr>
                <w:rFonts w:hint="default" w:ascii="Times New Roman" w:hAnsi="Times New Roman" w:eastAsia="宋体" w:cs="Times New Roman"/>
                <w:color w:val="FF0000"/>
                <w:kern w:val="2"/>
                <w:sz w:val="21"/>
                <w:szCs w:val="21"/>
                <w:lang w:val="en-US" w:eastAsia="zh-CN" w:bidi="ar-SA"/>
              </w:rPr>
            </w:pPr>
            <w:r>
              <w:rPr>
                <w:rFonts w:hint="eastAsia" w:cs="Times New Roman"/>
                <w:color w:val="000000"/>
                <w:kern w:val="2"/>
                <w:sz w:val="21"/>
                <w:szCs w:val="21"/>
                <w:highlight w:val="none"/>
                <w:lang w:val="en-US" w:eastAsia="zh-CN" w:bidi="ar-SA"/>
              </w:rPr>
              <w:t>/</w:t>
            </w:r>
          </w:p>
        </w:tc>
        <w:tc>
          <w:tcPr>
            <w:tcW w:w="1761" w:type="dxa"/>
            <w:shd w:val="clear" w:color="auto" w:fill="auto"/>
            <w:noWrap w:val="0"/>
            <w:vAlign w:val="center"/>
          </w:tcPr>
          <w:p>
            <w:pPr>
              <w:bidi w:val="0"/>
              <w:ind w:firstLine="0" w:firstLineChars="0"/>
              <w:jc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721" w:type="dxa"/>
            <w:shd w:val="clear" w:color="auto" w:fill="auto"/>
            <w:noWrap w:val="0"/>
            <w:vAlign w:val="center"/>
          </w:tcPr>
          <w:p>
            <w:pPr>
              <w:bidi w:val="0"/>
              <w:jc w:val="center"/>
              <w:rPr>
                <w:rFonts w:hint="default" w:ascii="Times New Roman" w:hAnsi="Times New Roman" w:eastAsia="宋体" w:cs="Times New Roman"/>
                <w:color w:val="FF0000"/>
                <w:kern w:val="2"/>
                <w:sz w:val="21"/>
                <w:szCs w:val="21"/>
                <w:lang w:val="en-US" w:eastAsia="zh-CN" w:bidi="ar-SA"/>
              </w:rPr>
            </w:pPr>
            <w:r>
              <w:rPr>
                <w:rFonts w:hint="eastAsia" w:cs="Times New Roman"/>
                <w:color w:val="000000"/>
                <w:kern w:val="2"/>
                <w:sz w:val="21"/>
                <w:szCs w:val="21"/>
                <w:highlight w:val="none"/>
                <w:lang w:val="en-US" w:eastAsia="zh-CN" w:bidi="ar-SA"/>
              </w:rPr>
              <w:t>/</w:t>
            </w:r>
          </w:p>
        </w:tc>
        <w:tc>
          <w:tcPr>
            <w:tcW w:w="1064" w:type="dxa"/>
            <w:shd w:val="clear" w:color="auto" w:fill="auto"/>
            <w:noWrap w:val="0"/>
            <w:vAlign w:val="center"/>
          </w:tcPr>
          <w:p>
            <w:pPr>
              <w:bidi w:val="0"/>
              <w:jc w:val="center"/>
              <w:rPr>
                <w:rFonts w:hint="default" w:ascii="Times New Roman" w:hAnsi="Times New Roman" w:eastAsia="宋体" w:cs="Times New Roman"/>
                <w:color w:val="FF0000"/>
                <w:kern w:val="2"/>
                <w:sz w:val="21"/>
                <w:szCs w:val="21"/>
                <w:lang w:val="en-US" w:eastAsia="zh-CN" w:bidi="ar-SA"/>
              </w:rPr>
            </w:pPr>
            <w:r>
              <w:rPr>
                <w:rFonts w:hint="eastAsia" w:cs="Times New Roman"/>
                <w:color w:val="000000"/>
                <w:kern w:val="2"/>
                <w:sz w:val="21"/>
                <w:szCs w:val="21"/>
                <w:highlight w:val="none"/>
                <w:lang w:val="en-US" w:eastAsia="zh-CN" w:bidi="ar-S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pPr>
              <w:pStyle w:val="43"/>
              <w:spacing w:beforeLines="0" w:afterLines="0" w:line="240" w:lineRule="auto"/>
              <w:jc w:val="center"/>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14:textFill>
                  <w14:solidFill>
                    <w14:schemeClr w14:val="tx1"/>
                  </w14:solidFill>
                </w14:textFill>
              </w:rPr>
              <w:t>废水</w:t>
            </w:r>
          </w:p>
        </w:tc>
        <w:tc>
          <w:tcPr>
            <w:tcW w:w="1417" w:type="dxa"/>
            <w:shd w:val="clear" w:color="auto" w:fill="auto"/>
            <w:noWrap w:val="0"/>
            <w:vAlign w:val="center"/>
          </w:tcPr>
          <w:p>
            <w:pPr>
              <w:pStyle w:val="44"/>
              <w:spacing w:before="118"/>
              <w:ind w:left="109" w:leftChars="0" w:right="89" w:rightChars="0"/>
              <w:jc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CODcr</w:t>
            </w:r>
          </w:p>
        </w:tc>
        <w:tc>
          <w:tcPr>
            <w:tcW w:w="1701" w:type="dxa"/>
            <w:shd w:val="clear" w:color="auto" w:fill="auto"/>
            <w:noWrap w:val="0"/>
            <w:vAlign w:val="center"/>
          </w:tcPr>
          <w:p>
            <w:pPr>
              <w:bidi w:val="0"/>
              <w:ind w:firstLine="0" w:firstLineChars="0"/>
              <w:jc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276" w:type="dxa"/>
            <w:shd w:val="clear" w:color="auto" w:fill="auto"/>
            <w:noWrap w:val="0"/>
            <w:vAlign w:val="center"/>
          </w:tcPr>
          <w:p>
            <w:pPr>
              <w:bidi w:val="0"/>
              <w:ind w:firstLine="0" w:firstLineChars="0"/>
              <w:jc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70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559" w:type="dxa"/>
            <w:noWrap w:val="0"/>
            <w:vAlign w:val="center"/>
          </w:tcPr>
          <w:p>
            <w:pPr>
              <w:pStyle w:val="87"/>
              <w:bidi w:val="0"/>
              <w:ind w:firstLine="0" w:firstLineChars="0"/>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0.01277</w:t>
            </w:r>
            <w:r>
              <w:rPr>
                <w:rFonts w:hint="eastAsia"/>
                <w:color w:val="000000" w:themeColor="text1"/>
                <w:sz w:val="21"/>
                <w:szCs w:val="21"/>
                <w:lang w:val="en-US" w:eastAsia="zh-CN"/>
                <w14:textFill>
                  <w14:solidFill>
                    <w14:schemeClr w14:val="tx1"/>
                  </w14:solidFill>
                </w14:textFill>
              </w:rPr>
              <w:t>t/a</w:t>
            </w:r>
          </w:p>
        </w:tc>
        <w:tc>
          <w:tcPr>
            <w:tcW w:w="1761" w:type="dxa"/>
            <w:shd w:val="clear" w:color="auto" w:fill="auto"/>
            <w:noWrap w:val="0"/>
            <w:vAlign w:val="center"/>
          </w:tcPr>
          <w:p>
            <w:pPr>
              <w:bidi w:val="0"/>
              <w:ind w:firstLine="0" w:firstLineChars="0"/>
              <w:jc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721" w:type="dxa"/>
            <w:noWrap w:val="0"/>
            <w:vAlign w:val="center"/>
          </w:tcPr>
          <w:p>
            <w:pPr>
              <w:pStyle w:val="87"/>
              <w:bidi w:val="0"/>
              <w:ind w:firstLine="0" w:firstLineChars="0"/>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0.01277</w:t>
            </w:r>
            <w:r>
              <w:rPr>
                <w:rFonts w:hint="eastAsia"/>
                <w:color w:val="000000" w:themeColor="text1"/>
                <w:sz w:val="21"/>
                <w:szCs w:val="21"/>
                <w:lang w:val="en-US" w:eastAsia="zh-CN"/>
                <w14:textFill>
                  <w14:solidFill>
                    <w14:schemeClr w14:val="tx1"/>
                  </w14:solidFill>
                </w14:textFill>
              </w:rPr>
              <w:t>t/a</w:t>
            </w:r>
          </w:p>
        </w:tc>
        <w:tc>
          <w:tcPr>
            <w:tcW w:w="1064" w:type="dxa"/>
            <w:noWrap w:val="0"/>
            <w:vAlign w:val="center"/>
          </w:tcPr>
          <w:p>
            <w:pPr>
              <w:pStyle w:val="87"/>
              <w:bidi w:val="0"/>
              <w:ind w:firstLine="0" w:firstLineChars="0"/>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+0.01277</w:t>
            </w:r>
            <w:r>
              <w:rPr>
                <w:rFonts w:hint="eastAsia"/>
                <w:color w:val="000000" w:themeColor="text1"/>
                <w:sz w:val="21"/>
                <w:szCs w:val="21"/>
                <w:lang w:val="en-US" w:eastAsia="zh-CN"/>
                <w14:textFill>
                  <w14:solidFill>
                    <w14:schemeClr w14:val="tx1"/>
                  </w14:solidFill>
                </w14:textFill>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3"/>
              <w:spacing w:beforeLines="0" w:afterLines="0" w:line="240" w:lineRule="auto"/>
              <w:jc w:val="center"/>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p>
        </w:tc>
        <w:tc>
          <w:tcPr>
            <w:tcW w:w="1417" w:type="dxa"/>
            <w:shd w:val="clear" w:color="auto" w:fill="auto"/>
            <w:noWrap w:val="0"/>
            <w:vAlign w:val="center"/>
          </w:tcPr>
          <w:p>
            <w:pPr>
              <w:pStyle w:val="44"/>
              <w:spacing w:before="118"/>
              <w:ind w:left="109" w:leftChars="0" w:right="89" w:right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BOD</w:t>
            </w:r>
            <w:r>
              <w:rPr>
                <w:rFonts w:hint="eastAsia" w:ascii="Times New Roman" w:hAnsi="Times New Roman" w:cs="Times New Roman"/>
                <w:color w:val="000000" w:themeColor="text1"/>
                <w:sz w:val="21"/>
                <w:szCs w:val="21"/>
                <w:vertAlign w:val="subscript"/>
                <w:lang w:val="en-US" w:eastAsia="zh-CN"/>
                <w14:textFill>
                  <w14:solidFill>
                    <w14:schemeClr w14:val="tx1"/>
                  </w14:solidFill>
                </w14:textFill>
              </w:rPr>
              <w:t>5</w:t>
            </w:r>
          </w:p>
        </w:tc>
        <w:tc>
          <w:tcPr>
            <w:tcW w:w="1701" w:type="dxa"/>
            <w:shd w:val="clear" w:color="auto" w:fill="auto"/>
            <w:noWrap w:val="0"/>
            <w:vAlign w:val="center"/>
          </w:tcPr>
          <w:p>
            <w:pPr>
              <w:bidi w:val="0"/>
              <w:ind w:firstLine="0" w:firstLineChars="0"/>
              <w:jc w:val="center"/>
              <w:rPr>
                <w:rFonts w:hint="eastAsia"/>
                <w:color w:val="000000" w:themeColor="text1"/>
                <w:sz w:val="21"/>
                <w:szCs w:val="21"/>
                <w:lang w:val="en-US" w:eastAsia="zh-CN"/>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276" w:type="dxa"/>
            <w:shd w:val="clear" w:color="auto" w:fill="auto"/>
            <w:noWrap w:val="0"/>
            <w:vAlign w:val="center"/>
          </w:tcPr>
          <w:p>
            <w:pPr>
              <w:bidi w:val="0"/>
              <w:ind w:firstLine="0" w:firstLineChars="0"/>
              <w:jc w:val="center"/>
              <w:rPr>
                <w:rFonts w:hint="eastAsia"/>
                <w:color w:val="000000" w:themeColor="text1"/>
                <w:sz w:val="21"/>
                <w:szCs w:val="21"/>
                <w:lang w:val="en-US" w:eastAsia="zh-CN"/>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70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559" w:type="dxa"/>
            <w:noWrap w:val="0"/>
            <w:vAlign w:val="center"/>
          </w:tcPr>
          <w:p>
            <w:pPr>
              <w:pStyle w:val="87"/>
              <w:bidi w:val="0"/>
              <w:ind w:firstLine="0" w:firstLineChars="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0.00484</w:t>
            </w:r>
            <w:r>
              <w:rPr>
                <w:rFonts w:hint="eastAsia"/>
                <w:color w:val="000000" w:themeColor="text1"/>
                <w:sz w:val="21"/>
                <w:szCs w:val="21"/>
                <w:lang w:val="en-US" w:eastAsia="zh-CN"/>
                <w14:textFill>
                  <w14:solidFill>
                    <w14:schemeClr w14:val="tx1"/>
                  </w14:solidFill>
                </w14:textFill>
              </w:rPr>
              <w:t>t/a</w:t>
            </w:r>
          </w:p>
        </w:tc>
        <w:tc>
          <w:tcPr>
            <w:tcW w:w="1761" w:type="dxa"/>
            <w:shd w:val="clear" w:color="auto" w:fill="auto"/>
            <w:noWrap w:val="0"/>
            <w:vAlign w:val="center"/>
          </w:tcPr>
          <w:p>
            <w:pPr>
              <w:bidi w:val="0"/>
              <w:ind w:firstLine="0" w:firstLineChars="0"/>
              <w:jc w:val="center"/>
              <w:rPr>
                <w:rFonts w:hint="eastAsia"/>
                <w:color w:val="000000" w:themeColor="text1"/>
                <w:sz w:val="21"/>
                <w:szCs w:val="21"/>
                <w:lang w:val="en-US" w:eastAsia="zh-CN"/>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721" w:type="dxa"/>
            <w:noWrap w:val="0"/>
            <w:vAlign w:val="center"/>
          </w:tcPr>
          <w:p>
            <w:pPr>
              <w:pStyle w:val="87"/>
              <w:bidi w:val="0"/>
              <w:ind w:firstLine="0" w:firstLineChars="0"/>
              <w:rPr>
                <w:rFonts w:hint="eastAsia"/>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0.00484</w:t>
            </w:r>
            <w:r>
              <w:rPr>
                <w:rFonts w:hint="eastAsia"/>
                <w:color w:val="000000" w:themeColor="text1"/>
                <w:sz w:val="21"/>
                <w:szCs w:val="21"/>
                <w:lang w:val="en-US" w:eastAsia="zh-CN"/>
                <w14:textFill>
                  <w14:solidFill>
                    <w14:schemeClr w14:val="tx1"/>
                  </w14:solidFill>
                </w14:textFill>
              </w:rPr>
              <w:t>t/a</w:t>
            </w:r>
          </w:p>
        </w:tc>
        <w:tc>
          <w:tcPr>
            <w:tcW w:w="1064" w:type="dxa"/>
            <w:noWrap w:val="0"/>
            <w:vAlign w:val="center"/>
          </w:tcPr>
          <w:p>
            <w:pPr>
              <w:pStyle w:val="87"/>
              <w:bidi w:val="0"/>
              <w:ind w:firstLine="0" w:firstLineChars="0"/>
              <w:rPr>
                <w:rFonts w:hint="eastAsia"/>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+0.00484</w:t>
            </w:r>
            <w:r>
              <w:rPr>
                <w:rFonts w:hint="eastAsia"/>
                <w:color w:val="000000" w:themeColor="text1"/>
                <w:sz w:val="21"/>
                <w:szCs w:val="21"/>
                <w:lang w:val="en-US" w:eastAsia="zh-CN"/>
                <w14:textFill>
                  <w14:solidFill>
                    <w14:schemeClr w14:val="tx1"/>
                  </w14:solidFill>
                </w14:textFill>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3"/>
              <w:spacing w:beforeLines="0" w:afterLines="0" w:line="240" w:lineRule="auto"/>
              <w:jc w:val="center"/>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p>
        </w:tc>
        <w:tc>
          <w:tcPr>
            <w:tcW w:w="1417" w:type="dxa"/>
            <w:shd w:val="clear" w:color="auto" w:fill="auto"/>
            <w:noWrap w:val="0"/>
            <w:vAlign w:val="center"/>
          </w:tcPr>
          <w:p>
            <w:pPr>
              <w:pStyle w:val="44"/>
              <w:spacing w:before="118"/>
              <w:ind w:left="109" w:leftChars="0" w:right="89" w:right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position w:val="2"/>
                <w:sz w:val="21"/>
                <w:szCs w:val="21"/>
                <w14:textFill>
                  <w14:solidFill>
                    <w14:schemeClr w14:val="tx1"/>
                  </w14:solidFill>
                </w14:textFill>
              </w:rPr>
              <w:t>NH</w:t>
            </w:r>
            <w:r>
              <w:rPr>
                <w:rFonts w:hint="default" w:ascii="Times New Roman" w:hAnsi="Times New Roman" w:eastAsia="宋体" w:cs="Times New Roman"/>
                <w:color w:val="000000" w:themeColor="text1"/>
                <w:sz w:val="21"/>
                <w:szCs w:val="21"/>
                <w:vertAlign w:val="subscript"/>
                <w14:textFill>
                  <w14:solidFill>
                    <w14:schemeClr w14:val="tx1"/>
                  </w14:solidFill>
                </w14:textFill>
              </w:rPr>
              <w:t>3</w:t>
            </w:r>
            <w:r>
              <w:rPr>
                <w:rFonts w:hint="default" w:ascii="Times New Roman" w:hAnsi="Times New Roman" w:eastAsia="宋体" w:cs="Times New Roman"/>
                <w:color w:val="000000" w:themeColor="text1"/>
                <w:position w:val="2"/>
                <w:sz w:val="21"/>
                <w:szCs w:val="21"/>
                <w14:textFill>
                  <w14:solidFill>
                    <w14:schemeClr w14:val="tx1"/>
                  </w14:solidFill>
                </w14:textFill>
              </w:rPr>
              <w:t>-N</w:t>
            </w:r>
          </w:p>
        </w:tc>
        <w:tc>
          <w:tcPr>
            <w:tcW w:w="1701" w:type="dxa"/>
            <w:shd w:val="clear" w:color="auto" w:fill="auto"/>
            <w:noWrap w:val="0"/>
            <w:vAlign w:val="center"/>
          </w:tcPr>
          <w:p>
            <w:pPr>
              <w:bidi w:val="0"/>
              <w:ind w:firstLine="0" w:firstLineChars="0"/>
              <w:jc w:val="center"/>
              <w:rPr>
                <w:rFonts w:hint="eastAsia"/>
                <w:color w:val="000000" w:themeColor="text1"/>
                <w:sz w:val="21"/>
                <w:szCs w:val="21"/>
                <w:lang w:val="en-US" w:eastAsia="zh-CN"/>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276" w:type="dxa"/>
            <w:shd w:val="clear" w:color="auto" w:fill="auto"/>
            <w:noWrap w:val="0"/>
            <w:vAlign w:val="center"/>
          </w:tcPr>
          <w:p>
            <w:pPr>
              <w:bidi w:val="0"/>
              <w:ind w:firstLine="0" w:firstLineChars="0"/>
              <w:jc w:val="center"/>
              <w:rPr>
                <w:rFonts w:hint="eastAsia"/>
                <w:color w:val="000000" w:themeColor="text1"/>
                <w:sz w:val="21"/>
                <w:szCs w:val="21"/>
                <w:lang w:val="en-US" w:eastAsia="zh-CN"/>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70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559" w:type="dxa"/>
            <w:noWrap w:val="0"/>
            <w:vAlign w:val="center"/>
          </w:tcPr>
          <w:p>
            <w:pPr>
              <w:pStyle w:val="87"/>
              <w:bidi w:val="0"/>
              <w:ind w:firstLine="0" w:firstLineChars="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0.00716</w:t>
            </w:r>
            <w:r>
              <w:rPr>
                <w:rFonts w:hint="eastAsia"/>
                <w:color w:val="000000" w:themeColor="text1"/>
                <w:sz w:val="21"/>
                <w:szCs w:val="21"/>
                <w:lang w:val="en-US" w:eastAsia="zh-CN"/>
                <w14:textFill>
                  <w14:solidFill>
                    <w14:schemeClr w14:val="tx1"/>
                  </w14:solidFill>
                </w14:textFill>
              </w:rPr>
              <w:t>t/a</w:t>
            </w:r>
          </w:p>
        </w:tc>
        <w:tc>
          <w:tcPr>
            <w:tcW w:w="1761" w:type="dxa"/>
            <w:shd w:val="clear" w:color="auto" w:fill="auto"/>
            <w:noWrap w:val="0"/>
            <w:vAlign w:val="center"/>
          </w:tcPr>
          <w:p>
            <w:pPr>
              <w:bidi w:val="0"/>
              <w:ind w:firstLine="0" w:firstLineChars="0"/>
              <w:jc w:val="center"/>
              <w:rPr>
                <w:rFonts w:hint="eastAsia"/>
                <w:color w:val="000000" w:themeColor="text1"/>
                <w:sz w:val="21"/>
                <w:szCs w:val="21"/>
                <w:lang w:val="en-US" w:eastAsia="zh-CN"/>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721" w:type="dxa"/>
            <w:noWrap w:val="0"/>
            <w:vAlign w:val="center"/>
          </w:tcPr>
          <w:p>
            <w:pPr>
              <w:pStyle w:val="87"/>
              <w:bidi w:val="0"/>
              <w:ind w:firstLine="0" w:firstLineChars="0"/>
              <w:rPr>
                <w:rFonts w:hint="eastAsia"/>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0.00716</w:t>
            </w:r>
            <w:r>
              <w:rPr>
                <w:rFonts w:hint="eastAsia"/>
                <w:color w:val="000000" w:themeColor="text1"/>
                <w:sz w:val="21"/>
                <w:szCs w:val="21"/>
                <w:lang w:val="en-US" w:eastAsia="zh-CN"/>
                <w14:textFill>
                  <w14:solidFill>
                    <w14:schemeClr w14:val="tx1"/>
                  </w14:solidFill>
                </w14:textFill>
              </w:rPr>
              <w:t>t/a</w:t>
            </w:r>
          </w:p>
        </w:tc>
        <w:tc>
          <w:tcPr>
            <w:tcW w:w="1064" w:type="dxa"/>
            <w:noWrap w:val="0"/>
            <w:vAlign w:val="center"/>
          </w:tcPr>
          <w:p>
            <w:pPr>
              <w:pStyle w:val="87"/>
              <w:bidi w:val="0"/>
              <w:ind w:firstLine="0" w:firstLineChars="0"/>
              <w:rPr>
                <w:rFonts w:hint="eastAsia"/>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+0.00716</w:t>
            </w:r>
            <w:r>
              <w:rPr>
                <w:rFonts w:hint="eastAsia"/>
                <w:color w:val="000000" w:themeColor="text1"/>
                <w:sz w:val="21"/>
                <w:szCs w:val="21"/>
                <w:lang w:val="en-US" w:eastAsia="zh-CN"/>
                <w14:textFill>
                  <w14:solidFill>
                    <w14:schemeClr w14:val="tx1"/>
                  </w14:solidFill>
                </w14:textFill>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3"/>
              <w:spacing w:beforeLines="0" w:afterLines="0" w:line="240" w:lineRule="auto"/>
              <w:jc w:val="center"/>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p>
        </w:tc>
        <w:tc>
          <w:tcPr>
            <w:tcW w:w="1417" w:type="dxa"/>
            <w:shd w:val="clear" w:color="auto" w:fill="auto"/>
            <w:noWrap w:val="0"/>
            <w:vAlign w:val="center"/>
          </w:tcPr>
          <w:p>
            <w:pPr>
              <w:pStyle w:val="43"/>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sz w:val="21"/>
                <w:szCs w:val="21"/>
                <w:highlight w:val="none"/>
                <w:lang w:val="en-US" w:eastAsia="zh-CN"/>
              </w:rPr>
              <w:t>SS</w:t>
            </w:r>
          </w:p>
        </w:tc>
        <w:tc>
          <w:tcPr>
            <w:tcW w:w="1701" w:type="dxa"/>
            <w:shd w:val="clear" w:color="auto" w:fill="auto"/>
            <w:noWrap w:val="0"/>
            <w:vAlign w:val="center"/>
          </w:tcPr>
          <w:p>
            <w:pPr>
              <w:bidi w:val="0"/>
              <w:ind w:firstLine="0" w:firstLineChars="0"/>
              <w:jc w:val="center"/>
              <w:rPr>
                <w:rFonts w:hint="eastAsia"/>
                <w:color w:val="000000" w:themeColor="text1"/>
                <w:sz w:val="21"/>
                <w:szCs w:val="21"/>
                <w:lang w:val="en-US" w:eastAsia="zh-CN"/>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276" w:type="dxa"/>
            <w:shd w:val="clear" w:color="auto" w:fill="auto"/>
            <w:noWrap w:val="0"/>
            <w:vAlign w:val="center"/>
          </w:tcPr>
          <w:p>
            <w:pPr>
              <w:bidi w:val="0"/>
              <w:ind w:firstLine="0" w:firstLineChars="0"/>
              <w:jc w:val="center"/>
              <w:rPr>
                <w:rFonts w:hint="eastAsia"/>
                <w:color w:val="000000" w:themeColor="text1"/>
                <w:sz w:val="21"/>
                <w:szCs w:val="21"/>
                <w:lang w:val="en-US" w:eastAsia="zh-CN"/>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70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559" w:type="dxa"/>
            <w:noWrap w:val="0"/>
            <w:vAlign w:val="center"/>
          </w:tcPr>
          <w:p>
            <w:pPr>
              <w:pStyle w:val="87"/>
              <w:bidi w:val="0"/>
              <w:ind w:firstLine="0" w:firstLineChars="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0.00747</w:t>
            </w:r>
            <w:r>
              <w:rPr>
                <w:rFonts w:hint="eastAsia"/>
                <w:color w:val="000000" w:themeColor="text1"/>
                <w:sz w:val="21"/>
                <w:szCs w:val="21"/>
                <w:lang w:val="en-US" w:eastAsia="zh-CN"/>
                <w14:textFill>
                  <w14:solidFill>
                    <w14:schemeClr w14:val="tx1"/>
                  </w14:solidFill>
                </w14:textFill>
              </w:rPr>
              <w:t>t/a</w:t>
            </w:r>
          </w:p>
        </w:tc>
        <w:tc>
          <w:tcPr>
            <w:tcW w:w="1761" w:type="dxa"/>
            <w:shd w:val="clear" w:color="auto" w:fill="auto"/>
            <w:noWrap w:val="0"/>
            <w:vAlign w:val="center"/>
          </w:tcPr>
          <w:p>
            <w:pPr>
              <w:bidi w:val="0"/>
              <w:ind w:firstLine="0" w:firstLineChars="0"/>
              <w:jc w:val="center"/>
              <w:rPr>
                <w:rFonts w:hint="eastAsia"/>
                <w:color w:val="000000" w:themeColor="text1"/>
                <w:sz w:val="21"/>
                <w:szCs w:val="21"/>
                <w:lang w:val="en-US" w:eastAsia="zh-CN"/>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721" w:type="dxa"/>
            <w:noWrap w:val="0"/>
            <w:vAlign w:val="center"/>
          </w:tcPr>
          <w:p>
            <w:pPr>
              <w:pStyle w:val="87"/>
              <w:bidi w:val="0"/>
              <w:ind w:firstLine="0" w:firstLineChars="0"/>
              <w:rPr>
                <w:rFonts w:hint="eastAsia"/>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0.00747</w:t>
            </w:r>
            <w:r>
              <w:rPr>
                <w:rFonts w:hint="eastAsia"/>
                <w:color w:val="000000" w:themeColor="text1"/>
                <w:sz w:val="21"/>
                <w:szCs w:val="21"/>
                <w:lang w:val="en-US" w:eastAsia="zh-CN"/>
                <w14:textFill>
                  <w14:solidFill>
                    <w14:schemeClr w14:val="tx1"/>
                  </w14:solidFill>
                </w14:textFill>
              </w:rPr>
              <w:t>t/a</w:t>
            </w:r>
          </w:p>
        </w:tc>
        <w:tc>
          <w:tcPr>
            <w:tcW w:w="1064" w:type="dxa"/>
            <w:noWrap w:val="0"/>
            <w:vAlign w:val="center"/>
          </w:tcPr>
          <w:p>
            <w:pPr>
              <w:pStyle w:val="87"/>
              <w:bidi w:val="0"/>
              <w:ind w:firstLine="0" w:firstLineChars="0"/>
              <w:rPr>
                <w:rFonts w:hint="eastAsia"/>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+0.00747</w:t>
            </w:r>
            <w:r>
              <w:rPr>
                <w:rFonts w:hint="eastAsia"/>
                <w:color w:val="000000" w:themeColor="text1"/>
                <w:sz w:val="21"/>
                <w:szCs w:val="21"/>
                <w:lang w:val="en-US" w:eastAsia="zh-CN"/>
                <w14:textFill>
                  <w14:solidFill>
                    <w14:schemeClr w14:val="tx1"/>
                  </w14:solidFill>
                </w14:textFill>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3"/>
              <w:spacing w:beforeLines="0" w:afterLines="0" w:line="240" w:lineRule="auto"/>
              <w:jc w:val="center"/>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p>
        </w:tc>
        <w:tc>
          <w:tcPr>
            <w:tcW w:w="1417" w:type="dxa"/>
            <w:noWrap w:val="0"/>
            <w:vAlign w:val="center"/>
          </w:tcPr>
          <w:p>
            <w:pPr>
              <w:pStyle w:val="43"/>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color w:val="000000"/>
                <w:sz w:val="21"/>
                <w:szCs w:val="21"/>
                <w:highlight w:val="none"/>
                <w:lang w:val="en-US" w:eastAsia="zh-CN"/>
              </w:rPr>
              <w:t>大肠杆菌（MPN/L）</w:t>
            </w:r>
          </w:p>
        </w:tc>
        <w:tc>
          <w:tcPr>
            <w:tcW w:w="1701" w:type="dxa"/>
            <w:shd w:val="clear" w:color="auto" w:fill="auto"/>
            <w:noWrap w:val="0"/>
            <w:vAlign w:val="center"/>
          </w:tcPr>
          <w:p>
            <w:pPr>
              <w:bidi w:val="0"/>
              <w:ind w:firstLine="0" w:firstLineChars="0"/>
              <w:jc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276" w:type="dxa"/>
            <w:shd w:val="clear" w:color="auto" w:fill="auto"/>
            <w:noWrap w:val="0"/>
            <w:vAlign w:val="center"/>
          </w:tcPr>
          <w:p>
            <w:pPr>
              <w:bidi w:val="0"/>
              <w:ind w:firstLine="0" w:firstLineChars="0"/>
              <w:jc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70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559" w:type="dxa"/>
            <w:noWrap w:val="0"/>
            <w:vAlign w:val="center"/>
          </w:tcPr>
          <w:p>
            <w:pPr>
              <w:pStyle w:val="87"/>
              <w:bidi w:val="0"/>
              <w:ind w:firstLine="0" w:firstLineChars="0"/>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0.00038t/a</w:t>
            </w:r>
          </w:p>
        </w:tc>
        <w:tc>
          <w:tcPr>
            <w:tcW w:w="1761" w:type="dxa"/>
            <w:shd w:val="clear" w:color="auto" w:fill="auto"/>
            <w:noWrap w:val="0"/>
            <w:vAlign w:val="center"/>
          </w:tcPr>
          <w:p>
            <w:pPr>
              <w:bidi w:val="0"/>
              <w:ind w:firstLine="0" w:firstLineChars="0"/>
              <w:jc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s="Times New Roman"/>
                <w:color w:val="000000"/>
                <w:kern w:val="2"/>
                <w:sz w:val="21"/>
                <w:szCs w:val="21"/>
                <w:highlight w:val="none"/>
                <w:lang w:val="en-US" w:eastAsia="zh-CN" w:bidi="ar-SA"/>
              </w:rPr>
              <w:t>/</w:t>
            </w:r>
          </w:p>
        </w:tc>
        <w:tc>
          <w:tcPr>
            <w:tcW w:w="1721" w:type="dxa"/>
            <w:noWrap w:val="0"/>
            <w:vAlign w:val="center"/>
          </w:tcPr>
          <w:p>
            <w:pPr>
              <w:pStyle w:val="87"/>
              <w:bidi w:val="0"/>
              <w:ind w:firstLine="0" w:firstLineChars="0"/>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0.00038t/a</w:t>
            </w:r>
          </w:p>
        </w:tc>
        <w:tc>
          <w:tcPr>
            <w:tcW w:w="1064" w:type="dxa"/>
            <w:noWrap w:val="0"/>
            <w:vAlign w:val="center"/>
          </w:tcPr>
          <w:p>
            <w:pPr>
              <w:pStyle w:val="87"/>
              <w:bidi w:val="0"/>
              <w:ind w:firstLine="0" w:firstLineChars="0"/>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+0.00038t/a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pPr>
              <w:pStyle w:val="43"/>
              <w:spacing w:beforeLines="0" w:afterLines="0" w:line="240" w:lineRule="auto"/>
              <w:jc w:val="center"/>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14:textFill>
                  <w14:solidFill>
                    <w14:schemeClr w14:val="tx1"/>
                  </w14:solidFill>
                </w14:textFill>
              </w:rPr>
              <w:t>一般工业</w:t>
            </w:r>
          </w:p>
          <w:p>
            <w:pPr>
              <w:pStyle w:val="43"/>
              <w:spacing w:beforeLines="0" w:afterLines="0" w:line="240" w:lineRule="auto"/>
              <w:jc w:val="center"/>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14:textFill>
                  <w14:solidFill>
                    <w14:schemeClr w14:val="tx1"/>
                  </w14:solidFill>
                </w14:textFill>
              </w:rPr>
              <w:t>固体废物</w:t>
            </w:r>
          </w:p>
        </w:tc>
        <w:tc>
          <w:tcPr>
            <w:tcW w:w="1417" w:type="dxa"/>
            <w:noWrap w:val="0"/>
            <w:vAlign w:val="center"/>
          </w:tcPr>
          <w:p>
            <w:pPr>
              <w:pStyle w:val="87"/>
              <w:bidi w:val="0"/>
              <w:ind w:firstLine="0" w:firstLineChars="0"/>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eastAsia" w:cs="Times New Roman"/>
                <w:snapToGrid w:val="0"/>
                <w:color w:val="000000" w:themeColor="text1"/>
                <w:kern w:val="21"/>
                <w:sz w:val="21"/>
                <w:szCs w:val="21"/>
                <w:lang w:val="en-US" w:eastAsia="zh-CN"/>
                <w14:textFill>
                  <w14:solidFill>
                    <w14:schemeClr w14:val="tx1"/>
                  </w14:solidFill>
                </w14:textFill>
              </w:rPr>
              <w:t>宠物粪便</w:t>
            </w:r>
          </w:p>
        </w:tc>
        <w:tc>
          <w:tcPr>
            <w:tcW w:w="1701" w:type="dxa"/>
            <w:shd w:val="clear" w:color="auto" w:fill="auto"/>
            <w:noWrap w:val="0"/>
            <w:vAlign w:val="center"/>
          </w:tcPr>
          <w:p>
            <w:pPr>
              <w:pStyle w:val="43"/>
              <w:spacing w:beforeLines="0" w:afterLines="0" w:line="240" w:lineRule="auto"/>
              <w:jc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t>/</w:t>
            </w:r>
          </w:p>
        </w:tc>
        <w:tc>
          <w:tcPr>
            <w:tcW w:w="1276" w:type="dxa"/>
            <w:shd w:val="clear" w:color="auto" w:fill="auto"/>
            <w:noWrap w:val="0"/>
            <w:vAlign w:val="center"/>
          </w:tcPr>
          <w:p>
            <w:pPr>
              <w:pStyle w:val="43"/>
              <w:spacing w:beforeLines="0" w:afterLines="0" w:line="240" w:lineRule="auto"/>
              <w:jc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t>/</w:t>
            </w:r>
          </w:p>
        </w:tc>
        <w:tc>
          <w:tcPr>
            <w:tcW w:w="1701" w:type="dxa"/>
            <w:shd w:val="clear" w:color="auto" w:fill="auto"/>
            <w:noWrap w:val="0"/>
            <w:vAlign w:val="center"/>
          </w:tcPr>
          <w:p>
            <w:pPr>
              <w:pStyle w:val="43"/>
              <w:spacing w:beforeLines="0" w:afterLines="0" w:line="240" w:lineRule="auto"/>
              <w:jc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t>/</w:t>
            </w:r>
          </w:p>
        </w:tc>
        <w:tc>
          <w:tcPr>
            <w:tcW w:w="1559" w:type="dxa"/>
            <w:noWrap w:val="0"/>
            <w:vAlign w:val="center"/>
          </w:tcPr>
          <w:p>
            <w:pPr>
              <w:pStyle w:val="87"/>
              <w:bidi w:val="0"/>
              <w:ind w:firstLine="0" w:firstLineChars="0"/>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0.05</w:t>
            </w:r>
            <w:r>
              <w:rPr>
                <w:rFonts w:hint="eastAsia" w:cs="Times New Roman"/>
                <w:color w:val="000000" w:themeColor="text1"/>
                <w:kern w:val="2"/>
                <w:sz w:val="21"/>
                <w:szCs w:val="21"/>
                <w:lang w:val="en-US" w:eastAsia="zh-CN" w:bidi="ar-SA"/>
                <w14:textFill>
                  <w14:solidFill>
                    <w14:schemeClr w14:val="tx1"/>
                  </w14:solidFill>
                </w14:textFill>
              </w:rPr>
              <w:t>t/a</w:t>
            </w:r>
          </w:p>
        </w:tc>
        <w:tc>
          <w:tcPr>
            <w:tcW w:w="1761" w:type="dxa"/>
            <w:shd w:val="clear" w:color="auto" w:fill="auto"/>
            <w:noWrap w:val="0"/>
            <w:vAlign w:val="center"/>
          </w:tcPr>
          <w:p>
            <w:pPr>
              <w:pStyle w:val="87"/>
              <w:bidi w:val="0"/>
              <w:ind w:firstLine="0" w:firstLineChars="0"/>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1721" w:type="dxa"/>
            <w:noWrap w:val="0"/>
            <w:vAlign w:val="center"/>
          </w:tcPr>
          <w:p>
            <w:pPr>
              <w:pStyle w:val="87"/>
              <w:bidi w:val="0"/>
              <w:ind w:firstLine="0" w:firstLineChars="0"/>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0.05</w:t>
            </w:r>
            <w:r>
              <w:rPr>
                <w:rFonts w:hint="eastAsia" w:cs="Times New Roman"/>
                <w:color w:val="000000" w:themeColor="text1"/>
                <w:kern w:val="2"/>
                <w:sz w:val="21"/>
                <w:szCs w:val="21"/>
                <w:lang w:val="en-US" w:eastAsia="zh-CN" w:bidi="ar-SA"/>
                <w14:textFill>
                  <w14:solidFill>
                    <w14:schemeClr w14:val="tx1"/>
                  </w14:solidFill>
                </w14:textFill>
              </w:rPr>
              <w:t>t/a</w:t>
            </w:r>
          </w:p>
        </w:tc>
        <w:tc>
          <w:tcPr>
            <w:tcW w:w="1064" w:type="dxa"/>
            <w:noWrap w:val="0"/>
            <w:vAlign w:val="center"/>
          </w:tcPr>
          <w:p>
            <w:pPr>
              <w:pStyle w:val="87"/>
              <w:bidi w:val="0"/>
              <w:ind w:firstLine="0" w:firstLineChars="0"/>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+0.05</w:t>
            </w:r>
            <w:r>
              <w:rPr>
                <w:rFonts w:hint="eastAsia" w:cs="Times New Roman"/>
                <w:color w:val="000000" w:themeColor="text1"/>
                <w:kern w:val="2"/>
                <w:sz w:val="21"/>
                <w:szCs w:val="21"/>
                <w:lang w:val="en-US" w:eastAsia="zh-CN" w:bidi="ar-SA"/>
                <w14:textFill>
                  <w14:solidFill>
                    <w14:schemeClr w14:val="tx1"/>
                  </w14:solidFill>
                </w14:textFill>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pPr>
              <w:pStyle w:val="43"/>
              <w:spacing w:beforeLines="0" w:afterLines="0" w:line="240" w:lineRule="auto"/>
              <w:jc w:val="center"/>
              <w:rPr>
                <w:rFonts w:hint="default" w:ascii="Times New Roman" w:hAnsi="Times New Roman" w:eastAsia="宋体" w:cs="Times New Roman"/>
                <w:snapToGrid w:val="0"/>
                <w:color w:val="000000" w:themeColor="text1"/>
                <w:kern w:val="21"/>
                <w:sz w:val="21"/>
                <w:szCs w:val="21"/>
                <w14:textFill>
                  <w14:solidFill>
                    <w14:schemeClr w14:val="tx1"/>
                  </w14:solidFill>
                </w14:textFill>
              </w:rPr>
            </w:pPr>
          </w:p>
        </w:tc>
        <w:tc>
          <w:tcPr>
            <w:tcW w:w="1417" w:type="dxa"/>
            <w:shd w:val="clear" w:color="auto" w:fill="auto"/>
            <w:noWrap w:val="0"/>
            <w:vAlign w:val="center"/>
          </w:tcPr>
          <w:p>
            <w:pPr>
              <w:pStyle w:val="43"/>
              <w:keepNext w:val="0"/>
              <w:keepLines w:val="0"/>
              <w:pageBreakBefore w:val="0"/>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000000" w:themeColor="text1"/>
                <w:kern w:val="2"/>
                <w:sz w:val="21"/>
                <w:szCs w:val="21"/>
                <w:vertAlign w:val="baseline"/>
                <w:lang w:val="en-US" w:eastAsia="zh-CN" w:bidi="ar-SA"/>
                <w14:textFill>
                  <w14:solidFill>
                    <w14:schemeClr w14:val="tx1"/>
                  </w14:solidFill>
                </w14:textFill>
              </w:rPr>
            </w:pPr>
            <w:r>
              <w:rPr>
                <w:rFonts w:hint="eastAsia" w:ascii="Times New Roman" w:hAnsi="Times New Roman" w:cs="Times New Roman"/>
                <w:snapToGrid w:val="0"/>
                <w:color w:val="000000"/>
                <w:kern w:val="21"/>
                <w:sz w:val="21"/>
                <w:szCs w:val="21"/>
                <w:highlight w:val="none"/>
                <w:lang w:val="en-US" w:eastAsia="zh-CN"/>
              </w:rPr>
              <w:t>废包装</w:t>
            </w:r>
          </w:p>
        </w:tc>
        <w:tc>
          <w:tcPr>
            <w:tcW w:w="1701" w:type="dxa"/>
            <w:shd w:val="clear" w:color="auto" w:fill="auto"/>
            <w:noWrap w:val="0"/>
            <w:vAlign w:val="center"/>
          </w:tcPr>
          <w:p>
            <w:pPr>
              <w:pStyle w:val="43"/>
              <w:spacing w:beforeLines="0" w:afterLines="0" w:line="240" w:lineRule="auto"/>
              <w:jc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t>/</w:t>
            </w:r>
          </w:p>
        </w:tc>
        <w:tc>
          <w:tcPr>
            <w:tcW w:w="1276" w:type="dxa"/>
            <w:shd w:val="clear" w:color="auto" w:fill="auto"/>
            <w:noWrap w:val="0"/>
            <w:vAlign w:val="center"/>
          </w:tcPr>
          <w:p>
            <w:pPr>
              <w:pStyle w:val="43"/>
              <w:spacing w:beforeLines="0" w:afterLines="0" w:line="240" w:lineRule="auto"/>
              <w:jc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t>/</w:t>
            </w:r>
          </w:p>
        </w:tc>
        <w:tc>
          <w:tcPr>
            <w:tcW w:w="1701" w:type="dxa"/>
            <w:shd w:val="clear" w:color="auto" w:fill="auto"/>
            <w:noWrap w:val="0"/>
            <w:vAlign w:val="center"/>
          </w:tcPr>
          <w:p>
            <w:pPr>
              <w:pStyle w:val="43"/>
              <w:spacing w:beforeLines="0" w:afterLines="0" w:line="240" w:lineRule="auto"/>
              <w:jc w:val="center"/>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t>/</w:t>
            </w:r>
          </w:p>
        </w:tc>
        <w:tc>
          <w:tcPr>
            <w:tcW w:w="1559" w:type="dxa"/>
            <w:shd w:val="clear" w:color="auto" w:fill="auto"/>
            <w:noWrap w:val="0"/>
            <w:vAlign w:val="center"/>
          </w:tcPr>
          <w:p>
            <w:pPr>
              <w:pStyle w:val="87"/>
              <w:bidi w:val="0"/>
              <w:ind w:firstLine="0" w:firstLineChars="0"/>
              <w:rPr>
                <w:rFonts w:hint="default" w:ascii="Times New Roman" w:hAnsi="Times New Roman" w:eastAsia="宋体" w:cs="Times New Roman"/>
                <w:kern w:val="2"/>
                <w:sz w:val="21"/>
                <w:szCs w:val="21"/>
                <w:vertAlign w:val="baseline"/>
                <w:lang w:val="en-US" w:eastAsia="zh-CN" w:bidi="ar-SA"/>
              </w:rPr>
            </w:pPr>
            <w:r>
              <w:rPr>
                <w:rFonts w:hint="eastAsia" w:cs="Times New Roman"/>
                <w:color w:val="000000" w:themeColor="text1"/>
                <w:kern w:val="2"/>
                <w:sz w:val="21"/>
                <w:szCs w:val="21"/>
                <w:lang w:val="en-US" w:eastAsia="zh-CN" w:bidi="ar-SA"/>
                <w14:textFill>
                  <w14:solidFill>
                    <w14:schemeClr w14:val="tx1"/>
                  </w14:solidFill>
                </w14:textFill>
              </w:rPr>
              <w:t>0.05t/a</w:t>
            </w:r>
          </w:p>
        </w:tc>
        <w:tc>
          <w:tcPr>
            <w:tcW w:w="1761" w:type="dxa"/>
            <w:shd w:val="clear" w:color="auto" w:fill="auto"/>
            <w:noWrap w:val="0"/>
            <w:vAlign w:val="center"/>
          </w:tcPr>
          <w:p>
            <w:pPr>
              <w:pStyle w:val="87"/>
              <w:bidi w:val="0"/>
              <w:ind w:firstLine="0" w:firstLineChars="0"/>
              <w:rPr>
                <w:rFonts w:hint="default" w:ascii="Times New Roman" w:hAnsi="Times New Roman" w:eastAsia="宋体" w:cs="Times New Roman"/>
                <w:snapToGrid w:val="0"/>
                <w:color w:val="000000" w:themeColor="text1"/>
                <w:kern w:val="21"/>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w:t>
            </w:r>
          </w:p>
        </w:tc>
        <w:tc>
          <w:tcPr>
            <w:tcW w:w="1721" w:type="dxa"/>
            <w:shd w:val="clear" w:color="auto" w:fill="auto"/>
            <w:noWrap w:val="0"/>
            <w:vAlign w:val="center"/>
          </w:tcPr>
          <w:p>
            <w:pPr>
              <w:pStyle w:val="87"/>
              <w:bidi w:val="0"/>
              <w:ind w:firstLine="0" w:firstLineChars="0"/>
              <w:rPr>
                <w:rFonts w:hint="default" w:ascii="Times New Roman" w:hAnsi="Times New Roman" w:eastAsia="宋体" w:cs="Times New Roman"/>
                <w:kern w:val="2"/>
                <w:sz w:val="21"/>
                <w:szCs w:val="21"/>
                <w:vertAlign w:val="baseline"/>
                <w:lang w:val="en-US" w:eastAsia="zh-CN" w:bidi="ar-SA"/>
              </w:rPr>
            </w:pPr>
            <w:r>
              <w:rPr>
                <w:rFonts w:hint="eastAsia" w:cs="Times New Roman"/>
                <w:color w:val="000000" w:themeColor="text1"/>
                <w:kern w:val="2"/>
                <w:sz w:val="21"/>
                <w:szCs w:val="21"/>
                <w:lang w:val="en-US" w:eastAsia="zh-CN" w:bidi="ar-SA"/>
                <w14:textFill>
                  <w14:solidFill>
                    <w14:schemeClr w14:val="tx1"/>
                  </w14:solidFill>
                </w14:textFill>
              </w:rPr>
              <w:t>0.05t/a</w:t>
            </w:r>
          </w:p>
        </w:tc>
        <w:tc>
          <w:tcPr>
            <w:tcW w:w="1064" w:type="dxa"/>
            <w:shd w:val="clear" w:color="auto" w:fill="auto"/>
            <w:noWrap w:val="0"/>
            <w:vAlign w:val="center"/>
          </w:tcPr>
          <w:p>
            <w:pPr>
              <w:pStyle w:val="87"/>
              <w:bidi w:val="0"/>
              <w:ind w:firstLine="0" w:firstLineChars="0"/>
              <w:rPr>
                <w:rFonts w:hint="default" w:ascii="Times New Roman" w:hAnsi="Times New Roman" w:eastAsia="宋体" w:cs="Times New Roman"/>
                <w:kern w:val="2"/>
                <w:sz w:val="21"/>
                <w:szCs w:val="21"/>
                <w:vertAlign w:val="baseline"/>
                <w:lang w:val="en-US" w:eastAsia="zh-CN" w:bidi="ar-SA"/>
              </w:rPr>
            </w:pPr>
            <w:r>
              <w:rPr>
                <w:rFonts w:hint="eastAsia" w:cs="Times New Roman"/>
                <w:color w:val="000000" w:themeColor="text1"/>
                <w:kern w:val="2"/>
                <w:sz w:val="21"/>
                <w:szCs w:val="21"/>
                <w:lang w:val="en-US" w:eastAsia="zh-CN" w:bidi="ar-SA"/>
                <w14:textFill>
                  <w14:solidFill>
                    <w14:schemeClr w14:val="tx1"/>
                  </w14:solidFill>
                </w14:textFill>
              </w:rPr>
              <w:t>+0.05t/a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noWrap w:val="0"/>
            <w:vAlign w:val="center"/>
          </w:tcPr>
          <w:p>
            <w:pPr>
              <w:pStyle w:val="43"/>
              <w:spacing w:beforeLines="0" w:afterLines="0" w:line="240" w:lineRule="auto"/>
              <w:jc w:val="center"/>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eastAsia" w:ascii="Times New Roman" w:hAnsi="Times New Roman" w:cs="Times New Roman"/>
                <w:snapToGrid w:val="0"/>
                <w:color w:val="000000" w:themeColor="text1"/>
                <w:kern w:val="21"/>
                <w:sz w:val="21"/>
                <w:szCs w:val="21"/>
                <w:lang w:val="en-US" w:eastAsia="zh-CN"/>
                <w14:textFill>
                  <w14:solidFill>
                    <w14:schemeClr w14:val="tx1"/>
                  </w14:solidFill>
                </w14:textFill>
              </w:rPr>
              <w:t>危险废物</w:t>
            </w:r>
          </w:p>
        </w:tc>
        <w:tc>
          <w:tcPr>
            <w:tcW w:w="1417" w:type="dxa"/>
            <w:shd w:val="clear" w:color="auto" w:fill="auto"/>
            <w:noWrap w:val="0"/>
            <w:vAlign w:val="center"/>
          </w:tcPr>
          <w:p>
            <w:pPr>
              <w:keepNext w:val="0"/>
              <w:keepLines w:val="0"/>
              <w:pageBreakBefore w:val="0"/>
              <w:widowControl w:val="0"/>
              <w:suppressLineNumbers w:val="0"/>
              <w:kinsoku/>
              <w:wordWrap/>
              <w:overflowPunct/>
              <w:topLinePunct/>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eastAsia"/>
                <w:color w:val="000000" w:themeColor="text1"/>
                <w14:textFill>
                  <w14:solidFill>
                    <w14:schemeClr w14:val="tx1"/>
                  </w14:solidFill>
                </w14:textFill>
              </w:rPr>
            </w:pPr>
            <w:r>
              <w:rPr>
                <w:rFonts w:hint="eastAsia" w:cs="Times New Roman"/>
                <w:sz w:val="21"/>
                <w:szCs w:val="21"/>
                <w:lang w:val="en-US" w:eastAsia="zh-CN"/>
              </w:rPr>
              <w:t>动物诊疗废物</w:t>
            </w:r>
          </w:p>
        </w:tc>
        <w:tc>
          <w:tcPr>
            <w:tcW w:w="170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t>/</w:t>
            </w:r>
          </w:p>
        </w:tc>
        <w:tc>
          <w:tcPr>
            <w:tcW w:w="1276"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t>/</w:t>
            </w:r>
          </w:p>
        </w:tc>
        <w:tc>
          <w:tcPr>
            <w:tcW w:w="1701" w:type="dxa"/>
            <w:shd w:val="clear" w:color="auto" w:fill="auto"/>
            <w:noWrap w:val="0"/>
            <w:vAlign w:val="center"/>
          </w:tcPr>
          <w:p>
            <w:pPr>
              <w:spacing w:beforeLines="0" w:afterLines="0" w:line="240" w:lineRule="auto"/>
              <w:jc w:val="center"/>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t>/</w:t>
            </w:r>
          </w:p>
        </w:tc>
        <w:tc>
          <w:tcPr>
            <w:tcW w:w="1559" w:type="dxa"/>
            <w:shd w:val="clear" w:color="auto" w:fill="auto"/>
            <w:noWrap w:val="0"/>
            <w:vAlign w:val="center"/>
          </w:tcPr>
          <w:p>
            <w:pPr>
              <w:pStyle w:val="87"/>
              <w:bidi w:val="0"/>
              <w:ind w:firstLine="0" w:firstLineChars="0"/>
              <w:rPr>
                <w:rFonts w:hint="eastAsia"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0.1t/a</w:t>
            </w:r>
          </w:p>
        </w:tc>
        <w:tc>
          <w:tcPr>
            <w:tcW w:w="1761" w:type="dxa"/>
            <w:shd w:val="clear" w:color="auto" w:fill="auto"/>
            <w:noWrap w:val="0"/>
            <w:vAlign w:val="center"/>
          </w:tcPr>
          <w:p>
            <w:pPr>
              <w:pStyle w:val="87"/>
              <w:bidi w:val="0"/>
              <w:ind w:firstLine="0" w:firstLineChars="0"/>
              <w:rPr>
                <w:rFonts w:hint="eastAsia"/>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21"/>
                <w:sz w:val="21"/>
                <w:szCs w:val="21"/>
                <w:lang w:val="en-US" w:eastAsia="zh-CN"/>
                <w14:textFill>
                  <w14:solidFill>
                    <w14:schemeClr w14:val="tx1"/>
                  </w14:solidFill>
                </w14:textFill>
              </w:rPr>
              <w:t>/</w:t>
            </w:r>
          </w:p>
        </w:tc>
        <w:tc>
          <w:tcPr>
            <w:tcW w:w="1721" w:type="dxa"/>
            <w:shd w:val="clear" w:color="auto" w:fill="auto"/>
            <w:noWrap w:val="0"/>
            <w:vAlign w:val="center"/>
          </w:tcPr>
          <w:p>
            <w:pPr>
              <w:pStyle w:val="87"/>
              <w:bidi w:val="0"/>
              <w:ind w:firstLine="0" w:firstLineChars="0"/>
              <w:rPr>
                <w:rFonts w:hint="eastAsia"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0.1t/a</w:t>
            </w:r>
          </w:p>
        </w:tc>
        <w:tc>
          <w:tcPr>
            <w:tcW w:w="1064" w:type="dxa"/>
            <w:shd w:val="clear" w:color="auto" w:fill="auto"/>
            <w:noWrap w:val="0"/>
            <w:vAlign w:val="center"/>
          </w:tcPr>
          <w:p>
            <w:pPr>
              <w:pStyle w:val="87"/>
              <w:bidi w:val="0"/>
              <w:ind w:firstLine="0" w:firstLineChars="0"/>
              <w:rPr>
                <w:rFonts w:hint="eastAsia" w:cs="Times New Roman"/>
                <w:color w:val="000000" w:themeColor="text1"/>
                <w:kern w:val="2"/>
                <w:sz w:val="21"/>
                <w:szCs w:val="21"/>
                <w:lang w:val="en-US" w:eastAsia="zh-CN" w:bidi="ar-SA"/>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+0.1t/a</w:t>
            </w:r>
          </w:p>
        </w:tc>
      </w:tr>
    </w:tbl>
    <w:p>
      <w:pPr>
        <w:pStyle w:val="43"/>
        <w:spacing w:before="192" w:beforeLines="80" w:after="24"/>
        <w:jc w:val="left"/>
        <w:rPr>
          <w:rFonts w:hint="default" w:ascii="Times New Roman" w:hAnsi="Times New Roman" w:cs="Times New Roman"/>
          <w:snapToGrid w:val="0"/>
          <w:color w:val="000000" w:themeColor="text1"/>
          <w:spacing w:val="-6"/>
          <w:kern w:val="21"/>
          <w:szCs w:val="21"/>
          <w14:textFill>
            <w14:solidFill>
              <w14:schemeClr w14:val="tx1"/>
            </w14:solidFill>
          </w14:textFill>
        </w:rPr>
      </w:pPr>
      <w:r>
        <w:rPr>
          <w:rFonts w:hint="default" w:ascii="Times New Roman" w:hAnsi="Times New Roman" w:eastAsia="宋体" w:cs="Times New Roman"/>
          <w:snapToGrid w:val="0"/>
          <w:color w:val="000000" w:themeColor="text1"/>
          <w:kern w:val="21"/>
          <w:szCs w:val="21"/>
          <w14:textFill>
            <w14:solidFill>
              <w14:schemeClr w14:val="tx1"/>
            </w14:solidFill>
          </w14:textFill>
        </w:rPr>
        <w:t>注</w:t>
      </w:r>
      <w:r>
        <w:rPr>
          <w:rFonts w:hint="default" w:ascii="Times New Roman" w:hAnsi="Times New Roman" w:eastAsia="宋体" w:cs="Times New Roman"/>
          <w:snapToGrid w:val="0"/>
          <w:color w:val="000000" w:themeColor="text1"/>
          <w:kern w:val="21"/>
          <w:szCs w:val="21"/>
          <w:lang w:eastAsia="zh-CN"/>
          <w14:textFill>
            <w14:solidFill>
              <w14:schemeClr w14:val="tx1"/>
            </w14:solidFill>
          </w14:textFill>
        </w:rPr>
        <w:t>：</w:t>
      </w:r>
      <w:r>
        <w:rPr>
          <w:rFonts w:hint="default" w:ascii="Times New Roman" w:hAnsi="Times New Roman" w:eastAsia="宋体" w:cs="Times New Roman"/>
          <w:snapToGrid w:val="0"/>
          <w:color w:val="000000" w:themeColor="text1"/>
          <w:spacing w:val="-16"/>
          <w:kern w:val="21"/>
          <w:szCs w:val="21"/>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16"/>
          <w:kern w:val="21"/>
          <w:szCs w:val="21"/>
          <w14:textFill>
            <w14:solidFill>
              <w14:schemeClr w14:val="tx1"/>
            </w14:solidFill>
          </w14:textFill>
        </w:rPr>
        <w:instrText xml:space="preserve"> = 6 \* GB3 \* MERGEFORMAT </w:instrText>
      </w:r>
      <w:r>
        <w:rPr>
          <w:rFonts w:hint="default" w:ascii="Times New Roman" w:hAnsi="Times New Roman" w:eastAsia="宋体" w:cs="Times New Roman"/>
          <w:snapToGrid w:val="0"/>
          <w:color w:val="000000" w:themeColor="text1"/>
          <w:spacing w:val="-16"/>
          <w:kern w:val="21"/>
          <w:szCs w:val="21"/>
          <w14:textFill>
            <w14:solidFill>
              <w14:schemeClr w14:val="tx1"/>
            </w14:solidFill>
          </w14:textFill>
        </w:rPr>
        <w:fldChar w:fldCharType="separate"/>
      </w:r>
      <w:r>
        <w:rPr>
          <w:rFonts w:hint="default" w:ascii="Times New Roman" w:hAnsi="Times New Roman" w:eastAsia="宋体" w:cs="Times New Roman"/>
          <w:color w:val="000000" w:themeColor="text1"/>
          <w:szCs w:val="21"/>
          <w14:textFill>
            <w14:solidFill>
              <w14:schemeClr w14:val="tx1"/>
            </w14:solidFill>
          </w14:textFill>
        </w:rPr>
        <w:t>⑥</w:t>
      </w:r>
      <w:r>
        <w:rPr>
          <w:rFonts w:hint="default" w:ascii="Times New Roman" w:hAnsi="Times New Roman" w:eastAsia="宋体" w:cs="Times New Roman"/>
          <w:snapToGrid w:val="0"/>
          <w:color w:val="000000" w:themeColor="text1"/>
          <w:spacing w:val="-16"/>
          <w:kern w:val="21"/>
          <w:szCs w:val="21"/>
          <w14:textFill>
            <w14:solidFill>
              <w14:schemeClr w14:val="tx1"/>
            </w14:solidFill>
          </w14:textFill>
        </w:rPr>
        <w:fldChar w:fldCharType="end"/>
      </w:r>
      <w:r>
        <w:rPr>
          <w:rFonts w:hint="default" w:ascii="Times New Roman" w:hAnsi="Times New Roman" w:eastAsia="宋体" w:cs="Times New Roman"/>
          <w:snapToGrid w:val="0"/>
          <w:color w:val="000000" w:themeColor="text1"/>
          <w:spacing w:val="-16"/>
          <w:kern w:val="21"/>
          <w:szCs w:val="21"/>
          <w14:textFill>
            <w14:solidFill>
              <w14:schemeClr w14:val="tx1"/>
            </w14:solidFill>
          </w14:textFill>
        </w:rPr>
        <w:t>=</w:t>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instrText xml:space="preserve"> = 1 \* GB3 \* MERGEFORMAT </w:instrText>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eastAsia="宋体" w:cs="Times New Roman"/>
          <w:color w:val="000000" w:themeColor="text1"/>
          <w:szCs w:val="21"/>
          <w14:textFill>
            <w14:solidFill>
              <w14:schemeClr w14:val="tx1"/>
            </w14:solidFill>
          </w14:textFill>
        </w:rPr>
        <w:t>①</w:t>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fldChar w:fldCharType="end"/>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t>+</w:t>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instrText xml:space="preserve"> = 3 \* GB3 \* MERGEFORMAT </w:instrText>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eastAsia="宋体" w:cs="Times New Roman"/>
          <w:color w:val="000000" w:themeColor="text1"/>
          <w:szCs w:val="21"/>
          <w14:textFill>
            <w14:solidFill>
              <w14:schemeClr w14:val="tx1"/>
            </w14:solidFill>
          </w14:textFill>
        </w:rPr>
        <w:t>③</w:t>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fldChar w:fldCharType="end"/>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t>+</w:t>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instrText xml:space="preserve"> = 4 \* GB3 \* MERGEFORMAT </w:instrText>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eastAsia="宋体" w:cs="Times New Roman"/>
          <w:color w:val="000000" w:themeColor="text1"/>
          <w:szCs w:val="21"/>
          <w14:textFill>
            <w14:solidFill>
              <w14:schemeClr w14:val="tx1"/>
            </w14:solidFill>
          </w14:textFill>
        </w:rPr>
        <w:t>④</w:t>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fldChar w:fldCharType="end"/>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t>-</w:t>
      </w:r>
      <w:r>
        <w:rPr>
          <w:rFonts w:hint="default" w:ascii="Times New Roman" w:hAnsi="Times New Roman" w:eastAsia="宋体" w:cs="Times New Roman"/>
          <w:snapToGrid w:val="0"/>
          <w:color w:val="000000" w:themeColor="text1"/>
          <w:spacing w:val="-16"/>
          <w:kern w:val="21"/>
          <w:szCs w:val="21"/>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16"/>
          <w:kern w:val="21"/>
          <w:szCs w:val="21"/>
          <w14:textFill>
            <w14:solidFill>
              <w14:schemeClr w14:val="tx1"/>
            </w14:solidFill>
          </w14:textFill>
        </w:rPr>
        <w:instrText xml:space="preserve"> = 5 \* GB3 \* MERGEFORMAT </w:instrText>
      </w:r>
      <w:r>
        <w:rPr>
          <w:rFonts w:hint="default" w:ascii="Times New Roman" w:hAnsi="Times New Roman" w:eastAsia="宋体" w:cs="Times New Roman"/>
          <w:snapToGrid w:val="0"/>
          <w:color w:val="000000" w:themeColor="text1"/>
          <w:spacing w:val="-16"/>
          <w:kern w:val="21"/>
          <w:szCs w:val="21"/>
          <w14:textFill>
            <w14:solidFill>
              <w14:schemeClr w14:val="tx1"/>
            </w14:solidFill>
          </w14:textFill>
        </w:rPr>
        <w:fldChar w:fldCharType="separate"/>
      </w:r>
      <w:r>
        <w:rPr>
          <w:rFonts w:hint="default" w:ascii="Times New Roman" w:hAnsi="Times New Roman" w:eastAsia="宋体" w:cs="Times New Roman"/>
          <w:color w:val="000000" w:themeColor="text1"/>
          <w:szCs w:val="21"/>
          <w14:textFill>
            <w14:solidFill>
              <w14:schemeClr w14:val="tx1"/>
            </w14:solidFill>
          </w14:textFill>
        </w:rPr>
        <w:t>⑤</w:t>
      </w:r>
      <w:r>
        <w:rPr>
          <w:rFonts w:hint="default" w:ascii="Times New Roman" w:hAnsi="Times New Roman" w:eastAsia="宋体" w:cs="Times New Roman"/>
          <w:snapToGrid w:val="0"/>
          <w:color w:val="000000" w:themeColor="text1"/>
          <w:spacing w:val="-16"/>
          <w:kern w:val="21"/>
          <w:szCs w:val="21"/>
          <w14:textFill>
            <w14:solidFill>
              <w14:schemeClr w14:val="tx1"/>
            </w14:solidFill>
          </w14:textFill>
        </w:rPr>
        <w:fldChar w:fldCharType="end"/>
      </w:r>
      <w:r>
        <w:rPr>
          <w:rFonts w:hint="default" w:ascii="Times New Roman" w:hAnsi="Times New Roman" w:eastAsia="宋体" w:cs="Times New Roman"/>
          <w:snapToGrid w:val="0"/>
          <w:color w:val="000000" w:themeColor="text1"/>
          <w:spacing w:val="-16"/>
          <w:kern w:val="21"/>
          <w:szCs w:val="21"/>
          <w14:textFill>
            <w14:solidFill>
              <w14:schemeClr w14:val="tx1"/>
            </w14:solidFill>
          </w14:textFill>
        </w:rPr>
        <w:t>；</w:t>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instrText xml:space="preserve"> = 7 \* GB3 \* MERGEFORMAT </w:instrText>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eastAsia="宋体" w:cs="Times New Roman"/>
          <w:color w:val="000000" w:themeColor="text1"/>
          <w:szCs w:val="21"/>
          <w14:textFill>
            <w14:solidFill>
              <w14:schemeClr w14:val="tx1"/>
            </w14:solidFill>
          </w14:textFill>
        </w:rPr>
        <w:t>⑦</w:t>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fldChar w:fldCharType="end"/>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t>=</w:t>
      </w:r>
      <w:r>
        <w:rPr>
          <w:rFonts w:hint="default" w:ascii="Times New Roman" w:hAnsi="Times New Roman" w:eastAsia="宋体" w:cs="Times New Roman"/>
          <w:snapToGrid w:val="0"/>
          <w:color w:val="000000" w:themeColor="text1"/>
          <w:spacing w:val="-16"/>
          <w:kern w:val="21"/>
          <w:szCs w:val="21"/>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16"/>
          <w:kern w:val="21"/>
          <w:szCs w:val="21"/>
          <w14:textFill>
            <w14:solidFill>
              <w14:schemeClr w14:val="tx1"/>
            </w14:solidFill>
          </w14:textFill>
        </w:rPr>
        <w:instrText xml:space="preserve"> = 6 \* GB3 \* MERGEFORMAT </w:instrText>
      </w:r>
      <w:r>
        <w:rPr>
          <w:rFonts w:hint="default" w:ascii="Times New Roman" w:hAnsi="Times New Roman" w:eastAsia="宋体" w:cs="Times New Roman"/>
          <w:snapToGrid w:val="0"/>
          <w:color w:val="000000" w:themeColor="text1"/>
          <w:spacing w:val="-16"/>
          <w:kern w:val="21"/>
          <w:szCs w:val="21"/>
          <w14:textFill>
            <w14:solidFill>
              <w14:schemeClr w14:val="tx1"/>
            </w14:solidFill>
          </w14:textFill>
        </w:rPr>
        <w:fldChar w:fldCharType="separate"/>
      </w:r>
      <w:r>
        <w:rPr>
          <w:rFonts w:hint="default" w:ascii="Times New Roman" w:hAnsi="Times New Roman" w:eastAsia="宋体" w:cs="Times New Roman"/>
          <w:color w:val="000000" w:themeColor="text1"/>
          <w:szCs w:val="21"/>
          <w14:textFill>
            <w14:solidFill>
              <w14:schemeClr w14:val="tx1"/>
            </w14:solidFill>
          </w14:textFill>
        </w:rPr>
        <w:t>⑥</w:t>
      </w:r>
      <w:r>
        <w:rPr>
          <w:rFonts w:hint="default" w:ascii="Times New Roman" w:hAnsi="Times New Roman" w:eastAsia="宋体" w:cs="Times New Roman"/>
          <w:snapToGrid w:val="0"/>
          <w:color w:val="000000" w:themeColor="text1"/>
          <w:spacing w:val="-16"/>
          <w:kern w:val="21"/>
          <w:szCs w:val="21"/>
          <w14:textFill>
            <w14:solidFill>
              <w14:schemeClr w14:val="tx1"/>
            </w14:solidFill>
          </w14:textFill>
        </w:rPr>
        <w:fldChar w:fldCharType="end"/>
      </w:r>
      <w:r>
        <w:rPr>
          <w:rFonts w:hint="default" w:ascii="Times New Roman" w:hAnsi="Times New Roman" w:eastAsia="宋体" w:cs="Times New Roman"/>
          <w:snapToGrid w:val="0"/>
          <w:color w:val="000000" w:themeColor="text1"/>
          <w:spacing w:val="-16"/>
          <w:kern w:val="21"/>
          <w:szCs w:val="21"/>
          <w14:textFill>
            <w14:solidFill>
              <w14:schemeClr w14:val="tx1"/>
            </w14:solidFill>
          </w14:textFill>
        </w:rPr>
        <w:t>-</w:t>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fldChar w:fldCharType="begin"/>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instrText xml:space="preserve"> = 1 \* GB3 \* MERGEFORMAT </w:instrText>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fldChar w:fldCharType="separate"/>
      </w:r>
      <w:r>
        <w:rPr>
          <w:rFonts w:hint="default" w:ascii="Times New Roman" w:hAnsi="Times New Roman" w:eastAsia="宋体" w:cs="Times New Roman"/>
          <w:color w:val="000000" w:themeColor="text1"/>
          <w:szCs w:val="21"/>
          <w14:textFill>
            <w14:solidFill>
              <w14:schemeClr w14:val="tx1"/>
            </w14:solidFill>
          </w14:textFill>
        </w:rPr>
        <w:t>①</w:t>
      </w:r>
      <w:r>
        <w:rPr>
          <w:rFonts w:hint="default" w:ascii="Times New Roman" w:hAnsi="Times New Roman" w:eastAsia="宋体" w:cs="Times New Roman"/>
          <w:snapToGrid w:val="0"/>
          <w:color w:val="000000" w:themeColor="text1"/>
          <w:spacing w:val="-6"/>
          <w:kern w:val="21"/>
          <w:szCs w:val="21"/>
          <w14:textFill>
            <w14:solidFill>
              <w14:schemeClr w14:val="tx1"/>
            </w14:solidFill>
          </w14:textFill>
        </w:rPr>
        <w:fldChar w:fldCharType="end"/>
      </w:r>
    </w:p>
    <w:sectPr>
      <w:footerReference r:id="rId5"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姚体">
    <w:altName w:val="宋体"/>
    <w:panose1 w:val="02010601030101010101"/>
    <w:charset w:val="86"/>
    <w:family w:val="auto"/>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方正小标宋_GBK">
    <w:panose1 w:val="03000509000000000000"/>
    <w:charset w:val="86"/>
    <w:family w:val="script"/>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posOffset>2712720</wp:posOffset>
              </wp:positionH>
              <wp:positionV relativeFrom="paragraph">
                <wp:posOffset>-6350</wp:posOffset>
              </wp:positionV>
              <wp:extent cx="1828800" cy="137795"/>
              <wp:effectExtent l="0" t="0" r="0" b="0"/>
              <wp:wrapNone/>
              <wp:docPr id="13" name="文本框 1025"/>
              <wp:cNvGraphicFramePr/>
              <a:graphic xmlns:a="http://schemas.openxmlformats.org/drawingml/2006/main">
                <a:graphicData uri="http://schemas.microsoft.com/office/word/2010/wordprocessingShape">
                  <wps:wsp>
                    <wps:cNvSpPr txBox="1"/>
                    <wps:spPr>
                      <a:xfrm>
                        <a:off x="0" y="0"/>
                        <a:ext cx="1828800" cy="137795"/>
                      </a:xfrm>
                      <a:prstGeom prst="rect">
                        <a:avLst/>
                      </a:prstGeom>
                      <a:noFill/>
                      <a:ln>
                        <a:noFill/>
                      </a:ln>
                    </wps:spPr>
                    <wps:txbx>
                      <w:txbxContent>
                        <w:p>
                          <w:pPr>
                            <w:pStyle w:val="19"/>
                          </w:pPr>
                          <w:r>
                            <w:fldChar w:fldCharType="begin"/>
                          </w:r>
                          <w:r>
                            <w:instrText xml:space="preserve"> PAGE  \* MERGEFORMAT </w:instrText>
                          </w:r>
                          <w:r>
                            <w:fldChar w:fldCharType="separate"/>
                          </w:r>
                          <w:r>
                            <w:t>6</w:t>
                          </w:r>
                          <w:r>
                            <w:fldChar w:fldCharType="end"/>
                          </w:r>
                        </w:p>
                      </w:txbxContent>
                    </wps:txbx>
                    <wps:bodyPr vert="horz" wrap="none" lIns="0" tIns="0" rIns="0" bIns="0" anchor="t" anchorCtr="0" upright="0">
                      <a:noAutofit/>
                    </wps:bodyPr>
                  </wps:wsp>
                </a:graphicData>
              </a:graphic>
            </wp:anchor>
          </w:drawing>
        </mc:Choice>
        <mc:Fallback>
          <w:pict>
            <v:shape id="文本框 1025" o:spid="_x0000_s1026" o:spt="202" type="#_x0000_t202" style="position:absolute;left:0pt;margin-left:213.6pt;margin-top:-0.5pt;height:10.85pt;width:144pt;mso-position-horizontal-relative:margin;mso-wrap-style:none;z-index:251659264;mso-width-relative:page;mso-height-relative:page;" filled="f" stroked="f" coordsize="21600,21600" o:gfxdata="UEsDBAoAAAAAAIdO4kAAAAAAAAAAAAAAAAAEAAAAZHJzL1BLAwQUAAAACACHTuJAlY0intYAAAAJ&#10;AQAADwAAAGRycy9kb3ducmV2LnhtbE2PwU7DMAyG70i8Q2QkbluSCuhUmu6A4MikDS7c0sZruzVO&#10;1aRbeXvMCY62P/3+/nK7+EFccIp9IAN6rUAgNcH11Br4/HhbbUDEZMnZIRAa+MYI2+r2prSFC1fa&#10;4+WQWsEhFAtroEtpLKSMTYfexnUYkfh2DJO3iceplW6yVw73g8yUepLe9sQfOjviS4fN+TB7A8f3&#10;3fn0Ou/VqVUb/NITLrXeGXN/p9UziIRL+oPhV5/VoWKnOszkohgMPGR5xqiBleZODOT6kRe1gUzl&#10;IKtS/m9Q/QBQSwMEFAAAAAgAh07iQK0LatTlAQAAwQMAAA4AAABkcnMvZTJvRG9jLnhtbK1TwY7T&#10;MBC9I/EPlu80aVewJWq6AqpFSAiQlv0A17EbS7bHst0m5QPgDzhx4b7f1e9g7CTdZbnsgUsymRm/&#10;ee95srrqjSYH4YMCW9P5rKREWA6Nsrua3n69frGkJERmG6bBipoeRaBX6+fPVp2rxAJa0I3wBEFs&#10;qDpX0zZGVxVF4K0wLMzACYtFCd6wiJ9+VzSedYhudLEoy1dFB75xHrgIAbOboUhHRP8UQJBScbEB&#10;vjfCxgHVC80iSgqtcoGuM1spBY+fpQwiEl1TVBrzE4dgvE3PYr1i1c4z1yo+UmBPofBIk2HK4tAz&#10;1IZFRvZe/QNlFPcQQMYZB1MMQrIjqGJePvLmpmVOZC1odXBn08P/g+WfDl88UQ1uwgUllhm88dPP&#10;H6dfd6ff38m8XLxMFnUuVNh547A39m+hx/YpHzCZlPfSm/RGTQTraPDxbLDoI+Hp0HKxXJZY4lib&#10;X1xevs7wxf1p50N8L8CQFNTU4wVmX9nhY4jIBFunljTMwrXSOl+itn8lsDFlikR9oJii2G/7Uc8W&#10;miPKwT8B57Tgv1HS4R7U1OLaU6I/WLQ5rcwU+CnYTgGzHA/WNFIyhO/isFp759Wuzcs2kHqzjyBV&#10;FpBoDLNHdnizWde4hWl1Hn7nrvs/b/0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Y0intYAAAAJ&#10;AQAADwAAAAAAAAABACAAAAAiAAAAZHJzL2Rvd25yZXYueG1sUEsBAhQAFAAAAAgAh07iQK0LatTl&#10;AQAAwQMAAA4AAAAAAAAAAQAgAAAAJQEAAGRycy9lMm9Eb2MueG1sUEsFBgAAAAAGAAYAWQEAAHwF&#10;AAAAAA==&#10;">
              <v:fill on="f" focussize="0,0"/>
              <v:stroke on="f"/>
              <v:imagedata o:title=""/>
              <o:lock v:ext="edit" aspectratio="f"/>
              <v:textbox inset="0mm,0mm,0mm,0mm">
                <w:txbxContent>
                  <w:p>
                    <w:pPr>
                      <w:pStyle w:val="19"/>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posOffset>2712720</wp:posOffset>
              </wp:positionH>
              <wp:positionV relativeFrom="paragraph">
                <wp:posOffset>-6350</wp:posOffset>
              </wp:positionV>
              <wp:extent cx="1828800" cy="137795"/>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37795"/>
                      </a:xfrm>
                      <a:prstGeom prst="rect">
                        <a:avLst/>
                      </a:prstGeom>
                      <a:noFill/>
                      <a:ln>
                        <a:noFill/>
                      </a:ln>
                    </wps:spPr>
                    <wps:txbx>
                      <w:txbxContent>
                        <w:p>
                          <w:pPr>
                            <w:pStyle w:val="19"/>
                          </w:pPr>
                          <w:r>
                            <w:fldChar w:fldCharType="begin"/>
                          </w:r>
                          <w:r>
                            <w:instrText xml:space="preserve"> PAGE  \* MERGEFORMAT </w:instrText>
                          </w:r>
                          <w:r>
                            <w:fldChar w:fldCharType="separate"/>
                          </w:r>
                          <w:r>
                            <w:t>6</w:t>
                          </w:r>
                          <w:r>
                            <w:fldChar w:fldCharType="end"/>
                          </w:r>
                        </w:p>
                      </w:txbxContent>
                    </wps:txbx>
                    <wps:bodyPr vert="horz" wrap="none" lIns="0" tIns="0" rIns="0" bIns="0" anchor="t" anchorCtr="0" upright="0">
                      <a:noAutofit/>
                    </wps:bodyPr>
                  </wps:wsp>
                </a:graphicData>
              </a:graphic>
            </wp:anchor>
          </w:drawing>
        </mc:Choice>
        <mc:Fallback>
          <w:pict>
            <v:shape id="文本框 1025" o:spid="_x0000_s1026" o:spt="202" type="#_x0000_t202" style="position:absolute;left:0pt;margin-left:213.6pt;margin-top:-0.5pt;height:10.85pt;width:144pt;mso-position-horizontal-relative:margin;mso-wrap-style:none;z-index:251661312;mso-width-relative:page;mso-height-relative:page;" filled="f" stroked="f" coordsize="21600,21600" o:gfxdata="UEsDBAoAAAAAAIdO4kAAAAAAAAAAAAAAAAAEAAAAZHJzL1BLAwQUAAAACACHTuJAlY0intYAAAAJ&#10;AQAADwAAAGRycy9kb3ducmV2LnhtbE2PwU7DMAyG70i8Q2QkbluSCuhUmu6A4MikDS7c0sZruzVO&#10;1aRbeXvMCY62P/3+/nK7+EFccIp9IAN6rUAgNcH11Br4/HhbbUDEZMnZIRAa+MYI2+r2prSFC1fa&#10;4+WQWsEhFAtroEtpLKSMTYfexnUYkfh2DJO3iceplW6yVw73g8yUepLe9sQfOjviS4fN+TB7A8f3&#10;3fn0Ou/VqVUb/NITLrXeGXN/p9UziIRL+oPhV5/VoWKnOszkohgMPGR5xqiBleZODOT6kRe1gUzl&#10;IKtS/m9Q/QBQSwMEFAAAAAgAh07iQIbKG6blAQAAwAMAAA4AAABkcnMvZTJvRG9jLnhtbK1TwY7T&#10;MBC9I/EPlu80aVewJWq6AqpFSAiQlv0A17EbS7bHst0m5QPgDzhx4b7f1e9g7CTdZbnsgUsymRm/&#10;ee95srrqjSYH4YMCW9P5rKREWA6Nsrua3n69frGkJERmG6bBipoeRaBX6+fPVp2rxAJa0I3wBEFs&#10;qDpX0zZGVxVF4K0wLMzACYtFCd6wiJ9+VzSedYhudLEoy1dFB75xHrgIAbOboUhHRP8UQJBScbEB&#10;vjfCxgHVC80iSgqtcoGuM1spBY+fpQwiEl1TVBrzE4dgvE3PYr1i1c4z1yo+UmBPofBIk2HK4tAz&#10;1IZFRvZe/QNlFPcQQMYZB1MMQrIjqGJePvLmpmVOZC1odXBn08P/g+WfDl88UU1NLyixzOCFn37+&#10;OP26O/3+Tubl4mVyqHOhwsYbh62xfws97s2UD5hMwnvpTXqjJIJ19Pd49lf0kfB0aLlYLksscazN&#10;Ly4vX2f44v608yG+F2BICmrq8f6yrezwMURkgq1TSxpm4Vppne9Q278S2JgyRaI+UExR7Lf9qGcL&#10;zRHl4I+Ac1rw3yjpcA1qanHrKdEfLLqcNmYK/BRsp4BZjgdrGikZwndx2Ky982rX5l0bSL3ZR5Aq&#10;C0g0htkjO7zYrGtcwrQ5D79z1/2Pt/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Y0intYAAAAJ&#10;AQAADwAAAAAAAAABACAAAAAiAAAAZHJzL2Rvd25yZXYueG1sUEsBAhQAFAAAAAgAh07iQIbKG6bl&#10;AQAAwAMAAA4AAAAAAAAAAQAgAAAAJQEAAGRycy9lMm9Eb2MueG1sUEsFBgAAAAAGAAYAWQEAAHwF&#10;AAAAAA==&#10;">
              <v:fill on="f" focussize="0,0"/>
              <v:stroke on="f"/>
              <v:imagedata o:title=""/>
              <o:lock v:ext="edit" aspectratio="f"/>
              <v:textbox inset="0mm,0mm,0mm,0mm">
                <w:txbxContent>
                  <w:p>
                    <w:pPr>
                      <w:pStyle w:val="19"/>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9"/>
                          </w:pPr>
                          <w:r>
                            <w:fldChar w:fldCharType="begin"/>
                          </w:r>
                          <w:r>
                            <w:instrText xml:space="preserve"> PAGE  \* MERGEFORMAT </w:instrText>
                          </w:r>
                          <w:r>
                            <w:fldChar w:fldCharType="separate"/>
                          </w:r>
                          <w:r>
                            <w:t>8</w:t>
                          </w:r>
                          <w:r>
                            <w:fldChar w:fldCharType="end"/>
                          </w:r>
                        </w:p>
                      </w:txbxContent>
                    </wps:txbx>
                    <wps:bodyPr vert="horz" wrap="none" lIns="0" tIns="0" rIns="0" bIns="0" anchor="t" anchorCtr="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snVAuEBAADCAwAADgAAAGRycy9lMm9Eb2MueG1srVPNjtMwEL4j8Q6W&#10;7zRphaCqmq6AahESAqSFB3Adp7HkP42nTcoDwBtw4sKd5+pz7NhJurB72cNekvHM+Jv5vhmvr3pr&#10;2FFB1N5VfD4rOVNO+lq7fcW/fb1+seQsonC1MN6pip9U5Feb58/WXViphW+9qRUwAnFx1YWKt4hh&#10;VRRRtsqKOPNBOQo2HqxAOsK+qEF0hG5NsSjLV0XnoQ7gpYqRvNshyEdEeAygbxot1dbLg1UOB1RQ&#10;RiBRiq0OkW9yt02jJH5umqiQmYoTU8xfKkL2Ln2LzVqs9iBCq+XYgnhMC/c4WaEdFb1AbQUKdgD9&#10;AMpqCT76BmfS22IgkhUhFvPynjY3rQgqcyGpY7iIHp8OVn46fgGma9qEl5w5YWni518/z7//nv/8&#10;YPNy8TpJ1IW4osybQLnYv/U9pU/+SM7EvG/Apj9xYhQngU8XgVWPTKZLy8VyWVJIUmw6EH5xdz1A&#10;xPfKW5aMigNNMAsrjh8jDqlTSqrm/LU2Jk/RuP8chJk8Rep96DFZ2O/6kdDO1yfiQ0+B6rQevnPW&#10;0SJU3NHec2Y+ONI57cxkwGTsJkM4SRcrjpwN5jscdusQQO/bvG2pqRjeHJA6zQRSG0PtsTsabZZg&#10;XMO0O/+ec9bd09vc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WydUC4QEAAMIDAAAOAAAA&#10;AAAAAAEAIAAAAB4BAABkcnMvZTJvRG9jLnhtbFBLBQYAAAAABgAGAFkBAABxBQAAAAA=&#10;">
              <v:fill on="f" focussize="0,0"/>
              <v:stroke on="f"/>
              <v:imagedata o:title=""/>
              <o:lock v:ext="edit" aspectratio="f"/>
              <v:textbox inset="0mm,0mm,0mm,0mm" style="mso-fit-shape-to-text:t;">
                <w:txbxContent>
                  <w:p>
                    <w:pPr>
                      <w:pStyle w:val="19"/>
                    </w:pPr>
                    <w:r>
                      <w:fldChar w:fldCharType="begin"/>
                    </w:r>
                    <w:r>
                      <w:instrText xml:space="preserve"> PAGE  \* MERGEFORMAT </w:instrText>
                    </w:r>
                    <w:r>
                      <w:fldChar w:fldCharType="separate"/>
                    </w:r>
                    <w:r>
                      <w:t>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CFDC45"/>
    <w:multiLevelType w:val="singleLevel"/>
    <w:tmpl w:val="90CFDC45"/>
    <w:lvl w:ilvl="0" w:tentative="0">
      <w:start w:val="1"/>
      <w:numFmt w:val="decimal"/>
      <w:suff w:val="nothing"/>
      <w:lvlText w:val="（%1）"/>
      <w:lvlJc w:val="left"/>
    </w:lvl>
  </w:abstractNum>
  <w:abstractNum w:abstractNumId="1">
    <w:nsid w:val="B3EEA70A"/>
    <w:multiLevelType w:val="singleLevel"/>
    <w:tmpl w:val="B3EEA70A"/>
    <w:lvl w:ilvl="0" w:tentative="0">
      <w:start w:val="1"/>
      <w:numFmt w:val="bullet"/>
      <w:pStyle w:val="16"/>
      <w:lvlText w:val=""/>
      <w:lvlJc w:val="left"/>
      <w:pPr>
        <w:tabs>
          <w:tab w:val="left" w:pos="2040"/>
        </w:tabs>
        <w:ind w:left="2040" w:hanging="360"/>
      </w:pPr>
      <w:rPr>
        <w:rFonts w:hint="default" w:ascii="Wingdings" w:hAnsi="Wingdings"/>
      </w:rPr>
    </w:lvl>
  </w:abstractNum>
  <w:abstractNum w:abstractNumId="2">
    <w:nsid w:val="BA00F9CA"/>
    <w:multiLevelType w:val="singleLevel"/>
    <w:tmpl w:val="BA00F9CA"/>
    <w:lvl w:ilvl="0" w:tentative="0">
      <w:start w:val="1"/>
      <w:numFmt w:val="decimal"/>
      <w:suff w:val="nothing"/>
      <w:lvlText w:val="（%1）"/>
      <w:lvlJc w:val="left"/>
    </w:lvl>
  </w:abstractNum>
  <w:abstractNum w:abstractNumId="3">
    <w:nsid w:val="76563754"/>
    <w:multiLevelType w:val="singleLevel"/>
    <w:tmpl w:val="76563754"/>
    <w:lvl w:ilvl="0" w:tentative="0">
      <w:start w:val="2"/>
      <w:numFmt w:val="decimal"/>
      <w:suff w:val="nothing"/>
      <w:lvlText w:val="（%1）"/>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wZmQ0NmIxYzVmYjE3OTc3ODkxNzNkZjQwN2RiZDgifQ=="/>
  </w:docVars>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37A6E"/>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3264"/>
    <w:rsid w:val="00406F01"/>
    <w:rsid w:val="00416D50"/>
    <w:rsid w:val="00416FD5"/>
    <w:rsid w:val="00417772"/>
    <w:rsid w:val="00420E6A"/>
    <w:rsid w:val="00425A9E"/>
    <w:rsid w:val="00426D6B"/>
    <w:rsid w:val="00431E6C"/>
    <w:rsid w:val="00433CE7"/>
    <w:rsid w:val="00452738"/>
    <w:rsid w:val="00456091"/>
    <w:rsid w:val="00457372"/>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5500"/>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A233A"/>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19677B"/>
    <w:rsid w:val="01290F7E"/>
    <w:rsid w:val="01390BCC"/>
    <w:rsid w:val="01415CD2"/>
    <w:rsid w:val="015C48BA"/>
    <w:rsid w:val="015D1E09"/>
    <w:rsid w:val="01653A64"/>
    <w:rsid w:val="017C0A60"/>
    <w:rsid w:val="018362EB"/>
    <w:rsid w:val="020E2058"/>
    <w:rsid w:val="021444D5"/>
    <w:rsid w:val="022E3448"/>
    <w:rsid w:val="02441F1E"/>
    <w:rsid w:val="024D7CD4"/>
    <w:rsid w:val="02697903"/>
    <w:rsid w:val="02EE2AD1"/>
    <w:rsid w:val="02F96569"/>
    <w:rsid w:val="03086AA8"/>
    <w:rsid w:val="03174F3D"/>
    <w:rsid w:val="033E071B"/>
    <w:rsid w:val="035557CE"/>
    <w:rsid w:val="0371289F"/>
    <w:rsid w:val="038446DD"/>
    <w:rsid w:val="038F0527"/>
    <w:rsid w:val="03EA7B21"/>
    <w:rsid w:val="04510922"/>
    <w:rsid w:val="050B2FD3"/>
    <w:rsid w:val="056A0DEE"/>
    <w:rsid w:val="058B39C0"/>
    <w:rsid w:val="05CD222A"/>
    <w:rsid w:val="05D264BA"/>
    <w:rsid w:val="05F229DF"/>
    <w:rsid w:val="05F61CD7"/>
    <w:rsid w:val="05F83EAE"/>
    <w:rsid w:val="063E7D85"/>
    <w:rsid w:val="063F7B4D"/>
    <w:rsid w:val="06420522"/>
    <w:rsid w:val="06571112"/>
    <w:rsid w:val="06572AF0"/>
    <w:rsid w:val="06A25DA5"/>
    <w:rsid w:val="06A905A2"/>
    <w:rsid w:val="06D73A01"/>
    <w:rsid w:val="06F15AA5"/>
    <w:rsid w:val="070B6B66"/>
    <w:rsid w:val="07293586"/>
    <w:rsid w:val="07295285"/>
    <w:rsid w:val="072A7934"/>
    <w:rsid w:val="07636392"/>
    <w:rsid w:val="077706A0"/>
    <w:rsid w:val="07770C56"/>
    <w:rsid w:val="07C026EE"/>
    <w:rsid w:val="07D93108"/>
    <w:rsid w:val="0822685D"/>
    <w:rsid w:val="08CB25BE"/>
    <w:rsid w:val="08FF4320"/>
    <w:rsid w:val="092217DD"/>
    <w:rsid w:val="093A7294"/>
    <w:rsid w:val="09577147"/>
    <w:rsid w:val="09AA1703"/>
    <w:rsid w:val="09C917B0"/>
    <w:rsid w:val="09D33A2A"/>
    <w:rsid w:val="0A263993"/>
    <w:rsid w:val="0A2D3AC2"/>
    <w:rsid w:val="0A5F3C81"/>
    <w:rsid w:val="0A6F38B0"/>
    <w:rsid w:val="0A71587A"/>
    <w:rsid w:val="0A747118"/>
    <w:rsid w:val="0A8B1BC6"/>
    <w:rsid w:val="0AA755DF"/>
    <w:rsid w:val="0AF13E82"/>
    <w:rsid w:val="0B120D44"/>
    <w:rsid w:val="0B464954"/>
    <w:rsid w:val="0B5807E8"/>
    <w:rsid w:val="0B7F21D5"/>
    <w:rsid w:val="0B8C1FF0"/>
    <w:rsid w:val="0BD27BF6"/>
    <w:rsid w:val="0C14309C"/>
    <w:rsid w:val="0C3628D7"/>
    <w:rsid w:val="0C3B3C7D"/>
    <w:rsid w:val="0C55046C"/>
    <w:rsid w:val="0C9040A9"/>
    <w:rsid w:val="0CAB2EAE"/>
    <w:rsid w:val="0CC74014"/>
    <w:rsid w:val="0CEE0C06"/>
    <w:rsid w:val="0D176C71"/>
    <w:rsid w:val="0D2B7F62"/>
    <w:rsid w:val="0D621C7D"/>
    <w:rsid w:val="0DA815B3"/>
    <w:rsid w:val="0DD14206"/>
    <w:rsid w:val="0DDF6F9F"/>
    <w:rsid w:val="0DF73A01"/>
    <w:rsid w:val="0DF76096"/>
    <w:rsid w:val="0E3A3FB5"/>
    <w:rsid w:val="0E73034D"/>
    <w:rsid w:val="0EEA1486"/>
    <w:rsid w:val="0F13775A"/>
    <w:rsid w:val="0F5F45FE"/>
    <w:rsid w:val="0F7A2ADB"/>
    <w:rsid w:val="0F9A112B"/>
    <w:rsid w:val="0FB35FED"/>
    <w:rsid w:val="0FB81855"/>
    <w:rsid w:val="0FCA300A"/>
    <w:rsid w:val="0FDE1CCB"/>
    <w:rsid w:val="100827DD"/>
    <w:rsid w:val="101E0C87"/>
    <w:rsid w:val="103069CC"/>
    <w:rsid w:val="105769DE"/>
    <w:rsid w:val="106D2F64"/>
    <w:rsid w:val="10B63710"/>
    <w:rsid w:val="10E87F18"/>
    <w:rsid w:val="10F10820"/>
    <w:rsid w:val="111224B1"/>
    <w:rsid w:val="111C2F7A"/>
    <w:rsid w:val="1125116C"/>
    <w:rsid w:val="11531321"/>
    <w:rsid w:val="11665CA1"/>
    <w:rsid w:val="11A22AA6"/>
    <w:rsid w:val="11BC387F"/>
    <w:rsid w:val="11D949F0"/>
    <w:rsid w:val="120C3B10"/>
    <w:rsid w:val="123A69E4"/>
    <w:rsid w:val="12421B78"/>
    <w:rsid w:val="125735A8"/>
    <w:rsid w:val="128B2877"/>
    <w:rsid w:val="12C12CAB"/>
    <w:rsid w:val="12C27CA8"/>
    <w:rsid w:val="12F06675"/>
    <w:rsid w:val="12FB03D7"/>
    <w:rsid w:val="133E2072"/>
    <w:rsid w:val="13427DB4"/>
    <w:rsid w:val="134C0C32"/>
    <w:rsid w:val="1356560D"/>
    <w:rsid w:val="13651CF4"/>
    <w:rsid w:val="13951726"/>
    <w:rsid w:val="141B0041"/>
    <w:rsid w:val="14396509"/>
    <w:rsid w:val="143F3BE0"/>
    <w:rsid w:val="14773A8D"/>
    <w:rsid w:val="147A0878"/>
    <w:rsid w:val="14833A3B"/>
    <w:rsid w:val="14DD2C3C"/>
    <w:rsid w:val="14FC21E4"/>
    <w:rsid w:val="159E618A"/>
    <w:rsid w:val="15C234CA"/>
    <w:rsid w:val="15D85A95"/>
    <w:rsid w:val="16087E1D"/>
    <w:rsid w:val="16582A32"/>
    <w:rsid w:val="16704C38"/>
    <w:rsid w:val="167346DA"/>
    <w:rsid w:val="16EB42BE"/>
    <w:rsid w:val="173B6FF4"/>
    <w:rsid w:val="17484ACF"/>
    <w:rsid w:val="17701D14"/>
    <w:rsid w:val="17735226"/>
    <w:rsid w:val="1787048B"/>
    <w:rsid w:val="17966920"/>
    <w:rsid w:val="17AD77C6"/>
    <w:rsid w:val="17AE3ED5"/>
    <w:rsid w:val="17BD3EAD"/>
    <w:rsid w:val="17BF37AC"/>
    <w:rsid w:val="17D80588"/>
    <w:rsid w:val="17F11990"/>
    <w:rsid w:val="182C4B8E"/>
    <w:rsid w:val="184C2DB8"/>
    <w:rsid w:val="185D743E"/>
    <w:rsid w:val="189F624C"/>
    <w:rsid w:val="18A25EE0"/>
    <w:rsid w:val="18C15C1F"/>
    <w:rsid w:val="18F23F5B"/>
    <w:rsid w:val="18F34B94"/>
    <w:rsid w:val="18F42E80"/>
    <w:rsid w:val="19053D5D"/>
    <w:rsid w:val="19081158"/>
    <w:rsid w:val="19094ED0"/>
    <w:rsid w:val="19536C48"/>
    <w:rsid w:val="1979792F"/>
    <w:rsid w:val="1990174F"/>
    <w:rsid w:val="19924EC5"/>
    <w:rsid w:val="19E65BEC"/>
    <w:rsid w:val="1A1C66C0"/>
    <w:rsid w:val="1A317F88"/>
    <w:rsid w:val="1A393593"/>
    <w:rsid w:val="1A42393B"/>
    <w:rsid w:val="1A7B0394"/>
    <w:rsid w:val="1A891EE1"/>
    <w:rsid w:val="1AA3641B"/>
    <w:rsid w:val="1AAD45DE"/>
    <w:rsid w:val="1AB85975"/>
    <w:rsid w:val="1AC45552"/>
    <w:rsid w:val="1AF75928"/>
    <w:rsid w:val="1B046F80"/>
    <w:rsid w:val="1B0D75BA"/>
    <w:rsid w:val="1B23671D"/>
    <w:rsid w:val="1B3267B5"/>
    <w:rsid w:val="1B397375"/>
    <w:rsid w:val="1B40161D"/>
    <w:rsid w:val="1B441859"/>
    <w:rsid w:val="1B6606B1"/>
    <w:rsid w:val="1B701236"/>
    <w:rsid w:val="1B746F78"/>
    <w:rsid w:val="1BC54051"/>
    <w:rsid w:val="1C057BD0"/>
    <w:rsid w:val="1C5E7925"/>
    <w:rsid w:val="1CA319E0"/>
    <w:rsid w:val="1CC134B3"/>
    <w:rsid w:val="1CD64E0A"/>
    <w:rsid w:val="1CDF6EAC"/>
    <w:rsid w:val="1CE0366F"/>
    <w:rsid w:val="1CEB6DC6"/>
    <w:rsid w:val="1CFD070F"/>
    <w:rsid w:val="1CFF6D16"/>
    <w:rsid w:val="1D2E0EC7"/>
    <w:rsid w:val="1D402911"/>
    <w:rsid w:val="1D5F6196"/>
    <w:rsid w:val="1D6132A5"/>
    <w:rsid w:val="1D750D86"/>
    <w:rsid w:val="1D7A6066"/>
    <w:rsid w:val="1D8E56D5"/>
    <w:rsid w:val="1D936337"/>
    <w:rsid w:val="1DBD4754"/>
    <w:rsid w:val="1E110AAE"/>
    <w:rsid w:val="1E3B3D7D"/>
    <w:rsid w:val="1E3F6C6B"/>
    <w:rsid w:val="1E4F7829"/>
    <w:rsid w:val="1E6C7F40"/>
    <w:rsid w:val="1E782D4F"/>
    <w:rsid w:val="1E7A43DA"/>
    <w:rsid w:val="1E947F2C"/>
    <w:rsid w:val="1E957931"/>
    <w:rsid w:val="1E9D2342"/>
    <w:rsid w:val="1EB12291"/>
    <w:rsid w:val="1F543A73"/>
    <w:rsid w:val="1F7E2174"/>
    <w:rsid w:val="1FE7539E"/>
    <w:rsid w:val="20216FA3"/>
    <w:rsid w:val="205473FD"/>
    <w:rsid w:val="20651585"/>
    <w:rsid w:val="20671BE0"/>
    <w:rsid w:val="20700447"/>
    <w:rsid w:val="20963CB8"/>
    <w:rsid w:val="20A81A1B"/>
    <w:rsid w:val="20B07FB6"/>
    <w:rsid w:val="20B646FB"/>
    <w:rsid w:val="20C718F8"/>
    <w:rsid w:val="20F375E8"/>
    <w:rsid w:val="20F830E2"/>
    <w:rsid w:val="210B4839"/>
    <w:rsid w:val="212E5AAE"/>
    <w:rsid w:val="213B74B1"/>
    <w:rsid w:val="21486DEB"/>
    <w:rsid w:val="215A2310"/>
    <w:rsid w:val="21645399"/>
    <w:rsid w:val="21D342CD"/>
    <w:rsid w:val="21DE318A"/>
    <w:rsid w:val="21ED20BC"/>
    <w:rsid w:val="21EF5B80"/>
    <w:rsid w:val="21F4172C"/>
    <w:rsid w:val="21FB7540"/>
    <w:rsid w:val="22353DA5"/>
    <w:rsid w:val="22372AAE"/>
    <w:rsid w:val="223D21D8"/>
    <w:rsid w:val="22576990"/>
    <w:rsid w:val="22765155"/>
    <w:rsid w:val="227E692E"/>
    <w:rsid w:val="22925F36"/>
    <w:rsid w:val="22F47480"/>
    <w:rsid w:val="23751ADF"/>
    <w:rsid w:val="23971A56"/>
    <w:rsid w:val="23A95CBD"/>
    <w:rsid w:val="23DE1C48"/>
    <w:rsid w:val="23EB4618"/>
    <w:rsid w:val="240210CD"/>
    <w:rsid w:val="24217BA6"/>
    <w:rsid w:val="24294678"/>
    <w:rsid w:val="243D3F00"/>
    <w:rsid w:val="24521E21"/>
    <w:rsid w:val="24A841D0"/>
    <w:rsid w:val="24BF09F7"/>
    <w:rsid w:val="24D42836"/>
    <w:rsid w:val="25037D3A"/>
    <w:rsid w:val="25237319"/>
    <w:rsid w:val="252D53FE"/>
    <w:rsid w:val="25641E0C"/>
    <w:rsid w:val="258A1146"/>
    <w:rsid w:val="25B749EB"/>
    <w:rsid w:val="25DF1492"/>
    <w:rsid w:val="25EC2D81"/>
    <w:rsid w:val="26525D12"/>
    <w:rsid w:val="269E77B1"/>
    <w:rsid w:val="26B26BA7"/>
    <w:rsid w:val="272A0E33"/>
    <w:rsid w:val="274A6DDF"/>
    <w:rsid w:val="277057A2"/>
    <w:rsid w:val="279D467A"/>
    <w:rsid w:val="27A75FE0"/>
    <w:rsid w:val="27CE388A"/>
    <w:rsid w:val="27FB76FC"/>
    <w:rsid w:val="281764DE"/>
    <w:rsid w:val="28445B56"/>
    <w:rsid w:val="2874680A"/>
    <w:rsid w:val="28913E9A"/>
    <w:rsid w:val="28B6390B"/>
    <w:rsid w:val="28BE1833"/>
    <w:rsid w:val="28C17E65"/>
    <w:rsid w:val="28EC2844"/>
    <w:rsid w:val="28F635CE"/>
    <w:rsid w:val="290A4A78"/>
    <w:rsid w:val="291760E6"/>
    <w:rsid w:val="29206EB8"/>
    <w:rsid w:val="293148D5"/>
    <w:rsid w:val="293164A9"/>
    <w:rsid w:val="29595666"/>
    <w:rsid w:val="297F5466"/>
    <w:rsid w:val="29874881"/>
    <w:rsid w:val="298C618A"/>
    <w:rsid w:val="298E56A9"/>
    <w:rsid w:val="29A13808"/>
    <w:rsid w:val="29B704CB"/>
    <w:rsid w:val="29C16A9E"/>
    <w:rsid w:val="29D86924"/>
    <w:rsid w:val="29DF4157"/>
    <w:rsid w:val="29E325E0"/>
    <w:rsid w:val="29FA0F90"/>
    <w:rsid w:val="2A0B1F50"/>
    <w:rsid w:val="2A452503"/>
    <w:rsid w:val="2A64465C"/>
    <w:rsid w:val="2A79370C"/>
    <w:rsid w:val="2A7A79DB"/>
    <w:rsid w:val="2A9071FF"/>
    <w:rsid w:val="2AC54F0C"/>
    <w:rsid w:val="2AD0584D"/>
    <w:rsid w:val="2AF14141"/>
    <w:rsid w:val="2B167827"/>
    <w:rsid w:val="2B22542D"/>
    <w:rsid w:val="2B587BA7"/>
    <w:rsid w:val="2B682122"/>
    <w:rsid w:val="2B8B1813"/>
    <w:rsid w:val="2BA7408F"/>
    <w:rsid w:val="2BA936A8"/>
    <w:rsid w:val="2BC25ADE"/>
    <w:rsid w:val="2BC639DD"/>
    <w:rsid w:val="2BD001FB"/>
    <w:rsid w:val="2BE91676"/>
    <w:rsid w:val="2BF13706"/>
    <w:rsid w:val="2BFE6777"/>
    <w:rsid w:val="2C0167A4"/>
    <w:rsid w:val="2C1300E8"/>
    <w:rsid w:val="2C315A5A"/>
    <w:rsid w:val="2C3F628D"/>
    <w:rsid w:val="2C4B1C25"/>
    <w:rsid w:val="2CC852C0"/>
    <w:rsid w:val="2CFC0F96"/>
    <w:rsid w:val="2D3227EF"/>
    <w:rsid w:val="2D7E2B14"/>
    <w:rsid w:val="2D9E56F5"/>
    <w:rsid w:val="2DE26374"/>
    <w:rsid w:val="2DE47F8D"/>
    <w:rsid w:val="2DF47AA5"/>
    <w:rsid w:val="2DF847E4"/>
    <w:rsid w:val="2E344345"/>
    <w:rsid w:val="2E56075F"/>
    <w:rsid w:val="2E667F96"/>
    <w:rsid w:val="2E7C6418"/>
    <w:rsid w:val="2E8226AB"/>
    <w:rsid w:val="2E93215F"/>
    <w:rsid w:val="2E951288"/>
    <w:rsid w:val="2ED52C6D"/>
    <w:rsid w:val="2F8A7975"/>
    <w:rsid w:val="2FC260AC"/>
    <w:rsid w:val="2FD065E6"/>
    <w:rsid w:val="2FD96870"/>
    <w:rsid w:val="2FFA249D"/>
    <w:rsid w:val="30580BC9"/>
    <w:rsid w:val="30907F59"/>
    <w:rsid w:val="30A64E77"/>
    <w:rsid w:val="30B26121"/>
    <w:rsid w:val="30DA3DB5"/>
    <w:rsid w:val="311E2ED7"/>
    <w:rsid w:val="314B68FF"/>
    <w:rsid w:val="315619EE"/>
    <w:rsid w:val="315C449C"/>
    <w:rsid w:val="318F365D"/>
    <w:rsid w:val="31943A79"/>
    <w:rsid w:val="319475D5"/>
    <w:rsid w:val="319C1D0A"/>
    <w:rsid w:val="31AA5ABC"/>
    <w:rsid w:val="31B82709"/>
    <w:rsid w:val="31C10830"/>
    <w:rsid w:val="31D05482"/>
    <w:rsid w:val="32270449"/>
    <w:rsid w:val="32400B34"/>
    <w:rsid w:val="324A3F68"/>
    <w:rsid w:val="326E4B18"/>
    <w:rsid w:val="329E6876"/>
    <w:rsid w:val="329F4483"/>
    <w:rsid w:val="32CB3AED"/>
    <w:rsid w:val="32D741F2"/>
    <w:rsid w:val="32D86607"/>
    <w:rsid w:val="32E9694D"/>
    <w:rsid w:val="333015F2"/>
    <w:rsid w:val="33386321"/>
    <w:rsid w:val="334B6320"/>
    <w:rsid w:val="33D934D4"/>
    <w:rsid w:val="33FA057E"/>
    <w:rsid w:val="33FE2F6A"/>
    <w:rsid w:val="340116DE"/>
    <w:rsid w:val="340E07E5"/>
    <w:rsid w:val="34235BF7"/>
    <w:rsid w:val="34236101"/>
    <w:rsid w:val="34297020"/>
    <w:rsid w:val="342B23A0"/>
    <w:rsid w:val="34344A31"/>
    <w:rsid w:val="34567DF2"/>
    <w:rsid w:val="34BD27A2"/>
    <w:rsid w:val="34D523DE"/>
    <w:rsid w:val="34D81BE2"/>
    <w:rsid w:val="34E268A9"/>
    <w:rsid w:val="351F18AB"/>
    <w:rsid w:val="35853DF8"/>
    <w:rsid w:val="358C5FA8"/>
    <w:rsid w:val="35912412"/>
    <w:rsid w:val="35C15DF1"/>
    <w:rsid w:val="35C66312"/>
    <w:rsid w:val="35CB1A33"/>
    <w:rsid w:val="36074A7F"/>
    <w:rsid w:val="36271870"/>
    <w:rsid w:val="36274EBB"/>
    <w:rsid w:val="367B07EA"/>
    <w:rsid w:val="367D0F7F"/>
    <w:rsid w:val="36910587"/>
    <w:rsid w:val="36923549"/>
    <w:rsid w:val="36B75FBF"/>
    <w:rsid w:val="36BD0C45"/>
    <w:rsid w:val="36E96615"/>
    <w:rsid w:val="371744D1"/>
    <w:rsid w:val="371D62BE"/>
    <w:rsid w:val="37A244E8"/>
    <w:rsid w:val="37C97E5F"/>
    <w:rsid w:val="37E00298"/>
    <w:rsid w:val="37FB65FF"/>
    <w:rsid w:val="38376F0C"/>
    <w:rsid w:val="386F2BFF"/>
    <w:rsid w:val="386F3228"/>
    <w:rsid w:val="388760E5"/>
    <w:rsid w:val="388834D5"/>
    <w:rsid w:val="38A10829"/>
    <w:rsid w:val="38A722E3"/>
    <w:rsid w:val="38A92785"/>
    <w:rsid w:val="38B302F9"/>
    <w:rsid w:val="38C13BBE"/>
    <w:rsid w:val="38F12CD3"/>
    <w:rsid w:val="38F94775"/>
    <w:rsid w:val="39016348"/>
    <w:rsid w:val="392971ED"/>
    <w:rsid w:val="39325651"/>
    <w:rsid w:val="395E3DBA"/>
    <w:rsid w:val="39B051C8"/>
    <w:rsid w:val="39C72511"/>
    <w:rsid w:val="39FD5585"/>
    <w:rsid w:val="3A145757"/>
    <w:rsid w:val="3A775B77"/>
    <w:rsid w:val="3A872856"/>
    <w:rsid w:val="3AA91F49"/>
    <w:rsid w:val="3AB94911"/>
    <w:rsid w:val="3ABB2076"/>
    <w:rsid w:val="3B000B81"/>
    <w:rsid w:val="3B0E6350"/>
    <w:rsid w:val="3B163750"/>
    <w:rsid w:val="3B1905B1"/>
    <w:rsid w:val="3B3763D1"/>
    <w:rsid w:val="3B392F9B"/>
    <w:rsid w:val="3B5B576D"/>
    <w:rsid w:val="3B613D5A"/>
    <w:rsid w:val="3B6756A6"/>
    <w:rsid w:val="3B676809"/>
    <w:rsid w:val="3B741B61"/>
    <w:rsid w:val="3BBA7AA0"/>
    <w:rsid w:val="3BE13D5E"/>
    <w:rsid w:val="3C2F6E1E"/>
    <w:rsid w:val="3C345E80"/>
    <w:rsid w:val="3C4F64BA"/>
    <w:rsid w:val="3C621E5E"/>
    <w:rsid w:val="3C7A1ABD"/>
    <w:rsid w:val="3CC82828"/>
    <w:rsid w:val="3CD929A0"/>
    <w:rsid w:val="3CDA245A"/>
    <w:rsid w:val="3CE358B4"/>
    <w:rsid w:val="3CE8111C"/>
    <w:rsid w:val="3D1E06B7"/>
    <w:rsid w:val="3D5F099B"/>
    <w:rsid w:val="3D9809C9"/>
    <w:rsid w:val="3DA74B34"/>
    <w:rsid w:val="3DE567A4"/>
    <w:rsid w:val="3DEB48E9"/>
    <w:rsid w:val="3E121393"/>
    <w:rsid w:val="3E816F07"/>
    <w:rsid w:val="3EA418A5"/>
    <w:rsid w:val="3EA6693C"/>
    <w:rsid w:val="3ED9778C"/>
    <w:rsid w:val="3EDA0523"/>
    <w:rsid w:val="3EE14075"/>
    <w:rsid w:val="3EF36685"/>
    <w:rsid w:val="3F000C8D"/>
    <w:rsid w:val="3F0F473E"/>
    <w:rsid w:val="3F3210CE"/>
    <w:rsid w:val="3F340993"/>
    <w:rsid w:val="3FA05CDE"/>
    <w:rsid w:val="3FBC12C2"/>
    <w:rsid w:val="3FD02BA6"/>
    <w:rsid w:val="3FF37BBC"/>
    <w:rsid w:val="402C30CE"/>
    <w:rsid w:val="40386253"/>
    <w:rsid w:val="40572841"/>
    <w:rsid w:val="405B57EB"/>
    <w:rsid w:val="407A6407"/>
    <w:rsid w:val="408244D3"/>
    <w:rsid w:val="40950B70"/>
    <w:rsid w:val="40A4535A"/>
    <w:rsid w:val="40AF442B"/>
    <w:rsid w:val="40D62CC2"/>
    <w:rsid w:val="40DB5220"/>
    <w:rsid w:val="4102655D"/>
    <w:rsid w:val="41693088"/>
    <w:rsid w:val="41B55E5B"/>
    <w:rsid w:val="41CC6917"/>
    <w:rsid w:val="4200449D"/>
    <w:rsid w:val="422B58DD"/>
    <w:rsid w:val="423324AF"/>
    <w:rsid w:val="423A3BCC"/>
    <w:rsid w:val="424E57D2"/>
    <w:rsid w:val="427B20EB"/>
    <w:rsid w:val="428F35C1"/>
    <w:rsid w:val="42B26C49"/>
    <w:rsid w:val="42E346A1"/>
    <w:rsid w:val="42E45EE2"/>
    <w:rsid w:val="430E6F8C"/>
    <w:rsid w:val="43170066"/>
    <w:rsid w:val="433429C6"/>
    <w:rsid w:val="433A6FE6"/>
    <w:rsid w:val="43480868"/>
    <w:rsid w:val="4350713C"/>
    <w:rsid w:val="43566288"/>
    <w:rsid w:val="436653E0"/>
    <w:rsid w:val="43A318F9"/>
    <w:rsid w:val="43B23735"/>
    <w:rsid w:val="43C4431A"/>
    <w:rsid w:val="43E066A9"/>
    <w:rsid w:val="43F3462F"/>
    <w:rsid w:val="447F3412"/>
    <w:rsid w:val="448122E8"/>
    <w:rsid w:val="44AC2A30"/>
    <w:rsid w:val="44B50A8E"/>
    <w:rsid w:val="44B951CC"/>
    <w:rsid w:val="44CD14E0"/>
    <w:rsid w:val="44DD404E"/>
    <w:rsid w:val="44F20B0B"/>
    <w:rsid w:val="45265E83"/>
    <w:rsid w:val="452E5F4C"/>
    <w:rsid w:val="45612018"/>
    <w:rsid w:val="457E1D07"/>
    <w:rsid w:val="458946E9"/>
    <w:rsid w:val="45A47C0E"/>
    <w:rsid w:val="45C269AF"/>
    <w:rsid w:val="45D710BC"/>
    <w:rsid w:val="45F37FC8"/>
    <w:rsid w:val="4614088C"/>
    <w:rsid w:val="46496788"/>
    <w:rsid w:val="46577FD6"/>
    <w:rsid w:val="46CE1383"/>
    <w:rsid w:val="46D479E0"/>
    <w:rsid w:val="46D955A7"/>
    <w:rsid w:val="46F506BE"/>
    <w:rsid w:val="47133957"/>
    <w:rsid w:val="47304AF0"/>
    <w:rsid w:val="474F5AFF"/>
    <w:rsid w:val="47767A51"/>
    <w:rsid w:val="47A07E0C"/>
    <w:rsid w:val="480F737D"/>
    <w:rsid w:val="48376AB4"/>
    <w:rsid w:val="4839282C"/>
    <w:rsid w:val="48657AC5"/>
    <w:rsid w:val="4870272E"/>
    <w:rsid w:val="48816B9E"/>
    <w:rsid w:val="489D1DBD"/>
    <w:rsid w:val="48AA5805"/>
    <w:rsid w:val="48AF089B"/>
    <w:rsid w:val="48B325DE"/>
    <w:rsid w:val="48FC164D"/>
    <w:rsid w:val="49843F7B"/>
    <w:rsid w:val="49DC7715"/>
    <w:rsid w:val="49DE368B"/>
    <w:rsid w:val="4A023139"/>
    <w:rsid w:val="4A087EE5"/>
    <w:rsid w:val="4A16118F"/>
    <w:rsid w:val="4A296123"/>
    <w:rsid w:val="4A7B576F"/>
    <w:rsid w:val="4AC26B09"/>
    <w:rsid w:val="4AF561A9"/>
    <w:rsid w:val="4B3621F1"/>
    <w:rsid w:val="4B3A6FE7"/>
    <w:rsid w:val="4B881494"/>
    <w:rsid w:val="4B9A2172"/>
    <w:rsid w:val="4B9F509C"/>
    <w:rsid w:val="4BAA6222"/>
    <w:rsid w:val="4BB07441"/>
    <w:rsid w:val="4BB40A9B"/>
    <w:rsid w:val="4BD7454E"/>
    <w:rsid w:val="4BDE5225"/>
    <w:rsid w:val="4BFE1DC3"/>
    <w:rsid w:val="4C243E62"/>
    <w:rsid w:val="4C303F46"/>
    <w:rsid w:val="4C4A0649"/>
    <w:rsid w:val="4C5540B1"/>
    <w:rsid w:val="4C7E5ECA"/>
    <w:rsid w:val="4C856040"/>
    <w:rsid w:val="4C876AA5"/>
    <w:rsid w:val="4C9C4528"/>
    <w:rsid w:val="4CDB6DDA"/>
    <w:rsid w:val="4D0E00FB"/>
    <w:rsid w:val="4D176606"/>
    <w:rsid w:val="4D873D3E"/>
    <w:rsid w:val="4D8B58D8"/>
    <w:rsid w:val="4DB52F1C"/>
    <w:rsid w:val="4DCA2277"/>
    <w:rsid w:val="4DDC6134"/>
    <w:rsid w:val="4DEC4FB0"/>
    <w:rsid w:val="4E075D8A"/>
    <w:rsid w:val="4E0D09E3"/>
    <w:rsid w:val="4EB06665"/>
    <w:rsid w:val="4EC00FAD"/>
    <w:rsid w:val="4ED56CDE"/>
    <w:rsid w:val="4EDA689C"/>
    <w:rsid w:val="4F0163BB"/>
    <w:rsid w:val="4F43529A"/>
    <w:rsid w:val="4F443F90"/>
    <w:rsid w:val="4F9843DC"/>
    <w:rsid w:val="4FC62A8C"/>
    <w:rsid w:val="4FDF63AF"/>
    <w:rsid w:val="4FE20F0D"/>
    <w:rsid w:val="4FE51552"/>
    <w:rsid w:val="4FFF435B"/>
    <w:rsid w:val="501D695A"/>
    <w:rsid w:val="50342257"/>
    <w:rsid w:val="50504C4B"/>
    <w:rsid w:val="505C17AE"/>
    <w:rsid w:val="508435B7"/>
    <w:rsid w:val="509C6E7C"/>
    <w:rsid w:val="50AC1138"/>
    <w:rsid w:val="5100482F"/>
    <w:rsid w:val="512B2DD1"/>
    <w:rsid w:val="512D2B15"/>
    <w:rsid w:val="513B0F0A"/>
    <w:rsid w:val="51546265"/>
    <w:rsid w:val="515802E8"/>
    <w:rsid w:val="515F2DB6"/>
    <w:rsid w:val="5162104E"/>
    <w:rsid w:val="517B6843"/>
    <w:rsid w:val="51CB6BEB"/>
    <w:rsid w:val="525941F7"/>
    <w:rsid w:val="52624F27"/>
    <w:rsid w:val="528F1AE6"/>
    <w:rsid w:val="529214B7"/>
    <w:rsid w:val="52C75604"/>
    <w:rsid w:val="532308C9"/>
    <w:rsid w:val="538D1D7D"/>
    <w:rsid w:val="53932FAA"/>
    <w:rsid w:val="53A039CC"/>
    <w:rsid w:val="53A1505A"/>
    <w:rsid w:val="53DB1A2F"/>
    <w:rsid w:val="54053A42"/>
    <w:rsid w:val="54063E08"/>
    <w:rsid w:val="541A7EA4"/>
    <w:rsid w:val="54240834"/>
    <w:rsid w:val="543437E8"/>
    <w:rsid w:val="544744A1"/>
    <w:rsid w:val="549A2268"/>
    <w:rsid w:val="54A4313B"/>
    <w:rsid w:val="54AE008E"/>
    <w:rsid w:val="54CC5154"/>
    <w:rsid w:val="54F73313"/>
    <w:rsid w:val="54F80955"/>
    <w:rsid w:val="5507618C"/>
    <w:rsid w:val="55237CF3"/>
    <w:rsid w:val="554B18DB"/>
    <w:rsid w:val="555170A7"/>
    <w:rsid w:val="5587536D"/>
    <w:rsid w:val="558A031E"/>
    <w:rsid w:val="559B174B"/>
    <w:rsid w:val="559C7E3B"/>
    <w:rsid w:val="55CE0CF4"/>
    <w:rsid w:val="55E02539"/>
    <w:rsid w:val="55FC469E"/>
    <w:rsid w:val="56602529"/>
    <w:rsid w:val="56674A08"/>
    <w:rsid w:val="56876E58"/>
    <w:rsid w:val="568D26C1"/>
    <w:rsid w:val="569E5621"/>
    <w:rsid w:val="56B22A9C"/>
    <w:rsid w:val="56D73191"/>
    <w:rsid w:val="575A4E85"/>
    <w:rsid w:val="5765363E"/>
    <w:rsid w:val="57B72A76"/>
    <w:rsid w:val="57B7551B"/>
    <w:rsid w:val="57C3426C"/>
    <w:rsid w:val="57C869A8"/>
    <w:rsid w:val="57CE1F93"/>
    <w:rsid w:val="5836142A"/>
    <w:rsid w:val="586E0115"/>
    <w:rsid w:val="58726012"/>
    <w:rsid w:val="58781BE7"/>
    <w:rsid w:val="58782EFD"/>
    <w:rsid w:val="588743D1"/>
    <w:rsid w:val="5887506D"/>
    <w:rsid w:val="5887701A"/>
    <w:rsid w:val="58A977B2"/>
    <w:rsid w:val="58C425E6"/>
    <w:rsid w:val="58E17C3E"/>
    <w:rsid w:val="58FF717A"/>
    <w:rsid w:val="5915074C"/>
    <w:rsid w:val="59505C28"/>
    <w:rsid w:val="5976185D"/>
    <w:rsid w:val="59A73A9A"/>
    <w:rsid w:val="59C0439F"/>
    <w:rsid w:val="59D12A0C"/>
    <w:rsid w:val="59EC76FE"/>
    <w:rsid w:val="59F3638C"/>
    <w:rsid w:val="59FC351C"/>
    <w:rsid w:val="5A117165"/>
    <w:rsid w:val="5A4A272E"/>
    <w:rsid w:val="5A7D2A4C"/>
    <w:rsid w:val="5A7E5601"/>
    <w:rsid w:val="5A7F0572"/>
    <w:rsid w:val="5AAC6F50"/>
    <w:rsid w:val="5AAE5CD6"/>
    <w:rsid w:val="5ABC71EA"/>
    <w:rsid w:val="5ABE2233"/>
    <w:rsid w:val="5AD563E4"/>
    <w:rsid w:val="5AF739DE"/>
    <w:rsid w:val="5B1828BF"/>
    <w:rsid w:val="5B3A6696"/>
    <w:rsid w:val="5B726329"/>
    <w:rsid w:val="5B767BC7"/>
    <w:rsid w:val="5BD14092"/>
    <w:rsid w:val="5BDA3C8D"/>
    <w:rsid w:val="5BDF5D95"/>
    <w:rsid w:val="5BFC5BF3"/>
    <w:rsid w:val="5BFE7528"/>
    <w:rsid w:val="5C25514A"/>
    <w:rsid w:val="5C3B6762"/>
    <w:rsid w:val="5C593045"/>
    <w:rsid w:val="5C6739B4"/>
    <w:rsid w:val="5CDD77D2"/>
    <w:rsid w:val="5CF70CD2"/>
    <w:rsid w:val="5D330099"/>
    <w:rsid w:val="5D504448"/>
    <w:rsid w:val="5D827929"/>
    <w:rsid w:val="5D8560B0"/>
    <w:rsid w:val="5DB2543B"/>
    <w:rsid w:val="5DB744C7"/>
    <w:rsid w:val="5DC63835"/>
    <w:rsid w:val="5DD010E5"/>
    <w:rsid w:val="5DED1C97"/>
    <w:rsid w:val="5E1C257C"/>
    <w:rsid w:val="5E2467F1"/>
    <w:rsid w:val="5E2A4C99"/>
    <w:rsid w:val="5E551EC9"/>
    <w:rsid w:val="5E736001"/>
    <w:rsid w:val="5E766345"/>
    <w:rsid w:val="5E8C5BA7"/>
    <w:rsid w:val="5E930A90"/>
    <w:rsid w:val="5E981D0C"/>
    <w:rsid w:val="5E9F11E3"/>
    <w:rsid w:val="5EED6C67"/>
    <w:rsid w:val="5EF64B7B"/>
    <w:rsid w:val="5F1A2B43"/>
    <w:rsid w:val="5F2711D9"/>
    <w:rsid w:val="5F421B2B"/>
    <w:rsid w:val="5F766F82"/>
    <w:rsid w:val="5F8A34A4"/>
    <w:rsid w:val="5FB837BB"/>
    <w:rsid w:val="5FDA624B"/>
    <w:rsid w:val="5FE54CAC"/>
    <w:rsid w:val="60097A4A"/>
    <w:rsid w:val="60296B52"/>
    <w:rsid w:val="60CC405A"/>
    <w:rsid w:val="60CF38D6"/>
    <w:rsid w:val="61357BDD"/>
    <w:rsid w:val="61613A42"/>
    <w:rsid w:val="61752F14"/>
    <w:rsid w:val="61842A5A"/>
    <w:rsid w:val="61926DDD"/>
    <w:rsid w:val="61BA27D8"/>
    <w:rsid w:val="61E215D8"/>
    <w:rsid w:val="61EB473F"/>
    <w:rsid w:val="621B3775"/>
    <w:rsid w:val="62233ED9"/>
    <w:rsid w:val="62364782"/>
    <w:rsid w:val="623C143F"/>
    <w:rsid w:val="62471B4C"/>
    <w:rsid w:val="624C3E24"/>
    <w:rsid w:val="6280757E"/>
    <w:rsid w:val="62944DD7"/>
    <w:rsid w:val="62982362"/>
    <w:rsid w:val="629D0130"/>
    <w:rsid w:val="62AA0157"/>
    <w:rsid w:val="62BD0029"/>
    <w:rsid w:val="62BF00A6"/>
    <w:rsid w:val="62E436D6"/>
    <w:rsid w:val="62EE098B"/>
    <w:rsid w:val="62FC2EBF"/>
    <w:rsid w:val="631D301E"/>
    <w:rsid w:val="63416D0D"/>
    <w:rsid w:val="63534F55"/>
    <w:rsid w:val="635822A8"/>
    <w:rsid w:val="6394356A"/>
    <w:rsid w:val="63C20235"/>
    <w:rsid w:val="63C61B2C"/>
    <w:rsid w:val="63CF6FE5"/>
    <w:rsid w:val="63D40BE9"/>
    <w:rsid w:val="63E37B4D"/>
    <w:rsid w:val="64102431"/>
    <w:rsid w:val="642B3519"/>
    <w:rsid w:val="643248A8"/>
    <w:rsid w:val="646475B1"/>
    <w:rsid w:val="64A5243A"/>
    <w:rsid w:val="64BB489D"/>
    <w:rsid w:val="64D63E68"/>
    <w:rsid w:val="64F531DE"/>
    <w:rsid w:val="65022F99"/>
    <w:rsid w:val="65373578"/>
    <w:rsid w:val="653E03CF"/>
    <w:rsid w:val="656E24E3"/>
    <w:rsid w:val="658B3501"/>
    <w:rsid w:val="65A13A93"/>
    <w:rsid w:val="65A87D94"/>
    <w:rsid w:val="65E240AB"/>
    <w:rsid w:val="661A7600"/>
    <w:rsid w:val="663D67FB"/>
    <w:rsid w:val="663D7E90"/>
    <w:rsid w:val="664D7BD2"/>
    <w:rsid w:val="6685488D"/>
    <w:rsid w:val="670F4DDF"/>
    <w:rsid w:val="671F124A"/>
    <w:rsid w:val="672030DD"/>
    <w:rsid w:val="67436A10"/>
    <w:rsid w:val="677A33C6"/>
    <w:rsid w:val="67BF6452"/>
    <w:rsid w:val="681F6961"/>
    <w:rsid w:val="68610A2F"/>
    <w:rsid w:val="68725BBA"/>
    <w:rsid w:val="68805514"/>
    <w:rsid w:val="68C01368"/>
    <w:rsid w:val="68DF20E1"/>
    <w:rsid w:val="68EA156C"/>
    <w:rsid w:val="690F76AF"/>
    <w:rsid w:val="692F585A"/>
    <w:rsid w:val="69316E2F"/>
    <w:rsid w:val="69401815"/>
    <w:rsid w:val="69415375"/>
    <w:rsid w:val="694E2071"/>
    <w:rsid w:val="6954706E"/>
    <w:rsid w:val="69766163"/>
    <w:rsid w:val="697A3B33"/>
    <w:rsid w:val="69D44760"/>
    <w:rsid w:val="69DF102E"/>
    <w:rsid w:val="6A4A35D4"/>
    <w:rsid w:val="6A4B5889"/>
    <w:rsid w:val="6A520EC7"/>
    <w:rsid w:val="6A617392"/>
    <w:rsid w:val="6AAD2EDA"/>
    <w:rsid w:val="6AC933DE"/>
    <w:rsid w:val="6AE83FEA"/>
    <w:rsid w:val="6AED1528"/>
    <w:rsid w:val="6AF87E20"/>
    <w:rsid w:val="6B0074AE"/>
    <w:rsid w:val="6B322639"/>
    <w:rsid w:val="6B3809FD"/>
    <w:rsid w:val="6B4640F5"/>
    <w:rsid w:val="6B6B01D6"/>
    <w:rsid w:val="6BAD26B6"/>
    <w:rsid w:val="6BE31711"/>
    <w:rsid w:val="6BFA214F"/>
    <w:rsid w:val="6C134FBF"/>
    <w:rsid w:val="6C2C42D2"/>
    <w:rsid w:val="6C636C38"/>
    <w:rsid w:val="6CCD33BF"/>
    <w:rsid w:val="6CDA788A"/>
    <w:rsid w:val="6CE871C1"/>
    <w:rsid w:val="6D097DF1"/>
    <w:rsid w:val="6D1C21D2"/>
    <w:rsid w:val="6D1E00BF"/>
    <w:rsid w:val="6D606349"/>
    <w:rsid w:val="6D9B170F"/>
    <w:rsid w:val="6DB33F3F"/>
    <w:rsid w:val="6DB34098"/>
    <w:rsid w:val="6DB545B6"/>
    <w:rsid w:val="6DCF760B"/>
    <w:rsid w:val="6DE02FB4"/>
    <w:rsid w:val="6DE65D88"/>
    <w:rsid w:val="6DE730CF"/>
    <w:rsid w:val="6E3F653F"/>
    <w:rsid w:val="6E514CED"/>
    <w:rsid w:val="6E601244"/>
    <w:rsid w:val="6EA168B2"/>
    <w:rsid w:val="6EB563D5"/>
    <w:rsid w:val="6ED92677"/>
    <w:rsid w:val="6EDF2D78"/>
    <w:rsid w:val="6EFC61DE"/>
    <w:rsid w:val="6F225983"/>
    <w:rsid w:val="6F49641A"/>
    <w:rsid w:val="6F4A6F49"/>
    <w:rsid w:val="6FA22764"/>
    <w:rsid w:val="6FC47F71"/>
    <w:rsid w:val="6FC8131F"/>
    <w:rsid w:val="6FD27345"/>
    <w:rsid w:val="6FF73654"/>
    <w:rsid w:val="6FFC5590"/>
    <w:rsid w:val="6FFE5F86"/>
    <w:rsid w:val="701424EE"/>
    <w:rsid w:val="705453E4"/>
    <w:rsid w:val="70601998"/>
    <w:rsid w:val="706D1DD0"/>
    <w:rsid w:val="70856B87"/>
    <w:rsid w:val="708D32A0"/>
    <w:rsid w:val="709D579F"/>
    <w:rsid w:val="70AA78F9"/>
    <w:rsid w:val="70CE49F8"/>
    <w:rsid w:val="70D527EE"/>
    <w:rsid w:val="71593474"/>
    <w:rsid w:val="715B5300"/>
    <w:rsid w:val="71685DAD"/>
    <w:rsid w:val="71A16890"/>
    <w:rsid w:val="71D27F8A"/>
    <w:rsid w:val="71DB7417"/>
    <w:rsid w:val="723839D1"/>
    <w:rsid w:val="72553024"/>
    <w:rsid w:val="725B321B"/>
    <w:rsid w:val="727533DD"/>
    <w:rsid w:val="728E03DA"/>
    <w:rsid w:val="72B62B48"/>
    <w:rsid w:val="72D9191D"/>
    <w:rsid w:val="72EB3E0A"/>
    <w:rsid w:val="72F25C21"/>
    <w:rsid w:val="730B69EF"/>
    <w:rsid w:val="73122968"/>
    <w:rsid w:val="731F5D5E"/>
    <w:rsid w:val="73261A7B"/>
    <w:rsid w:val="733046A8"/>
    <w:rsid w:val="73417D3F"/>
    <w:rsid w:val="734819F2"/>
    <w:rsid w:val="7352461E"/>
    <w:rsid w:val="73530396"/>
    <w:rsid w:val="73AD76D9"/>
    <w:rsid w:val="73C51AD5"/>
    <w:rsid w:val="73CE54B9"/>
    <w:rsid w:val="73E57AE3"/>
    <w:rsid w:val="741E793C"/>
    <w:rsid w:val="742A559B"/>
    <w:rsid w:val="743E32CC"/>
    <w:rsid w:val="745E3944"/>
    <w:rsid w:val="747C588D"/>
    <w:rsid w:val="74A51618"/>
    <w:rsid w:val="74CD2798"/>
    <w:rsid w:val="74D07EF1"/>
    <w:rsid w:val="74E4151A"/>
    <w:rsid w:val="74EB799F"/>
    <w:rsid w:val="750415C3"/>
    <w:rsid w:val="756F3BDD"/>
    <w:rsid w:val="7590142E"/>
    <w:rsid w:val="7635099D"/>
    <w:rsid w:val="76404C02"/>
    <w:rsid w:val="76472434"/>
    <w:rsid w:val="76AA651F"/>
    <w:rsid w:val="76B61368"/>
    <w:rsid w:val="76B96660"/>
    <w:rsid w:val="76CE0460"/>
    <w:rsid w:val="773659A0"/>
    <w:rsid w:val="77590E98"/>
    <w:rsid w:val="77762421"/>
    <w:rsid w:val="77B56B1F"/>
    <w:rsid w:val="77F2017E"/>
    <w:rsid w:val="780F09F4"/>
    <w:rsid w:val="78286916"/>
    <w:rsid w:val="784A7167"/>
    <w:rsid w:val="78545D9E"/>
    <w:rsid w:val="785901FD"/>
    <w:rsid w:val="786E233C"/>
    <w:rsid w:val="787A695A"/>
    <w:rsid w:val="78A90480"/>
    <w:rsid w:val="78B35AFC"/>
    <w:rsid w:val="78C06E32"/>
    <w:rsid w:val="78F543CA"/>
    <w:rsid w:val="790E2D96"/>
    <w:rsid w:val="795A247F"/>
    <w:rsid w:val="799D05BD"/>
    <w:rsid w:val="79AC0800"/>
    <w:rsid w:val="79F857F4"/>
    <w:rsid w:val="7A1A669D"/>
    <w:rsid w:val="7A28761C"/>
    <w:rsid w:val="7A364017"/>
    <w:rsid w:val="7A8265E1"/>
    <w:rsid w:val="7A913AC8"/>
    <w:rsid w:val="7A9E58E0"/>
    <w:rsid w:val="7AB73B8A"/>
    <w:rsid w:val="7ACA3634"/>
    <w:rsid w:val="7B114DBF"/>
    <w:rsid w:val="7B686D42"/>
    <w:rsid w:val="7B841746"/>
    <w:rsid w:val="7BBA7B82"/>
    <w:rsid w:val="7C3074C7"/>
    <w:rsid w:val="7C401BE6"/>
    <w:rsid w:val="7C492337"/>
    <w:rsid w:val="7C4F5B14"/>
    <w:rsid w:val="7C6C5AC7"/>
    <w:rsid w:val="7C7A6994"/>
    <w:rsid w:val="7C7C095E"/>
    <w:rsid w:val="7CC6544B"/>
    <w:rsid w:val="7D0239FF"/>
    <w:rsid w:val="7D5E0A0F"/>
    <w:rsid w:val="7D5E40CD"/>
    <w:rsid w:val="7DB36601"/>
    <w:rsid w:val="7DCD56F2"/>
    <w:rsid w:val="7E0E3838"/>
    <w:rsid w:val="7E1259C9"/>
    <w:rsid w:val="7E2D1F10"/>
    <w:rsid w:val="7E355268"/>
    <w:rsid w:val="7E3A287F"/>
    <w:rsid w:val="7E8B3D29"/>
    <w:rsid w:val="7EC55838"/>
    <w:rsid w:val="7EC9380E"/>
    <w:rsid w:val="7F001CE7"/>
    <w:rsid w:val="7F322C85"/>
    <w:rsid w:val="7F390D88"/>
    <w:rsid w:val="7F4F12BF"/>
    <w:rsid w:val="7F761695"/>
    <w:rsid w:val="7F9E22B0"/>
    <w:rsid w:val="7FDB01D3"/>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ocked="1"/>
    <w:lsdException w:qFormat="1" w:uiPriority="0" w:name="heading 3" w:locked="1"/>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qFormat="1" w:unhideWhenUsed="0" w:uiPriority="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qFormat="1"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nhideWhenUsed="0" w:uiPriority="0" w:semiHidden="0" w:name="caption" w:locked="1"/>
    <w:lsdException w:qFormat="1" w:uiPriority="99"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1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qFormat="1" w:unhideWhenUsed="0" w:uiPriority="0" w:semiHidden="0" w:name="Body Text 2" w:locked="1"/>
    <w:lsdException w:qFormat="1"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7">
    <w:name w:val="heading 2"/>
    <w:basedOn w:val="1"/>
    <w:next w:val="1"/>
    <w:qFormat/>
    <w:locked/>
    <w:uiPriority w:val="99"/>
    <w:pPr>
      <w:keepNext/>
      <w:keepLines/>
      <w:spacing w:line="360" w:lineRule="auto"/>
      <w:ind w:firstLine="0" w:firstLineChars="0"/>
      <w:outlineLvl w:val="1"/>
    </w:pPr>
    <w:rPr>
      <w:rFonts w:ascii="Times New Roman" w:hAnsi="Times New Roman" w:eastAsia="宋体"/>
      <w:b/>
      <w:bCs/>
      <w:kern w:val="0"/>
      <w:szCs w:val="32"/>
    </w:rPr>
  </w:style>
  <w:style w:type="paragraph" w:styleId="8">
    <w:name w:val="heading 3"/>
    <w:basedOn w:val="1"/>
    <w:next w:val="1"/>
    <w:semiHidden/>
    <w:unhideWhenUsed/>
    <w:qFormat/>
    <w:locked/>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9">
    <w:name w:val="heading 4"/>
    <w:basedOn w:val="1"/>
    <w:next w:val="1"/>
    <w:unhideWhenUsed/>
    <w:qFormat/>
    <w:locked/>
    <w:uiPriority w:val="0"/>
    <w:pPr>
      <w:spacing w:line="240" w:lineRule="auto"/>
      <w:ind w:firstLine="0" w:firstLineChars="0"/>
      <w:outlineLvl w:val="3"/>
    </w:pPr>
    <w:rPr>
      <w:rFonts w:ascii="Times New Roman" w:hAnsi="Times New Roman" w:eastAsia="宋体"/>
      <w:bCs/>
      <w:sz w:val="21"/>
      <w:szCs w:val="28"/>
    </w:rPr>
  </w:style>
  <w:style w:type="character" w:default="1" w:styleId="31">
    <w:name w:val="Default Paragraph Font"/>
    <w:semiHidden/>
    <w:qFormat/>
    <w:uiPriority w:val="0"/>
  </w:style>
  <w:style w:type="table" w:default="1" w:styleId="2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locked/>
    <w:uiPriority w:val="0"/>
    <w:pPr>
      <w:spacing w:after="120" w:afterLines="0" w:line="240" w:lineRule="auto"/>
      <w:ind w:left="420" w:leftChars="200" w:firstLine="420" w:firstLineChars="200"/>
    </w:pPr>
    <w:rPr>
      <w:rFonts w:eastAsia="宋体"/>
      <w:sz w:val="21"/>
    </w:rPr>
  </w:style>
  <w:style w:type="paragraph" w:styleId="3">
    <w:name w:val="Body Text Indent"/>
    <w:basedOn w:val="1"/>
    <w:next w:val="2"/>
    <w:link w:val="52"/>
    <w:qFormat/>
    <w:uiPriority w:val="0"/>
    <w:pPr>
      <w:spacing w:after="120"/>
      <w:ind w:left="420" w:leftChars="200"/>
    </w:pPr>
    <w:rPr>
      <w:kern w:val="0"/>
      <w:sz w:val="24"/>
      <w:szCs w:val="20"/>
    </w:rPr>
  </w:style>
  <w:style w:type="paragraph" w:styleId="4">
    <w:name w:val="Body Text First Indent"/>
    <w:basedOn w:val="5"/>
    <w:qFormat/>
    <w:locked/>
    <w:uiPriority w:val="0"/>
    <w:pPr>
      <w:keepNext w:val="0"/>
      <w:keepLines w:val="0"/>
      <w:widowControl w:val="0"/>
      <w:suppressLineNumbers w:val="0"/>
      <w:spacing w:after="120" w:afterLines="0" w:afterAutospacing="0"/>
      <w:ind w:firstLine="420" w:firstLineChars="100"/>
      <w:jc w:val="both"/>
    </w:pPr>
    <w:rPr>
      <w:rFonts w:hint="default" w:ascii="Times New Roman" w:hAnsi="Times New Roman" w:cs="Times New Roman"/>
      <w:kern w:val="2"/>
      <w:sz w:val="21"/>
      <w:szCs w:val="21"/>
      <w:lang w:val="en-US" w:eastAsia="zh-CN" w:bidi="ar"/>
    </w:rPr>
  </w:style>
  <w:style w:type="paragraph" w:styleId="5">
    <w:name w:val="Body Text"/>
    <w:basedOn w:val="1"/>
    <w:link w:val="51"/>
    <w:qFormat/>
    <w:uiPriority w:val="0"/>
    <w:pPr>
      <w:widowControl/>
      <w:snapToGrid w:val="0"/>
      <w:spacing w:before="60" w:after="160" w:line="259" w:lineRule="auto"/>
      <w:ind w:right="113"/>
    </w:pPr>
    <w:rPr>
      <w:kern w:val="0"/>
      <w:sz w:val="18"/>
      <w:szCs w:val="20"/>
    </w:rPr>
  </w:style>
  <w:style w:type="paragraph" w:styleId="10">
    <w:name w:val="toc 7"/>
    <w:basedOn w:val="1"/>
    <w:next w:val="1"/>
    <w:qFormat/>
    <w:locked/>
    <w:uiPriority w:val="0"/>
    <w:pPr>
      <w:spacing w:line="240" w:lineRule="auto"/>
      <w:ind w:left="0" w:firstLine="0" w:firstLineChars="0"/>
      <w:jc w:val="center"/>
    </w:pPr>
    <w:rPr>
      <w:rFonts w:ascii="Times New Roman" w:hAnsi="Times New Roman"/>
      <w:sz w:val="24"/>
      <w:szCs w:val="18"/>
    </w:rPr>
  </w:style>
  <w:style w:type="paragraph" w:styleId="11">
    <w:name w:val="Normal Indent"/>
    <w:basedOn w:val="1"/>
    <w:next w:val="1"/>
    <w:qFormat/>
    <w:locked/>
    <w:uiPriority w:val="0"/>
    <w:pPr>
      <w:ind w:firstLine="420"/>
    </w:pPr>
    <w:rPr>
      <w:rFonts w:ascii="Calibri" w:hAnsi="Calibri" w:eastAsia="宋体" w:cs="Times New Roman"/>
      <w:szCs w:val="20"/>
    </w:rPr>
  </w:style>
  <w:style w:type="paragraph" w:styleId="12">
    <w:name w:val="caption"/>
    <w:basedOn w:val="1"/>
    <w:next w:val="1"/>
    <w:qFormat/>
    <w:locked/>
    <w:uiPriority w:val="0"/>
    <w:pPr>
      <w:spacing w:before="120" w:beforeLines="0" w:after="120" w:afterLines="0" w:line="288" w:lineRule="auto"/>
      <w:ind w:firstLine="510"/>
      <w:jc w:val="center"/>
    </w:pPr>
    <w:rPr>
      <w:rFonts w:ascii="黑体" w:hAnsi="Arial" w:eastAsia="黑体"/>
      <w:b/>
    </w:rPr>
  </w:style>
  <w:style w:type="paragraph" w:styleId="13">
    <w:name w:val="annotation text"/>
    <w:basedOn w:val="1"/>
    <w:link w:val="50"/>
    <w:semiHidden/>
    <w:qFormat/>
    <w:uiPriority w:val="0"/>
    <w:pPr>
      <w:jc w:val="left"/>
    </w:pPr>
    <w:rPr>
      <w:kern w:val="0"/>
      <w:sz w:val="24"/>
      <w:szCs w:val="20"/>
    </w:rPr>
  </w:style>
  <w:style w:type="paragraph" w:styleId="14">
    <w:name w:val="Body Text 3"/>
    <w:basedOn w:val="1"/>
    <w:qFormat/>
    <w:locked/>
    <w:uiPriority w:val="0"/>
    <w:pPr>
      <w:spacing w:line="560" w:lineRule="exact"/>
    </w:pPr>
    <w:rPr>
      <w:rFonts w:ascii="宋体"/>
      <w:sz w:val="28"/>
    </w:rPr>
  </w:style>
  <w:style w:type="paragraph" w:styleId="15">
    <w:name w:val="Plain Text"/>
    <w:basedOn w:val="1"/>
    <w:next w:val="14"/>
    <w:qFormat/>
    <w:locked/>
    <w:uiPriority w:val="0"/>
    <w:pPr>
      <w:widowControl w:val="0"/>
      <w:ind w:firstLine="200" w:firstLineChars="200"/>
      <w:jc w:val="both"/>
    </w:pPr>
    <w:rPr>
      <w:rFonts w:ascii="宋体"/>
      <w:bCs/>
      <w:color w:val="000000"/>
      <w:sz w:val="28"/>
      <w:szCs w:val="28"/>
    </w:rPr>
  </w:style>
  <w:style w:type="paragraph" w:styleId="16">
    <w:name w:val="List Bullet 5"/>
    <w:basedOn w:val="1"/>
    <w:qFormat/>
    <w:locked/>
    <w:uiPriority w:val="0"/>
    <w:pPr>
      <w:numPr>
        <w:ilvl w:val="0"/>
        <w:numId w:val="1"/>
      </w:numPr>
    </w:pPr>
  </w:style>
  <w:style w:type="paragraph" w:styleId="17">
    <w:name w:val="Date"/>
    <w:basedOn w:val="1"/>
    <w:next w:val="1"/>
    <w:link w:val="53"/>
    <w:qFormat/>
    <w:uiPriority w:val="0"/>
    <w:pPr>
      <w:ind w:left="100" w:leftChars="2500"/>
    </w:pPr>
    <w:rPr>
      <w:kern w:val="0"/>
      <w:sz w:val="24"/>
      <w:szCs w:val="20"/>
    </w:rPr>
  </w:style>
  <w:style w:type="paragraph" w:styleId="18">
    <w:name w:val="Balloon Text"/>
    <w:basedOn w:val="1"/>
    <w:link w:val="54"/>
    <w:semiHidden/>
    <w:qFormat/>
    <w:uiPriority w:val="0"/>
    <w:rPr>
      <w:kern w:val="0"/>
      <w:sz w:val="18"/>
      <w:szCs w:val="20"/>
    </w:rPr>
  </w:style>
  <w:style w:type="paragraph" w:styleId="19">
    <w:name w:val="footer"/>
    <w:basedOn w:val="1"/>
    <w:link w:val="55"/>
    <w:qFormat/>
    <w:uiPriority w:val="99"/>
    <w:pPr>
      <w:tabs>
        <w:tab w:val="center" w:pos="4153"/>
        <w:tab w:val="right" w:pos="8306"/>
      </w:tabs>
      <w:snapToGrid w:val="0"/>
      <w:jc w:val="left"/>
    </w:pPr>
    <w:rPr>
      <w:kern w:val="0"/>
      <w:sz w:val="18"/>
      <w:szCs w:val="20"/>
    </w:rPr>
  </w:style>
  <w:style w:type="paragraph" w:styleId="20">
    <w:name w:val="header"/>
    <w:basedOn w:val="1"/>
    <w:link w:val="56"/>
    <w:qFormat/>
    <w:uiPriority w:val="0"/>
    <w:pPr>
      <w:pBdr>
        <w:bottom w:val="single" w:color="auto" w:sz="6" w:space="1"/>
      </w:pBdr>
      <w:tabs>
        <w:tab w:val="center" w:pos="4153"/>
        <w:tab w:val="right" w:pos="8306"/>
      </w:tabs>
      <w:snapToGrid w:val="0"/>
      <w:jc w:val="center"/>
    </w:pPr>
    <w:rPr>
      <w:kern w:val="0"/>
      <w:sz w:val="18"/>
      <w:szCs w:val="20"/>
    </w:rPr>
  </w:style>
  <w:style w:type="paragraph" w:styleId="21">
    <w:name w:val="toc 1"/>
    <w:basedOn w:val="1"/>
    <w:next w:val="1"/>
    <w:qFormat/>
    <w:locked/>
    <w:uiPriority w:val="0"/>
    <w:rPr>
      <w:rFonts w:ascii="Calibri" w:hAnsi="Calibri" w:eastAsia="Calibri" w:cs="Times New Roman"/>
    </w:rPr>
  </w:style>
  <w:style w:type="paragraph" w:styleId="22">
    <w:name w:val="List"/>
    <w:basedOn w:val="1"/>
    <w:next w:val="1"/>
    <w:qFormat/>
    <w:locked/>
    <w:uiPriority w:val="0"/>
    <w:pPr>
      <w:ind w:left="200" w:hanging="200" w:hangingChars="200"/>
    </w:pPr>
    <w:rPr>
      <w:rFonts w:ascii="Calibri" w:hAnsi="Calibri" w:eastAsia="Calibri" w:cs="Times New Roman"/>
    </w:rPr>
  </w:style>
  <w:style w:type="paragraph" w:styleId="23">
    <w:name w:val="table of figures"/>
    <w:basedOn w:val="1"/>
    <w:next w:val="1"/>
    <w:unhideWhenUsed/>
    <w:qFormat/>
    <w:locked/>
    <w:uiPriority w:val="99"/>
    <w:pPr>
      <w:jc w:val="center"/>
    </w:pPr>
    <w:rPr>
      <w:sz w:val="24"/>
    </w:rPr>
  </w:style>
  <w:style w:type="paragraph" w:styleId="24">
    <w:name w:val="toc 2"/>
    <w:basedOn w:val="1"/>
    <w:next w:val="1"/>
    <w:semiHidden/>
    <w:qFormat/>
    <w:locked/>
    <w:uiPriority w:val="0"/>
    <w:pPr>
      <w:spacing w:before="120" w:beforeLines="0"/>
      <w:ind w:left="210"/>
      <w:jc w:val="left"/>
    </w:pPr>
    <w:rPr>
      <w:i/>
      <w:iCs/>
      <w:sz w:val="20"/>
    </w:rPr>
  </w:style>
  <w:style w:type="paragraph" w:styleId="25">
    <w:name w:val="Body Text 2"/>
    <w:basedOn w:val="1"/>
    <w:qFormat/>
    <w:locked/>
    <w:uiPriority w:val="0"/>
    <w:pPr>
      <w:spacing w:after="120" w:line="480" w:lineRule="auto"/>
    </w:pPr>
  </w:style>
  <w:style w:type="paragraph" w:styleId="26">
    <w:name w:val="Normal (Web)"/>
    <w:basedOn w:val="1"/>
    <w:link w:val="57"/>
    <w:qFormat/>
    <w:uiPriority w:val="0"/>
    <w:pPr>
      <w:widowControl/>
      <w:spacing w:before="100" w:beforeAutospacing="1" w:after="100" w:afterAutospacing="1"/>
      <w:jc w:val="left"/>
    </w:pPr>
    <w:rPr>
      <w:rFonts w:ascii="宋体" w:hAnsi="宋体"/>
      <w:kern w:val="0"/>
      <w:sz w:val="24"/>
      <w:szCs w:val="20"/>
    </w:rPr>
  </w:style>
  <w:style w:type="paragraph" w:styleId="27">
    <w:name w:val="Title"/>
    <w:basedOn w:val="1"/>
    <w:next w:val="1"/>
    <w:qFormat/>
    <w:locked/>
    <w:uiPriority w:val="10"/>
    <w:pPr>
      <w:spacing w:before="240" w:after="60"/>
      <w:jc w:val="center"/>
      <w:outlineLvl w:val="0"/>
    </w:pPr>
    <w:rPr>
      <w:rFonts w:ascii="Arial" w:hAnsi="Arial"/>
      <w:b/>
      <w:bCs/>
      <w:sz w:val="32"/>
      <w:szCs w:val="32"/>
    </w:rPr>
  </w:style>
  <w:style w:type="paragraph" w:styleId="28">
    <w:name w:val="annotation subject"/>
    <w:basedOn w:val="13"/>
    <w:next w:val="13"/>
    <w:link w:val="58"/>
    <w:semiHidden/>
    <w:qFormat/>
    <w:uiPriority w:val="0"/>
    <w:rPr>
      <w:b/>
      <w:sz w:val="24"/>
      <w:szCs w:val="20"/>
    </w:rPr>
  </w:style>
  <w:style w:type="table" w:styleId="30">
    <w:name w:val="Table Grid"/>
    <w:basedOn w:val="29"/>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qFormat/>
    <w:locked/>
    <w:uiPriority w:val="0"/>
    <w:rPr>
      <w:b/>
    </w:rPr>
  </w:style>
  <w:style w:type="character" w:styleId="33">
    <w:name w:val="page number"/>
    <w:basedOn w:val="31"/>
    <w:qFormat/>
    <w:locked/>
    <w:uiPriority w:val="0"/>
  </w:style>
  <w:style w:type="character" w:styleId="34">
    <w:name w:val="Hyperlink"/>
    <w:basedOn w:val="31"/>
    <w:qFormat/>
    <w:locked/>
    <w:uiPriority w:val="0"/>
    <w:rPr>
      <w:color w:val="0000FF"/>
      <w:u w:val="single"/>
    </w:rPr>
  </w:style>
  <w:style w:type="character" w:styleId="35">
    <w:name w:val="annotation reference"/>
    <w:semiHidden/>
    <w:qFormat/>
    <w:uiPriority w:val="0"/>
    <w:rPr>
      <w:sz w:val="21"/>
    </w:rPr>
  </w:style>
  <w:style w:type="paragraph" w:customStyle="1" w:styleId="36">
    <w:name w:val="Default"/>
    <w:basedOn w:val="37"/>
    <w:next w:val="1"/>
    <w:qFormat/>
    <w:uiPriority w:val="0"/>
    <w:pPr>
      <w:widowControl w:val="0"/>
      <w:autoSpaceDE w:val="0"/>
      <w:autoSpaceDN w:val="0"/>
      <w:adjustRightInd w:val="0"/>
    </w:pPr>
    <w:rPr>
      <w:rFonts w:ascii="方正姚体" w:hAnsi="Times New Roman" w:eastAsia="方正姚体" w:cs="方正姚体"/>
      <w:color w:val="000000"/>
      <w:sz w:val="24"/>
      <w:szCs w:val="24"/>
      <w:lang w:val="en-US" w:eastAsia="zh-CN" w:bidi="ar-SA"/>
    </w:rPr>
  </w:style>
  <w:style w:type="paragraph" w:customStyle="1" w:styleId="37">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38">
    <w:name w:val="xl27"/>
    <w:basedOn w:val="1"/>
    <w:next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39">
    <w:name w:val="纯文本1"/>
    <w:basedOn w:val="1"/>
    <w:qFormat/>
    <w:uiPriority w:val="0"/>
    <w:pPr>
      <w:adjustRightInd w:val="0"/>
    </w:pPr>
    <w:rPr>
      <w:rFonts w:ascii="宋体" w:hAnsi="Courier New"/>
      <w:szCs w:val="20"/>
    </w:rPr>
  </w:style>
  <w:style w:type="paragraph" w:customStyle="1" w:styleId="40">
    <w:name w:val="Char"/>
    <w:basedOn w:val="1"/>
    <w:qFormat/>
    <w:uiPriority w:val="0"/>
    <w:pPr>
      <w:spacing w:after="160" w:afterLines="0" w:afterAutospacing="0" w:line="240" w:lineRule="exact"/>
      <w:jc w:val="left"/>
    </w:pPr>
    <w:rPr>
      <w:rFonts w:ascii="Arial" w:hAnsi="Arial" w:eastAsia="Times New Roman"/>
      <w:b/>
      <w:kern w:val="0"/>
      <w:sz w:val="24"/>
      <w:lang w:eastAsia="en-US"/>
    </w:rPr>
  </w:style>
  <w:style w:type="paragraph" w:customStyle="1" w:styleId="41">
    <w:name w:val="样式 正文文本缩进 + 行距: 1.5 倍行距"/>
    <w:basedOn w:val="1"/>
    <w:qFormat/>
    <w:uiPriority w:val="0"/>
    <w:pPr>
      <w:spacing w:after="120" w:line="360" w:lineRule="auto"/>
      <w:ind w:left="90" w:leftChars="32" w:firstLine="560" w:firstLineChars="200"/>
    </w:pPr>
    <w:rPr>
      <w:rFonts w:cs="宋体"/>
      <w:sz w:val="24"/>
    </w:rPr>
  </w:style>
  <w:style w:type="paragraph" w:customStyle="1" w:styleId="42">
    <w:name w:val="表格内"/>
    <w:basedOn w:val="1"/>
    <w:qFormat/>
    <w:uiPriority w:val="99"/>
    <w:pPr>
      <w:adjustRightInd w:val="0"/>
      <w:spacing w:line="240" w:lineRule="atLeast"/>
      <w:jc w:val="center"/>
      <w:textAlignment w:val="baseline"/>
    </w:pPr>
    <w:rPr>
      <w:rFonts w:ascii="宋体"/>
      <w:kern w:val="0"/>
      <w:sz w:val="28"/>
      <w:szCs w:val="20"/>
    </w:rPr>
  </w:style>
  <w:style w:type="paragraph" w:customStyle="1" w:styleId="43">
    <w:name w:val="表格"/>
    <w:basedOn w:val="44"/>
    <w:next w:val="45"/>
    <w:link w:val="61"/>
    <w:qFormat/>
    <w:uiPriority w:val="0"/>
    <w:pPr>
      <w:adjustRightInd w:val="0"/>
      <w:snapToGrid w:val="0"/>
      <w:spacing w:beforeLines="10" w:afterLines="10" w:line="259" w:lineRule="auto"/>
      <w:jc w:val="center"/>
    </w:pPr>
    <w:rPr>
      <w:rFonts w:ascii="宋体"/>
      <w:kern w:val="0"/>
      <w:szCs w:val="20"/>
    </w:rPr>
  </w:style>
  <w:style w:type="paragraph" w:customStyle="1" w:styleId="44">
    <w:name w:val="Table Paragraph"/>
    <w:basedOn w:val="1"/>
    <w:qFormat/>
    <w:uiPriority w:val="0"/>
    <w:pPr>
      <w:jc w:val="left"/>
    </w:pPr>
    <w:rPr>
      <w:rFonts w:ascii="Calibri" w:hAnsi="Calibri" w:eastAsia="宋体" w:cs="Times New Roman"/>
      <w:kern w:val="0"/>
      <w:sz w:val="22"/>
      <w:szCs w:val="22"/>
      <w:lang w:eastAsia="en-US"/>
    </w:rPr>
  </w:style>
  <w:style w:type="paragraph" w:customStyle="1" w:styleId="45">
    <w:name w:val="样式 标题 2 + 首行缩进:  2 字符"/>
    <w:basedOn w:val="7"/>
    <w:next w:val="46"/>
    <w:qFormat/>
    <w:uiPriority w:val="0"/>
    <w:pPr>
      <w:widowControl/>
      <w:autoSpaceDE/>
      <w:autoSpaceDN/>
      <w:spacing w:before="0" w:after="0" w:line="300" w:lineRule="auto"/>
      <w:ind w:left="1320" w:hanging="420"/>
      <w:outlineLvl w:val="1"/>
    </w:pPr>
    <w:rPr>
      <w:rFonts w:ascii="Times New Roman" w:eastAsia="黑体"/>
      <w:b w:val="0"/>
      <w:sz w:val="30"/>
    </w:rPr>
  </w:style>
  <w:style w:type="paragraph" w:customStyle="1" w:styleId="46">
    <w:name w:val="图号"/>
    <w:next w:val="47"/>
    <w:qFormat/>
    <w:uiPriority w:val="0"/>
    <w:pPr>
      <w:widowControl w:val="0"/>
      <w:spacing w:line="529" w:lineRule="exact"/>
      <w:ind w:left="198"/>
    </w:pPr>
    <w:rPr>
      <w:rFonts w:ascii="宋体" w:hAnsi="Times New Roman" w:eastAsia="宋体" w:cs="Times New Roman"/>
      <w:b/>
      <w:sz w:val="24"/>
      <w:lang w:val="en-US" w:eastAsia="zh-CN" w:bidi="ar-SA"/>
    </w:rPr>
  </w:style>
  <w:style w:type="paragraph" w:customStyle="1" w:styleId="47">
    <w:name w:val=" Char Char Char Char Char Char Char Char Char Char Char Char Char Char Char Char Char Char Char Char Char Char"/>
    <w:basedOn w:val="1"/>
    <w:next w:val="1"/>
    <w:qFormat/>
    <w:uiPriority w:val="0"/>
    <w:pPr>
      <w:widowControl w:val="0"/>
      <w:autoSpaceDE/>
      <w:autoSpaceDN/>
      <w:spacing w:before="0" w:after="0" w:line="360" w:lineRule="auto"/>
      <w:ind w:left="0" w:firstLine="200"/>
    </w:pPr>
    <w:rPr>
      <w:rFonts w:ascii="宋体" w:eastAsia="宋体"/>
      <w:sz w:val="24"/>
    </w:rPr>
  </w:style>
  <w:style w:type="paragraph" w:customStyle="1" w:styleId="48">
    <w:name w:val="Char Char Char Char Char Char Char Char Char1 Char"/>
    <w:basedOn w:val="1"/>
    <w:next w:val="49"/>
    <w:qFormat/>
    <w:uiPriority w:val="0"/>
    <w:pPr>
      <w:spacing w:line="360" w:lineRule="auto"/>
      <w:ind w:firstLine="200" w:firstLineChars="200"/>
    </w:pPr>
    <w:rPr>
      <w:rFonts w:hAnsi="宋体" w:cs="宋体"/>
      <w:spacing w:val="0"/>
      <w:sz w:val="24"/>
      <w:szCs w:val="24"/>
    </w:rPr>
  </w:style>
  <w:style w:type="paragraph" w:customStyle="1" w:styleId="49">
    <w:name w:val="Body Text First Indent1"/>
    <w:basedOn w:val="5"/>
    <w:next w:val="1"/>
    <w:qFormat/>
    <w:uiPriority w:val="0"/>
    <w:pPr>
      <w:ind w:firstLine="420" w:firstLineChars="100"/>
    </w:pPr>
    <w:rPr>
      <w:kern w:val="0"/>
      <w:sz w:val="24"/>
      <w:szCs w:val="20"/>
    </w:rPr>
  </w:style>
  <w:style w:type="character" w:customStyle="1" w:styleId="50">
    <w:name w:val="批注文字 Char"/>
    <w:link w:val="13"/>
    <w:qFormat/>
    <w:locked/>
    <w:uiPriority w:val="0"/>
    <w:rPr>
      <w:rFonts w:ascii="Times New Roman" w:hAnsi="Times New Roman" w:eastAsia="宋体"/>
      <w:sz w:val="24"/>
    </w:rPr>
  </w:style>
  <w:style w:type="character" w:customStyle="1" w:styleId="51">
    <w:name w:val="正文文本 Char"/>
    <w:link w:val="5"/>
    <w:qFormat/>
    <w:locked/>
    <w:uiPriority w:val="0"/>
    <w:rPr>
      <w:sz w:val="18"/>
    </w:rPr>
  </w:style>
  <w:style w:type="character" w:customStyle="1" w:styleId="52">
    <w:name w:val="正文文本缩进 Char"/>
    <w:link w:val="3"/>
    <w:semiHidden/>
    <w:qFormat/>
    <w:locked/>
    <w:uiPriority w:val="0"/>
    <w:rPr>
      <w:rFonts w:ascii="Times New Roman" w:hAnsi="Times New Roman" w:eastAsia="宋体"/>
      <w:sz w:val="24"/>
    </w:rPr>
  </w:style>
  <w:style w:type="character" w:customStyle="1" w:styleId="53">
    <w:name w:val="日期 Char"/>
    <w:link w:val="17"/>
    <w:qFormat/>
    <w:locked/>
    <w:uiPriority w:val="0"/>
    <w:rPr>
      <w:rFonts w:ascii="Times New Roman" w:hAnsi="Times New Roman" w:eastAsia="宋体"/>
      <w:sz w:val="24"/>
    </w:rPr>
  </w:style>
  <w:style w:type="character" w:customStyle="1" w:styleId="54">
    <w:name w:val="批注框文本 Char"/>
    <w:link w:val="18"/>
    <w:semiHidden/>
    <w:qFormat/>
    <w:locked/>
    <w:uiPriority w:val="0"/>
    <w:rPr>
      <w:rFonts w:ascii="Times New Roman" w:hAnsi="Times New Roman" w:eastAsia="宋体"/>
      <w:sz w:val="18"/>
    </w:rPr>
  </w:style>
  <w:style w:type="character" w:customStyle="1" w:styleId="55">
    <w:name w:val="页脚 Char"/>
    <w:link w:val="19"/>
    <w:qFormat/>
    <w:locked/>
    <w:uiPriority w:val="99"/>
    <w:rPr>
      <w:sz w:val="18"/>
    </w:rPr>
  </w:style>
  <w:style w:type="character" w:customStyle="1" w:styleId="56">
    <w:name w:val="页眉 Char"/>
    <w:link w:val="20"/>
    <w:qFormat/>
    <w:locked/>
    <w:uiPriority w:val="0"/>
    <w:rPr>
      <w:sz w:val="18"/>
    </w:rPr>
  </w:style>
  <w:style w:type="character" w:customStyle="1" w:styleId="57">
    <w:name w:val="普通(网站) Char"/>
    <w:link w:val="26"/>
    <w:qFormat/>
    <w:locked/>
    <w:uiPriority w:val="0"/>
    <w:rPr>
      <w:rFonts w:ascii="宋体" w:hAnsi="宋体" w:eastAsia="宋体"/>
      <w:sz w:val="24"/>
    </w:rPr>
  </w:style>
  <w:style w:type="character" w:customStyle="1" w:styleId="58">
    <w:name w:val="批注主题 Char"/>
    <w:link w:val="28"/>
    <w:semiHidden/>
    <w:qFormat/>
    <w:locked/>
    <w:uiPriority w:val="0"/>
    <w:rPr>
      <w:rFonts w:ascii="Times New Roman" w:hAnsi="Times New Roman" w:eastAsia="宋体"/>
      <w:b/>
      <w:kern w:val="2"/>
      <w:sz w:val="24"/>
    </w:rPr>
  </w:style>
  <w:style w:type="character" w:customStyle="1" w:styleId="59">
    <w:name w:val="页脚 字符"/>
    <w:basedOn w:val="31"/>
    <w:qFormat/>
    <w:uiPriority w:val="99"/>
  </w:style>
  <w:style w:type="character" w:customStyle="1" w:styleId="60">
    <w:name w:val="正文文本 字符1"/>
    <w:semiHidden/>
    <w:qFormat/>
    <w:uiPriority w:val="0"/>
    <w:rPr>
      <w:rFonts w:ascii="Times New Roman" w:hAnsi="Times New Roman" w:eastAsia="宋体"/>
      <w:sz w:val="24"/>
    </w:rPr>
  </w:style>
  <w:style w:type="character" w:customStyle="1" w:styleId="61">
    <w:name w:val="表格 Char"/>
    <w:link w:val="43"/>
    <w:qFormat/>
    <w:locked/>
    <w:uiPriority w:val="0"/>
    <w:rPr>
      <w:rFonts w:ascii="宋体"/>
      <w:sz w:val="21"/>
    </w:rPr>
  </w:style>
  <w:style w:type="character" w:customStyle="1" w:styleId="62">
    <w:name w:val="日期 字符"/>
    <w:semiHidden/>
    <w:qFormat/>
    <w:uiPriority w:val="0"/>
    <w:rPr>
      <w:rFonts w:ascii="Times New Roman" w:hAnsi="Times New Roman" w:eastAsia="宋体"/>
      <w:sz w:val="24"/>
    </w:rPr>
  </w:style>
  <w:style w:type="character" w:customStyle="1" w:styleId="63">
    <w:name w:val="批注文字 字符1"/>
    <w:semiHidden/>
    <w:qFormat/>
    <w:uiPriority w:val="0"/>
    <w:rPr>
      <w:rFonts w:ascii="Times New Roman" w:hAnsi="Times New Roman" w:eastAsia="宋体"/>
      <w:sz w:val="24"/>
    </w:rPr>
  </w:style>
  <w:style w:type="paragraph" w:customStyle="1" w:styleId="64">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66">
    <w:name w:val="WPSOffice手动目录 1"/>
    <w:qFormat/>
    <w:uiPriority w:val="0"/>
    <w:pPr>
      <w:ind w:leftChars="0"/>
    </w:pPr>
    <w:rPr>
      <w:rFonts w:ascii="Times New Roman" w:hAnsi="Times New Roman" w:eastAsia="宋体" w:cs="Times New Roman"/>
      <w:sz w:val="20"/>
      <w:szCs w:val="20"/>
    </w:rPr>
  </w:style>
  <w:style w:type="paragraph" w:customStyle="1" w:styleId="67">
    <w:name w:val="表格内容1"/>
    <w:basedOn w:val="1"/>
    <w:qFormat/>
    <w:uiPriority w:val="0"/>
    <w:pPr>
      <w:adjustRightInd w:val="0"/>
      <w:snapToGrid w:val="0"/>
      <w:spacing w:line="240" w:lineRule="auto"/>
      <w:ind w:firstLine="0" w:firstLineChars="0"/>
      <w:jc w:val="center"/>
      <w:textAlignment w:val="baseline"/>
    </w:pPr>
    <w:rPr>
      <w:sz w:val="21"/>
      <w:szCs w:val="21"/>
    </w:rPr>
  </w:style>
  <w:style w:type="table" w:customStyle="1" w:styleId="68">
    <w:name w:val="Table Normal"/>
    <w:unhideWhenUsed/>
    <w:qFormat/>
    <w:uiPriority w:val="0"/>
    <w:tblPr>
      <w:tblCellMar>
        <w:top w:w="0" w:type="dxa"/>
        <w:left w:w="0" w:type="dxa"/>
        <w:bottom w:w="0" w:type="dxa"/>
        <w:right w:w="0" w:type="dxa"/>
      </w:tblCellMar>
    </w:tblPr>
  </w:style>
  <w:style w:type="paragraph" w:customStyle="1" w:styleId="69">
    <w:name w:val="正文(首行缩进)"/>
    <w:basedOn w:val="1"/>
    <w:next w:val="7"/>
    <w:qFormat/>
    <w:uiPriority w:val="0"/>
    <w:pPr>
      <w:spacing w:line="360" w:lineRule="auto"/>
      <w:ind w:firstLine="540" w:firstLineChars="225"/>
    </w:pPr>
    <w:rPr>
      <w:snapToGrid w:val="0"/>
      <w:color w:val="000000"/>
      <w:sz w:val="24"/>
    </w:rPr>
  </w:style>
  <w:style w:type="paragraph" w:customStyle="1" w:styleId="70">
    <w:name w:val="表头"/>
    <w:basedOn w:val="4"/>
    <w:next w:val="1"/>
    <w:qFormat/>
    <w:uiPriority w:val="0"/>
    <w:pPr>
      <w:overflowPunct w:val="0"/>
      <w:autoSpaceDE w:val="0"/>
      <w:autoSpaceDN w:val="0"/>
      <w:adjustRightInd w:val="0"/>
      <w:snapToGrid/>
      <w:spacing w:line="240" w:lineRule="auto"/>
      <w:ind w:firstLine="0" w:firstLineChars="0"/>
      <w:jc w:val="center"/>
      <w:textAlignment w:val="baseline"/>
    </w:pPr>
    <w:rPr>
      <w:b/>
    </w:rPr>
  </w:style>
  <w:style w:type="paragraph" w:customStyle="1" w:styleId="71">
    <w:name w:val="表文字"/>
    <w:qFormat/>
    <w:uiPriority w:val="0"/>
    <w:pPr>
      <w:widowControl w:val="0"/>
      <w:adjustRightInd w:val="0"/>
      <w:snapToGrid w:val="0"/>
      <w:jc w:val="center"/>
    </w:pPr>
    <w:rPr>
      <w:rFonts w:ascii="Times New Roman" w:hAnsi="Times New Roman" w:eastAsia="宋体" w:cs="Times New Roman"/>
      <w:kern w:val="2"/>
      <w:sz w:val="24"/>
      <w:szCs w:val="22"/>
      <w:lang w:val="en-US" w:eastAsia="zh-CN" w:bidi="ar-SA"/>
    </w:rPr>
  </w:style>
  <w:style w:type="character" w:customStyle="1" w:styleId="72">
    <w:name w:val="font31"/>
    <w:basedOn w:val="31"/>
    <w:qFormat/>
    <w:uiPriority w:val="0"/>
    <w:rPr>
      <w:rFonts w:hint="eastAsia" w:ascii="宋体" w:hAnsi="宋体" w:eastAsia="宋体" w:cs="宋体"/>
      <w:color w:val="000000"/>
      <w:sz w:val="24"/>
      <w:szCs w:val="24"/>
      <w:u w:val="none"/>
      <w:vertAlign w:val="superscript"/>
    </w:rPr>
  </w:style>
  <w:style w:type="character" w:customStyle="1" w:styleId="73">
    <w:name w:val="font01"/>
    <w:basedOn w:val="31"/>
    <w:qFormat/>
    <w:uiPriority w:val="0"/>
    <w:rPr>
      <w:rFonts w:hint="eastAsia" w:ascii="宋体" w:hAnsi="宋体" w:eastAsia="宋体" w:cs="宋体"/>
      <w:color w:val="000000"/>
      <w:sz w:val="24"/>
      <w:szCs w:val="24"/>
      <w:u w:val="none"/>
    </w:rPr>
  </w:style>
  <w:style w:type="character" w:customStyle="1" w:styleId="74">
    <w:name w:val="font41"/>
    <w:basedOn w:val="31"/>
    <w:qFormat/>
    <w:uiPriority w:val="0"/>
    <w:rPr>
      <w:rFonts w:ascii="Calibri" w:hAnsi="Calibri" w:cs="Calibri"/>
      <w:color w:val="000000"/>
      <w:sz w:val="24"/>
      <w:szCs w:val="24"/>
      <w:u w:val="none"/>
    </w:rPr>
  </w:style>
  <w:style w:type="character" w:customStyle="1" w:styleId="75">
    <w:name w:val="font51"/>
    <w:basedOn w:val="31"/>
    <w:qFormat/>
    <w:uiPriority w:val="0"/>
    <w:rPr>
      <w:rFonts w:hint="eastAsia" w:ascii="宋体" w:hAnsi="宋体" w:eastAsia="宋体" w:cs="宋体"/>
      <w:color w:val="000000"/>
      <w:sz w:val="24"/>
      <w:szCs w:val="24"/>
      <w:u w:val="none"/>
      <w:vertAlign w:val="superscript"/>
    </w:rPr>
  </w:style>
  <w:style w:type="paragraph" w:customStyle="1" w:styleId="76">
    <w:name w:val="书正文"/>
    <w:basedOn w:val="1"/>
    <w:qFormat/>
    <w:uiPriority w:val="0"/>
    <w:pPr>
      <w:spacing w:line="500" w:lineRule="exact"/>
      <w:ind w:firstLine="640" w:firstLineChars="200"/>
    </w:pPr>
    <w:rPr>
      <w:szCs w:val="20"/>
    </w:rPr>
  </w:style>
  <w:style w:type="paragraph" w:customStyle="1" w:styleId="77">
    <w:name w:val="表格内容"/>
    <w:basedOn w:val="1"/>
    <w:qFormat/>
    <w:uiPriority w:val="0"/>
    <w:pPr>
      <w:adjustRightInd w:val="0"/>
      <w:snapToGrid w:val="0"/>
      <w:spacing w:line="240" w:lineRule="auto"/>
      <w:ind w:left="-31" w:leftChars="-15" w:right="-31" w:rightChars="-15" w:firstLine="0" w:firstLineChars="0"/>
      <w:jc w:val="center"/>
      <w:textAlignment w:val="baseline"/>
    </w:pPr>
    <w:rPr>
      <w:rFonts w:ascii="Times New Roman" w:hAnsi="Times New Roman" w:eastAsia="宋体" w:cs="Times New Roman"/>
      <w:color w:val="000000"/>
      <w:sz w:val="21"/>
      <w:szCs w:val="18"/>
    </w:rPr>
  </w:style>
  <w:style w:type="paragraph" w:customStyle="1" w:styleId="78">
    <w:name w:val="4正文"/>
    <w:basedOn w:val="1"/>
    <w:qFormat/>
    <w:uiPriority w:val="0"/>
    <w:pPr>
      <w:spacing w:line="360" w:lineRule="auto"/>
      <w:ind w:firstLine="200" w:firstLineChars="200"/>
    </w:pPr>
    <w:rPr>
      <w:rFonts w:ascii="Calibri" w:hAnsi="Calibri" w:eastAsia="宋体" w:cs="Times New Roman"/>
      <w:sz w:val="24"/>
      <w:szCs w:val="22"/>
    </w:rPr>
  </w:style>
  <w:style w:type="paragraph" w:customStyle="1" w:styleId="79">
    <w:name w:val="表格文字"/>
    <w:basedOn w:val="4"/>
    <w:next w:val="1"/>
    <w:qFormat/>
    <w:uiPriority w:val="0"/>
    <w:pPr>
      <w:spacing w:line="240" w:lineRule="auto"/>
      <w:ind w:firstLine="0" w:firstLineChars="0"/>
      <w:jc w:val="center"/>
    </w:pPr>
    <w:rPr>
      <w:sz w:val="21"/>
    </w:rPr>
  </w:style>
  <w:style w:type="character" w:customStyle="1" w:styleId="80">
    <w:name w:val="上标 Char Char"/>
    <w:link w:val="81"/>
    <w:qFormat/>
    <w:uiPriority w:val="0"/>
    <w:rPr>
      <w:rFonts w:ascii="Times New Roman" w:hAnsi="Times New Roman" w:eastAsia="宋体" w:cs="Times New Roman"/>
      <w:vertAlign w:val="superscript"/>
      <w:lang w:val="en-US" w:eastAsia="zh-CN" w:bidi="ar-SA"/>
    </w:rPr>
  </w:style>
  <w:style w:type="paragraph" w:customStyle="1" w:styleId="81">
    <w:name w:val="上标"/>
    <w:link w:val="80"/>
    <w:qFormat/>
    <w:uiPriority w:val="0"/>
    <w:pPr>
      <w:ind w:firstLine="560"/>
    </w:pPr>
    <w:rPr>
      <w:rFonts w:ascii="Times New Roman" w:hAnsi="Times New Roman" w:eastAsia="宋体" w:cs="Times New Roman"/>
      <w:vertAlign w:val="superscript"/>
      <w:lang w:val="en-US" w:eastAsia="zh-CN" w:bidi="ar-SA"/>
    </w:rPr>
  </w:style>
  <w:style w:type="paragraph" w:customStyle="1" w:styleId="82">
    <w:name w:val="Table Text"/>
    <w:basedOn w:val="1"/>
    <w:semiHidden/>
    <w:qFormat/>
    <w:uiPriority w:val="0"/>
    <w:rPr>
      <w:rFonts w:ascii="宋体" w:hAnsi="宋体" w:eastAsia="宋体" w:cs="宋体"/>
      <w:sz w:val="24"/>
      <w:szCs w:val="24"/>
      <w:lang w:val="en-US" w:eastAsia="en-US" w:bidi="ar-SA"/>
    </w:rPr>
  </w:style>
  <w:style w:type="paragraph" w:customStyle="1" w:styleId="83">
    <w:name w:val="我表格内容"/>
    <w:basedOn w:val="1"/>
    <w:qFormat/>
    <w:uiPriority w:val="0"/>
    <w:pPr>
      <w:jc w:val="center"/>
    </w:pPr>
    <w:rPr>
      <w:rFonts w:ascii="Times New Roman" w:hAnsi="Times New Roman"/>
      <w:bCs/>
      <w:szCs w:val="21"/>
    </w:rPr>
  </w:style>
  <w:style w:type="paragraph" w:customStyle="1" w:styleId="84">
    <w:name w:val="_正文"/>
    <w:basedOn w:val="1"/>
    <w:qFormat/>
    <w:uiPriority w:val="0"/>
    <w:pPr>
      <w:ind w:firstLine="964" w:firstLineChars="200"/>
      <w:jc w:val="left"/>
    </w:pPr>
    <w:rPr>
      <w:rFonts w:ascii="宋体" w:hAnsi="宋体"/>
      <w:szCs w:val="20"/>
    </w:rPr>
  </w:style>
  <w:style w:type="paragraph" w:customStyle="1" w:styleId="85">
    <w:name w:val="表格样式"/>
    <w:basedOn w:val="1"/>
    <w:qFormat/>
    <w:uiPriority w:val="0"/>
    <w:pPr>
      <w:tabs>
        <w:tab w:val="left" w:leader="dot" w:pos="8770"/>
      </w:tabs>
      <w:spacing w:line="240" w:lineRule="auto"/>
      <w:ind w:firstLine="0" w:firstLineChars="0"/>
      <w:jc w:val="center"/>
    </w:pPr>
    <w:rPr>
      <w:rFonts w:hint="eastAsia"/>
      <w:bCs/>
      <w:color w:val="000000"/>
      <w:sz w:val="21"/>
      <w:szCs w:val="21"/>
    </w:rPr>
  </w:style>
  <w:style w:type="paragraph" w:customStyle="1" w:styleId="86">
    <w:name w:val="正文（首行缩进） Char"/>
    <w:basedOn w:val="1"/>
    <w:qFormat/>
    <w:uiPriority w:val="0"/>
    <w:pPr>
      <w:widowControl/>
      <w:overflowPunct w:val="0"/>
      <w:topLinePunct/>
      <w:autoSpaceDE w:val="0"/>
      <w:autoSpaceDN w:val="0"/>
      <w:adjustRightInd w:val="0"/>
      <w:snapToGrid w:val="0"/>
      <w:spacing w:line="360" w:lineRule="auto"/>
      <w:ind w:firstLine="480" w:firstLineChars="200"/>
      <w:textAlignment w:val="baseline"/>
    </w:pPr>
    <w:rPr>
      <w:kern w:val="0"/>
      <w:sz w:val="24"/>
      <w:szCs w:val="24"/>
    </w:rPr>
  </w:style>
  <w:style w:type="paragraph" w:customStyle="1" w:styleId="87">
    <w:name w:val="正文（居中）"/>
    <w:basedOn w:val="1"/>
    <w:qFormat/>
    <w:uiPriority w:val="0"/>
    <w:pPr>
      <w:spacing w:line="240" w:lineRule="auto"/>
      <w:ind w:firstLine="0" w:firstLineChars="0"/>
      <w:jc w:val="center"/>
    </w:pPr>
  </w:style>
  <w:style w:type="paragraph" w:customStyle="1" w:styleId="88">
    <w:name w:val="无间隔1"/>
    <w:basedOn w:val="1"/>
    <w:qFormat/>
    <w:uiPriority w:val="99"/>
    <w:pPr>
      <w:widowControl/>
      <w:jc w:val="left"/>
    </w:pPr>
    <w:rPr>
      <w:rFonts w:eastAsia="宋体"/>
    </w:rPr>
  </w:style>
  <w:style w:type="paragraph" w:customStyle="1" w:styleId="89">
    <w:name w:val=" Char Char16"/>
    <w:basedOn w:val="1"/>
    <w:qFormat/>
    <w:uiPriority w:val="0"/>
    <w:pPr>
      <w:widowControl w:val="0"/>
      <w:jc w:val="both"/>
    </w:pPr>
    <w:rPr>
      <w:kern w:val="2"/>
      <w:sz w:val="21"/>
      <w:szCs w:val="20"/>
    </w:rPr>
  </w:style>
  <w:style w:type="paragraph" w:customStyle="1" w:styleId="90">
    <w:name w:val="表中文字"/>
    <w:basedOn w:val="1"/>
    <w:next w:val="1"/>
    <w:qFormat/>
    <w:uiPriority w:val="0"/>
    <w:pPr>
      <w:tabs>
        <w:tab w:val="left" w:pos="2700"/>
      </w:tabs>
      <w:spacing w:line="240" w:lineRule="auto"/>
      <w:ind w:firstLine="0" w:firstLineChars="0"/>
      <w:jc w:val="center"/>
      <w:textAlignment w:val="center"/>
    </w:pPr>
    <w:rPr>
      <w:sz w:val="21"/>
      <w:szCs w:val="21"/>
    </w:rPr>
  </w:style>
  <w:style w:type="paragraph" w:customStyle="1" w:styleId="91">
    <w:name w:val="0"/>
    <w:basedOn w:val="40"/>
    <w:qFormat/>
    <w:uiPriority w:val="0"/>
    <w:pPr>
      <w:overflowPunct w:val="0"/>
      <w:snapToGrid w:val="0"/>
      <w:jc w:val="center"/>
    </w:pPr>
    <w:rPr>
      <w:rFonts w:ascii="Arial" w:hAnsi="Arial" w:eastAsia="仿宋_GB2312" w:cs="Arial"/>
      <w:bCs/>
      <w:snapToGrid w:val="0"/>
      <w:kern w:val="0"/>
      <w:szCs w:val="28"/>
    </w:rPr>
  </w:style>
  <w:style w:type="paragraph" w:customStyle="1" w:styleId="92">
    <w:name w:val="1.危废库"/>
    <w:basedOn w:val="1"/>
    <w:qFormat/>
    <w:uiPriority w:val="0"/>
    <w:pPr>
      <w:spacing w:line="360" w:lineRule="auto"/>
      <w:ind w:firstLine="480" w:firstLineChars="200"/>
      <w:jc w:val="both"/>
    </w:pPr>
    <w:rPr>
      <w:rFonts w:ascii="Times New Roman" w:hAnsi="Times New Roman" w:eastAsia="宋体" w:cs="Times New Roman"/>
      <w:snapToGrid w:val="0"/>
      <w:color w:val="000000"/>
      <w:sz w:val="24"/>
    </w:rPr>
  </w:style>
  <w:style w:type="paragraph" w:customStyle="1" w:styleId="93">
    <w:name w:val="样式 首行缩进:  2 字符1"/>
    <w:basedOn w:val="1"/>
    <w:qFormat/>
    <w:uiPriority w:val="0"/>
    <w:pPr>
      <w:adjustRightInd w:val="0"/>
      <w:snapToGrid w:val="0"/>
      <w:spacing w:line="360" w:lineRule="auto"/>
      <w:ind w:firstLine="480"/>
    </w:pPr>
    <w:rPr>
      <w:rFonts w:cs="宋体"/>
    </w:rPr>
  </w:style>
  <w:style w:type="paragraph" w:customStyle="1" w:styleId="94">
    <w:name w:val="li_正文"/>
    <w:basedOn w:val="1"/>
    <w:qFormat/>
    <w:uiPriority w:val="0"/>
    <w:pPr>
      <w:ind w:firstLine="200" w:firstLineChars="200"/>
      <w:jc w:val="left"/>
    </w:pPr>
    <w:rPr>
      <w:rFonts w:ascii="Calibri" w:hAnsi="Calibri"/>
      <w:sz w:val="28"/>
      <w:szCs w:val="28"/>
    </w:rPr>
  </w:style>
  <w:style w:type="character" w:customStyle="1" w:styleId="95">
    <w:name w:val="正文文本_"/>
    <w:qFormat/>
    <w:uiPriority w:val="0"/>
    <w:rPr>
      <w:rFonts w:ascii="Arial Unicode MS" w:hAnsi="Times New Roman" w:eastAsia="Arial Unicode MS" w:cs="Arial Unicode MS"/>
      <w:sz w:val="23"/>
      <w:szCs w:val="23"/>
      <w:u w:val="none"/>
    </w:rPr>
  </w:style>
  <w:style w:type="paragraph" w:customStyle="1" w:styleId="96">
    <w:name w:val="表头、图号"/>
    <w:basedOn w:val="1"/>
    <w:unhideWhenUsed/>
    <w:qFormat/>
    <w:uiPriority w:val="0"/>
    <w:pPr>
      <w:widowControl/>
      <w:spacing w:line="240" w:lineRule="auto"/>
    </w:pPr>
    <w:rPr>
      <w:rFonts w:eastAsia="黑体" w:cs="Times New Roman"/>
      <w:kern w:val="0"/>
    </w:rPr>
  </w:style>
  <w:style w:type="paragraph" w:customStyle="1" w:styleId="97">
    <w:name w:val="表、图名"/>
    <w:basedOn w:val="1"/>
    <w:qFormat/>
    <w:uiPriority w:val="0"/>
    <w:pPr>
      <w:adjustRightInd w:val="0"/>
      <w:snapToGrid w:val="0"/>
      <w:spacing w:line="520" w:lineRule="exact"/>
      <w:ind w:left="-6" w:firstLine="560"/>
    </w:pPr>
    <w:rPr>
      <w:b/>
      <w:szCs w:val="20"/>
    </w:rPr>
  </w:style>
  <w:style w:type="character" w:customStyle="1" w:styleId="98">
    <w:name w:val="_Style 5"/>
    <w:qFormat/>
    <w:uiPriority w:val="0"/>
    <w:rPr>
      <w:b/>
      <w:smallCaps/>
      <w:spacing w:val="5"/>
    </w:rPr>
  </w:style>
  <w:style w:type="paragraph" w:customStyle="1" w:styleId="99">
    <w:name w:val="Body text|1"/>
    <w:basedOn w:val="1"/>
    <w:qFormat/>
    <w:uiPriority w:val="0"/>
    <w:pPr>
      <w:spacing w:after="330" w:line="480" w:lineRule="auto"/>
      <w:ind w:firstLine="400"/>
    </w:pPr>
    <w:rPr>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png"/><Relationship Id="rId17" Type="http://schemas.openxmlformats.org/officeDocument/2006/relationships/image" Target="media/image8.emf"/><Relationship Id="rId16" Type="http://schemas.openxmlformats.org/officeDocument/2006/relationships/oleObject" Target="embeddings/oleObject3.bin"/><Relationship Id="rId15" Type="http://schemas.openxmlformats.org/officeDocument/2006/relationships/image" Target="media/image7.emf"/><Relationship Id="rId14" Type="http://schemas.openxmlformats.org/officeDocument/2006/relationships/oleObject" Target="embeddings/oleObject2.bin"/><Relationship Id="rId13" Type="http://schemas.openxmlformats.org/officeDocument/2006/relationships/image" Target="media/image6.emf"/><Relationship Id="rId12" Type="http://schemas.openxmlformats.org/officeDocument/2006/relationships/oleObject" Target="embeddings/oleObject1.bin"/><Relationship Id="rId11" Type="http://schemas.openxmlformats.org/officeDocument/2006/relationships/image" Target="media/image5.jpeg"/><Relationship Id="rId10" Type="http://schemas.openxmlformats.org/officeDocument/2006/relationships/image" Target="media/image4.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7cd159f9-a81e-4540-88cb-e94ef8b4c17b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56B505D5</paraID>
      <start>0</start>
      <end>2</end>
      <status>ignored</status>
      <modifiedWord/>
      <trackRevisions>false</trackRevisions>
    </reviewItem>
    <reviewItem>
      <errorID>dcbbb30b-881d-468e-88e2-1b7638cb8f6b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653E2ADB</paraID>
      <start>0</start>
      <end>2</end>
      <status>ignored</status>
      <modifiedWord/>
      <trackRevisions>false</trackRevisions>
    </reviewItem>
    <reviewItem>
      <errorID>3e18301a-4eba-47f1-af37-a3cf3735e693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3DE85BA</paraID>
      <start>0</start>
      <end>2</end>
      <status>ignored</status>
      <modifiedWord/>
      <trackRevisions>false</trackRevisions>
    </reviewItem>
    <reviewItem>
      <errorID>abeafd03-4565-43b2-988c-89146ecf8897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4DE1D27F</paraID>
      <start>0</start>
      <end>2</end>
      <status>ignored</status>
      <modifiedWord/>
      <trackRevisions>false</trackRevisions>
    </reviewItem>
    <reviewItem>
      <errorID>9a111458-840c-4469-afa5-002d77d66283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528C87C</paraID>
      <start>0</start>
      <end>2</end>
      <status>ignored</status>
      <modifiedWord/>
      <trackRevisions>false</trackRevisions>
    </reviewItem>
    <reviewItem>
      <errorID>b72b5416-d5c0-465b-bf0c-c28c82cc3f12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5BD78FDB</paraID>
      <start>0</start>
      <end>2</end>
      <status>ignored</status>
      <modifiedWord/>
      <trackRevisions>false</trackRevisions>
    </reviewItem>
    <reviewItem>
      <errorID>060e95a5-c76d-4ad5-b07d-fd9b553105bf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DB0AC5E</paraID>
      <start>0</start>
      <end>2</end>
      <status>ignored</status>
      <modifiedWord/>
      <trackRevisions>false</trackRevisions>
    </reviewItem>
    <reviewItem>
      <errorID>ff0ba085-62c9-46d7-8ebb-97208e1626d1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567C1C3D</paraID>
      <start>0</start>
      <end>2</end>
      <status>ignored</status>
      <modifiedWord/>
      <trackRevisions>false</trackRevisions>
    </reviewItem>
    <reviewItem>
      <errorID>2514c2dc-051f-4f80-ad7f-db8a40125571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24C7F2F8</paraID>
      <start>0</start>
      <end>2</end>
      <status>ignored</status>
      <modifiedWord/>
      <trackRevisions>false</trackRevisions>
    </reviewItem>
    <reviewItem>
      <errorID>54ab5939-5caf-43ec-bbb3-965f00560b91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26BFC78B</paraID>
      <start>0</start>
      <end>2</end>
      <status>ignored</status>
      <modifiedWord/>
      <trackRevisions>false</trackRevisions>
    </reviewItem>
    <reviewItem>
      <errorID>19cf9e2e-501d-4a2f-8f39-fef19828df40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4F3305A4</paraID>
      <start>0</start>
      <end>2</end>
      <status>ignored</status>
      <modifiedWord/>
      <trackRevisions>false</trackRevisions>
    </reviewItem>
    <reviewItem>
      <errorID>6a981f37-2075-45b6-9dd9-989ad0b3a545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79103CF8</paraID>
      <start>0</start>
      <end>2</end>
      <status>ignored</status>
      <modifiedWord/>
      <trackRevisions>false</trackRevisions>
    </reviewItem>
    <reviewItem>
      <errorID>b48f8856-6282-45e6-914b-784582aa257a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30F516CD</paraID>
      <start>0</start>
      <end>2</end>
      <status>ignored</status>
      <modifiedWord/>
      <trackRevisions>false</trackRevisions>
    </reviewItem>
    <reviewItem>
      <errorID>23962caf-b9e7-457d-a977-52974e12d45e</errorID>
      <errorWord>-</errorWord>
      <group>L1_Format</group>
      <groupName>格式问题</groupName>
      <ability>L2_HalfPunc</ability>
      <abilityName>全半角检查</abilityName>
      <candidateList>
        <item>－</item>
      </candidateList>
      <explain>文本全半角错误。</explain>
      <paraID>4DA034EC</paraID>
      <start>11</start>
      <end>12</end>
      <status>ignored</status>
      <modifiedWord/>
      <trackRevisions>false</trackRevisions>
    </reviewItem>
    <reviewItem>
      <errorID>c103131b-c6c1-4904-b94a-27ea69cfc972</errorID>
      <errorWord>-</errorWord>
      <group>L1_Format</group>
      <groupName>格式问题</groupName>
      <ability>L2_HalfPunc</ability>
      <abilityName>全半角检查</abilityName>
      <candidateList>
        <item>－</item>
      </candidateList>
      <explain>文本全半角错误。</explain>
      <paraID>4DA034EC</paraID>
      <start>20</start>
      <end>21</end>
      <status>ignored</status>
      <modifiedWord/>
      <trackRevisions>false</trackRevisions>
    </reviewItem>
    <reviewItem>
      <errorID>622583df-3557-403a-b653-e31b9dc7f900</errorID>
      <errorWord>-</errorWord>
      <group>L1_Format</group>
      <groupName>格式问题</groupName>
      <ability>L2_HalfPunc</ability>
      <abilityName>全半角检查</abilityName>
      <candidateList>
        <item>－</item>
      </candidateList>
      <explain>文本全半角错误。</explain>
      <paraID>4DA034EC</paraID>
      <start>21</start>
      <end>22</end>
      <status>ignored</status>
      <modifiedWord/>
      <trackRevisions>false</trackRevisions>
    </reviewItem>
    <reviewItem>
      <errorID>8d01fa77-29a7-4fec-a089-4a399ab82515</errorID>
      <errorWord>&lt;</errorWord>
      <group>L1_Format</group>
      <groupName>格式问题</groupName>
      <ability>L2_HalfPunc</ability>
      <abilityName>全半角检查</abilityName>
      <candidateList>
        <item>〈</item>
      </candidateList>
      <explain>文本全半角错误。</explain>
      <paraID>198D5EC4</paraID>
      <start>8</start>
      <end>9</end>
      <status>ignored</status>
      <modifiedWord/>
      <trackRevisions>false</trackRevisions>
    </reviewItem>
    <reviewItem>
      <errorID>6ef7b50f-9cd2-400a-9f61-2df6429fbf66</errorID>
      <errorWord>&gt;的通知》</errorWord>
      <group>L1_Punc</group>
      <groupName>标点问题</groupName>
      <ability>L2_Punc</ability>
      <abilityName>标点符号检查</abilityName>
      <candidateList>
        <item>〉的通知》</item>
      </candidateList>
      <explain/>
      <paraID>198D5EC4</paraID>
      <start>31</start>
      <end>36</end>
      <status>ignored</status>
      <modifiedWord/>
      <trackRevisions>false</trackRevisions>
    </reviewItem>
    <reviewItem>
      <errorID>bf612301-b715-4b0a-bcc7-debf0c2ed078</errorID>
      <errorWord>&lt;</errorWord>
      <group>L1_Format</group>
      <groupName>格式问题</groupName>
      <ability>L2_HalfPunc</ability>
      <abilityName>全半角检查</abilityName>
      <candidateList>
        <item>〈</item>
      </candidateList>
      <explain>文本全半角错误。</explain>
      <paraID>2BC1F3CE</paraID>
      <start>10</start>
      <end>11</end>
      <status>ignored</status>
      <modifiedWord/>
      <trackRevisions>false</trackRevisions>
    </reviewItem>
    <reviewItem>
      <errorID>1251245e-c7da-47f0-9329-b30d529bc116</errorID>
      <errorWord>&gt;的通知》</errorWord>
      <group>L1_Punc</group>
      <groupName>标点问题</groupName>
      <ability>L2_Punc</ability>
      <abilityName>标点符号检查</abilityName>
      <candidateList>
        <item>〉的通知》</item>
      </candidateList>
      <explain/>
      <paraID>2BC1F3CE</paraID>
      <start>33</start>
      <end>38</end>
      <status>ignored</status>
      <modifiedWord/>
      <trackRevisions>false</trackRevisions>
    </reviewItem>
    <reviewItem>
      <errorID>51f0c96f-eaf9-4ead-b4de-8f56731a7d19</errorID>
      <errorWord>&lt;</errorWord>
      <group>L1_Format</group>
      <groupName>格式问题</groupName>
      <ability>L2_HalfPunc</ability>
      <abilityName>全半角检查</abilityName>
      <candidateList>
        <item>〈</item>
      </candidateList>
      <explain>文本全半角错误。</explain>
      <paraID>519A9ABD</paraID>
      <start>15</start>
      <end>16</end>
      <status>ignored</status>
      <modifiedWord/>
      <trackRevisions>false</trackRevisions>
    </reviewItem>
    <reviewItem>
      <errorID>1bebc52e-1e4e-4fd0-8068-72ffae857f49</errorID>
      <errorWord>&gt;的通知》</errorWord>
      <group>L1_Punc</group>
      <groupName>标点问题</groupName>
      <ability>L2_Punc</ability>
      <abilityName>标点符号检查</abilityName>
      <candidateList>
        <item>〉的通知》</item>
      </candidateList>
      <explain/>
      <paraID>519A9ABD</paraID>
      <start>38</start>
      <end>43</end>
      <status>ignored</status>
      <modifiedWord/>
      <trackRevisions>false</trackRevisions>
    </reviewItem>
    <reviewItem>
      <errorID>c209ae96-9c0b-40d4-9f2c-a1fa58026395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5F9A0ED6</paraID>
      <start>0</start>
      <end>2</end>
      <status>ignored</status>
      <modifiedWord/>
      <trackRevisions>false</trackRevisions>
    </reviewItem>
    <reviewItem>
      <errorID>775523b0-700e-41f3-8a59-d2814b4b5726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5F3A8C5B</paraID>
      <start>0</start>
      <end>2</end>
      <status>ignored</status>
      <modifiedWord/>
      <trackRevisions>false</trackRevisions>
    </reviewItem>
    <reviewItem>
      <errorID>b60fadc7-4c06-41c7-b1c3-89363df3f9ac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1667D56C</paraID>
      <start>0</start>
      <end>2</end>
      <status>ignored</status>
      <modifiedWord/>
      <trackRevisions>false</trackRevisions>
    </reviewItem>
    <reviewItem>
      <errorID>e9b4f7fc-f82c-4849-9676-598f3afea353</errorID>
      <errorWord>（</errorWord>
      <group>L1_Punc</group>
      <groupName>标点问题</groupName>
      <ability>L2_Punc</ability>
      <abilityName>标点符号检查</abilityName>
      <candidateList/>
      <explain>同一形式括号套用。</explain>
      <paraID>6F691CA2</paraID>
      <start>55</start>
      <end>56</end>
      <status>ignored</status>
      <modifiedWord/>
      <trackRevisions>false</trackRevisions>
    </reviewItem>
    <reviewItem>
      <errorID>60fc82bd-e251-443d-87bb-756884271980</errorID>
      <errorWord>寄样</errorWord>
      <group>L1_Word</group>
      <groupName>字词问题</groupName>
      <ability>L2_Typo</ability>
      <abilityName>字词错误</abilityName>
      <candidateList>
        <item>寄养</item>
      </candidateList>
      <explain>存在发音相同字词的误用。</explain>
      <paraID>12B3085C</paraID>
      <start>82</start>
      <end>84</end>
      <status>ignored</status>
      <modifiedWord/>
      <trackRevisions>false</trackRevisions>
    </reviewItem>
    <reviewItem>
      <errorID>62e3327d-a94e-4b3c-80b5-ff116a37a526</errorID>
      <errorWord>9%-12%</errorWord>
      <group>L1_Knowledge</group>
      <groupName>知识性问题</groupName>
      <ability>L2_Knowledge</ability>
      <abilityName>其他知识</abilityName>
      <candidateList>
        <item>9%—12%</item>
      </candidateList>
      <explain>1. “9%-12%”中的单位“%”仅出现在后一个数字上，容易引起歧义；根据《现代汉语标点符号数字用法规范手册》，数字表示范围两边需要使用统一的格式。2. 根据标点国标 4.13 中的规则，数字、时间或地域连接符应使用（视觉上更长的）“—”或“～”。</explain>
      <paraID>529C3402</paraID>
      <start>63</start>
      <end>69</end>
      <status>ignored</status>
      <modifiedWord/>
      <trackRevisions>false</trackRevisions>
    </reviewItem>
    <reviewItem>
      <errorID>b53e52ae-c29e-4ad5-8a8b-c066a8c5bbfb</errorID>
      <errorWord>：</errorWord>
      <group>L1_Format</group>
      <groupName>格式问题</groupName>
      <ability>L2_HalfPunc</ability>
      <abilityName>全半角检查</abilityName>
      <candidateList>
        <item>:</item>
      </candidateList>
      <explain>文本全半角错误。</explain>
      <paraID>462A146B</paraID>
      <start>9</start>
      <end>10</end>
      <status>ignored</status>
      <modifiedWord/>
      <trackRevisions>false</trackRevisions>
    </reviewItem>
    <reviewItem>
      <errorID>cdf4da2d-a8de-48e7-b51f-b9c3d14a25c0</errorID>
      <errorWord>-</errorWord>
      <group>L1_Format</group>
      <groupName>格式问题</groupName>
      <ability>L2_HalfPunc</ability>
      <abilityName>全半角检查</abilityName>
      <candidateList>
        <item>－</item>
      </candidateList>
      <explain>文本全半角错误。</explain>
      <paraID>2590B7B0</paraID>
      <start>91</start>
      <end>92</end>
      <status>ignored</status>
      <modifiedWord/>
      <trackRevisions>false</trackRevisions>
    </reviewItem>
    <reviewItem>
      <errorID>ff4ffb03-0349-4c92-b2d2-f25420159d17</errorID>
      <errorWord>-</errorWord>
      <group>L1_Format</group>
      <groupName>格式问题</groupName>
      <ability>L2_HalfPunc</ability>
      <abilityName>全半角检查</abilityName>
      <candidateList>
        <item>－</item>
      </candidateList>
      <explain>文本全半角错误。</explain>
      <paraID>2590B7B0</paraID>
      <start>94</start>
      <end>95</end>
      <status>ignored</status>
      <modifiedWord/>
      <trackRevisions>false</trackRevisions>
    </reviewItem>
    <reviewItem>
      <errorID>68aafff2-7867-4f7a-9551-d4fb91ea30cc</errorID>
      <errorWord>)</errorWord>
      <group>L1_Format</group>
      <groupName>格式问题</groupName>
      <ability>L2_HalfPunc</ability>
      <abilityName>全半角检查</abilityName>
      <candidateList>
        <item>）</item>
      </candidateList>
      <explain>文本全半角错误。</explain>
      <paraID>75A80F22</paraID>
      <start>22</start>
      <end>23</end>
      <status>modified</status>
      <modifiedWord>）</modifiedWord>
      <trackRevisions>false</trackRevisions>
    </reviewItem>
    <reviewItem>
      <errorID>e4cade45-0aaf-4ed3-ac46-d484e0f1e58a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2D40782</paraID>
      <start>67</start>
      <end>68</end>
      <status>ignored</status>
      <modifiedWord/>
      <trackRevisions>false</trackRevisions>
    </reviewItem>
    <reviewItem>
      <errorID>eee535ce-c86e-4dcc-aaaf-02231062414d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392A1545</paraID>
      <start>33</start>
      <end>34</end>
      <status>ignored</status>
      <modifiedWord/>
      <trackRevisions>false</trackRevisions>
    </reviewItem>
    <reviewItem>
      <errorID>115a2b00-aef6-4496-b00b-2f46621335ce</errorID>
      <errorWord>（</errorWord>
      <group>L1_Punc</group>
      <groupName>标点问题</groupName>
      <ability>L2_Punc</ability>
      <abilityName>标点符号检查</abilityName>
      <candidateList/>
      <explain>同一形式括号套用。</explain>
      <paraID>1E7AE237</paraID>
      <start>53</start>
      <end>54</end>
      <status>ignored</status>
      <modifiedWord/>
      <trackRevisions>false</trackRevisions>
    </reviewItem>
    <reviewItem>
      <errorID>30a9bdcb-1d89-47f0-abcf-4c2072bb1a7c</errorID>
      <errorWord>（</errorWord>
      <group>L1_Punc</group>
      <groupName>标点问题</groupName>
      <ability>L2_Punc</ability>
      <abilityName>标点符号检查</abilityName>
      <candidateList/>
      <explain>同一形式括号套用。</explain>
      <paraID>1E7AE237</paraID>
      <start>63</start>
      <end>64</end>
      <status>ignored</status>
      <modifiedWord/>
      <trackRevisions>false</trackRevisions>
    </reviewItem>
    <reviewItem>
      <errorID>8c185fc3-74ee-46c4-8f79-19d2d35f7e8d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C8FBEB6</paraID>
      <start>0</start>
      <end>2</end>
      <status>ignored</status>
      <modifiedWord/>
      <trackRevisions>false</trackRevisions>
    </reviewItem>
    <reviewItem>
      <errorID>0eb478ad-71c0-48ab-8512-1dc7771b934d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73C830E6</paraID>
      <start>0</start>
      <end>2</end>
      <status>ignored</status>
      <modifiedWord/>
      <trackRevisions>false</trackRevisions>
    </reviewItem>
    <reviewItem>
      <errorID>5a7d7a2c-33a2-4a4d-8639-c6818df31bd5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1DE51E9C</paraID>
      <start>0</start>
      <end>2</end>
      <status>ignored</status>
      <modifiedWord/>
      <trackRevisions>false</trackRevisions>
    </reviewItem>
    <reviewItem>
      <errorID>da6532e7-364a-4965-b607-17e6918042cc</errorID>
      <errorWord>)</errorWord>
      <group>L1_Format</group>
      <groupName>格式问题</groupName>
      <ability>L2_HalfPunc</ability>
      <abilityName>全半角检查</abilityName>
      <candidateList>
        <item>）</item>
      </candidateList>
      <explain>文本全半角错误。</explain>
      <paraID>60039D89</paraID>
      <start>9</start>
      <end>10</end>
      <status>ignored</status>
      <modifiedWord/>
      <trackRevisions>false</trackRevisions>
    </reviewItem>
    <reviewItem>
      <errorID>f104b68e-3fa4-44ba-857c-bd514e73a311</errorID>
      <errorWord>)</errorWord>
      <group>L1_Format</group>
      <groupName>格式问题</groupName>
      <ability>L2_HalfPunc</ability>
      <abilityName>全半角检查</abilityName>
      <candidateList>
        <item>）</item>
      </candidateList>
      <explain>文本全半角错误。</explain>
      <paraID> CDD255B</paraID>
      <start>9</start>
      <end>10</end>
      <status>ignored</status>
      <modifiedWord/>
      <trackRevisions>false</trackRevisions>
    </reviewItem>
    <reviewItem>
      <errorID>05682989-6124-40e3-b25a-0351eeb44f22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5DC41CB0</paraID>
      <start>0</start>
      <end>2</end>
      <status>ignored</status>
      <modifiedWord/>
      <trackRevisions>false</trackRevisions>
    </reviewItem>
    <reviewItem>
      <errorID>785c1b20-36a9-407a-b22c-889d72a544ca</errorID>
      <errorWord>管理办法》中</errorWord>
      <group>L1_Word</group>
      <groupName>字词问题</groupName>
      <ability>L2_Typo</ability>
      <abilityName>字词错误</abilityName>
      <candidateList>
        <item>管理办法》</item>
      </candidateList>
      <explain/>
      <paraID>4057A455</paraID>
      <start>18</start>
      <end>24</end>
      <status>ignored</status>
      <modifiedWord/>
      <trackRevisions>false</trackRevisions>
    </reviewItem>
    <reviewItem>
      <errorID>e232b83c-dea0-4332-9526-f8596ccb5f29</errorID>
      <errorWord>(</errorWord>
      <group>L1_Format</group>
      <groupName>格式问题</groupName>
      <ability>L2_HalfPunc</ability>
      <abilityName>全半角检查</abilityName>
      <candidateList>
        <item>（</item>
      </candidateList>
      <explain>文本全半角错误。</explain>
      <paraID>4F1EBB00</paraID>
      <start>64</start>
      <end>65</end>
      <status>modified</status>
      <modifiedWord>（</modifiedWord>
      <trackRevisions>false</trackRevisions>
    </reviewItem>
    <reviewItem>
      <errorID>429d0c47-1d92-4e47-b64e-76ae74037f4b</errorID>
      <errorWord>(</errorWord>
      <group>L1_Format</group>
      <groupName>格式问题</groupName>
      <ability>L2_HalfPunc</ability>
      <abilityName>全半角检查</abilityName>
      <candidateList>
        <item>（</item>
      </candidateList>
      <explain>文本全半角错误。</explain>
      <paraID> 92E550E</paraID>
      <start>118</start>
      <end>119</end>
      <status>modified</status>
      <modifiedWord>（</modifiedWord>
      <trackRevisions>false</trackRevisions>
    </reviewItem>
    <reviewItem>
      <errorID>3ae03672-6b0a-4a67-a376-eb4c02a105e6</errorID>
      <errorWord>（</errorWord>
      <group>L1_Punc</group>
      <groupName>标点问题</groupName>
      <ability>L2_Punc</ability>
      <abilityName>标点符号检查</abilityName>
      <candidateList/>
      <explain>同一形式括号套用。</explain>
      <paraID>7B82565C</paraID>
      <start>3</start>
      <end>4</end>
      <status>ignored</status>
      <modifiedWord/>
      <trackRevisions>false</trackRevisions>
    </reviewItem>
    <reviewItem>
      <errorID>952183f6-ed69-4061-b8be-5bae33287a03</errorID>
      <errorWord>(</errorWord>
      <group>L1_Punc</group>
      <groupName>标点问题</groupName>
      <ability>L2_Punc</ability>
      <abilityName>标点符号检查</abilityName>
      <candidateList/>
      <explain>同一形式括号套用。</explain>
      <paraID>7B82565C</paraID>
      <start>6</start>
      <end>7</end>
      <status>ignored</status>
      <modifiedWord/>
      <trackRevisions>false</trackRevisions>
    </reviewItem>
    <reviewItem>
      <errorID>35bf2d2e-129b-478f-b4ca-e80d47d7721b</errorID>
      <errorWord>)</errorWord>
      <group>L1_Punc</group>
      <groupName>标点问题</groupName>
      <ability>L2_Punc</ability>
      <abilityName>标点符号检查</abilityName>
      <candidateList/>
      <explain>同一形式括号套用。</explain>
      <paraID>7B82565C</paraID>
      <start>8</start>
      <end>9</end>
      <status>ignored</status>
      <modifiedWord/>
      <trackRevisions>false</trackRevisions>
    </reviewItem>
    <reviewItem>
      <errorID>ce00be20-82b6-4840-93c6-e90f4f37203f</errorID>
      <errorWord>（</errorWord>
      <group>L1_Punc</group>
      <groupName>标点问题</groupName>
      <ability>L2_Punc</ability>
      <abilityName>标点符号检查</abilityName>
      <candidateList/>
      <explain>同一形式括号套用。</explain>
      <paraID>4A9FBA83</paraID>
      <start>4</start>
      <end>5</end>
      <status>ignored</status>
      <modifiedWord/>
      <trackRevisions>false</trackRevisions>
    </reviewItem>
    <reviewItem>
      <errorID>3f6c0601-fdc9-4ac5-8b1b-b202bbea0c21</errorID>
      <errorWord>(</errorWord>
      <group>L1_Punc</group>
      <groupName>标点问题</groupName>
      <ability>L2_Punc</ability>
      <abilityName>标点符号检查</abilityName>
      <candidateList/>
      <explain>同一形式括号套用。</explain>
      <paraID>4A9FBA83</paraID>
      <start>7</start>
      <end>8</end>
      <status>ignored</status>
      <modifiedWord/>
      <trackRevisions>false</trackRevisions>
    </reviewItem>
    <reviewItem>
      <errorID>d4220839-85d3-4543-b820-9a882f119584</errorID>
      <errorWord>)</errorWord>
      <group>L1_Punc</group>
      <groupName>标点问题</groupName>
      <ability>L2_Punc</ability>
      <abilityName>标点符号检查</abilityName>
      <candidateList/>
      <explain>同一形式括号套用。</explain>
      <paraID>4A9FBA83</paraID>
      <start>9</start>
      <end>10</end>
      <status>ignored</status>
      <modifiedWord/>
      <trackRevisions>false</trackRevisions>
    </reviewItem>
    <reviewItem>
      <errorID>d7ce4d7b-60e3-42d7-84c8-bf94335b455f</errorID>
      <errorWord>)</errorWord>
      <group>L1_Format</group>
      <groupName>格式问题</groupName>
      <ability>L2_HalfPunc</ability>
      <abilityName>全半角检查</abilityName>
      <candidateList>
        <item>）</item>
      </candidateList>
      <explain>文本全半角错误。</explain>
      <paraID>3824A7CF</paraID>
      <start>70</start>
      <end>71</end>
      <status>ignored</status>
      <modifiedWord/>
      <trackRevisions>false</trackRevisions>
    </reviewItem>
    <reviewItem>
      <errorID>0b24b95e-3dc0-4075-a351-f64556dd65e7</errorID>
      <errorWord>)</errorWord>
      <group>L1_Format</group>
      <groupName>格式问题</groupName>
      <ability>L2_HalfPunc</ability>
      <abilityName>全半角检查</abilityName>
      <candidateList>
        <item>）</item>
      </candidateList>
      <explain>文本全半角错误。</explain>
      <paraID>3824A7CF</paraID>
      <start>81</start>
      <end>82</end>
      <status>ignored</status>
      <modifiedWord/>
      <trackRevisions>false</trackRevisions>
    </reviewItem>
    <reviewItem>
      <errorID>5aafb4a9-e445-4d1c-9e9c-d2bc6cb01405</errorID>
      <errorWord>)</errorWord>
      <group>L1_Format</group>
      <groupName>格式问题</groupName>
      <ability>L2_HalfPunc</ability>
      <abilityName>全半角检查</abilityName>
      <candidateList>
        <item>）</item>
      </candidateList>
      <explain>文本全半角错误。</explain>
      <paraID>3824A7CF</paraID>
      <start>143</start>
      <end>144</end>
      <status>ignored</status>
      <modifiedWord/>
      <trackRevisions>false</trackRevisions>
    </reviewItem>
    <reviewItem>
      <errorID>c1bb3137-6d67-42ca-b443-75fb5e7d41c8</errorID>
      <errorWord>)</errorWord>
      <group>L1_Format</group>
      <groupName>格式问题</groupName>
      <ability>L2_HalfPunc</ability>
      <abilityName>全半角检查</abilityName>
      <candidateList>
        <item>）</item>
      </candidateList>
      <explain>文本全半角错误。</explain>
      <paraID>3824A7CF</paraID>
      <start>154</start>
      <end>155</end>
      <status>ignored</status>
      <modifiedWord/>
      <trackRevisions>false</trackRevisions>
    </reviewItem>
    <reviewItem>
      <errorID>8253ef84-e8a7-45d0-a270-21accdda5c19</errorID>
      <errorWord>，</errorWord>
      <group>L1_Word</group>
      <groupName>字词问题</groupName>
      <ability>L2_Typo</ability>
      <abilityName>字词错误</abilityName>
      <candidateList>
        <item>，在</item>
      </candidateList>
      <explain/>
      <paraID>342F75B3</paraID>
      <start>25</start>
      <end>26</end>
      <status>ignored</status>
      <modifiedWord/>
      <trackRevisions>false</trackRevisions>
    </reviewItem>
    <reviewItem>
      <errorID>4e1f7f95-934a-4adc-b7c3-0d4cfeb81251</errorID>
      <errorWord>(</errorWord>
      <group>L1_Format</group>
      <groupName>格式问题</groupName>
      <ability>L2_HalfPunc</ability>
      <abilityName>全半角检查</abilityName>
      <candidateList>
        <item>（</item>
      </candidateList>
      <explain>文本全半角错误。</explain>
      <paraID>36E188BA</paraID>
      <start>34</start>
      <end>35</end>
      <status>ignored</status>
      <modifiedWord/>
      <trackRevisions>false</trackRevisions>
    </reviewItem>
    <reviewItem>
      <errorID>785ee046-5f2d-4ffe-aeaa-009173191192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132A6754</paraID>
      <start>15</start>
      <end>16</end>
      <status>ignored</status>
      <modifiedWord/>
      <trackRevisions>false</trackRevisions>
    </reviewItem>
    <reviewItem>
      <errorID>8c55dc6a-dc1b-4e23-8c2f-e33d4323c533</errorID>
      <errorWord>管理办法》中</errorWord>
      <group>L1_Word</group>
      <groupName>字词问题</groupName>
      <ability>L2_Typo</ability>
      <abilityName>字词错误</abilityName>
      <candidateList>
        <item>管理办法》</item>
      </candidateList>
      <explain/>
      <paraID>6DADF403</paraID>
      <start>67</start>
      <end>73</end>
      <status>ignored</status>
      <modifiedWord/>
      <trackRevisions>false</trackRevisions>
    </reviewItem>
    <reviewItem>
      <errorID>5d7a1e57-602c-4d31-a288-025876aa23a2</errorID>
      <errorWord>外漏</errorWord>
      <group>L1_Word</group>
      <groupName>字词问题</groupName>
      <ability>L2_Typo</ability>
      <abilityName>字词错误</abilityName>
      <candidateList>
        <item>外露</item>
      </candidateList>
      <explain>存在发音相同字词的误用。</explain>
      <paraID>1B5CA103</paraID>
      <start>32</start>
      <end>34</end>
      <status>ignored</status>
      <modifiedWord/>
      <trackRevisions>false</trackRevisions>
    </reviewItem>
    <reviewItem>
      <errorID>519c585c-5532-448f-93b5-cd8cdfd04d4b</errorID>
      <errorWord>，</errorWord>
      <group>L1_Word</group>
      <groupName>字词问题</groupName>
      <ability>L2_Typo</ability>
      <abilityName>字词错误</abilityName>
      <candidateList>
        <item>，对</item>
      </candidateList>
      <explain/>
      <paraID>53D9BF14</paraID>
      <start>26</start>
      <end>27</end>
      <status>ignored</status>
      <modifiedWord/>
      <trackRevisions>false</trackRevisions>
    </reviewItem>
    <reviewItem>
      <errorID>71420d8e-0388-40d7-ab1b-db69bd5c8cc0</errorID>
      <errorWord>（</errorWord>
      <group>L1_Punc</group>
      <groupName>标点问题</groupName>
      <ability>L2_Punc</ability>
      <abilityName>标点符号检查</abilityName>
      <candidateList/>
      <explain>同一形式括号套用。</explain>
      <paraID>1EB77F5E</paraID>
      <start>56</start>
      <end>57</end>
      <status>ignored</status>
      <modifiedWord/>
      <trackRevisions>false</trackRevisions>
    </reviewItem>
    <reviewItem>
      <errorID>a5707d28-3945-450e-b1f4-0d06cfb37dcc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1EB77F5E</paraID>
      <start>66</start>
      <end>67</end>
      <status>ignored</status>
      <modifiedWord/>
      <trackRevisions>false</trackRevisions>
    </reviewItem>
    <reviewItem>
      <errorID>f20fcbe4-56bd-4631-9d61-9949a8dbf0e1</errorID>
      <errorWord>（</errorWord>
      <group>L1_Punc</group>
      <groupName>标点问题</groupName>
      <ability>L2_Punc</ability>
      <abilityName>标点符号检查</abilityName>
      <candidateList/>
      <explain>同一形式括号套用。</explain>
      <paraID>1EB77F5E</paraID>
      <start>95</start>
      <end>96</end>
      <status>ignored</status>
      <modifiedWord/>
      <trackRevisions>false</trackRevisions>
    </reviewItem>
    <reviewItem>
      <errorID>7fd78b74-529f-4cce-b99b-26e826b815de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1EB77F5E</paraID>
      <start>105</start>
      <end>106</end>
      <status>ignored</status>
      <modifiedWord/>
      <trackRevisions>false</trackRevisions>
    </reviewItem>
    <reviewItem>
      <errorID>4b38abb8-97c8-4159-a897-4c1ca57af80b</errorID>
      <errorWord>、</errorWord>
      <group>L1_Punc</group>
      <groupName>标点问题</groupName>
      <ability>L2_Punc</ability>
      <abilityName>标点符号检查</abilityName>
      <candidateList>
        <item>.</item>
      </candidateList>
      <explain/>
      <paraID>5094A96A</paraID>
      <start>1</start>
      <end>2</end>
      <status>ignored</status>
      <modifiedWord/>
      <trackRevisions>false</trackRevisions>
    </reviewItem>
    <reviewItem>
      <errorID>6a10a670-daa5-41dc-a60d-7202a1d18293</errorID>
      <errorWord>、</errorWord>
      <group>L1_Punc</group>
      <groupName>标点问题</groupName>
      <ability>L2_Punc</ability>
      <abilityName>标点符号检查</abilityName>
      <candidateList>
        <item>.</item>
      </candidateList>
      <explain/>
      <paraID>5F07E50F</paraID>
      <start>1</start>
      <end>2</end>
      <status>ignored</status>
      <modifiedWord/>
      <trackRevisions>false</trackRevisions>
    </reviewItem>
    <reviewItem>
      <errorID>f3b765c8-ecf5-4f6b-b838-c2b46cb4057c</errorID>
      <errorWord>、</errorWord>
      <group>L1_Punc</group>
      <groupName>标点问题</groupName>
      <ability>L2_Punc</ability>
      <abilityName>标点符号检查</abilityName>
      <candidateList>
        <item>.</item>
      </candidateList>
      <explain/>
      <paraID>26D08033</paraID>
      <start>1</start>
      <end>2</end>
      <status>ignored</status>
      <modifiedWord/>
      <trackRevisions>false</trackRevisions>
    </reviewItem>
    <reviewItem>
      <errorID>56fe8c04-7070-4b5b-b9d8-b8b4d2087f67</errorID>
      <errorWord>、</errorWord>
      <group>L1_Punc</group>
      <groupName>标点问题</groupName>
      <ability>L2_Punc</ability>
      <abilityName>标点符号检查</abilityName>
      <candidateList>
        <item>.</item>
      </candidateList>
      <explain/>
      <paraID>5CAA7579</paraID>
      <start>1</start>
      <end>2</end>
      <status>ignored</status>
      <modifiedWord/>
      <trackRevisions>false</trackRevisions>
    </reviewItem>
    <reviewItem>
      <errorID>5e8decf9-01e4-4878-a2f9-ded0cd18f89c</errorID>
      <errorWord>、</errorWord>
      <group>L1_Punc</group>
      <groupName>标点问题</groupName>
      <ability>L2_Punc</ability>
      <abilityName>标点符号检查</abilityName>
      <candidateList>
        <item>.</item>
      </candidateList>
      <explain/>
      <paraID>6F79D4A7</paraID>
      <start>1</start>
      <end>2</end>
      <status>ignored</status>
      <modifiedWord/>
      <trackRevisions>false</trackRevisions>
    </reviewItem>
    <reviewItem>
      <errorID>e9414932-a8a1-47d1-8729-0825243cc355</errorID>
      <errorWord>、</errorWord>
      <group>L1_Punc</group>
      <groupName>标点问题</groupName>
      <ability>L2_Punc</ability>
      <abilityName>标点符号检查</abilityName>
      <candidateList>
        <item>.</item>
      </candidateList>
      <explain/>
      <paraID>4A49A45E</paraID>
      <start>1</start>
      <end>2</end>
      <status>ignored</status>
      <modifiedWord/>
      <trackRevisions>false</trackRevisions>
    </reviewItem>
    <reviewItem>
      <errorID>b6bfde71-c2a4-4733-a4af-2c85874206e3</errorID>
      <errorWord>、</errorWord>
      <group>L1_Punc</group>
      <groupName>标点问题</groupName>
      <ability>L2_Punc</ability>
      <abilityName>标点符号检查</abilityName>
      <candidateList>
        <item>.</item>
      </candidateList>
      <explain/>
      <paraID>47568A82</paraID>
      <start>1</start>
      <end>2</end>
      <status>ignored</status>
      <modifiedWord/>
      <trackRevisions>false</trackRevisions>
    </reviewItem>
    <reviewItem>
      <errorID>dd38bc2e-cf1b-4467-9687-3a3c9db79f48</errorID>
      <errorWord>管理办法》中</errorWord>
      <group>L1_Word</group>
      <groupName>字词问题</groupName>
      <ability>L2_Typo</ability>
      <abilityName>字词错误</abilityName>
      <candidateList>
        <item>管理办法》</item>
      </candidateList>
      <explain/>
      <paraID>47568A82</paraID>
      <start>165</start>
      <end>171</end>
      <status>ignored</status>
      <modifiedWord/>
      <trackRevisions>false</trackRevisions>
    </reviewItem>
    <reviewItem>
      <errorID>477f64de-bb15-4668-8897-ecb5574fcfae</errorID>
      <errorWord>开防</errorWord>
      <group>L1_Word</group>
      <groupName>字词问题</groupName>
      <ability>L2_Typo</ability>
      <abilityName>字词错误</abilityName>
      <candidateList>
        <item>开放</item>
      </candidateList>
      <explain>❶〈动〉（花）展开：百花～。❷〈动〉解除封锁、禁令、限制等：改革～｜公园每天～｜机场关闭了三天，至今日才～。❸〈形〉性格开朗；思想开通，不受拘束：性格～｜思想～。</explain>
      <paraID>7834632D</paraID>
      <start>12</start>
      <end>14</end>
      <status>ignored</status>
      <modifiedWord/>
      <trackRevisions>false</trackRevisions>
    </reviewItem>
    <reviewItem>
      <errorID>56e08e58-497c-4efb-ba6d-3f17b66a1091</errorID>
      <errorWord>防止或</errorWord>
      <group>L1_Word</group>
      <groupName>字词问题</groupName>
      <ability>L2_Typo</ability>
      <abilityName>字词错误</abilityName>
      <candidateList>
        <item>防止</item>
      </candidateList>
      <explain>〈动〉预先设法制止（坏事发生）：～煤气中毒｜～交通事故。</explain>
      <paraID>3F769D5F</paraID>
      <start>246</start>
      <end>248</end>
      <status>modified</status>
      <modifiedWord>防止</modifiedWord>
      <trackRevisions>false</trackRevisions>
    </reviewItem>
    <reviewItem>
      <errorID>b4ec4c27-9db0-4bab-96c5-0582671b525b</errorID>
      <errorWord>III类</errorWord>
      <group>L1_Knowledge</group>
      <groupName>知识性问题</groupName>
      <ability>L2_Knowledge</ability>
      <abilityName>其他知识</abilityName>
      <candidateList>
        <item>Ⅲ类</item>
      </candidateList>
      <explain>中文环境下罗马数字格式错误。</explain>
      <paraID>13899763</paraID>
      <start>11</start>
      <end>15</end>
      <status>ignored</status>
      <modifiedWord/>
      <trackRevisions>false</trackRevisions>
    </reviewItem>
    <reviewItem>
      <errorID>282d1b3c-f7fc-4af8-b56b-d04f755ac0fd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628A6D70</paraID>
      <start>0</start>
      <end>2</end>
      <status>ignored</status>
      <modifiedWord/>
      <trackRevisions>false</trackRevisions>
    </reviewItem>
    <reviewItem>
      <errorID>0cfe4349-b95d-4c6c-ae15-5d43d8ba2e5a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9F677D4</paraID>
      <start>0</start>
      <end>2</end>
      <status>ignored</status>
      <modifiedWord/>
      <trackRevisions>false</trackRevisions>
    </reviewItem>
    <reviewItem>
      <errorID>cd3c7331-08be-4517-86b1-cd88aa5f3bc5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204FB487</paraID>
      <start>0</start>
      <end>2</end>
      <status>ignored</status>
      <modifiedWord/>
      <trackRevisions>false</trackRevisions>
    </reviewItem>
    <reviewItem>
      <errorID>5ceefd14-eb13-4988-becd-06f88712aa3a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7B64EC0C</paraID>
      <start>0</start>
      <end>2</end>
      <status>ignored</status>
      <modifiedWord/>
      <trackRevisions>false</trackRevisions>
    </reviewItem>
    <reviewItem>
      <errorID>86f9504c-7309-4914-99c8-3440af301f07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661B9A89</paraID>
      <start>0</start>
      <end>2</end>
      <status>ignored</status>
      <modifiedWord/>
      <trackRevisions>false</trackRevisions>
    </reviewItem>
    <reviewItem>
      <errorID>867e89cb-2fa6-4210-8484-14478927fd23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4E048982</paraID>
      <start>0</start>
      <end>2</end>
      <status>ignored</status>
      <modifiedWord/>
      <trackRevisions>false</trackRevisions>
    </reviewItem>
    <reviewItem>
      <errorID>83aa8f0f-3623-4903-a7bc-e530e6361b20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3A0E00D9</paraID>
      <start>0</start>
      <end>2</end>
      <status>ignored</status>
      <modifiedWord/>
      <trackRevisions>false</trackRevisions>
    </reviewItem>
    <reviewItem>
      <errorID>783b8471-1d34-4993-8038-311a5826762d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84B8132</paraID>
      <start>0</start>
      <end>2</end>
      <status>ignored</status>
      <modifiedWord/>
      <trackRevisions>false</trackRevisions>
    </reviewItem>
    <reviewItem>
      <errorID>8e568f91-326b-4c1f-821b-d987a96ec401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12BDF696</paraID>
      <start>0</start>
      <end>2</end>
      <status>ignored</status>
      <modifiedWord/>
      <trackRevisions>false</trackRevisions>
    </reviewItem>
    <reviewItem>
      <errorID>92742955-bec6-4b06-bc44-4a24ca493c1c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53FE856F</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c74c1b-c7b5-4dae-a274-734a241b70b5}">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56</Pages>
  <Words>3182</Words>
  <Characters>3417</Characters>
  <Lines>13</Lines>
  <Paragraphs>3</Paragraphs>
  <TotalTime>62</TotalTime>
  <ScaleCrop>false</ScaleCrop>
  <LinksUpToDate>false</LinksUpToDate>
  <CharactersWithSpaces>3491</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Administrator</cp:lastModifiedBy>
  <cp:lastPrinted>2020-12-29T02:43:00Z</cp:lastPrinted>
  <dcterms:modified xsi:type="dcterms:W3CDTF">2026-08-03T09:11:18Z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F43824601B154AA1AC36160FDBF25D75_13</vt:lpwstr>
  </property>
  <property fmtid="{D5CDD505-2E9C-101B-9397-08002B2CF9AE}" pid="4" name="KSOTemplateDocerSaveRecord">
    <vt:lpwstr>eyJoZGlkIjoiZWM2ZTI2ZDBlM2MyOGMxOTYzNTk4NGFiODZlY2FhYzkiLCJ1c2VySWQiOiIyMDU3MjU4NjcifQ==</vt:lpwstr>
  </property>
</Properties>
</file>