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pStyle w:val="5"/>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bookmarkEnd w:id="0"/>
    <w:p>
      <w:pPr>
        <w:adjustRightInd w:val="0"/>
        <w:snapToGrid w:val="0"/>
        <w:jc w:val="center"/>
        <w:outlineLvl w:val="0"/>
        <w:rPr>
          <w:rFonts w:hint="eastAsia" w:ascii="方正小标宋_GBK" w:eastAsia="方正小标宋_GBK"/>
          <w:bCs/>
          <w:sz w:val="72"/>
          <w:szCs w:val="72"/>
        </w:rPr>
      </w:pPr>
      <w:r>
        <w:rPr>
          <w:rFonts w:hint="eastAsia" w:ascii="方正小标宋_GBK" w:eastAsia="方正小标宋_GBK"/>
          <w:bCs/>
          <w:sz w:val="72"/>
          <w:szCs w:val="72"/>
        </w:rPr>
        <w:t>建设项目环境影响报告表</w:t>
      </w:r>
    </w:p>
    <w:p>
      <w:pPr>
        <w:adjustRightInd w:val="0"/>
        <w:snapToGrid w:val="0"/>
        <w:spacing w:before="192" w:beforeLines="80"/>
        <w:jc w:val="center"/>
        <w:rPr>
          <w:rFonts w:hint="eastAsia" w:ascii="楷体_GB2312" w:eastAsia="楷体_GB2312"/>
          <w:bCs/>
          <w:sz w:val="48"/>
          <w:szCs w:val="48"/>
        </w:rPr>
      </w:pPr>
      <w:r>
        <w:rPr>
          <w:rFonts w:hint="eastAsia" w:ascii="楷体_GB2312" w:eastAsia="楷体_GB2312"/>
          <w:bCs/>
          <w:sz w:val="48"/>
          <w:szCs w:val="48"/>
        </w:rPr>
        <w:t>（生态影响类）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bookmarkStart w:id="1" w:name="_Hlk57883728"/>
    </w:p>
    <w:p>
      <w:pPr>
        <w:ind w:firstLine="1040"/>
        <w:rPr>
          <w:rFonts w:eastAsia="仿宋"/>
          <w:sz w:val="44"/>
          <w:szCs w:val="44"/>
        </w:rPr>
      </w:pPr>
    </w:p>
    <w:p>
      <w:pPr>
        <w:ind w:firstLine="1040"/>
        <w:rPr>
          <w:rFonts w:hint="eastAsia" w:eastAsia="仿宋"/>
          <w:sz w:val="44"/>
          <w:szCs w:val="44"/>
          <w:lang w:val="en-US" w:eastAsia="zh-CN"/>
        </w:rPr>
      </w:pPr>
    </w:p>
    <w:p>
      <w:pPr>
        <w:ind w:firstLine="1040"/>
        <w:rPr>
          <w:rFonts w:hint="eastAsia" w:eastAsia="仿宋"/>
          <w:sz w:val="44"/>
          <w:szCs w:val="44"/>
          <w:lang w:val="en-US" w:eastAsia="zh-CN"/>
        </w:rPr>
      </w:pPr>
    </w:p>
    <w:p>
      <w:pPr>
        <w:ind w:firstLine="1040"/>
        <w:rPr>
          <w:rFonts w:hint="eastAsia" w:eastAsia="仿宋"/>
          <w:sz w:val="44"/>
          <w:szCs w:val="44"/>
          <w:lang w:val="en-US" w:eastAsia="zh-CN"/>
        </w:rPr>
      </w:pPr>
      <w:r>
        <w:rPr>
          <w:rFonts w:hint="eastAsia" w:eastAsia="仿宋"/>
          <w:sz w:val="44"/>
          <w:szCs w:val="44"/>
          <w:lang w:val="en-US" w:eastAsia="zh-CN"/>
        </w:rPr>
        <w:t xml:space="preserve"> </w:t>
      </w:r>
    </w:p>
    <w:p>
      <w:pPr>
        <w:ind w:firstLine="1040"/>
        <w:rPr>
          <w:rFonts w:eastAsia="仿宋"/>
          <w:sz w:val="44"/>
          <w:szCs w:val="44"/>
        </w:rPr>
      </w:pPr>
    </w:p>
    <w:p>
      <w:pPr>
        <w:ind w:firstLine="1040"/>
        <w:rPr>
          <w:rFonts w:eastAsia="仿宋"/>
          <w:sz w:val="44"/>
          <w:szCs w:val="44"/>
        </w:rPr>
      </w:pPr>
    </w:p>
    <w:bookmarkEnd w:id="1"/>
    <w:tbl>
      <w:tblPr>
        <w:tblStyle w:val="2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326" w:type="dxa"/>
            <w:tcBorders>
              <w:tl2br w:val="nil"/>
              <w:tr2bl w:val="nil"/>
            </w:tcBorders>
            <w:vAlign w:val="center"/>
          </w:tcPr>
          <w:p>
            <w:pPr>
              <w:adjustRightInd w:val="0"/>
              <w:snapToGrid w:val="0"/>
              <w:spacing w:line="288" w:lineRule="auto"/>
              <w:jc w:val="both"/>
              <w:rPr>
                <w:rFonts w:hint="eastAsia" w:ascii="仿宋" w:hAnsi="仿宋" w:eastAsia="仿宋" w:cs="仿宋"/>
                <w:sz w:val="36"/>
                <w:szCs w:val="36"/>
                <w:vertAlign w:val="baseline"/>
              </w:rPr>
            </w:pPr>
            <w:r>
              <w:rPr>
                <w:rFonts w:hint="eastAsia" w:ascii="仿宋" w:hAnsi="仿宋" w:eastAsia="仿宋" w:cs="仿宋"/>
                <w:sz w:val="36"/>
                <w:szCs w:val="36"/>
              </w:rPr>
              <w:t>项目名称：</w:t>
            </w:r>
            <w:r>
              <w:rPr>
                <w:rFonts w:hint="eastAsia" w:ascii="仿宋" w:hAnsi="仿宋" w:eastAsia="仿宋" w:cs="仿宋"/>
                <w:sz w:val="36"/>
                <w:szCs w:val="36"/>
                <w:u w:val="single"/>
                <w:lang w:val="en-US" w:eastAsia="zh-CN"/>
              </w:rPr>
              <w:t>新疆焉耆县红柳沟铜多金属矿勘探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26" w:type="dxa"/>
            <w:tcBorders>
              <w:tl2br w:val="nil"/>
              <w:tr2bl w:val="nil"/>
            </w:tcBorders>
            <w:vAlign w:val="center"/>
          </w:tcPr>
          <w:p>
            <w:pPr>
              <w:adjustRightInd w:val="0"/>
              <w:snapToGrid w:val="0"/>
              <w:spacing w:line="288" w:lineRule="auto"/>
              <w:jc w:val="both"/>
              <w:rPr>
                <w:rFonts w:hint="default" w:ascii="仿宋" w:hAnsi="仿宋" w:eastAsia="仿宋" w:cs="仿宋"/>
                <w:sz w:val="36"/>
                <w:szCs w:val="36"/>
                <w:vertAlign w:val="baseline"/>
                <w:lang w:val="en-US"/>
              </w:rPr>
            </w:pPr>
            <w:r>
              <w:rPr>
                <w:rFonts w:hint="eastAsia" w:ascii="仿宋" w:hAnsi="仿宋" w:eastAsia="仿宋" w:cs="仿宋"/>
                <w:sz w:val="36"/>
                <w:szCs w:val="36"/>
              </w:rPr>
              <w:t>建设单位（盖章）：</w:t>
            </w:r>
            <w:r>
              <w:rPr>
                <w:rFonts w:hint="eastAsia" w:ascii="仿宋" w:hAnsi="仿宋" w:eastAsia="仿宋" w:cs="仿宋"/>
                <w:sz w:val="36"/>
                <w:szCs w:val="36"/>
                <w:u w:val="single"/>
                <w:lang w:val="en-US" w:eastAsia="zh-CN"/>
              </w:rPr>
              <w:t xml:space="preserve">新疆沪迪矿业有限公司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26" w:type="dxa"/>
            <w:tcBorders>
              <w:tl2br w:val="nil"/>
              <w:tr2bl w:val="nil"/>
            </w:tcBorders>
            <w:vAlign w:val="center"/>
          </w:tcPr>
          <w:p>
            <w:pPr>
              <w:adjustRightInd w:val="0"/>
              <w:snapToGrid w:val="0"/>
              <w:spacing w:line="288" w:lineRule="auto"/>
              <w:jc w:val="both"/>
              <w:rPr>
                <w:rFonts w:hint="eastAsia" w:ascii="仿宋" w:hAnsi="仿宋" w:eastAsia="仿宋" w:cs="仿宋"/>
                <w:sz w:val="36"/>
                <w:szCs w:val="36"/>
                <w:vertAlign w:val="baseline"/>
              </w:rPr>
            </w:pPr>
            <w:r>
              <w:rPr>
                <w:rFonts w:hint="eastAsia" w:ascii="仿宋" w:hAnsi="仿宋" w:eastAsia="仿宋" w:cs="仿宋"/>
                <w:sz w:val="36"/>
                <w:szCs w:val="36"/>
              </w:rPr>
              <w:t>编制日期：</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2026年7月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w:t>
            </w:r>
          </w:p>
        </w:tc>
      </w:tr>
    </w:tbl>
    <w:p>
      <w:pPr>
        <w:adjustRightInd w:val="0"/>
        <w:snapToGrid w:val="0"/>
        <w:spacing w:line="288" w:lineRule="auto"/>
        <w:ind w:firstLine="1040"/>
        <w:rPr>
          <w:rFonts w:ascii="仿宋_GB2312" w:eastAsia="仿宋_GB2312"/>
          <w:sz w:val="36"/>
          <w:szCs w:val="36"/>
          <w:u w:val="single"/>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hint="eastAsia" w:ascii="仿宋_GB2312" w:eastAsia="仿宋_GB2312"/>
          <w:sz w:val="36"/>
          <w:szCs w:val="36"/>
        </w:rPr>
      </w:pPr>
    </w:p>
    <w:p>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pPr>
        <w:adjustRightInd w:val="0"/>
        <w:snapToGrid w:val="0"/>
        <w:spacing w:line="288" w:lineRule="auto"/>
        <w:ind w:firstLine="1040"/>
        <w:rPr>
          <w:rFonts w:ascii="仿宋_GB2312" w:eastAsia="仿宋_GB2312"/>
          <w:sz w:val="36"/>
          <w:szCs w:val="36"/>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adjustRightInd w:val="0"/>
        <w:snapToGrid w:val="0"/>
        <w:spacing w:line="288" w:lineRule="auto"/>
        <w:rPr>
          <w:rFonts w:ascii="仿宋_GB2312" w:eastAsia="仿宋_GB2312"/>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4"/>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634" w:type="dxa"/>
            <w:noWrap w:val="0"/>
            <w:tcMar>
              <w:top w:w="16" w:type="dxa"/>
              <w:left w:w="16" w:type="dxa"/>
              <w:right w:w="16" w:type="dxa"/>
            </w:tcMar>
            <w:vAlign w:val="center"/>
          </w:tcPr>
          <w:p>
            <w:pPr>
              <w:pStyle w:val="59"/>
              <w:bidi w:val="0"/>
            </w:pPr>
            <w:r>
              <w:rPr>
                <w:rFonts w:hint="eastAsia"/>
              </w:rPr>
              <w:t>建设项目名称</w:t>
            </w:r>
          </w:p>
        </w:tc>
        <w:tc>
          <w:tcPr>
            <w:tcW w:w="7405" w:type="dxa"/>
            <w:gridSpan w:val="3"/>
            <w:noWrap w:val="0"/>
            <w:vAlign w:val="center"/>
          </w:tcPr>
          <w:p>
            <w:pPr>
              <w:pStyle w:val="59"/>
              <w:bidi w:val="0"/>
              <w:rPr>
                <w:rFonts w:hint="default"/>
                <w:lang w:val="en-US"/>
              </w:rPr>
            </w:pPr>
            <w:r>
              <w:rPr>
                <w:rFonts w:hint="eastAsia"/>
                <w:lang w:val="en-US" w:eastAsia="zh-CN"/>
              </w:rPr>
              <w:t>新疆焉耆县红柳沟铜多金属矿勘探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9"/>
              <w:bidi w:val="0"/>
            </w:pPr>
            <w:r>
              <w:rPr>
                <w:rFonts w:hint="eastAsia"/>
              </w:rPr>
              <w:t>项目代码</w:t>
            </w:r>
          </w:p>
        </w:tc>
        <w:tc>
          <w:tcPr>
            <w:tcW w:w="7405" w:type="dxa"/>
            <w:gridSpan w:val="3"/>
            <w:noWrap w:val="0"/>
            <w:vAlign w:val="center"/>
          </w:tcPr>
          <w:p>
            <w:pPr>
              <w:pStyle w:val="59"/>
              <w:bidi w:val="0"/>
              <w:rPr>
                <w:rFonts w:hint="eastAsia"/>
                <w:lang w:val="en-US" w:eastAsia="zh-CN"/>
              </w:rPr>
            </w:pPr>
            <w:bookmarkStart w:id="5" w:name="_GoBack"/>
            <w:bookmarkEnd w:id="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9"/>
              <w:bidi w:val="0"/>
            </w:pPr>
            <w:r>
              <w:rPr>
                <w:rFonts w:hint="eastAsia"/>
              </w:rPr>
              <w:t>建设单位联系人</w:t>
            </w:r>
          </w:p>
        </w:tc>
        <w:tc>
          <w:tcPr>
            <w:tcW w:w="2512" w:type="dxa"/>
            <w:noWrap w:val="0"/>
            <w:vAlign w:val="center"/>
          </w:tcPr>
          <w:p>
            <w:pPr>
              <w:pStyle w:val="59"/>
              <w:bidi w:val="0"/>
              <w:rPr>
                <w:rFonts w:hint="default"/>
                <w:lang w:val="en-US" w:eastAsia="zh-CN"/>
              </w:rPr>
            </w:pPr>
          </w:p>
        </w:tc>
        <w:tc>
          <w:tcPr>
            <w:tcW w:w="2310" w:type="dxa"/>
            <w:noWrap w:val="0"/>
            <w:vAlign w:val="center"/>
          </w:tcPr>
          <w:p>
            <w:pPr>
              <w:pStyle w:val="59"/>
              <w:bidi w:val="0"/>
            </w:pPr>
          </w:p>
        </w:tc>
        <w:tc>
          <w:tcPr>
            <w:tcW w:w="2583" w:type="dxa"/>
            <w:noWrap w:val="0"/>
            <w:vAlign w:val="center"/>
          </w:tcPr>
          <w:p>
            <w:pPr>
              <w:pStyle w:val="59"/>
              <w:bidi w:val="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9"/>
              <w:bidi w:val="0"/>
            </w:pPr>
            <w:r>
              <w:rPr>
                <w:rFonts w:hint="eastAsia"/>
              </w:rPr>
              <w:t>建设地点</w:t>
            </w:r>
          </w:p>
        </w:tc>
        <w:tc>
          <w:tcPr>
            <w:tcW w:w="7405" w:type="dxa"/>
            <w:gridSpan w:val="3"/>
            <w:noWrap w:val="0"/>
            <w:vAlign w:val="center"/>
          </w:tcPr>
          <w:p>
            <w:pPr>
              <w:pStyle w:val="59"/>
              <w:bidi w:val="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9"/>
              <w:bidi w:val="0"/>
            </w:pPr>
            <w:r>
              <w:rPr>
                <w:rFonts w:hint="eastAsia"/>
              </w:rPr>
              <w:t>地理坐标</w:t>
            </w:r>
          </w:p>
        </w:tc>
        <w:tc>
          <w:tcPr>
            <w:tcW w:w="7405" w:type="dxa"/>
            <w:gridSpan w:val="3"/>
            <w:noWrap w:val="0"/>
            <w:vAlign w:val="center"/>
          </w:tcPr>
          <w:p>
            <w:pPr>
              <w:pStyle w:val="59"/>
              <w:bidi w:val="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9"/>
              <w:bidi w:val="0"/>
              <w:rPr>
                <w:color w:val="auto"/>
              </w:rPr>
            </w:pPr>
            <w:r>
              <w:rPr>
                <w:rFonts w:hint="eastAsia"/>
                <w:color w:val="auto"/>
              </w:rPr>
              <w:t>建设项目</w:t>
            </w:r>
          </w:p>
          <w:p>
            <w:pPr>
              <w:pStyle w:val="59"/>
              <w:bidi w:val="0"/>
              <w:rPr>
                <w:color w:val="auto"/>
              </w:rPr>
            </w:pPr>
            <w:r>
              <w:rPr>
                <w:rFonts w:hint="eastAsia"/>
                <w:color w:val="auto"/>
              </w:rPr>
              <w:t>行业类别</w:t>
            </w:r>
          </w:p>
        </w:tc>
        <w:tc>
          <w:tcPr>
            <w:tcW w:w="2512" w:type="dxa"/>
            <w:noWrap w:val="0"/>
            <w:vAlign w:val="center"/>
          </w:tcPr>
          <w:p>
            <w:pPr>
              <w:pStyle w:val="59"/>
              <w:bidi w:val="0"/>
              <w:rPr>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9"/>
              <w:bidi w:val="0"/>
              <w:rPr>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9"/>
              <w:bidi w:val="0"/>
              <w:rPr>
                <w:rFonts w:hint="default"/>
                <w:color w:val="auto"/>
                <w:highlight w:val="none"/>
                <w:lang w:val="en-US" w:eastAsia="zh-CN"/>
              </w:rPr>
            </w:pPr>
            <w:r>
              <w:rPr>
                <w:rFonts w:hint="eastAsia"/>
                <w:lang w:val="en-US" w:eastAsia="zh-CN"/>
              </w:rPr>
              <w:t>探矿权面积为8.39k</w:t>
            </w:r>
            <w:r>
              <w:rPr>
                <w:rFonts w:hint="default"/>
                <w:lang w:val="en-US" w:eastAsia="zh-CN"/>
              </w:rPr>
              <w:t>m</w:t>
            </w:r>
            <w:r>
              <w:rPr>
                <w:rFonts w:hint="default"/>
                <w:vertAlign w:val="superscript"/>
                <w:lang w:val="en-US" w:eastAsia="zh-CN"/>
              </w:rPr>
              <w:t>2</w:t>
            </w:r>
            <w:r>
              <w:rPr>
                <w:rFonts w:hint="eastAsia"/>
                <w:vertAlign w:val="baseline"/>
                <w:lang w:val="en-US" w:eastAsia="zh-CN"/>
              </w:rPr>
              <w:t>，</w:t>
            </w:r>
            <w:r>
              <w:rPr>
                <w:rFonts w:hint="eastAsia"/>
                <w:color w:val="auto"/>
                <w:highlight w:val="none"/>
                <w:lang w:val="en-US" w:eastAsia="zh-CN"/>
              </w:rPr>
              <w:t>临时占地面积为14628m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9"/>
              <w:bidi w:val="0"/>
              <w:rPr>
                <w:color w:val="auto"/>
                <w:highlight w:val="none"/>
              </w:rPr>
            </w:pPr>
            <w:r>
              <w:rPr>
                <w:rFonts w:hint="eastAsia"/>
                <w:color w:val="auto"/>
                <w:highlight w:val="none"/>
              </w:rPr>
              <w:t>建设性质</w:t>
            </w:r>
          </w:p>
        </w:tc>
        <w:tc>
          <w:tcPr>
            <w:tcW w:w="2512" w:type="dxa"/>
            <w:noWrap w:val="0"/>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□改建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□扩建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adjustRightInd w:val="0"/>
              <w:snapToGrid w:val="0"/>
              <w:jc w:val="center"/>
              <w:rPr>
                <w:rFonts w:ascii="宋体" w:hAnsi="宋体" w:cs="宋体"/>
                <w:color w:val="auto"/>
                <w:szCs w:val="21"/>
              </w:rPr>
            </w:pPr>
            <w:r>
              <w:rPr>
                <w:rFonts w:hint="eastAsia" w:ascii="宋体" w:hAnsi="宋体" w:cs="宋体"/>
                <w:color w:val="auto"/>
                <w:szCs w:val="21"/>
              </w:rPr>
              <w:t>建设项目</w:t>
            </w:r>
          </w:p>
          <w:p>
            <w:pPr>
              <w:adjustRightInd w:val="0"/>
              <w:snapToGrid w:val="0"/>
              <w:jc w:val="center"/>
              <w:rPr>
                <w:rFonts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adjustRightInd w:val="0"/>
              <w:snapToGrid w:val="0"/>
              <w:jc w:val="left"/>
              <w:rPr>
                <w:rFonts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adjustRightInd w:val="0"/>
              <w:snapToGrid w:val="0"/>
              <w:jc w:val="left"/>
              <w:rPr>
                <w:rFonts w:ascii="宋体" w:hAnsi="宋体" w:cs="宋体"/>
                <w:color w:val="auto"/>
                <w:szCs w:val="21"/>
              </w:rPr>
            </w:pPr>
            <w:r>
              <w:rPr>
                <w:rFonts w:hint="eastAsia" w:ascii="宋体" w:hAnsi="宋体" w:cs="宋体"/>
                <w:color w:val="auto"/>
                <w:szCs w:val="21"/>
              </w:rPr>
              <w:t>□不予批准后再次申报项目</w:t>
            </w:r>
          </w:p>
          <w:p>
            <w:pPr>
              <w:adjustRightInd w:val="0"/>
              <w:snapToGrid w:val="0"/>
              <w:jc w:val="left"/>
              <w:rPr>
                <w:rFonts w:ascii="宋体" w:hAnsi="宋体" w:cs="宋体"/>
                <w:color w:val="auto"/>
                <w:szCs w:val="21"/>
              </w:rPr>
            </w:pPr>
            <w:r>
              <w:rPr>
                <w:rFonts w:hint="eastAsia" w:ascii="宋体" w:hAnsi="宋体" w:cs="宋体"/>
                <w:color w:val="auto"/>
                <w:szCs w:val="21"/>
              </w:rPr>
              <w:t>□超五年重新审核项目</w:t>
            </w:r>
          </w:p>
          <w:p>
            <w:pPr>
              <w:adjustRightInd w:val="0"/>
              <w:snapToGrid w:val="0"/>
              <w:rPr>
                <w:rFonts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9"/>
              <w:bidi w:val="0"/>
              <w:rPr>
                <w:color w:val="auto"/>
              </w:rPr>
            </w:pPr>
            <w:r>
              <w:rPr>
                <w:rFonts w:hint="eastAsia"/>
                <w:color w:val="auto"/>
              </w:rPr>
              <w:t>项目审批（核准</w:t>
            </w:r>
            <w:r>
              <w:rPr>
                <w:rFonts w:hint="default"/>
                <w:color w:val="auto"/>
              </w:rPr>
              <w:t>/</w:t>
            </w:r>
          </w:p>
          <w:p>
            <w:pPr>
              <w:pStyle w:val="59"/>
              <w:bidi w:val="0"/>
              <w:rPr>
                <w:color w:val="auto"/>
              </w:rPr>
            </w:pPr>
            <w:r>
              <w:rPr>
                <w:rFonts w:hint="eastAsia"/>
                <w:color w:val="auto"/>
              </w:rPr>
              <w:t>备案）部门（选填）</w:t>
            </w:r>
          </w:p>
        </w:tc>
        <w:tc>
          <w:tcPr>
            <w:tcW w:w="2512" w:type="dxa"/>
            <w:noWrap w:val="0"/>
            <w:vAlign w:val="center"/>
          </w:tcPr>
          <w:p>
            <w:pPr>
              <w:pStyle w:val="59"/>
              <w:bidi w:val="0"/>
              <w:rPr>
                <w:color w:val="auto"/>
              </w:rPr>
            </w:pPr>
            <w:r>
              <w:rPr>
                <w:rFonts w:hint="eastAsia"/>
                <w:color w:val="auto"/>
                <w:lang w:val="en-US" w:eastAsia="zh-CN"/>
              </w:rPr>
              <w:t>/</w:t>
            </w:r>
          </w:p>
        </w:tc>
        <w:tc>
          <w:tcPr>
            <w:tcW w:w="2310" w:type="dxa"/>
            <w:noWrap w:val="0"/>
            <w:vAlign w:val="center"/>
          </w:tcPr>
          <w:p>
            <w:pPr>
              <w:pStyle w:val="59"/>
              <w:bidi w:val="0"/>
              <w:rPr>
                <w:color w:val="auto"/>
              </w:rPr>
            </w:pPr>
            <w:r>
              <w:rPr>
                <w:rFonts w:hint="eastAsia"/>
                <w:color w:val="auto"/>
              </w:rPr>
              <w:t>项目审批（核准</w:t>
            </w:r>
            <w:r>
              <w:rPr>
                <w:color w:val="auto"/>
              </w:rPr>
              <w:t>/</w:t>
            </w:r>
          </w:p>
          <w:p>
            <w:pPr>
              <w:pStyle w:val="59"/>
              <w:bidi w:val="0"/>
              <w:rPr>
                <w:color w:val="auto"/>
              </w:rPr>
            </w:pPr>
            <w:r>
              <w:rPr>
                <w:rFonts w:hint="eastAsia"/>
                <w:color w:val="auto"/>
              </w:rPr>
              <w:t>备案）文号（选填）</w:t>
            </w:r>
          </w:p>
        </w:tc>
        <w:tc>
          <w:tcPr>
            <w:tcW w:w="2583" w:type="dxa"/>
            <w:noWrap w:val="0"/>
            <w:vAlign w:val="center"/>
          </w:tcPr>
          <w:p>
            <w:pPr>
              <w:pStyle w:val="59"/>
              <w:bidi w:val="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9"/>
              <w:bidi w:val="0"/>
              <w:rPr>
                <w:color w:val="auto"/>
                <w:highlight w:val="none"/>
              </w:rPr>
            </w:pPr>
            <w:r>
              <w:rPr>
                <w:rFonts w:hint="eastAsia"/>
                <w:color w:val="auto"/>
                <w:highlight w:val="none"/>
              </w:rPr>
              <w:t>总投资（万元）</w:t>
            </w:r>
          </w:p>
        </w:tc>
        <w:tc>
          <w:tcPr>
            <w:tcW w:w="2512" w:type="dxa"/>
            <w:noWrap w:val="0"/>
            <w:vAlign w:val="center"/>
          </w:tcPr>
          <w:p>
            <w:pPr>
              <w:pStyle w:val="59"/>
              <w:bidi w:val="0"/>
              <w:rPr>
                <w:rFonts w:hint="default"/>
                <w:color w:val="auto"/>
                <w:highlight w:val="none"/>
                <w:lang w:val="en-US" w:eastAsia="zh-CN"/>
              </w:rPr>
            </w:pPr>
            <w:r>
              <w:rPr>
                <w:rFonts w:hint="eastAsia"/>
                <w:color w:val="auto"/>
                <w:highlight w:val="none"/>
                <w:lang w:val="en-US" w:eastAsia="zh-CN"/>
              </w:rPr>
              <w:t>500</w:t>
            </w:r>
          </w:p>
        </w:tc>
        <w:tc>
          <w:tcPr>
            <w:tcW w:w="2310" w:type="dxa"/>
            <w:noWrap w:val="0"/>
            <w:tcMar>
              <w:top w:w="16" w:type="dxa"/>
              <w:left w:w="16" w:type="dxa"/>
              <w:right w:w="16" w:type="dxa"/>
            </w:tcMar>
            <w:vAlign w:val="center"/>
          </w:tcPr>
          <w:p>
            <w:pPr>
              <w:pStyle w:val="59"/>
              <w:bidi w:val="0"/>
              <w:rPr>
                <w:color w:val="auto"/>
                <w:highlight w:val="none"/>
              </w:rPr>
            </w:pPr>
            <w:r>
              <w:rPr>
                <w:rFonts w:hint="eastAsia"/>
                <w:color w:val="auto"/>
                <w:highlight w:val="none"/>
              </w:rPr>
              <w:t>环保投资（万元）</w:t>
            </w:r>
          </w:p>
        </w:tc>
        <w:tc>
          <w:tcPr>
            <w:tcW w:w="2583" w:type="dxa"/>
            <w:noWrap w:val="0"/>
            <w:vAlign w:val="center"/>
          </w:tcPr>
          <w:p>
            <w:pPr>
              <w:pStyle w:val="59"/>
              <w:bidi w:val="0"/>
              <w:rPr>
                <w:rFonts w:hint="default"/>
                <w:color w:val="auto"/>
                <w:highlight w:val="none"/>
                <w:lang w:val="en-US" w:eastAsia="zh-CN"/>
              </w:rPr>
            </w:pPr>
            <w:r>
              <w:rPr>
                <w:rFonts w:hint="eastAsia"/>
                <w:color w:val="auto"/>
                <w:highlight w:val="none"/>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9"/>
              <w:bidi w:val="0"/>
              <w:rPr>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9"/>
              <w:bidi w:val="0"/>
              <w:rPr>
                <w:rFonts w:hint="default"/>
                <w:color w:val="auto"/>
                <w:highlight w:val="none"/>
                <w:lang w:val="en-US" w:eastAsia="zh-CN"/>
              </w:rPr>
            </w:pPr>
            <w:r>
              <w:rPr>
                <w:rFonts w:hint="eastAsia"/>
                <w:color w:val="auto"/>
                <w:highlight w:val="none"/>
                <w:lang w:val="en-US" w:eastAsia="zh-CN"/>
              </w:rPr>
              <w:t>3</w:t>
            </w:r>
          </w:p>
        </w:tc>
        <w:tc>
          <w:tcPr>
            <w:tcW w:w="2310" w:type="dxa"/>
            <w:noWrap w:val="0"/>
            <w:tcMar>
              <w:top w:w="16" w:type="dxa"/>
              <w:left w:w="16" w:type="dxa"/>
              <w:right w:w="16" w:type="dxa"/>
            </w:tcMar>
            <w:vAlign w:val="center"/>
          </w:tcPr>
          <w:p>
            <w:pPr>
              <w:pStyle w:val="59"/>
              <w:bidi w:val="0"/>
              <w:rPr>
                <w:color w:val="auto"/>
                <w:highlight w:val="none"/>
              </w:rPr>
            </w:pPr>
            <w:r>
              <w:rPr>
                <w:rFonts w:hint="eastAsia"/>
                <w:color w:val="auto"/>
                <w:highlight w:val="none"/>
              </w:rPr>
              <w:t>施工工期</w:t>
            </w:r>
          </w:p>
        </w:tc>
        <w:tc>
          <w:tcPr>
            <w:tcW w:w="2583" w:type="dxa"/>
            <w:noWrap w:val="0"/>
            <w:vAlign w:val="center"/>
          </w:tcPr>
          <w:p>
            <w:pPr>
              <w:pStyle w:val="59"/>
              <w:bidi w:val="0"/>
              <w:rPr>
                <w:rFonts w:hint="eastAsia"/>
                <w:color w:val="auto"/>
                <w:highlight w:val="none"/>
                <w:lang w:val="en-US" w:eastAsia="zh-CN"/>
              </w:rPr>
            </w:pPr>
            <w:r>
              <w:rPr>
                <w:rFonts w:hint="eastAsia"/>
                <w:color w:val="auto"/>
                <w:highlight w:val="none"/>
                <w:lang w:val="en-US" w:eastAsia="zh-CN"/>
              </w:rPr>
              <w:t>施工期0天，</w:t>
            </w:r>
          </w:p>
          <w:p>
            <w:pPr>
              <w:pStyle w:val="59"/>
              <w:bidi w:val="0"/>
              <w:rPr>
                <w:rFonts w:hint="default"/>
                <w:color w:val="auto"/>
                <w:highlight w:val="none"/>
                <w:lang w:val="en-US" w:eastAsia="zh-CN"/>
              </w:rPr>
            </w:pPr>
            <w:r>
              <w:rPr>
                <w:rFonts w:hint="default"/>
                <w:color w:val="auto"/>
                <w:highlight w:val="none"/>
                <w:lang w:val="en-US" w:eastAsia="zh-CN"/>
              </w:rPr>
              <w:t>野外勘查</w:t>
            </w:r>
            <w:r>
              <w:rPr>
                <w:rFonts w:hint="eastAsia"/>
                <w:color w:val="auto"/>
                <w:highlight w:val="none"/>
                <w:lang w:val="en-US" w:eastAsia="zh-CN"/>
              </w:rPr>
              <w:t>期70天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634" w:type="dxa"/>
            <w:noWrap w:val="0"/>
            <w:tcMar>
              <w:top w:w="16" w:type="dxa"/>
              <w:left w:w="16" w:type="dxa"/>
              <w:right w:w="16" w:type="dxa"/>
            </w:tcMar>
            <w:vAlign w:val="center"/>
          </w:tcPr>
          <w:p>
            <w:pPr>
              <w:pStyle w:val="59"/>
              <w:bidi w:val="0"/>
            </w:pPr>
            <w:r>
              <w:rPr>
                <w:rFonts w:hint="eastAsia"/>
              </w:rPr>
              <w:t>是否开工建设</w:t>
            </w:r>
          </w:p>
        </w:tc>
        <w:tc>
          <w:tcPr>
            <w:tcW w:w="7405" w:type="dxa"/>
            <w:gridSpan w:val="3"/>
            <w:noWrap w:val="0"/>
            <w:vAlign w:val="center"/>
          </w:tcPr>
          <w:p>
            <w:pPr>
              <w:adjustRightInd w:val="0"/>
              <w:snapToGrid w:val="0"/>
              <w:ind w:firstLine="105"/>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否</w:t>
            </w:r>
          </w:p>
          <w:p>
            <w:pPr>
              <w:adjustRightInd w:val="0"/>
              <w:snapToGrid w:val="0"/>
              <w:ind w:firstLine="92"/>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634" w:type="dxa"/>
            <w:noWrap w:val="0"/>
            <w:tcMar>
              <w:top w:w="16" w:type="dxa"/>
              <w:left w:w="16" w:type="dxa"/>
              <w:right w:w="16" w:type="dxa"/>
            </w:tcMar>
            <w:vAlign w:val="center"/>
          </w:tcPr>
          <w:p>
            <w:pPr>
              <w:pStyle w:val="59"/>
              <w:bidi w:val="0"/>
            </w:pPr>
            <w:r>
              <w:rPr>
                <w:rFonts w:hint="eastAsia"/>
              </w:rPr>
              <w:t>专项评价设置情况</w:t>
            </w:r>
          </w:p>
        </w:tc>
        <w:tc>
          <w:tcPr>
            <w:tcW w:w="7405" w:type="dxa"/>
            <w:gridSpan w:val="3"/>
            <w:noWrap w:val="0"/>
            <w:tcMar>
              <w:top w:w="16" w:type="dxa"/>
              <w:left w:w="16" w:type="dxa"/>
              <w:right w:w="16" w:type="dxa"/>
            </w:tcMar>
            <w:vAlign w:val="center"/>
          </w:tcPr>
          <w:p>
            <w:pPr>
              <w:pStyle w:val="55"/>
              <w:bidi w:val="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9"/>
              <w:bidi w:val="0"/>
            </w:pPr>
            <w:r>
              <w:rPr>
                <w:rFonts w:hint="eastAsia"/>
              </w:rPr>
              <w:t>规划情况</w:t>
            </w:r>
          </w:p>
        </w:tc>
        <w:tc>
          <w:tcPr>
            <w:tcW w:w="7405" w:type="dxa"/>
            <w:gridSpan w:val="3"/>
            <w:noWrap w:val="0"/>
            <w:tcMar>
              <w:top w:w="16" w:type="dxa"/>
              <w:left w:w="16" w:type="dxa"/>
              <w:right w:w="16" w:type="dxa"/>
            </w:tcMar>
            <w:vAlign w:val="center"/>
          </w:tcPr>
          <w:p>
            <w:pPr>
              <w:pStyle w:val="68"/>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8"/>
              <w:rPr>
                <w:rFonts w:hint="eastAsia" w:eastAsia="宋体"/>
                <w:lang w:eastAsia="zh-CN"/>
              </w:rPr>
            </w:pPr>
            <w:r>
              <w:rPr>
                <w:rFonts w:hint="eastAsia"/>
              </w:rPr>
              <w:t>审批机关：自然资源部</w:t>
            </w:r>
            <w:r>
              <w:rPr>
                <w:rFonts w:hint="eastAsia"/>
                <w:lang w:eastAsia="zh-CN"/>
              </w:rPr>
              <w:t>；</w:t>
            </w:r>
          </w:p>
          <w:p>
            <w:pPr>
              <w:pStyle w:val="68"/>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8"/>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8"/>
              <w:rPr>
                <w:rFonts w:hint="eastAsia" w:eastAsia="宋体"/>
                <w:color w:val="auto"/>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8" w:hRule="atLeast"/>
        </w:trPr>
        <w:tc>
          <w:tcPr>
            <w:tcW w:w="1634" w:type="dxa"/>
            <w:noWrap w:val="0"/>
            <w:tcMar>
              <w:top w:w="16" w:type="dxa"/>
              <w:left w:w="16" w:type="dxa"/>
              <w:right w:w="16" w:type="dxa"/>
            </w:tcMar>
            <w:vAlign w:val="center"/>
          </w:tcPr>
          <w:p>
            <w:pPr>
              <w:pStyle w:val="59"/>
              <w:bidi w:val="0"/>
            </w:pPr>
            <w:r>
              <w:rPr>
                <w:rFonts w:hint="eastAsia"/>
              </w:rPr>
              <w:t>规划环境影响</w:t>
            </w:r>
          </w:p>
          <w:p>
            <w:pPr>
              <w:pStyle w:val="59"/>
              <w:bidi w:val="0"/>
            </w:pPr>
            <w:r>
              <w:rPr>
                <w:rFonts w:hint="eastAsia"/>
              </w:rPr>
              <w:t>评价情况</w:t>
            </w:r>
          </w:p>
        </w:tc>
        <w:tc>
          <w:tcPr>
            <w:tcW w:w="7405" w:type="dxa"/>
            <w:gridSpan w:val="3"/>
            <w:noWrap w:val="0"/>
            <w:tcMar>
              <w:top w:w="16" w:type="dxa"/>
              <w:left w:w="16" w:type="dxa"/>
              <w:right w:w="16" w:type="dxa"/>
            </w:tcMar>
            <w:vAlign w:val="center"/>
          </w:tcPr>
          <w:p>
            <w:pPr>
              <w:pStyle w:val="68"/>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8"/>
              <w:jc w:val="left"/>
              <w:rPr>
                <w:rFonts w:hint="eastAsia" w:eastAsia="宋体"/>
                <w:lang w:eastAsia="zh-CN"/>
              </w:rPr>
            </w:pPr>
            <w:r>
              <w:rPr>
                <w:rFonts w:hint="eastAsia"/>
              </w:rPr>
              <w:t>审查机关：生态环境部</w:t>
            </w:r>
            <w:r>
              <w:rPr>
                <w:rFonts w:hint="eastAsia"/>
                <w:lang w:eastAsia="zh-CN"/>
              </w:rPr>
              <w:t>；</w:t>
            </w:r>
          </w:p>
          <w:p>
            <w:pPr>
              <w:pStyle w:val="59"/>
              <w:bidi w:val="0"/>
              <w:jc w:val="left"/>
              <w:rPr>
                <w:rFonts w:hint="default"/>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55"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7405" w:type="dxa"/>
            <w:gridSpan w:val="3"/>
            <w:noWrap w:val="0"/>
            <w:tcMar>
              <w:top w:w="16" w:type="dxa"/>
              <w:left w:w="16" w:type="dxa"/>
              <w:right w:w="16" w:type="dxa"/>
            </w:tcMar>
            <w:vAlign w:val="center"/>
          </w:tcPr>
          <w:p>
            <w:pPr>
              <w:pStyle w:val="57"/>
              <w:bidi w:val="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5"/>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4"/>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654" w:type="pct"/>
                  <w:noWrap w:val="0"/>
                  <w:vAlign w:val="center"/>
                </w:tcPr>
                <w:p>
                  <w:pPr>
                    <w:pStyle w:val="59"/>
                    <w:bidi w:val="0"/>
                    <w:rPr>
                      <w:rFonts w:hint="default"/>
                      <w:lang w:eastAsia="zh-CN"/>
                    </w:rPr>
                  </w:pPr>
                  <w:r>
                    <w:rPr>
                      <w:rFonts w:hint="default"/>
                      <w:lang w:eastAsia="zh-CN"/>
                    </w:rPr>
                    <w:t>规划内容</w:t>
                  </w:r>
                </w:p>
              </w:tc>
              <w:tc>
                <w:tcPr>
                  <w:tcW w:w="1874" w:type="pct"/>
                  <w:noWrap w:val="0"/>
                  <w:vAlign w:val="center"/>
                </w:tcPr>
                <w:p>
                  <w:pPr>
                    <w:pStyle w:val="59"/>
                    <w:bidi w:val="0"/>
                    <w:rPr>
                      <w:rFonts w:hint="default"/>
                      <w:lang w:eastAsia="zh-CN"/>
                    </w:rPr>
                  </w:pPr>
                  <w:r>
                    <w:rPr>
                      <w:rFonts w:hint="default"/>
                      <w:lang w:eastAsia="zh-CN"/>
                    </w:rPr>
                    <w:t>本项目情况</w:t>
                  </w:r>
                </w:p>
              </w:tc>
              <w:tc>
                <w:tcPr>
                  <w:tcW w:w="471" w:type="pct"/>
                  <w:noWrap w:val="0"/>
                  <w:vAlign w:val="center"/>
                </w:tcPr>
                <w:p>
                  <w:pPr>
                    <w:pStyle w:val="59"/>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2654"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工作主要针对</w:t>
                  </w:r>
                  <w:r>
                    <w:rPr>
                      <w:rFonts w:hint="eastAsia"/>
                      <w:i w:val="0"/>
                      <w:iCs w:val="0"/>
                      <w:color w:val="auto"/>
                      <w:highlight w:val="none"/>
                      <w:lang w:val="en-US" w:eastAsia="zh-CN"/>
                    </w:rPr>
                    <w:t>铜多金属矿</w:t>
                  </w:r>
                  <w:r>
                    <w:rPr>
                      <w:rFonts w:hint="default"/>
                      <w:color w:val="auto"/>
                    </w:rPr>
                    <w:t>进行勘查，</w:t>
                  </w:r>
                  <w:r>
                    <w:rPr>
                      <w:rFonts w:hint="eastAsia"/>
                      <w:color w:val="auto"/>
                      <w:lang w:val="en-US" w:eastAsia="zh-CN"/>
                    </w:rPr>
                    <w:t>属于重点勘查开采矿种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9"/>
                    <w:bidi w:val="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2654"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default"/>
                    </w:rPr>
                    <w:t>东昆仑—阿尔金黑色、有色、稀有及非金属勘查开发区。以铁、金、锑、稀有金属、萤石、石英岩等矿产资源勘查开发为主。加大若羌喀拉大湾—且末迪木那里克铁矿、若羌卡尔恰尔—皮亚孜达坂萤石矿、吐格曼—瓦石峡稀有金属矿、托盖里克—古尔嘎一带石英岩矿、民丰屈库勒克—黄羊岭金锑矿等矿区勘查开发，提交大中型矿产地8-10处，新增金资源量20吨、锑10万吨、锂20万吨、铍2000吨、萤石1000万吨、硅质原料8000万吨。尽快形成一批铁、金、锑、萤石、石英岩矿山产能，打造若羌国家级氟化工产业集群。</w:t>
                  </w:r>
                </w:p>
              </w:tc>
              <w:tc>
                <w:tcPr>
                  <w:tcW w:w="1874"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cs="Times New Roman"/>
                      <w:sz w:val="21"/>
                      <w:szCs w:val="21"/>
                      <w:highlight w:val="none"/>
                      <w:lang w:val="en-US" w:eastAsia="zh-CN"/>
                    </w:rPr>
                    <w:t>本项目为铜多金属矿勘探项目，主要目的是探明勘探区的资源储量，为后期的开发规划提供依据。符合《新疆维吾尔自治区矿产资源总体规划（2021—2025</w:t>
                  </w:r>
                  <w:r>
                    <w:rPr>
                      <w:rFonts w:hint="eastAsia"/>
                      <w:lang w:val="en-US" w:eastAsia="zh-CN"/>
                    </w:rPr>
                    <w:t>年</w:t>
                  </w:r>
                  <w:r>
                    <w:rPr>
                      <w:rFonts w:hint="eastAsia" w:cs="Times New Roman"/>
                      <w:sz w:val="21"/>
                      <w:szCs w:val="21"/>
                      <w:highlight w:val="none"/>
                      <w:lang w:val="en-US" w:eastAsia="zh-CN"/>
                    </w:rPr>
                    <w:t>）》中的相关要求。</w:t>
                  </w:r>
                </w:p>
              </w:tc>
              <w:tc>
                <w:tcPr>
                  <w:tcW w:w="471" w:type="pct"/>
                  <w:noWrap w:val="0"/>
                  <w:vAlign w:val="center"/>
                </w:tcPr>
                <w:p>
                  <w:pPr>
                    <w:pStyle w:val="59"/>
                    <w:bidi w:val="0"/>
                    <w:rPr>
                      <w:rFonts w:hint="default"/>
                    </w:rPr>
                  </w:pPr>
                  <w:r>
                    <w:rPr>
                      <w:rFonts w:hint="default"/>
                      <w:lang w:eastAsia="zh-CN"/>
                    </w:rPr>
                    <w:t>符合</w:t>
                  </w:r>
                </w:p>
              </w:tc>
            </w:tr>
          </w:tbl>
          <w:p>
            <w:pPr>
              <w:pStyle w:val="57"/>
              <w:bidi w:val="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5"/>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9"/>
                    <w:bidi w:val="0"/>
                    <w:rPr>
                      <w:rFonts w:hint="default"/>
                      <w:lang w:eastAsia="zh-CN"/>
                    </w:rPr>
                  </w:pPr>
                  <w:r>
                    <w:rPr>
                      <w:rFonts w:hint="default"/>
                      <w:lang w:eastAsia="zh-CN"/>
                    </w:rPr>
                    <w:t>规划内容</w:t>
                  </w:r>
                </w:p>
              </w:tc>
              <w:tc>
                <w:tcPr>
                  <w:tcW w:w="1870" w:type="pct"/>
                  <w:noWrap w:val="0"/>
                  <w:vAlign w:val="center"/>
                </w:tcPr>
                <w:p>
                  <w:pPr>
                    <w:pStyle w:val="59"/>
                    <w:bidi w:val="0"/>
                    <w:rPr>
                      <w:rFonts w:hint="default"/>
                      <w:lang w:eastAsia="zh-CN"/>
                    </w:rPr>
                  </w:pPr>
                  <w:r>
                    <w:rPr>
                      <w:rFonts w:hint="default"/>
                      <w:lang w:eastAsia="zh-CN"/>
                    </w:rPr>
                    <w:t>本项目情况</w:t>
                  </w:r>
                </w:p>
              </w:tc>
              <w:tc>
                <w:tcPr>
                  <w:tcW w:w="470" w:type="pct"/>
                  <w:noWrap w:val="0"/>
                  <w:vAlign w:val="center"/>
                </w:tcPr>
                <w:p>
                  <w:pPr>
                    <w:pStyle w:val="59"/>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严格管控场地及勘查各环节。在满足地质勘查目的的前提下，实现对地质环境的破坏最小化。项目施工时，剥离表土临时堆放，待项目结束后进行表土回填及植被恢复，尽可能地恢复施工迹地原有使用功能。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9"/>
                    <w:bidi w:val="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2658"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w:t>
                  </w:r>
                  <w:r>
                    <w:rPr>
                      <w:rFonts w:hint="eastAsia"/>
                      <w:lang w:eastAsia="zh-CN"/>
                    </w:rPr>
                    <w:t>、</w:t>
                  </w:r>
                  <w:r>
                    <w:rPr>
                      <w:rFonts w:hint="eastAsia"/>
                      <w:lang w:val="en-US" w:eastAsia="zh-CN"/>
                    </w:rPr>
                    <w:t>钻探</w:t>
                  </w:r>
                  <w:r>
                    <w:rPr>
                      <w:rFonts w:hint="default" w:ascii="Times New Roman" w:hAnsi="Times New Roman" w:eastAsia="宋体" w:cs="Times New Roman"/>
                      <w:sz w:val="21"/>
                      <w:szCs w:val="21"/>
                      <w:highlight w:val="none"/>
                    </w:rPr>
                    <w:t>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470" w:type="pct"/>
                  <w:noWrap w:val="0"/>
                  <w:vAlign w:val="center"/>
                </w:tcPr>
                <w:p>
                  <w:pPr>
                    <w:pStyle w:val="59"/>
                    <w:bidi w:val="0"/>
                    <w:rPr>
                      <w:rFonts w:hint="default"/>
                    </w:rPr>
                  </w:pPr>
                  <w:r>
                    <w:rPr>
                      <w:rFonts w:hint="default"/>
                      <w:lang w:eastAsia="zh-CN"/>
                    </w:rPr>
                    <w:t>符合</w:t>
                  </w:r>
                </w:p>
              </w:tc>
            </w:tr>
          </w:tbl>
          <w:p>
            <w:pPr>
              <w:pStyle w:val="57"/>
              <w:bidi w:val="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17"/>
              <w:gridCol w:w="2649"/>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9"/>
                    <w:bidi w:val="0"/>
                    <w:rPr>
                      <w:rFonts w:hint="default"/>
                      <w:lang w:eastAsia="zh-CN"/>
                    </w:rPr>
                  </w:pPr>
                  <w:r>
                    <w:rPr>
                      <w:rFonts w:hint="default"/>
                      <w:lang w:eastAsia="zh-CN"/>
                    </w:rPr>
                    <w:t>规划内容</w:t>
                  </w:r>
                </w:p>
              </w:tc>
              <w:tc>
                <w:tcPr>
                  <w:tcW w:w="1798" w:type="pct"/>
                  <w:noWrap w:val="0"/>
                  <w:vAlign w:val="center"/>
                </w:tcPr>
                <w:p>
                  <w:pPr>
                    <w:pStyle w:val="59"/>
                    <w:bidi w:val="0"/>
                    <w:rPr>
                      <w:rFonts w:hint="default"/>
                      <w:lang w:eastAsia="zh-CN"/>
                    </w:rPr>
                  </w:pPr>
                  <w:r>
                    <w:rPr>
                      <w:rFonts w:hint="default"/>
                      <w:lang w:eastAsia="zh-CN"/>
                    </w:rPr>
                    <w:t>本项目情况</w:t>
                  </w:r>
                </w:p>
              </w:tc>
              <w:tc>
                <w:tcPr>
                  <w:tcW w:w="473" w:type="pct"/>
                  <w:noWrap w:val="0"/>
                  <w:vAlign w:val="center"/>
                </w:tcPr>
                <w:p>
                  <w:pPr>
                    <w:pStyle w:val="59"/>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798"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default"/>
                      <w:lang w:val="en-US" w:eastAsia="zh-CN"/>
                    </w:rPr>
                    <w:t>不涉及生态保护红线</w:t>
                  </w:r>
                  <w:r>
                    <w:rPr>
                      <w:rFonts w:hint="default"/>
                      <w:lang w:eastAsia="zh-CN"/>
                    </w:rPr>
                    <w:t>，</w:t>
                  </w:r>
                  <w:r>
                    <w:rPr>
                      <w:rFonts w:hint="default"/>
                    </w:rPr>
                    <w:t>符合</w:t>
                  </w:r>
                  <w:r>
                    <w:rPr>
                      <w:rFonts w:hint="eastAsia"/>
                      <w:lang w:val="en-US" w:eastAsia="zh-CN"/>
                    </w:rPr>
                    <w:t>相关</w:t>
                  </w:r>
                  <w:r>
                    <w:rPr>
                      <w:rFonts w:hint="default"/>
                    </w:rPr>
                    <w:t>要求。</w:t>
                  </w:r>
                </w:p>
              </w:tc>
              <w:tc>
                <w:tcPr>
                  <w:tcW w:w="473" w:type="pct"/>
                  <w:noWrap w:val="0"/>
                  <w:vAlign w:val="center"/>
                </w:tcPr>
                <w:p>
                  <w:pPr>
                    <w:pStyle w:val="59"/>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项目工作人员在塔什店镇食宿，生活污水依托租住房屋配套的生活污水收集处理设施统一处置，项目区内不产生生活污水；钻井设备冲洗水沉淀后洒水降尘，泥浆废水循环使用，不外排。不与地表水体发生水力关系，不会影响区域水环境质量。</w:t>
                  </w:r>
                </w:p>
              </w:tc>
              <w:tc>
                <w:tcPr>
                  <w:tcW w:w="473" w:type="pct"/>
                  <w:noWrap w:val="0"/>
                  <w:vAlign w:val="center"/>
                </w:tcPr>
                <w:p>
                  <w:pPr>
                    <w:pStyle w:val="59"/>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18" w:type="dxa"/>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本项目已取得所在区域的矿产资源勘查许可证，证号：</w:t>
                  </w:r>
                  <w:r>
                    <w:rPr>
                      <w:rFonts w:hint="eastAsia"/>
                      <w:highlight w:val="none"/>
                      <w:lang w:val="en-US" w:eastAsia="zh-CN"/>
                    </w:rPr>
                    <w:t>T6500002008123010021160</w:t>
                  </w:r>
                  <w:r>
                    <w:rPr>
                      <w:rFonts w:hint="eastAsia"/>
                      <w:lang w:val="en-US" w:eastAsia="zh-CN"/>
                    </w:rPr>
                    <w:t>。项目不涉及生物多样性保护优先区域、国家重点生态功能区、国家重要生态功能区、水源涵养区、水土流失重点防治区等区域。符合审查意见相关要求。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9"/>
                    <w:bidi w:val="0"/>
                    <w:rPr>
                      <w:rFonts w:hint="eastAsia"/>
                      <w:lang w:val="en-US" w:eastAsia="zh-CN"/>
                    </w:rPr>
                  </w:pPr>
                  <w:r>
                    <w:rPr>
                      <w:rFonts w:hint="eastAsia"/>
                      <w:lang w:val="en-US" w:eastAsia="zh-CN"/>
                    </w:rPr>
                    <w:t>符合</w:t>
                  </w:r>
                </w:p>
              </w:tc>
            </w:tr>
          </w:tbl>
          <w:p>
            <w:pPr>
              <w:pStyle w:val="57"/>
              <w:bidi w:val="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84"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rPr>
            </w:pPr>
            <w:bookmarkStart w:id="2" w:name="_Hlk56690880"/>
            <w:r>
              <w:rPr>
                <w:rFonts w:hint="eastAsia" w:ascii="宋体" w:hAnsi="宋体" w:cs="宋体"/>
                <w:kern w:val="0"/>
                <w:szCs w:val="21"/>
              </w:rPr>
              <w:t>其他符合性分析</w:t>
            </w:r>
            <w:bookmarkEnd w:id="2"/>
          </w:p>
        </w:tc>
        <w:tc>
          <w:tcPr>
            <w:tcW w:w="7405" w:type="dxa"/>
            <w:gridSpan w:val="3"/>
            <w:noWrap w:val="0"/>
            <w:tcMar>
              <w:top w:w="16" w:type="dxa"/>
              <w:left w:w="16" w:type="dxa"/>
              <w:right w:w="16" w:type="dxa"/>
            </w:tcMar>
            <w:vAlign w:val="center"/>
          </w:tcPr>
          <w:p>
            <w:pPr>
              <w:pStyle w:val="51"/>
              <w:bidi w:val="0"/>
              <w:rPr>
                <w:rFonts w:hint="eastAsia"/>
                <w:lang w:val="en-US" w:eastAsia="zh-CN"/>
              </w:rPr>
            </w:pPr>
            <w:r>
              <w:rPr>
                <w:rFonts w:hint="eastAsia"/>
                <w:lang w:val="en-US" w:eastAsia="zh-CN"/>
              </w:rPr>
              <w:t>1.产业政策符合性分析</w:t>
            </w:r>
          </w:p>
          <w:p>
            <w:pPr>
              <w:pStyle w:val="49"/>
              <w:bidi w:val="0"/>
              <w:rPr>
                <w:rFonts w:hint="default"/>
                <w:lang w:val="en-US" w:eastAsia="zh-CN"/>
              </w:rPr>
            </w:pPr>
            <w:r>
              <w:rPr>
                <w:rFonts w:hint="default"/>
                <w:lang w:val="en-US" w:eastAsia="zh-CN"/>
              </w:rPr>
              <w:t>本项目</w:t>
            </w:r>
            <w:r>
              <w:rPr>
                <w:rFonts w:hint="eastAsia"/>
                <w:lang w:val="en-US" w:eastAsia="zh-CN"/>
              </w:rPr>
              <w:t>为</w:t>
            </w:r>
            <w:r>
              <w:rPr>
                <w:rFonts w:hint="default"/>
                <w:lang w:val="en-US" w:eastAsia="zh-CN"/>
              </w:rPr>
              <w:t>陆地矿产资源地质勘查</w:t>
            </w:r>
            <w:r>
              <w:rPr>
                <w:rFonts w:hint="eastAsia"/>
                <w:lang w:val="en-US" w:eastAsia="zh-CN"/>
              </w:rPr>
              <w:t>项目</w:t>
            </w:r>
            <w:r>
              <w:rPr>
                <w:rFonts w:hint="default"/>
                <w:lang w:val="en-US" w:eastAsia="zh-CN"/>
              </w:rPr>
              <w:t>，</w:t>
            </w:r>
            <w:r>
              <w:rPr>
                <w:rFonts w:hint="eastAsia"/>
                <w:lang w:val="en-US" w:eastAsia="zh-CN"/>
              </w:rPr>
              <w:t>已取得所在</w:t>
            </w:r>
            <w:r>
              <w:rPr>
                <w:rFonts w:hint="default"/>
                <w:lang w:val="en-US" w:eastAsia="zh-CN"/>
              </w:rPr>
              <w:t>区域的探矿权，探矿证号：</w:t>
            </w:r>
            <w:r>
              <w:rPr>
                <w:rFonts w:hint="eastAsia"/>
                <w:highlight w:val="none"/>
                <w:lang w:val="en-US" w:eastAsia="zh-CN"/>
              </w:rPr>
              <w:t>T6500002008123010021160</w:t>
            </w:r>
            <w:r>
              <w:rPr>
                <w:rFonts w:hint="eastAsia"/>
                <w:lang w:val="en-US" w:eastAsia="zh-CN"/>
              </w:rPr>
              <w:t>。根据《产业结构调整指导目录（2024年本）》，不属于鼓励类、限制类及淘汰类，为允许类。符合《产业结构调整指导目录（2024年本）》要求。本项目为铜多金属矿勘探项目，不属于《市场准入负面清单（2025年版）》的项目。</w:t>
            </w:r>
          </w:p>
          <w:p>
            <w:pPr>
              <w:pStyle w:val="49"/>
              <w:bidi w:val="0"/>
              <w:rPr>
                <w:rFonts w:hint="default"/>
                <w:lang w:val="en-US" w:eastAsia="zh-CN"/>
              </w:rPr>
            </w:pPr>
            <w:r>
              <w:rPr>
                <w:rFonts w:hint="eastAsia"/>
                <w:lang w:val="en-US" w:eastAsia="zh-CN"/>
              </w:rPr>
              <w:t>综上所述，本项目符合产业政策。</w:t>
            </w:r>
          </w:p>
          <w:p>
            <w:pPr>
              <w:pStyle w:val="51"/>
              <w:bidi w:val="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1"/>
              <w:bidi w:val="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49"/>
              <w:bidi w:val="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3"/>
              <w:bidi w:val="0"/>
              <w:rPr>
                <w:rFonts w:hint="default"/>
                <w:lang w:val="en-US" w:eastAsia="zh-CN"/>
              </w:rPr>
            </w:pPr>
            <w:r>
              <w:rPr>
                <w:rFonts w:hint="eastAsia"/>
                <w:lang w:val="en-US" w:eastAsia="zh-CN"/>
              </w:rPr>
              <w:t xml:space="preserve">表1-4    </w:t>
            </w:r>
            <w:r>
              <w:rPr>
                <w:rFonts w:hint="default"/>
                <w:lang w:val="en-US" w:eastAsia="zh-CN"/>
              </w:rPr>
              <w:t>与《新疆维吾尔自治区生态环境分区管控动态更新成果》符合性分析</w:t>
            </w:r>
          </w:p>
          <w:tbl>
            <w:tblPr>
              <w:tblStyle w:val="25"/>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691"/>
              <w:gridCol w:w="2526"/>
              <w:gridCol w:w="2770"/>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5"/>
                    <w:rPr>
                      <w:rFonts w:hint="default"/>
                      <w:lang w:val="en-US" w:eastAsia="zh-CN"/>
                    </w:rPr>
                  </w:pPr>
                  <w:r>
                    <w:rPr>
                      <w:rFonts w:hint="eastAsia"/>
                      <w:lang w:val="en-US" w:eastAsia="zh-CN"/>
                    </w:rPr>
                    <w:t>管控要求</w:t>
                  </w:r>
                </w:p>
              </w:tc>
              <w:tc>
                <w:tcPr>
                  <w:tcW w:w="1739" w:type="pct"/>
                  <w:noWrap w:val="0"/>
                  <w:vAlign w:val="center"/>
                </w:tcPr>
                <w:p>
                  <w:pPr>
                    <w:pStyle w:val="55"/>
                    <w:rPr>
                      <w:rFonts w:hint="default"/>
                      <w:lang w:val="en-US" w:eastAsia="zh-CN"/>
                    </w:rPr>
                  </w:pPr>
                  <w:r>
                    <w:rPr>
                      <w:rFonts w:hint="eastAsia"/>
                      <w:lang w:val="en-US" w:eastAsia="zh-CN"/>
                    </w:rPr>
                    <w:t>环境管理政策有关要求</w:t>
                  </w:r>
                </w:p>
              </w:tc>
              <w:tc>
                <w:tcPr>
                  <w:tcW w:w="1907" w:type="pct"/>
                  <w:noWrap w:val="0"/>
                  <w:vAlign w:val="center"/>
                </w:tcPr>
                <w:p>
                  <w:pPr>
                    <w:pStyle w:val="55"/>
                    <w:rPr>
                      <w:rFonts w:hint="default"/>
                      <w:lang w:val="en-US" w:eastAsia="zh-CN"/>
                    </w:rPr>
                  </w:pPr>
                  <w:r>
                    <w:rPr>
                      <w:rFonts w:hint="eastAsia"/>
                      <w:lang w:val="en-US" w:eastAsia="zh-CN"/>
                    </w:rPr>
                    <w:t>本项目情况</w:t>
                  </w:r>
                </w:p>
              </w:tc>
              <w:tc>
                <w:tcPr>
                  <w:tcW w:w="475" w:type="pct"/>
                  <w:noWrap w:val="0"/>
                  <w:vAlign w:val="center"/>
                </w:tcPr>
                <w:p>
                  <w:pPr>
                    <w:pStyle w:val="55"/>
                    <w:rPr>
                      <w:rFonts w:hint="eastAsia" w:eastAsia="宋体"/>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restart"/>
                  <w:noWrap w:val="0"/>
                  <w:vAlign w:val="center"/>
                </w:tcPr>
                <w:p>
                  <w:pPr>
                    <w:pStyle w:val="55"/>
                    <w:rPr>
                      <w:rFonts w:hint="default"/>
                      <w:lang w:val="en-US" w:eastAsia="zh-CN"/>
                    </w:rPr>
                  </w:pPr>
                  <w:r>
                    <w:rPr>
                      <w:rFonts w:hint="default"/>
                      <w:lang w:val="en-US" w:eastAsia="zh-CN"/>
                    </w:rPr>
                    <w:t>A1</w:t>
                  </w:r>
                  <w:r>
                    <w:rPr>
                      <w:rFonts w:hint="eastAsia"/>
                      <w:lang w:val="en-US" w:eastAsia="zh-CN"/>
                    </w:rPr>
                    <w:t>空间布局约束</w:t>
                  </w:r>
                </w:p>
              </w:tc>
              <w:tc>
                <w:tcPr>
                  <w:tcW w:w="476" w:type="pct"/>
                  <w:vMerge w:val="restart"/>
                  <w:noWrap w:val="0"/>
                  <w:vAlign w:val="center"/>
                </w:tcPr>
                <w:p>
                  <w:pPr>
                    <w:pStyle w:val="55"/>
                    <w:rPr>
                      <w:rFonts w:hint="eastAsia"/>
                    </w:rPr>
                  </w:pPr>
                  <w:r>
                    <w:rPr>
                      <w:rFonts w:hint="default"/>
                      <w:lang w:val="en-US" w:eastAsia="zh-CN"/>
                    </w:rPr>
                    <w:t>A1.1禁止开发建设的活动</w:t>
                  </w:r>
                </w:p>
              </w:tc>
              <w:tc>
                <w:tcPr>
                  <w:tcW w:w="1739"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907"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5" w:type="pct"/>
                  <w:noWrap w:val="0"/>
                  <w:vAlign w:val="center"/>
                </w:tcPr>
                <w:p>
                  <w:pPr>
                    <w:pStyle w:val="55"/>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continue"/>
                  <w:noWrap w:val="0"/>
                  <w:vAlign w:val="center"/>
                </w:tcPr>
                <w:p>
                  <w:pPr>
                    <w:pStyle w:val="55"/>
                    <w:rPr>
                      <w:rFonts w:hint="default"/>
                      <w:lang w:val="en-US" w:eastAsia="zh-CN"/>
                    </w:rPr>
                  </w:pPr>
                </w:p>
              </w:tc>
              <w:tc>
                <w:tcPr>
                  <w:tcW w:w="476" w:type="pct"/>
                  <w:vMerge w:val="continue"/>
                  <w:noWrap w:val="0"/>
                  <w:vAlign w:val="center"/>
                </w:tcPr>
                <w:p>
                  <w:pPr>
                    <w:pStyle w:val="55"/>
                    <w:rPr>
                      <w:rFonts w:hint="default"/>
                      <w:lang w:val="en-US" w:eastAsia="zh-CN"/>
                    </w:rPr>
                  </w:pPr>
                </w:p>
              </w:tc>
              <w:tc>
                <w:tcPr>
                  <w:tcW w:w="1739"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907"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位于新疆维吾尔自治区巴音郭楞蒙古自治州焉耆回族自治县，不涉及水源涵养区、地下水源、饮用水源、自然保护区、风景名胜区、森林公园、重要湿地及人群密集区等生态敏感区域，本项目为矿产资源勘查，不涉及煤炭、石油、天然气开发。符合相关要求。</w:t>
                  </w:r>
                </w:p>
              </w:tc>
              <w:tc>
                <w:tcPr>
                  <w:tcW w:w="475" w:type="pct"/>
                  <w:noWrap w:val="0"/>
                  <w:vAlign w:val="center"/>
                </w:tcPr>
                <w:p>
                  <w:pPr>
                    <w:pStyle w:val="55"/>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noWrap w:val="0"/>
                  <w:vAlign w:val="center"/>
                </w:tcPr>
                <w:p>
                  <w:pPr>
                    <w:pStyle w:val="55"/>
                    <w:rPr>
                      <w:rFonts w:hint="default"/>
                      <w:lang w:val="en-US" w:eastAsia="zh-CN"/>
                    </w:rPr>
                  </w:pPr>
                  <w:r>
                    <w:rPr>
                      <w:rFonts w:hint="default"/>
                      <w:lang w:val="en-US" w:eastAsia="zh-CN"/>
                    </w:rPr>
                    <w:t>A2污染物排放管控</w:t>
                  </w:r>
                </w:p>
              </w:tc>
              <w:tc>
                <w:tcPr>
                  <w:tcW w:w="476" w:type="pct"/>
                  <w:noWrap w:val="0"/>
                  <w:vAlign w:val="center"/>
                </w:tcPr>
                <w:p>
                  <w:pPr>
                    <w:pStyle w:val="55"/>
                    <w:rPr>
                      <w:rFonts w:hint="eastAsia"/>
                    </w:rPr>
                  </w:pPr>
                  <w:r>
                    <w:rPr>
                      <w:rFonts w:hint="default"/>
                      <w:lang w:val="en-US" w:eastAsia="zh-CN"/>
                    </w:rPr>
                    <w:t>A2</w:t>
                  </w:r>
                  <w:r>
                    <w:rPr>
                      <w:rFonts w:hint="eastAsia"/>
                      <w:lang w:val="en-US" w:eastAsia="zh-CN"/>
                    </w:rPr>
                    <w:t>.2污染控制措施要求</w:t>
                  </w:r>
                </w:p>
              </w:tc>
              <w:tc>
                <w:tcPr>
                  <w:tcW w:w="1739"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907"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项目用水定期从</w:t>
                  </w:r>
                  <w:r>
                    <w:rPr>
                      <w:rFonts w:hint="default"/>
                      <w:highlight w:val="none"/>
                      <w:lang w:val="en-US" w:eastAsia="zh-CN"/>
                    </w:rPr>
                    <w:t>附近</w:t>
                  </w:r>
                  <w:r>
                    <w:rPr>
                      <w:rFonts w:hint="eastAsia"/>
                      <w:highlight w:val="none"/>
                      <w:lang w:val="en-US" w:eastAsia="zh-CN"/>
                    </w:rPr>
                    <w:t>乡镇</w:t>
                  </w:r>
                  <w:r>
                    <w:rPr>
                      <w:rFonts w:hint="default"/>
                      <w:lang w:val="en-US" w:eastAsia="zh-CN"/>
                    </w:rPr>
                    <w:t>拉运。项目采用较为先进的地质勘查技术，勘探过程中水耗不超过国家要求。生活污水依托租住房屋配套的生活污水收集处理设施统一处置，项目区内不产生生活污水；钻井设备冲洗水沉淀后洒水降尘，</w:t>
                  </w:r>
                  <w:r>
                    <w:rPr>
                      <w:rFonts w:hint="eastAsia"/>
                      <w:lang w:val="en-US" w:eastAsia="zh-CN"/>
                    </w:rPr>
                    <w:t>泥浆废水循环使用，</w:t>
                  </w:r>
                  <w:r>
                    <w:rPr>
                      <w:rFonts w:hint="default"/>
                      <w:lang w:val="en-US" w:eastAsia="zh-CN"/>
                    </w:rPr>
                    <w:t>不会影响区域水环境质量。</w:t>
                  </w:r>
                  <w:r>
                    <w:rPr>
                      <w:rFonts w:hint="eastAsia"/>
                      <w:lang w:val="en-US" w:eastAsia="zh-CN"/>
                    </w:rPr>
                    <w:t>符合相关要求</w:t>
                  </w:r>
                  <w:r>
                    <w:rPr>
                      <w:rFonts w:hint="default"/>
                      <w:lang w:val="en-US" w:eastAsia="zh-CN"/>
                    </w:rPr>
                    <w:t>。</w:t>
                  </w:r>
                </w:p>
              </w:tc>
              <w:tc>
                <w:tcPr>
                  <w:tcW w:w="475" w:type="pct"/>
                  <w:noWrap w:val="0"/>
                  <w:vAlign w:val="center"/>
                </w:tcPr>
                <w:p>
                  <w:pPr>
                    <w:pStyle w:val="55"/>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5"/>
                    <w:rPr>
                      <w:rFonts w:hint="default"/>
                      <w:lang w:val="en-US" w:eastAsia="zh-CN"/>
                    </w:rPr>
                  </w:pPr>
                  <w:r>
                    <w:rPr>
                      <w:rFonts w:hint="eastAsia"/>
                      <w:lang w:val="en-US" w:eastAsia="zh-CN"/>
                    </w:rPr>
                    <w:t>A3环境风险防控</w:t>
                  </w:r>
                </w:p>
              </w:tc>
              <w:tc>
                <w:tcPr>
                  <w:tcW w:w="476" w:type="pct"/>
                  <w:noWrap w:val="0"/>
                  <w:vAlign w:val="center"/>
                </w:tcPr>
                <w:p>
                  <w:pPr>
                    <w:pStyle w:val="55"/>
                    <w:rPr>
                      <w:rFonts w:hint="default"/>
                      <w:lang w:val="en-US" w:eastAsia="zh-CN"/>
                    </w:rPr>
                  </w:pPr>
                  <w:r>
                    <w:rPr>
                      <w:rFonts w:hint="eastAsia"/>
                      <w:lang w:val="en-US" w:eastAsia="zh-CN"/>
                    </w:rPr>
                    <w:t>A3.2联防联控要求</w:t>
                  </w:r>
                </w:p>
              </w:tc>
              <w:tc>
                <w:tcPr>
                  <w:tcW w:w="1739"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907"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5" w:type="pct"/>
                  <w:noWrap w:val="0"/>
                  <w:vAlign w:val="center"/>
                </w:tcPr>
                <w:p>
                  <w:pPr>
                    <w:pStyle w:val="55"/>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5"/>
                    <w:rPr>
                      <w:rFonts w:hint="default"/>
                      <w:lang w:val="en-US" w:eastAsia="zh-CN"/>
                    </w:rPr>
                  </w:pPr>
                  <w:r>
                    <w:rPr>
                      <w:rFonts w:hint="eastAsia"/>
                      <w:lang w:val="en-US" w:eastAsia="zh-CN"/>
                    </w:rPr>
                    <w:t>A4资源利用要求</w:t>
                  </w:r>
                </w:p>
              </w:tc>
              <w:tc>
                <w:tcPr>
                  <w:tcW w:w="476" w:type="pct"/>
                  <w:noWrap w:val="0"/>
                  <w:vAlign w:val="center"/>
                </w:tcPr>
                <w:p>
                  <w:pPr>
                    <w:pStyle w:val="55"/>
                    <w:rPr>
                      <w:rFonts w:hint="default"/>
                      <w:lang w:val="en-US" w:eastAsia="zh-CN"/>
                    </w:rPr>
                  </w:pPr>
                  <w:r>
                    <w:rPr>
                      <w:rFonts w:hint="eastAsia"/>
                      <w:lang w:val="en-US" w:eastAsia="zh-CN"/>
                    </w:rPr>
                    <w:t>A4.5资源综合利用</w:t>
                  </w:r>
                </w:p>
              </w:tc>
              <w:tc>
                <w:tcPr>
                  <w:tcW w:w="1739"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907" w:type="pct"/>
                  <w:noWrap w:val="0"/>
                  <w:vAlign w:val="center"/>
                </w:tcPr>
                <w:p>
                  <w:pPr>
                    <w:pStyle w:val="55"/>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本项目开挖产生的土石方在勘探期结束后全部回填至开挖地。</w:t>
                  </w:r>
                  <w:r>
                    <w:rPr>
                      <w:rFonts w:hint="eastAsia"/>
                      <w:highlight w:val="none"/>
                      <w:lang w:val="en-US" w:eastAsia="zh-CN"/>
                    </w:rPr>
                    <w:t>泥浆固化后交由一般固废处置单位统一处理，岩屑用于钻孔回填，沉淀池沉渣交由一般固废处置单位统一处理；生活垃圾配置带盖密封分类收集桶，每日随车带回交环卫部门收集处理。</w:t>
                  </w:r>
                </w:p>
              </w:tc>
              <w:tc>
                <w:tcPr>
                  <w:tcW w:w="475" w:type="pct"/>
                  <w:noWrap w:val="0"/>
                  <w:vAlign w:val="center"/>
                </w:tcPr>
                <w:p>
                  <w:pPr>
                    <w:pStyle w:val="55"/>
                    <w:rPr>
                      <w:rFonts w:hint="default"/>
                      <w:lang w:val="en-US" w:eastAsia="zh-CN"/>
                    </w:rPr>
                  </w:pPr>
                  <w:r>
                    <w:rPr>
                      <w:rFonts w:hint="eastAsia"/>
                      <w:lang w:val="en-US" w:eastAsia="zh-CN"/>
                    </w:rPr>
                    <w:t>符合</w:t>
                  </w:r>
                </w:p>
              </w:tc>
            </w:tr>
          </w:tbl>
          <w:p>
            <w:pPr>
              <w:pStyle w:val="51"/>
              <w:bidi w:val="0"/>
              <w:rPr>
                <w:rFonts w:hint="default"/>
                <w:lang w:val="en-US" w:eastAsia="zh-CN"/>
              </w:rPr>
            </w:pPr>
            <w:r>
              <w:rPr>
                <w:rFonts w:hint="eastAsia"/>
                <w:lang w:val="en-US" w:eastAsia="zh-CN"/>
              </w:rPr>
              <w:t>2.2《巴音郭楞蒙古自治州“三线一单”生态环境分区管控动态更新成果（2023年）》符合性分析</w:t>
            </w:r>
          </w:p>
          <w:p>
            <w:pPr>
              <w:pStyle w:val="49"/>
              <w:bidi w:val="0"/>
              <w:rPr>
                <w:rFonts w:hint="eastAsia"/>
                <w:lang w:val="en-US" w:eastAsia="zh-CN"/>
              </w:rPr>
            </w:pPr>
            <w:r>
              <w:rPr>
                <w:rFonts w:hint="eastAsia"/>
                <w:lang w:val="en-US" w:eastAsia="zh-CN"/>
              </w:rPr>
              <w:t>本工程建设地点位于新疆维吾尔自治区焉耆回族自治县</w:t>
            </w:r>
            <w:r>
              <w:rPr>
                <w:rFonts w:hint="eastAsia"/>
                <w:lang w:eastAsia="zh-CN"/>
              </w:rPr>
              <w:t>，</w:t>
            </w:r>
            <w:r>
              <w:rPr>
                <w:rFonts w:hint="eastAsia"/>
                <w:lang w:val="en-US" w:eastAsia="zh-CN"/>
              </w:rPr>
              <w:t>根据《巴音郭楞蒙古自治州“三线一单”生态环境分区管控动态更新成果（2023年）》（巴政办发〔2024〕32号），环境管控单元管控要求详见下表。</w:t>
            </w:r>
          </w:p>
          <w:p>
            <w:pPr>
              <w:pStyle w:val="57"/>
              <w:bidi w:val="0"/>
              <w:rPr>
                <w:rFonts w:hint="default"/>
                <w:highlight w:val="none"/>
                <w:lang w:val="en-US" w:eastAsia="zh-CN"/>
              </w:rPr>
            </w:pPr>
            <w:r>
              <w:rPr>
                <w:rFonts w:hint="eastAsia"/>
                <w:highlight w:val="none"/>
                <w:lang w:val="en-US" w:eastAsia="zh-CN"/>
              </w:rPr>
              <w:t>表1-5    《巴音郭楞蒙古自治州生态环境准入清单》符合性分析</w:t>
            </w:r>
          </w:p>
          <w:tbl>
            <w:tblPr>
              <w:tblStyle w:val="25"/>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759"/>
              <w:gridCol w:w="2617"/>
              <w:gridCol w:w="2846"/>
              <w:gridCol w:w="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2" w:type="dxa"/>
                  <w:gridSpan w:val="2"/>
                  <w:noWrap w:val="0"/>
                  <w:vAlign w:val="center"/>
                </w:tcPr>
                <w:p>
                  <w:pPr>
                    <w:pStyle w:val="59"/>
                    <w:bidi w:val="0"/>
                    <w:rPr>
                      <w:rFonts w:hint="default"/>
                      <w:lang w:val="en-US" w:eastAsia="zh-CN"/>
                    </w:rPr>
                  </w:pPr>
                  <w:r>
                    <w:rPr>
                      <w:rFonts w:hint="default"/>
                      <w:lang w:val="en-US" w:eastAsia="zh-CN"/>
                    </w:rPr>
                    <w:t>环境管控单元编码</w:t>
                  </w:r>
                </w:p>
              </w:tc>
              <w:tc>
                <w:tcPr>
                  <w:tcW w:w="2619" w:type="dxa"/>
                  <w:noWrap w:val="0"/>
                  <w:vAlign w:val="center"/>
                </w:tcPr>
                <w:p>
                  <w:pPr>
                    <w:pStyle w:val="59"/>
                    <w:bidi w:val="0"/>
                    <w:rPr>
                      <w:rFonts w:hint="default"/>
                      <w:lang w:val="en-US" w:eastAsia="zh-CN"/>
                    </w:rPr>
                  </w:pPr>
                  <w:r>
                    <w:rPr>
                      <w:rFonts w:hint="default"/>
                      <w:lang w:val="en-US" w:eastAsia="zh-CN"/>
                    </w:rPr>
                    <w:t>ZH</w:t>
                  </w:r>
                  <w:r>
                    <w:rPr>
                      <w:rFonts w:hint="eastAsia"/>
                      <w:lang w:val="en-US" w:eastAsia="zh-CN"/>
                    </w:rPr>
                    <w:t>65282630001</w:t>
                  </w:r>
                </w:p>
              </w:tc>
              <w:tc>
                <w:tcPr>
                  <w:tcW w:w="2850" w:type="dxa"/>
                  <w:vMerge w:val="restart"/>
                  <w:noWrap w:val="0"/>
                  <w:vAlign w:val="center"/>
                </w:tcPr>
                <w:p>
                  <w:pPr>
                    <w:pStyle w:val="59"/>
                    <w:bidi w:val="0"/>
                    <w:rPr>
                      <w:rFonts w:hint="default"/>
                    </w:rPr>
                  </w:pPr>
                  <w:r>
                    <w:rPr>
                      <w:rFonts w:hint="eastAsia"/>
                      <w:lang w:val="en-US" w:eastAsia="zh-CN"/>
                    </w:rPr>
                    <w:t>本工程情况</w:t>
                  </w:r>
                </w:p>
              </w:tc>
              <w:tc>
                <w:tcPr>
                  <w:tcW w:w="419" w:type="dxa"/>
                  <w:vMerge w:val="restart"/>
                  <w:noWrap w:val="0"/>
                  <w:vAlign w:val="center"/>
                </w:tcPr>
                <w:p>
                  <w:pPr>
                    <w:pStyle w:val="59"/>
                    <w:bidi w:val="0"/>
                    <w:rPr>
                      <w:rFonts w:hint="eastAsia"/>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9"/>
                    <w:bidi w:val="0"/>
                    <w:rPr>
                      <w:rFonts w:hint="default"/>
                      <w:lang w:val="en-US" w:eastAsia="zh-CN"/>
                    </w:rPr>
                  </w:pPr>
                  <w:r>
                    <w:rPr>
                      <w:rFonts w:hint="eastAsia"/>
                      <w:lang w:val="en-US" w:eastAsia="zh-CN"/>
                    </w:rPr>
                    <w:t>环境管控单元名称</w:t>
                  </w:r>
                </w:p>
              </w:tc>
              <w:tc>
                <w:tcPr>
                  <w:tcW w:w="2619" w:type="dxa"/>
                  <w:noWrap w:val="0"/>
                  <w:vAlign w:val="center"/>
                </w:tcPr>
                <w:p>
                  <w:pPr>
                    <w:pStyle w:val="59"/>
                    <w:bidi w:val="0"/>
                    <w:rPr>
                      <w:rFonts w:hint="eastAsia"/>
                      <w:lang w:val="en-US" w:eastAsia="zh-CN"/>
                    </w:rPr>
                  </w:pPr>
                  <w:r>
                    <w:rPr>
                      <w:rFonts w:hint="eastAsia"/>
                      <w:lang w:eastAsia="zh-CN"/>
                    </w:rPr>
                    <w:t>焉耆县</w:t>
                  </w:r>
                  <w:r>
                    <w:rPr>
                      <w:rFonts w:hint="eastAsia"/>
                    </w:rPr>
                    <w:t>一般管控区</w:t>
                  </w:r>
                </w:p>
              </w:tc>
              <w:tc>
                <w:tcPr>
                  <w:tcW w:w="2850" w:type="dxa"/>
                  <w:vMerge w:val="continue"/>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rPr>
                  </w:pPr>
                </w:p>
              </w:tc>
              <w:tc>
                <w:tcPr>
                  <w:tcW w:w="419" w:type="dxa"/>
                  <w:vMerge w:val="continue"/>
                  <w:noWrap w:val="0"/>
                  <w:vAlign w:val="center"/>
                </w:tcPr>
                <w:p>
                  <w:pPr>
                    <w:pStyle w:val="59"/>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9"/>
                    <w:bidi w:val="0"/>
                    <w:rPr>
                      <w:rFonts w:hint="default"/>
                      <w:lang w:val="en-US" w:eastAsia="zh-CN"/>
                    </w:rPr>
                  </w:pPr>
                  <w:r>
                    <w:t>环境管控单元类别</w:t>
                  </w:r>
                </w:p>
              </w:tc>
              <w:tc>
                <w:tcPr>
                  <w:tcW w:w="2619" w:type="dxa"/>
                  <w:noWrap w:val="0"/>
                  <w:vAlign w:val="center"/>
                </w:tcPr>
                <w:p>
                  <w:pPr>
                    <w:pStyle w:val="59"/>
                    <w:bidi w:val="0"/>
                    <w:rPr>
                      <w:rFonts w:hint="eastAsia"/>
                      <w:lang w:val="en-US" w:eastAsia="zh-CN"/>
                    </w:rPr>
                  </w:pPr>
                  <w:r>
                    <w:rPr>
                      <w:rFonts w:hint="default"/>
                      <w:lang w:val="en-US" w:eastAsia="zh-CN"/>
                    </w:rPr>
                    <w:t>一般管控单元</w:t>
                  </w:r>
                </w:p>
              </w:tc>
              <w:tc>
                <w:tcPr>
                  <w:tcW w:w="2850" w:type="dxa"/>
                  <w:vMerge w:val="continue"/>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rPr>
                  </w:pPr>
                </w:p>
              </w:tc>
              <w:tc>
                <w:tcPr>
                  <w:tcW w:w="419" w:type="dxa"/>
                  <w:vMerge w:val="continue"/>
                  <w:noWrap w:val="0"/>
                  <w:vAlign w:val="center"/>
                </w:tcPr>
                <w:p>
                  <w:pPr>
                    <w:pStyle w:val="59"/>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restart"/>
                  <w:noWrap w:val="0"/>
                  <w:vAlign w:val="center"/>
                </w:tcPr>
                <w:p>
                  <w:pPr>
                    <w:pStyle w:val="59"/>
                    <w:bidi w:val="0"/>
                  </w:pPr>
                  <w:r>
                    <w:rPr>
                      <w:rFonts w:hint="eastAsia"/>
                      <w:lang w:val="en-US" w:eastAsia="zh-CN"/>
                    </w:rPr>
                    <w:t>管控要求</w:t>
                  </w:r>
                </w:p>
              </w:tc>
              <w:tc>
                <w:tcPr>
                  <w:tcW w:w="760" w:type="dxa"/>
                  <w:shd w:val="clear" w:color="auto" w:fill="auto"/>
                  <w:noWrap w:val="0"/>
                  <w:vAlign w:val="center"/>
                </w:tcPr>
                <w:p>
                  <w:pPr>
                    <w:pStyle w:val="59"/>
                    <w:bidi w:val="0"/>
                    <w:rPr>
                      <w:rFonts w:hint="eastAsia" w:ascii="Times New Roman" w:hAnsi="Times New Roman" w:eastAsia="宋体" w:cs="Times New Roman"/>
                      <w:kern w:val="2"/>
                      <w:sz w:val="21"/>
                      <w:szCs w:val="21"/>
                      <w:lang w:val="en-US" w:eastAsia="zh-CN" w:bidi="ar-SA"/>
                    </w:rPr>
                  </w:pPr>
                  <w:r>
                    <w:rPr>
                      <w:rFonts w:hint="default"/>
                      <w:lang w:val="en-US" w:eastAsia="zh-CN"/>
                    </w:rPr>
                    <w:t>空间布局约束</w:t>
                  </w:r>
                </w:p>
              </w:tc>
              <w:tc>
                <w:tcPr>
                  <w:tcW w:w="2619" w:type="dxa"/>
                  <w:shd w:val="clear" w:color="auto" w:fill="auto"/>
                  <w:noWrap w:val="0"/>
                  <w:vAlign w:val="center"/>
                </w:tcPr>
                <w:p>
                  <w:pPr>
                    <w:pStyle w:val="59"/>
                    <w:keepNext w:val="0"/>
                    <w:keepLines w:val="0"/>
                    <w:pageBreakBefore w:val="0"/>
                    <w:widowControl w:val="0"/>
                    <w:numPr>
                      <w:ilvl w:val="0"/>
                      <w:numId w:val="0"/>
                    </w:numPr>
                    <w:kinsoku/>
                    <w:wordWrap w:val="0"/>
                    <w:overflowPunct/>
                    <w:topLinePunct w:val="0"/>
                    <w:autoSpaceDE/>
                    <w:autoSpaceDN/>
                    <w:bidi w:val="0"/>
                    <w:adjustRightInd/>
                    <w:snapToGrid/>
                    <w:jc w:val="both"/>
                    <w:textAlignment w:val="auto"/>
                    <w:rPr>
                      <w:rFonts w:hint="default"/>
                    </w:rPr>
                  </w:pPr>
                  <w:r>
                    <w:rPr>
                      <w:rFonts w:hint="eastAsia"/>
                      <w:lang w:val="en-US" w:eastAsia="zh-CN"/>
                    </w:rPr>
                    <w:t>1.</w:t>
                  </w:r>
                  <w:r>
                    <w:rPr>
                      <w:rFonts w:hint="default"/>
                    </w:rPr>
                    <w:t>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pStyle w:val="59"/>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jc w:val="both"/>
                    <w:textAlignment w:val="auto"/>
                    <w:rPr>
                      <w:rFonts w:hint="eastAsia"/>
                      <w:lang w:val="en-US" w:eastAsia="zh-CN"/>
                    </w:rPr>
                  </w:pPr>
                  <w:r>
                    <w:rPr>
                      <w:rFonts w:hint="eastAsia"/>
                      <w:lang w:val="en-US" w:eastAsia="zh-CN"/>
                    </w:rPr>
                    <w:t xml:space="preserve">2.禁止向沙漠、滩涂、盐碱地、沼泽地等非法排污、倾倒有毒有害物质。 </w:t>
                  </w:r>
                </w:p>
                <w:p>
                  <w:pPr>
                    <w:pStyle w:val="59"/>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3.禁止利用渗坑、裂隙、溶洞或者采用稀释等方法处置危险废物</w:t>
                  </w:r>
                  <w:r>
                    <w:rPr>
                      <w:rFonts w:hint="default"/>
                    </w:rPr>
                    <w:t>。</w:t>
                  </w:r>
                </w:p>
              </w:tc>
              <w:tc>
                <w:tcPr>
                  <w:tcW w:w="2850"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highlight w:val="none"/>
                      <w:lang w:val="en-US" w:eastAsia="zh-CN"/>
                    </w:rPr>
                  </w:pPr>
                  <w:r>
                    <w:rPr>
                      <w:rFonts w:hint="eastAsia"/>
                      <w:lang w:val="en-US" w:eastAsia="zh-CN"/>
                    </w:rPr>
                    <w:t>本项目不属于矿山开采，仅为矿产资源勘查项目，</w:t>
                  </w:r>
                  <w:r>
                    <w:rPr>
                      <w:rFonts w:hint="eastAsia"/>
                      <w:lang w:eastAsia="zh-CN"/>
                    </w:rPr>
                    <w:t>已取得所在区域的探矿权，探矿证号：</w:t>
                  </w:r>
                  <w:r>
                    <w:rPr>
                      <w:rFonts w:hint="eastAsia"/>
                      <w:highlight w:val="none"/>
                      <w:lang w:val="en-US" w:eastAsia="zh-CN"/>
                    </w:rPr>
                    <w:t>T6500002008123010021160</w:t>
                  </w:r>
                  <w:r>
                    <w:rPr>
                      <w:rFonts w:hint="eastAsia"/>
                      <w:highlight w:val="none"/>
                      <w:lang w:eastAsia="zh-CN"/>
                    </w:rPr>
                    <w:t>。</w:t>
                  </w:r>
                  <w:r>
                    <w:rPr>
                      <w:rFonts w:hint="eastAsia"/>
                      <w:highlight w:val="none"/>
                      <w:lang w:val="en-US" w:eastAsia="zh-CN"/>
                    </w:rPr>
                    <w:t>不涉及污染环境、破坏生态、乱采滥挖等违法行为，且本项目不涉及有毒有害物质。车辆和设备定期在塔什店镇保养，现场不产生废润滑油等各类危险废物。</w:t>
                  </w:r>
                </w:p>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highlight w:val="none"/>
                      <w:lang w:val="en-US" w:eastAsia="zh-CN"/>
                    </w:rPr>
                    <w:t>所有污染物均合规处置</w:t>
                  </w:r>
                  <w:r>
                    <w:rPr>
                      <w:rFonts w:hint="eastAsia"/>
                      <w:highlight w:val="none"/>
                      <w:lang w:eastAsia="zh-CN"/>
                    </w:rPr>
                    <w:t>。</w:t>
                  </w:r>
                  <w:r>
                    <w:rPr>
                      <w:rFonts w:hint="eastAsia"/>
                      <w:lang w:eastAsia="zh-CN"/>
                    </w:rPr>
                    <w:t>符合该管控单元空间布局约束要求。</w:t>
                  </w:r>
                </w:p>
              </w:tc>
              <w:tc>
                <w:tcPr>
                  <w:tcW w:w="419" w:type="dxa"/>
                  <w:noWrap w:val="0"/>
                  <w:vAlign w:val="center"/>
                </w:tcPr>
                <w:p>
                  <w:pPr>
                    <w:pStyle w:val="59"/>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9"/>
                    <w:bidi w:val="0"/>
                  </w:pPr>
                </w:p>
              </w:tc>
              <w:tc>
                <w:tcPr>
                  <w:tcW w:w="760" w:type="dxa"/>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default"/>
                      <w:lang w:val="en-US" w:eastAsia="zh-CN"/>
                    </w:rPr>
                    <w:t>污染物排放管控</w:t>
                  </w:r>
                </w:p>
              </w:tc>
              <w:tc>
                <w:tcPr>
                  <w:tcW w:w="2619"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1.对化学品生产企业、工业集聚区、尾矿库、矿山开采区、危险废物处置场、垃圾填埋场等地下水污染源及周边区域，逐步开展地下水环境状况调查评估，加强风险管控。</w:t>
                  </w:r>
                </w:p>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2.严控土壤重金属污染，加强油（气）田开发土壤污染防治，以历史遗留工业企业污染场地为重点，开展土壤污染风险管控与修复工程。</w:t>
                  </w:r>
                </w:p>
              </w:tc>
              <w:tc>
                <w:tcPr>
                  <w:tcW w:w="2850"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本项目现场不设固定储油点，施工所需油品定期从塔什店镇统一补给</w:t>
                  </w:r>
                  <w:r>
                    <w:rPr>
                      <w:rFonts w:hint="eastAsia"/>
                      <w:lang w:eastAsia="zh-CN"/>
                    </w:rPr>
                    <w:t>，</w:t>
                  </w:r>
                  <w:r>
                    <w:rPr>
                      <w:rFonts w:hint="eastAsia" w:cs="Times New Roman"/>
                      <w:kern w:val="2"/>
                      <w:sz w:val="21"/>
                      <w:szCs w:val="21"/>
                      <w:lang w:val="en-US" w:eastAsia="zh-CN" w:bidi="ar-SA"/>
                    </w:rPr>
                    <w:t>场内无油品长期贮存、堆放环节，从源头切断油品渗漏污染地下水的途径，不存在地下水污染风险。</w:t>
                  </w:r>
                </w:p>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本项目为矿产资源勘查项目，不涉及土壤重金属污染。</w:t>
                  </w:r>
                </w:p>
              </w:tc>
              <w:tc>
                <w:tcPr>
                  <w:tcW w:w="419" w:type="dxa"/>
                  <w:noWrap w:val="0"/>
                  <w:vAlign w:val="center"/>
                </w:tcPr>
                <w:p>
                  <w:pPr>
                    <w:pStyle w:val="59"/>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9"/>
                    <w:bidi w:val="0"/>
                  </w:pPr>
                </w:p>
              </w:tc>
              <w:tc>
                <w:tcPr>
                  <w:tcW w:w="760" w:type="dxa"/>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default"/>
                      <w:lang w:val="en-US" w:eastAsia="zh-CN"/>
                    </w:rPr>
                    <w:t>环境风险防控</w:t>
                  </w:r>
                </w:p>
              </w:tc>
              <w:tc>
                <w:tcPr>
                  <w:tcW w:w="2619"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1.加强对矿山、油田等矿产资源开采影响区域内未利用地的环境监管，发现土壤污染问题的，要坚决查处，并及时督促有关单位采取有效防治措施消除或减轻污染。</w:t>
                  </w:r>
                </w:p>
              </w:tc>
              <w:tc>
                <w:tcPr>
                  <w:tcW w:w="2850"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本项目不涉及矿山、油田等矿产资源开采。</w:t>
                  </w:r>
                </w:p>
              </w:tc>
              <w:tc>
                <w:tcPr>
                  <w:tcW w:w="419" w:type="dxa"/>
                  <w:noWrap w:val="0"/>
                  <w:vAlign w:val="center"/>
                </w:tcPr>
                <w:p>
                  <w:pPr>
                    <w:pStyle w:val="59"/>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9"/>
                    <w:bidi w:val="0"/>
                  </w:pPr>
                </w:p>
              </w:tc>
              <w:tc>
                <w:tcPr>
                  <w:tcW w:w="760" w:type="dxa"/>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default"/>
                      <w:lang w:val="en-US" w:eastAsia="zh-CN"/>
                    </w:rPr>
                    <w:t>资源利用效率</w:t>
                  </w:r>
                </w:p>
              </w:tc>
              <w:tc>
                <w:tcPr>
                  <w:tcW w:w="2619"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 xml:space="preserve">1.全面推进秸秆综合利用，鼓励秸秆资源化、饲料化、肥料化利用，推动秸秆还田与离田收集。 </w:t>
                  </w:r>
                </w:p>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 xml:space="preserve">2.减少化肥农药使用量，增加有机肥使用量，实现化肥农药使用量负增长。 </w:t>
                  </w:r>
                </w:p>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3.推广渠道防渗、管道输水、喷灌、微灌等节水灌溉技术，完善灌溉用水计量设施。推进规模化高效节水灌溉，推广农作物节水抗旱技术。建立灌区墒情测报网络，提高农业用水效率，降低农业用水比重。</w:t>
                  </w:r>
                </w:p>
              </w:tc>
              <w:tc>
                <w:tcPr>
                  <w:tcW w:w="2850" w:type="dxa"/>
                  <w:shd w:val="clear" w:color="auto" w:fill="auto"/>
                  <w:noWrap w:val="0"/>
                  <w:vAlign w:val="center"/>
                </w:tcPr>
                <w:p>
                  <w:pPr>
                    <w:pStyle w:val="59"/>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rPr>
                    <w:t>本项目</w:t>
                  </w:r>
                  <w:r>
                    <w:rPr>
                      <w:rFonts w:hint="default"/>
                      <w:lang w:val="en-US" w:eastAsia="zh-CN"/>
                    </w:rPr>
                    <w:t>开挖产生</w:t>
                  </w:r>
                  <w:r>
                    <w:rPr>
                      <w:rFonts w:hint="eastAsia"/>
                      <w:lang w:val="en-US" w:eastAsia="zh-CN"/>
                    </w:rPr>
                    <w:t>的</w:t>
                  </w:r>
                  <w:r>
                    <w:rPr>
                      <w:rFonts w:hint="default"/>
                      <w:lang w:val="en-US" w:eastAsia="zh-CN"/>
                    </w:rPr>
                    <w:t>土石方在勘</w:t>
                  </w:r>
                  <w:r>
                    <w:rPr>
                      <w:rFonts w:hint="eastAsia"/>
                      <w:lang w:val="en-US" w:eastAsia="zh-CN"/>
                    </w:rPr>
                    <w:t>探</w:t>
                  </w:r>
                  <w:r>
                    <w:rPr>
                      <w:rFonts w:hint="default"/>
                      <w:lang w:val="en-US" w:eastAsia="zh-CN"/>
                    </w:rPr>
                    <w:t>期结束后全部回填至开挖地</w:t>
                  </w:r>
                  <w:r>
                    <w:rPr>
                      <w:rFonts w:hint="eastAsia"/>
                      <w:lang w:val="en-US" w:eastAsia="zh-CN"/>
                    </w:rPr>
                    <w:t>。</w:t>
                  </w:r>
                  <w:r>
                    <w:rPr>
                      <w:rFonts w:hint="default"/>
                    </w:rPr>
                    <w:t>符合该管控单元资源利用效率要求。</w:t>
                  </w:r>
                </w:p>
              </w:tc>
              <w:tc>
                <w:tcPr>
                  <w:tcW w:w="419" w:type="dxa"/>
                  <w:noWrap w:val="0"/>
                  <w:vAlign w:val="center"/>
                </w:tcPr>
                <w:p>
                  <w:pPr>
                    <w:pStyle w:val="59"/>
                    <w:bidi w:val="0"/>
                    <w:rPr>
                      <w:rFonts w:hint="eastAsia"/>
                      <w:lang w:val="en-US" w:eastAsia="zh-CN"/>
                    </w:rPr>
                  </w:pPr>
                  <w:r>
                    <w:rPr>
                      <w:rFonts w:hint="eastAsia"/>
                      <w:lang w:val="en-US" w:eastAsia="zh-CN"/>
                    </w:rPr>
                    <w:t>符合</w:t>
                  </w:r>
                </w:p>
              </w:tc>
            </w:tr>
          </w:tbl>
          <w:p>
            <w:pPr>
              <w:pStyle w:val="51"/>
              <w:bidi w:val="0"/>
              <w:rPr>
                <w:rFonts w:hint="default"/>
              </w:rPr>
            </w:pPr>
            <w:r>
              <w:rPr>
                <w:rFonts w:hint="eastAsia"/>
                <w:lang w:val="en-US" w:eastAsia="zh-CN"/>
              </w:rPr>
              <w:t>3.</w:t>
            </w:r>
            <w:r>
              <w:rPr>
                <w:rFonts w:hint="default"/>
              </w:rPr>
              <w:t>环境管理政策</w:t>
            </w:r>
            <w:r>
              <w:rPr>
                <w:rFonts w:hint="eastAsia"/>
                <w:lang w:eastAsia="zh-CN"/>
              </w:rPr>
              <w:t>、</w:t>
            </w:r>
            <w:r>
              <w:rPr>
                <w:rFonts w:hint="eastAsia"/>
                <w:lang w:val="en-US" w:eastAsia="zh-CN"/>
              </w:rPr>
              <w:t>环境保护规划</w:t>
            </w:r>
            <w:r>
              <w:rPr>
                <w:rFonts w:hint="default"/>
              </w:rPr>
              <w:t>相符性分析</w:t>
            </w:r>
          </w:p>
          <w:p>
            <w:pPr>
              <w:pStyle w:val="49"/>
              <w:bidi w:val="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9"/>
              <w:keepNext w:val="0"/>
              <w:keepLines w:val="0"/>
              <w:pageBreakBefore w:val="0"/>
              <w:widowControl w:val="0"/>
              <w:kinsoku/>
              <w:wordWrap w:val="0"/>
              <w:overflowPunct/>
              <w:topLinePunct w:val="0"/>
              <w:autoSpaceDE/>
              <w:autoSpaceDN/>
              <w:bidi w:val="0"/>
              <w:adjustRightInd w:val="0"/>
              <w:snapToGrid w:val="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9"/>
              <w:bidi w:val="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9"/>
              <w:numPr>
                <w:ilvl w:val="0"/>
                <w:numId w:val="0"/>
              </w:numPr>
              <w:bidi w:val="0"/>
              <w:ind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9"/>
              <w:bidi w:val="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9"/>
              <w:bidi w:val="0"/>
              <w:rPr>
                <w:rFonts w:hint="eastAsia"/>
                <w:lang w:eastAsia="zh-CN"/>
              </w:rPr>
            </w:pPr>
            <w:r>
              <w:rPr>
                <w:rFonts w:hint="eastAsia"/>
                <w:lang w:eastAsia="zh-CN"/>
              </w:rPr>
              <w:t>本项目已依法取得探矿权，</w:t>
            </w:r>
            <w:r>
              <w:rPr>
                <w:rFonts w:hint="eastAsia"/>
                <w:lang w:val="en-US" w:eastAsia="zh-CN"/>
              </w:rPr>
              <w:t>探矿证号为</w:t>
            </w:r>
            <w:r>
              <w:rPr>
                <w:rFonts w:hint="eastAsia"/>
                <w:highlight w:val="none"/>
                <w:lang w:val="en-US" w:eastAsia="zh-CN"/>
              </w:rPr>
              <w:t>T6500002008123010021160</w:t>
            </w:r>
            <w:r>
              <w:rPr>
                <w:rFonts w:hint="eastAsia"/>
                <w:lang w:val="en-US" w:eastAsia="zh-CN"/>
              </w:rPr>
              <w:t>，</w:t>
            </w:r>
            <w:r>
              <w:rPr>
                <w:rFonts w:hint="eastAsia"/>
                <w:lang w:eastAsia="zh-CN"/>
              </w:rPr>
              <w:t>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9"/>
              <w:bidi w:val="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9"/>
              <w:bidi w:val="0"/>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9"/>
              <w:bidi w:val="0"/>
              <w:rPr>
                <w:rFonts w:hint="eastAsia"/>
                <w:lang w:eastAsia="zh-CN"/>
              </w:rPr>
            </w:pPr>
            <w:r>
              <w:rPr>
                <w:rFonts w:hint="eastAsia"/>
                <w:lang w:eastAsia="zh-CN"/>
              </w:rPr>
              <w:t>本项目属于矿产资源勘查项目，不涉及矿产资源的开采，勘探区采用了边开挖、边回填、边复垦的勘探方式，探槽开挖的临时弃土就地堆放在探槽</w:t>
            </w:r>
            <w:r>
              <w:rPr>
                <w:rFonts w:hint="eastAsia"/>
                <w:lang w:val="en-US" w:eastAsia="zh-CN"/>
              </w:rPr>
              <w:t>一</w:t>
            </w:r>
            <w:r>
              <w:rPr>
                <w:rFonts w:hint="eastAsia"/>
                <w:lang w:eastAsia="zh-CN"/>
              </w:rPr>
              <w:t>侧，并用</w:t>
            </w:r>
            <w:r>
              <w:rPr>
                <w:rFonts w:hint="eastAsia"/>
                <w:lang w:val="en-US" w:eastAsia="zh-CN"/>
              </w:rPr>
              <w:t>彩条布苫盖</w:t>
            </w:r>
            <w:r>
              <w:rPr>
                <w:rFonts w:hint="eastAsia"/>
                <w:lang w:eastAsia="zh-CN"/>
              </w:rPr>
              <w:t>，工程完成后立即回填。符合《矿山生态环境保护与污染防治技术政策》的要求。</w:t>
            </w:r>
          </w:p>
          <w:p>
            <w:pPr>
              <w:pStyle w:val="49"/>
              <w:bidi w:val="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9"/>
              <w:bidi w:val="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9"/>
              <w:bidi w:val="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9"/>
              <w:bidi w:val="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9"/>
              <w:bidi w:val="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49"/>
              <w:bidi w:val="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钻探、槽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9"/>
              <w:bidi w:val="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9"/>
              <w:bidi w:val="0"/>
            </w:pPr>
            <w:r>
              <w:rPr>
                <w:rFonts w:hint="eastAsia"/>
                <w:lang w:eastAsia="zh-CN"/>
              </w:rPr>
              <w:t>严格执行能源、矿产资源开发自治区人民政府“一支笔”审批制度、环境保护“一票否决”制度，守住生态保护红线、环境质量底线和自然资源利用上线。</w:t>
            </w:r>
          </w:p>
          <w:p>
            <w:pPr>
              <w:pStyle w:val="49"/>
              <w:bidi w:val="0"/>
              <w:rPr>
                <w:rFonts w:hint="eastAsia"/>
                <w:lang w:eastAsia="zh-CN"/>
              </w:rPr>
            </w:pPr>
            <w:r>
              <w:rPr>
                <w:rFonts w:hint="eastAsia"/>
                <w:lang w:eastAsia="zh-CN"/>
              </w:rPr>
              <w:t>本项目已依法取得探矿权，在探矿权属范围内开展勘探活动，项目用地不在生态保护红线内，符合《巴音郭楞蒙古自治州生态环境“十四五”规划》的要求。</w:t>
            </w:r>
          </w:p>
          <w:p>
            <w:pPr>
              <w:pStyle w:val="49"/>
              <w:bidi w:val="0"/>
              <w:rPr>
                <w:rFonts w:hint="eastAsia"/>
                <w:lang w:val="en-US" w:eastAsia="zh-CN"/>
              </w:rPr>
            </w:pPr>
            <w:r>
              <w:rPr>
                <w:rFonts w:hint="eastAsia"/>
                <w:lang w:val="en-US" w:eastAsia="zh-CN"/>
              </w:rPr>
              <w:t>（6）《新疆维吾尔自治区2025年空气质量持续改善行动实施方案》（新政办发〔2024〕58号）符合性分析。</w:t>
            </w:r>
          </w:p>
          <w:p>
            <w:pPr>
              <w:pStyle w:val="49"/>
              <w:bidi w:val="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9"/>
              <w:bidi w:val="0"/>
              <w:rPr>
                <w:rFonts w:hint="eastAsia"/>
                <w:lang w:val="en-US" w:eastAsia="zh-CN"/>
              </w:rPr>
            </w:pPr>
            <w:r>
              <w:rPr>
                <w:rFonts w:hint="eastAsia"/>
                <w:lang w:val="en-US" w:eastAsia="zh-CN"/>
              </w:rPr>
              <w:t>本项目属于矿产资源勘查项目，不涉及矿产资源的开采，勘探区采用了边开挖、边回填、边复垦的勘探方式，项目区属于非沙化土地，在勘查过程中加强防沙治沙工作，防止从非沙化土地转变为沙化土地。</w:t>
            </w:r>
          </w:p>
          <w:p>
            <w:pPr>
              <w:pStyle w:val="49"/>
              <w:bidi w:val="0"/>
              <w:rPr>
                <w:rFonts w:hint="eastAsia"/>
                <w:lang w:val="en-US" w:eastAsia="zh-CN"/>
              </w:rPr>
            </w:pPr>
            <w:r>
              <w:rPr>
                <w:rFonts w:hint="eastAsia"/>
                <w:lang w:val="en-US" w:eastAsia="zh-CN"/>
              </w:rPr>
              <w:t>（7）《绿色地质勘查工作规范》（DZ/T0374-2021）符合性分析。</w:t>
            </w:r>
          </w:p>
          <w:p>
            <w:pPr>
              <w:pStyle w:val="33"/>
              <w:bidi w:val="0"/>
              <w:rPr>
                <w:rFonts w:hint="default"/>
                <w:lang w:val="en-US" w:eastAsia="zh-CN"/>
              </w:rPr>
            </w:pPr>
            <w:r>
              <w:rPr>
                <w:rFonts w:hint="default"/>
                <w:lang w:val="en-US" w:eastAsia="zh-CN"/>
              </w:rPr>
              <w:t>表1-</w:t>
            </w:r>
            <w:r>
              <w:rPr>
                <w:rFonts w:hint="eastAsia"/>
                <w:lang w:val="en-US" w:eastAsia="zh-CN"/>
              </w:rPr>
              <w:t>6</w:t>
            </w:r>
            <w:r>
              <w:rPr>
                <w:rFonts w:hint="default"/>
                <w:lang w:val="en-US" w:eastAsia="zh-CN"/>
              </w:rPr>
              <w:t xml:space="preserve">    与《绿色地质勘查工作规范》（DZ/T0374-2021）符合性分析</w:t>
            </w:r>
          </w:p>
          <w:tbl>
            <w:tblPr>
              <w:tblStyle w:val="25"/>
              <w:tblW w:w="4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082"/>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规范</w:t>
                  </w:r>
                  <w:r>
                    <w:rPr>
                      <w:rFonts w:hint="default"/>
                      <w:lang w:eastAsia="zh-CN"/>
                    </w:rPr>
                    <w:t>内容</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eastAsia="zh-CN"/>
                    </w:rPr>
                    <w:t>本项目情况</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4.2.2采用先进适用的技术工艺、设备、方法开展地质勘查工作，有效减少对生态环境影响的程度、范围及持续时间。</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小型设备、定向钻进、废水循环利用、固废分类处置等绿色施工工艺，有效缩小施工扰动范围、缩短施工周期，最大限度降低勘查施工对区域生态环境的影响。</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4.2.3针对勘查区植被覆盖情况、自然修复能力等自然地理环境差异情况，采用适宜的勘查手段、环境保护和生态修复措施，严格控制施工周期，分类实施绿色勘查工作。</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本项目区域为裸地、植被覆盖度＜5%，针对性采用人工开挖为主、机械施工为辅的作业方式，配套防渗、降尘、固废处置及生态修复措施，严控施工周期，落实绿色勘查要求。</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4.3.2地质勘查工作前，应对工作人员进行绿色勘查培训，强化生态环境保护意识，掌握绿色勘查要求，并对拟施工的道路和场地原始地形地貌拍摄照片或视频保存。</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项目开工前完成全员绿色勘查及环保专项培训，施工前对作业场地、通行道路原始地貌进行拍照、录像存档，建立完整影像溯源台账。</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4.3.3地质勘查工作实施中应保留绿色勘查相关记录。</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项目施工全过程建立绿色勘查专项台账，完整记录环保措施落实、污染治理、生态管控等工作内容，资料完整、可全程溯源。</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4.3.4地质勘查工作施工后，应按照地质勘查设计中绿色勘查内容要求，开展环境修复工作。</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项目完工后严格按照设计方案，全面开展场地清理、土方回填、表土覆盖、封孔复原等生态修复工作，彻底消除施工生态扰动</w:t>
                  </w:r>
                  <w:r>
                    <w:rPr>
                      <w:rFonts w:hint="eastAsia"/>
                      <w:lang w:val="en-US" w:eastAsia="zh-CN"/>
                    </w:rPr>
                    <w:t>。</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道路施工和场地平整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5.1.1地质勘查工作应充分利用现有公路、村道、居民区通道及农耕道等，确因工作需要而又无道路时，在征求相关管理部门和单位同意后，修建临时道路。在确保安全通行的条件下，应控制新修道路规格，有条件可修建桩架路作为临时道路。</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本项目全程利用现有矿山道路及简易土路通行，不新建任何临时、永久施工道路，无新增占地及生态扰动，符合规范要求。</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5.1.9对施工和运输过程中产生的粉尘，应因地制宜，采取必要措施防止粉尘污染。</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项目针对施工、运输扬尘采取车辆密闭、场地洒水降尘等防控措施</w:t>
                  </w:r>
                  <w:r>
                    <w:rPr>
                      <w:rFonts w:hint="eastAsia"/>
                      <w:lang w:val="en-US" w:eastAsia="zh-CN"/>
                    </w:rPr>
                    <w:t>后</w:t>
                  </w:r>
                  <w:r>
                    <w:rPr>
                      <w:rFonts w:hint="default"/>
                      <w:lang w:val="en-US" w:eastAsia="zh-CN"/>
                    </w:rPr>
                    <w:t>，对周边大气环境影响较小</w:t>
                  </w:r>
                  <w:r>
                    <w:rPr>
                      <w:rFonts w:hint="eastAsia"/>
                      <w:lang w:val="en-US" w:eastAsia="zh-CN"/>
                    </w:rPr>
                    <w:t>。</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5.2.1在满足地质勘查目的的前提下，探矿工程施工场地的选择，应尽可能避开耕地、林地、水源地、珍稀野生动物栖息地等。场地平整范围应满足安全施工、表土堆放的需要。减少开挖量，力求挖填平衡，控制场地占用面积。</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项目选址不涉及耕地、林地、水源地及生态敏感区，严格控制施工占地及开挖范围，开挖土方</w:t>
                  </w:r>
                  <w:r>
                    <w:rPr>
                      <w:rFonts w:hint="eastAsia"/>
                      <w:lang w:val="en-US" w:eastAsia="zh-CN"/>
                    </w:rPr>
                    <w:t>除收集样品部分，其余</w:t>
                  </w:r>
                  <w:r>
                    <w:rPr>
                      <w:rFonts w:hint="default"/>
                      <w:lang w:val="en-US" w:eastAsia="zh-CN"/>
                    </w:rPr>
                    <w:t>全部回填利用，实现挖填平衡、无弃方</w:t>
                  </w:r>
                  <w:r>
                    <w:rPr>
                      <w:rFonts w:hint="eastAsia"/>
                      <w:lang w:val="en-US" w:eastAsia="zh-CN"/>
                    </w:rPr>
                    <w:t>。</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地质测量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7.1.1在满足地质工作目的和质量的情况下，作业点和作业路线应避开珍稀、濒危野生动植物自然分布区域。</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勘查区无珍稀、濒危野生动植物分布区，作业点位及路线未涉及动植物保护区域</w:t>
                  </w:r>
                  <w:r>
                    <w:rPr>
                      <w:rFonts w:hint="eastAsia"/>
                      <w:lang w:val="en-US" w:eastAsia="zh-CN"/>
                    </w:rPr>
                    <w:t>。</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槽探施工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8.2.2槽探施工可采用机械施工和人工开挖两种方式。交通方便，不需新修施工运输道路的地段，可采用机械施工；交通不便、植被茂密的地段，宜采用人工开挖，以避免修路及机械施工造成土地、植被景观的破坏。</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项目区域交通便利，采用人工开挖为主、机械施工为辅的槽探作业方式，有效减少土地扰动及地貌破坏</w:t>
                  </w:r>
                  <w:r>
                    <w:rPr>
                      <w:rFonts w:hint="eastAsia"/>
                      <w:lang w:val="en-US" w:eastAsia="zh-CN"/>
                    </w:rPr>
                    <w:t>。</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8.2.6探槽经地质观测、编录、采样及验收等工作结束后，不需保留的探槽应及时逆序回填压实，应保留回填前后的探槽照片；确需保留的探槽应设立明显标识，对深度较大又确需保留的探槽，应做好围挡设施防止人畜误入造成伤害。</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项目探槽验收完成后均及时逆序分层回填夯实</w:t>
                  </w:r>
                  <w:r>
                    <w:rPr>
                      <w:rFonts w:hint="eastAsia"/>
                      <w:lang w:val="en-US" w:eastAsia="zh-CN"/>
                    </w:rPr>
                    <w:t>，表土覆盖。</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固体矿产钻探施工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9.1.1钻探施工设备应在满足4.2.2和地质调查目的的前提下合理选用易于搬运安装和拆卸且占地面积小的设备。设备运输尽可能利用现有道路，对于钻探设备难以进入的地区，宜选用模块化便携式或履带自行式设备，避免和减少新修建道路。有条件的可采用直升机吊装设备物资。</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项目选用易拆装、小占地钻探设备，设备运输全程依托现有道路，无需新建施工道路，从源头减少生态扰动。</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9.1.2钻探施工应采用先进的钻进工艺，在满足地质调查目的的前提下，倾斜矿床宜采用定向钻进技术，实现“一基多孔、一孔多支”，减少设备搬迁；采用液动冲击回转钻进、多工艺潜孔锤空气钻进等提高钻进效率，减少作业时间。</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项目采用定向钻进、“一基多孔”先进工艺，有效减少设备搬迁频次、缩短施工工期，降低施工对环境的持续影响。</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9.1.3施工场地外围设置截、排水沟，确保场地不积水和免遭洪水冲刷。机坪边坡应确保稳定，坡体上无松散土石。对不稳定边坡应进行支护处理，预防滑坡、崩塌、泥石流等地质灾害。</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施工场地设置完善截排水系统，勘查区地势平缓、边坡稳定，无松散土石及地质灾害隐患，场地安全稳定合规。</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9.1.5施工操作场地材料物资存放场地等地面应铺设防渗材料如厚度大于或等于3mm的工布等。油料存放地、循环沟、浆液池、垃圾池等易发生渗漏污染的表面，应采用防渗土工布（一膜一布或两膜夹一布的土工布，厚度大于或等于5mm）或高密度聚乙烯（HDPE）土工膜作防渗铺垫进行防渗处理预防渗漏污染。在机台下方和设备检修区域，须铺设吸油毡。</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项目落实分区防渗管控，设备贮存区、沉淀池等重点区域均铺设合规防渗材料及吸油毡，配套防雨遮阳设施，可有效杜绝渗漏污染风险。</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9.1.6钻探液循环系统宜采用移动式泥浆箱及管道尽量避免现场开挖；确需开挖，其容积应按钻孔设计深度进行计算，底部应铺设防渗材料进行防渗处理。</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项目采用10m³移动式泥浆沉淀池，无需现场开挖泥浆池，配套完整防渗措施，无泥浆渗漏及场地扰动问题。</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pStyle w:val="76"/>
                    <w:bidi w:val="0"/>
                    <w:ind w:left="0" w:leftChars="0" w:right="0" w:rightChars="0" w:firstLine="0" w:firstLineChars="0"/>
                    <w:jc w:val="center"/>
                    <w:rPr>
                      <w:rFonts w:hint="eastAsia"/>
                      <w:lang w:val="en-US" w:eastAsia="zh-CN"/>
                    </w:rPr>
                  </w:pPr>
                  <w:r>
                    <w:rPr>
                      <w:rFonts w:hint="eastAsia"/>
                      <w:lang w:val="en-US" w:eastAsia="zh-CN"/>
                    </w:rPr>
                    <w:t>9.1.7钻探施工冲洗液使用泥浆时，应采用优质环保浆液。钻探材料及处理剂应符合GB/T5005的规定。</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项目钻探施工过程选用清水做冲洗液，钻探材料符合GB/T5005的规定。</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eastAsia"/>
                      <w:lang w:val="en-US" w:eastAsia="zh-CN"/>
                    </w:rPr>
                  </w:pPr>
                  <w:r>
                    <w:rPr>
                      <w:rFonts w:hint="default" w:ascii="Times New Roman" w:hAnsi="Times New Roman" w:eastAsia="宋体" w:cs="Times New Roman"/>
                      <w:color w:val="000000"/>
                      <w:sz w:val="21"/>
                      <w:szCs w:val="22"/>
                      <w:shd w:val="clear" w:color="auto" w:fill="FFFFFF"/>
                      <w:lang w:val="en-US" w:eastAsia="zh-CN"/>
                    </w:rPr>
                    <w:t>9.1.9钻探施工中产生的废水无法循环利用需排放的，应处理至符合GB8978要求，以免污染土壤和地表（下）水。</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项目冲洗废水沉淀后用于洒水降尘，泥浆废水循环用于配浆，实现废水零外排，无水体污染风险。</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eastAsia"/>
                      <w:lang w:val="en-US" w:eastAsia="zh-CN"/>
                    </w:rPr>
                  </w:pPr>
                  <w:r>
                    <w:rPr>
                      <w:rFonts w:hint="default" w:ascii="Times New Roman" w:hAnsi="Times New Roman" w:eastAsia="宋体" w:cs="Times New Roman"/>
                      <w:color w:val="000000"/>
                      <w:sz w:val="21"/>
                      <w:szCs w:val="22"/>
                      <w:shd w:val="clear" w:color="auto" w:fill="FFFFFF"/>
                      <w:lang w:val="en-US" w:eastAsia="zh-CN"/>
                    </w:rPr>
                    <w:t>9.1.10钻探施工中产生的沉渣、废浆应设置专用存储池，经沉淀和固化处理后，应满足GB18599要求；未达到要求的严禁向外排放。</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泥浆固化后交由一般固废处置单位统一处理，岩屑用于钻孔回填，沉淀池沉渣交由一般固废处置单位统一处理。</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eastAsia"/>
                      <w:lang w:val="en-US" w:eastAsia="zh-CN"/>
                    </w:rPr>
                  </w:pPr>
                  <w:r>
                    <w:rPr>
                      <w:rFonts w:hint="default" w:ascii="Times New Roman" w:hAnsi="Times New Roman" w:eastAsia="宋体" w:cs="Times New Roman"/>
                      <w:color w:val="000000"/>
                      <w:sz w:val="21"/>
                      <w:szCs w:val="22"/>
                      <w:shd w:val="clear" w:color="auto" w:fill="FFFFFF"/>
                      <w:lang w:val="en-US" w:eastAsia="zh-CN"/>
                    </w:rPr>
                    <w:t>9.1.11施工中产生的废料、生活垃圾，钻孔渣土等固体废弃物应及时清理，分类存储，回收利用，按相关管理规定进行现场处置及外运。</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本项目开挖产生的土石方在勘探期结束后全部回填至开挖地</w:t>
                  </w:r>
                  <w:r>
                    <w:rPr>
                      <w:rFonts w:hint="eastAsia"/>
                      <w:lang w:val="en-US" w:eastAsia="zh-CN"/>
                    </w:rPr>
                    <w:t>，生活垃圾配置带盖密封分类收集桶，每日随车带回交环卫部门收集处理。</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eastAsia"/>
                      <w:lang w:val="en-US" w:eastAsia="zh-CN"/>
                    </w:rPr>
                  </w:pPr>
                  <w:r>
                    <w:rPr>
                      <w:rFonts w:hint="default" w:ascii="Times New Roman" w:hAnsi="Times New Roman" w:eastAsia="宋体" w:cs="Times New Roman"/>
                      <w:color w:val="000000"/>
                      <w:sz w:val="21"/>
                      <w:szCs w:val="22"/>
                      <w:shd w:val="clear" w:color="auto" w:fill="FFFFFF"/>
                      <w:lang w:val="en-US" w:eastAsia="zh-CN"/>
                    </w:rPr>
                    <w:t>9.1.14钻孔终孔后应按照相关设计做好封孔工作，实行全孔封闭，并设置永久性标志，确保封孔质量，以恢复地下水环境或减轻钻探施工对地下水环境造成的扰动影响。</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项目钻孔终孔后</w:t>
                  </w:r>
                  <w:r>
                    <w:rPr>
                      <w:rFonts w:hint="eastAsia"/>
                      <w:lang w:val="en-US" w:eastAsia="zh-CN"/>
                    </w:rPr>
                    <w:t>采用</w:t>
                  </w:r>
                  <w:r>
                    <w:rPr>
                      <w:rFonts w:hint="default"/>
                      <w:lang w:val="en-US" w:eastAsia="zh-CN"/>
                    </w:rPr>
                    <w:t>水泥封孔，设置永久性标识，封孔质量可控，有效降低钻探对地下水环境的扰动影响。</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2"/>
                      <w:shd w:val="clear" w:color="auto" w:fill="FFFFFF"/>
                      <w:lang w:val="en-US" w:eastAsia="zh-CN"/>
                    </w:rPr>
                  </w:pPr>
                  <w:r>
                    <w:rPr>
                      <w:rFonts w:hint="default" w:ascii="Times New Roman" w:hAnsi="Times New Roman" w:eastAsia="宋体" w:cs="Times New Roman"/>
                      <w:color w:val="000000"/>
                      <w:sz w:val="21"/>
                      <w:szCs w:val="22"/>
                      <w:shd w:val="clear" w:color="auto" w:fill="FFFFFF"/>
                      <w:lang w:val="en-US" w:eastAsia="zh-CN"/>
                    </w:rPr>
                    <w:t>10.1.1地质勘查工作结束后，应及时撤除施工场地和项目驻地的设备、不再使用的临建房屋及水电管线等各项设施，回收各种宣传牌、标示牌、警示牌、防滑防压网、土工布，清理干净场地内固体废弃物及生活垃圾。</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项目施工结束后全面撤除施工设备及临建设施，回收可周转物资，彻底清理场地垃圾及固废，实现场地干净无遗留。</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复原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2"/>
                      <w:shd w:val="clear" w:color="auto" w:fill="FFFFFF"/>
                      <w:lang w:val="en-US" w:eastAsia="zh-CN"/>
                    </w:rPr>
                  </w:pPr>
                  <w:r>
                    <w:rPr>
                      <w:rFonts w:hint="default" w:ascii="Times New Roman" w:hAnsi="Times New Roman" w:eastAsia="宋体" w:cs="Times New Roman"/>
                      <w:color w:val="000000"/>
                      <w:sz w:val="21"/>
                      <w:szCs w:val="22"/>
                      <w:shd w:val="clear" w:color="auto" w:fill="FFFFFF"/>
                      <w:lang w:val="en-US" w:eastAsia="zh-CN"/>
                    </w:rPr>
                    <w:t>10.2.2项目驻地和探槽、浅井、钻孔(钻井)施工产生的坑、井、池、沟等,用开挖堆放的土石进行分层回填，按后挖的土石先填、先挖的土石后填的顺序进行回填并夯实底部基岩碎石，再回填平整底土，达到勘查设计中环境修复措施要求。</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项目所有</w:t>
                  </w:r>
                  <w:r>
                    <w:rPr>
                      <w:rFonts w:hint="eastAsia"/>
                      <w:lang w:val="en-US" w:eastAsia="zh-CN"/>
                    </w:rPr>
                    <w:t>探槽、钻孔</w:t>
                  </w:r>
                  <w:r>
                    <w:rPr>
                      <w:rFonts w:hint="default"/>
                      <w:lang w:val="en-US" w:eastAsia="zh-CN"/>
                    </w:rPr>
                    <w:t>均按照“后挖先填、先挖后填”规范顺序分层回填、夯实平整，严格落实勘查设计中环境修复措施要求。</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76"/>
                    <w:bidi w:val="0"/>
                    <w:ind w:left="0" w:leftChars="0" w:right="0" w:rightChars="0" w:firstLine="0" w:firstLineChars="0"/>
                    <w:jc w:val="center"/>
                    <w:rPr>
                      <w:rFonts w:hint="default"/>
                      <w:lang w:val="en-US" w:eastAsia="zh-CN"/>
                    </w:rPr>
                  </w:pPr>
                  <w:r>
                    <w:rPr>
                      <w:rFonts w:hint="eastAsia"/>
                      <w:lang w:val="en-US" w:eastAsia="zh-CN"/>
                    </w:rPr>
                    <w:t>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pct"/>
                  <w:vAlign w:val="center"/>
                </w:tcPr>
                <w:p>
                  <w:pPr>
                    <w:spacing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2"/>
                      <w:shd w:val="clear" w:color="auto" w:fill="FFFFFF"/>
                      <w:lang w:val="en-US" w:eastAsia="zh-CN"/>
                    </w:rPr>
                  </w:pPr>
                  <w:r>
                    <w:rPr>
                      <w:rFonts w:hint="default" w:ascii="Times New Roman" w:hAnsi="Times New Roman" w:eastAsia="宋体" w:cs="Times New Roman"/>
                      <w:color w:val="000000"/>
                      <w:sz w:val="21"/>
                      <w:szCs w:val="22"/>
                      <w:shd w:val="clear" w:color="auto" w:fill="FFFFFF"/>
                      <w:lang w:val="en-US" w:eastAsia="zh-CN"/>
                    </w:rPr>
                    <w:t>10.3.1损毁土地复原后，应将开挖前的表土均匀覆盖在底土之上，草地、林地有效覆土厚度大于20cm</w:t>
                  </w:r>
                  <w:r>
                    <w:rPr>
                      <w:rFonts w:hint="eastAsia" w:ascii="Times New Roman" w:hAnsi="Times New Roman" w:eastAsia="宋体" w:cs="Times New Roman"/>
                      <w:color w:val="000000"/>
                      <w:sz w:val="21"/>
                      <w:szCs w:val="22"/>
                      <w:shd w:val="clear" w:color="auto" w:fill="FFFFFF"/>
                      <w:lang w:val="en-US" w:eastAsia="zh-CN"/>
                    </w:rPr>
                    <w:t>；</w:t>
                  </w:r>
                  <w:r>
                    <w:rPr>
                      <w:rFonts w:hint="default" w:ascii="Times New Roman" w:hAnsi="Times New Roman" w:eastAsia="宋体" w:cs="Times New Roman"/>
                      <w:color w:val="000000"/>
                      <w:sz w:val="21"/>
                      <w:szCs w:val="22"/>
                      <w:shd w:val="clear" w:color="auto" w:fill="FFFFFF"/>
                      <w:lang w:val="en-US" w:eastAsia="zh-CN"/>
                    </w:rPr>
                    <w:t>耕地、园地有效覆土厚度大于40cm，确保覆土厚度及土质能满足植被正常生长需要。</w:t>
                  </w:r>
                </w:p>
              </w:tc>
              <w:tc>
                <w:tcPr>
                  <w:tcW w:w="2110"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本项目</w:t>
                  </w:r>
                  <w:r>
                    <w:rPr>
                      <w:rFonts w:hint="eastAsia"/>
                      <w:lang w:val="en-US" w:eastAsia="zh-CN"/>
                    </w:rPr>
                    <w:t>土地利用</w:t>
                  </w:r>
                  <w:r>
                    <w:rPr>
                      <w:rFonts w:hint="default"/>
                      <w:lang w:val="en-US" w:eastAsia="zh-CN"/>
                    </w:rPr>
                    <w:t>类型为</w:t>
                  </w:r>
                  <w:r>
                    <w:rPr>
                      <w:rFonts w:hint="eastAsia"/>
                      <w:lang w:val="en-US" w:eastAsia="zh-CN"/>
                    </w:rPr>
                    <w:t>裸岩石砾地</w:t>
                  </w:r>
                  <w:r>
                    <w:rPr>
                      <w:rFonts w:hint="default"/>
                      <w:lang w:val="en-US" w:eastAsia="zh-CN"/>
                    </w:rPr>
                    <w:t>和戈壁，现状植被覆盖度低于5%，复垦方向为恢复原土地利用类型。依据《土地复垦质量控制标准》（TD/T 1036-2013）西北干旱区标准，不涉及林地、草地、耕地、园地，覆土厚度参照≥10cm，有机质≥0.5%，场地平整后坡度≤3°，砾石≤50%，pH5.5~8.0。复垦后植被覆盖度恢复至周边未扰动水平（1%~5%）。</w:t>
                  </w:r>
                </w:p>
              </w:tc>
              <w:tc>
                <w:tcPr>
                  <w:tcW w:w="462" w:type="pct"/>
                  <w:vAlign w:val="center"/>
                </w:tcPr>
                <w:p>
                  <w:pPr>
                    <w:pStyle w:val="76"/>
                    <w:bidi w:val="0"/>
                    <w:ind w:left="0" w:leftChars="0" w:right="0" w:rightChars="0" w:firstLine="0" w:firstLineChars="0"/>
                    <w:jc w:val="center"/>
                    <w:rPr>
                      <w:rFonts w:hint="default"/>
                      <w:lang w:val="en-US" w:eastAsia="zh-CN"/>
                    </w:rPr>
                  </w:pPr>
                  <w:r>
                    <w:rPr>
                      <w:rFonts w:hint="default"/>
                      <w:lang w:val="en-US" w:eastAsia="zh-CN"/>
                    </w:rPr>
                    <w:t>符合</w:t>
                  </w:r>
                </w:p>
              </w:tc>
            </w:tr>
          </w:tbl>
          <w:p>
            <w:pPr>
              <w:pStyle w:val="49"/>
              <w:bidi w:val="0"/>
              <w:ind w:left="0" w:leftChars="0" w:firstLine="0" w:firstLineChars="0"/>
              <w:rPr>
                <w:rFonts w:hint="default"/>
                <w:lang w:val="en-US" w:eastAsia="zh-CN"/>
              </w:rPr>
            </w:pPr>
          </w:p>
        </w:tc>
      </w:tr>
    </w:tbl>
    <w:p>
      <w:pPr>
        <w:spacing w:line="360" w:lineRule="auto"/>
        <w:outlineLvl w:val="0"/>
        <w:rPr>
          <w:rFonts w:eastAsia="黑体"/>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4" w:type="pct"/>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地理位置</w:t>
            </w:r>
          </w:p>
        </w:tc>
        <w:tc>
          <w:tcPr>
            <w:tcW w:w="4795" w:type="pct"/>
            <w:noWrap w:val="0"/>
            <w:vAlign w:val="center"/>
          </w:tcPr>
          <w:p>
            <w:pPr>
              <w:pStyle w:val="49"/>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本项目</w:t>
            </w:r>
            <w:r>
              <w:rPr>
                <w:rFonts w:hint="default" w:ascii="Times New Roman" w:hAnsi="Times New Roman" w:cs="Times New Roman"/>
              </w:rPr>
              <w:t>位于</w:t>
            </w:r>
            <w:r>
              <w:rPr>
                <w:rFonts w:hint="default" w:ascii="Times New Roman" w:hAnsi="Times New Roman" w:cs="Times New Roman"/>
                <w:lang w:val="en-US" w:eastAsia="zh-CN"/>
              </w:rPr>
              <w:t>新疆维吾尔自治区巴音郭楞蒙古自治州</w:t>
            </w:r>
            <w:r>
              <w:rPr>
                <w:rFonts w:hint="eastAsia" w:cs="Times New Roman"/>
                <w:lang w:val="en-US" w:eastAsia="zh-CN"/>
              </w:rPr>
              <w:t>焉耆回族自治县西南264°</w:t>
            </w:r>
            <w:r>
              <w:rPr>
                <w:rFonts w:hint="default" w:ascii="Times New Roman" w:hAnsi="Times New Roman" w:cs="Times New Roman"/>
                <w:lang w:val="en-US" w:eastAsia="zh-CN"/>
              </w:rPr>
              <w:t>方向，直线距离102千米</w:t>
            </w:r>
            <w:r>
              <w:rPr>
                <w:rFonts w:hint="default" w:ascii="Times New Roman" w:hAnsi="Times New Roman" w:cs="Times New Roman"/>
              </w:rPr>
              <w:t>，中心点坐标（CGCS2000坐标系）：东经</w:t>
            </w:r>
            <w:r>
              <w:rPr>
                <w:rFonts w:hint="default" w:cs="Times New Roman"/>
                <w:lang w:val="en-US" w:eastAsia="zh-CN"/>
              </w:rPr>
              <w:t>86°12′44.707″</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北纬</w:t>
            </w:r>
            <w:r>
              <w:rPr>
                <w:rFonts w:hint="default" w:cs="Times New Roman"/>
                <w:highlight w:val="none"/>
                <w:lang w:val="en-US" w:eastAsia="zh-CN"/>
              </w:rPr>
              <w:t>41°56′45.883″</w:t>
            </w:r>
            <w:r>
              <w:rPr>
                <w:rFonts w:hint="default" w:ascii="Times New Roman" w:hAnsi="Times New Roman" w:cs="Times New Roman"/>
              </w:rPr>
              <w:t>。工作区面积</w:t>
            </w:r>
            <w:r>
              <w:rPr>
                <w:rFonts w:hint="eastAsia" w:cs="Times New Roman"/>
                <w:lang w:val="en-US" w:eastAsia="zh-CN"/>
              </w:rPr>
              <w:t>8.39</w:t>
            </w:r>
            <w:r>
              <w:rPr>
                <w:rFonts w:hint="default" w:ascii="Times New Roman" w:hAnsi="Times New Roman" w:cs="Times New Roman"/>
              </w:rPr>
              <w:t>平方千米。行政区划隶属</w:t>
            </w:r>
            <w:r>
              <w:rPr>
                <w:rFonts w:hint="eastAsia" w:cs="Times New Roman"/>
                <w:lang w:val="en-US" w:eastAsia="zh-CN"/>
              </w:rPr>
              <w:t>焉耆回族自治县</w:t>
            </w:r>
            <w:r>
              <w:rPr>
                <w:rFonts w:hint="default" w:ascii="Times New Roman" w:hAnsi="Times New Roman" w:cs="Times New Roman"/>
              </w:rPr>
              <w:t>管辖。</w:t>
            </w:r>
            <w:r>
              <w:rPr>
                <w:rFonts w:hint="default" w:ascii="Times New Roman" w:hAnsi="Times New Roman" w:cs="Times New Roman"/>
                <w:lang w:val="en-US" w:eastAsia="zh-CN"/>
              </w:rPr>
              <w:t>勘探区拐点坐标见表2-1。</w:t>
            </w:r>
          </w:p>
          <w:p>
            <w:pPr>
              <w:pStyle w:val="53"/>
              <w:bidi w:val="0"/>
              <w:rPr>
                <w:rFonts w:hint="default"/>
                <w:lang w:val="en-US" w:eastAsia="zh-CN"/>
              </w:rPr>
            </w:pPr>
            <w:r>
              <w:rPr>
                <w:rFonts w:hint="eastAsia"/>
                <w:lang w:val="en-US" w:eastAsia="zh-CN"/>
              </w:rPr>
              <w:t>表2-1    勘探</w:t>
            </w:r>
            <w:r>
              <w:rPr>
                <w:rFonts w:hint="eastAsia"/>
              </w:rPr>
              <w:t>区范围拐点坐标表</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2767"/>
              <w:gridCol w:w="2305"/>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3" w:type="pct"/>
                  <w:vMerge w:val="restart"/>
                  <w:tcBorders>
                    <w:tl2br w:val="nil"/>
                    <w:tr2bl w:val="nil"/>
                  </w:tcBorders>
                  <w:noWrap/>
                  <w:vAlign w:val="center"/>
                </w:tcPr>
                <w:p>
                  <w:pPr>
                    <w:pStyle w:val="55"/>
                    <w:bidi w:val="0"/>
                    <w:rPr>
                      <w:rFonts w:hint="default" w:ascii="Times New Roman" w:hAnsi="Times New Roman" w:cs="Times New Roman"/>
                    </w:rPr>
                  </w:pPr>
                  <w:r>
                    <w:rPr>
                      <w:rFonts w:hint="default" w:ascii="Times New Roman" w:hAnsi="Times New Roman" w:cs="Times New Roman"/>
                    </w:rPr>
                    <w:t>点号</w:t>
                  </w:r>
                </w:p>
              </w:tc>
              <w:tc>
                <w:tcPr>
                  <w:tcW w:w="3222" w:type="pct"/>
                  <w:gridSpan w:val="2"/>
                  <w:tcBorders>
                    <w:tl2br w:val="nil"/>
                    <w:tr2bl w:val="nil"/>
                  </w:tcBorders>
                  <w:noWrap/>
                  <w:vAlign w:val="center"/>
                </w:tcPr>
                <w:p>
                  <w:pPr>
                    <w:pStyle w:val="55"/>
                    <w:bidi w:val="0"/>
                    <w:rPr>
                      <w:rFonts w:hint="default" w:ascii="Times New Roman" w:hAnsi="Times New Roman" w:cs="Times New Roman"/>
                    </w:rPr>
                  </w:pPr>
                  <w:r>
                    <w:rPr>
                      <w:rFonts w:hint="default" w:ascii="Times New Roman" w:hAnsi="Times New Roman" w:cs="Times New Roman"/>
                    </w:rPr>
                    <w:t>2000国家大地坐标系</w:t>
                  </w:r>
                </w:p>
              </w:tc>
              <w:tc>
                <w:tcPr>
                  <w:tcW w:w="1313" w:type="pct"/>
                  <w:vMerge w:val="restart"/>
                  <w:tcBorders>
                    <w:tl2br w:val="nil"/>
                    <w:tr2bl w:val="nil"/>
                  </w:tcBorders>
                  <w:noWrap/>
                  <w:vAlign w:val="center"/>
                </w:tcPr>
                <w:p>
                  <w:pPr>
                    <w:pStyle w:val="55"/>
                    <w:bidi w:val="0"/>
                    <w:rPr>
                      <w:rFonts w:hint="default" w:ascii="Times New Roman" w:hAnsi="Times New Roman" w:cs="Times New Roman"/>
                    </w:rPr>
                  </w:pPr>
                  <w:r>
                    <w:rPr>
                      <w:rFonts w:hint="default"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3" w:type="pct"/>
                  <w:vMerge w:val="continue"/>
                  <w:tcBorders>
                    <w:tl2br w:val="nil"/>
                    <w:tr2bl w:val="nil"/>
                  </w:tcBorders>
                  <w:noWrap w:val="0"/>
                  <w:vAlign w:val="center"/>
                </w:tcPr>
                <w:p>
                  <w:pPr>
                    <w:pStyle w:val="49"/>
                    <w:rPr>
                      <w:rFonts w:hint="default" w:ascii="Times New Roman" w:hAnsi="Times New Roman" w:cs="Times New Roman"/>
                    </w:rPr>
                  </w:pPr>
                </w:p>
              </w:tc>
              <w:tc>
                <w:tcPr>
                  <w:tcW w:w="1758" w:type="pct"/>
                  <w:tcBorders>
                    <w:tl2br w:val="nil"/>
                    <w:tr2bl w:val="nil"/>
                  </w:tcBorders>
                  <w:noWrap/>
                  <w:vAlign w:val="center"/>
                </w:tcPr>
                <w:p>
                  <w:pPr>
                    <w:pStyle w:val="49"/>
                    <w:rPr>
                      <w:rFonts w:hint="default" w:ascii="Times New Roman" w:hAnsi="Times New Roman" w:cs="Times New Roman"/>
                    </w:rPr>
                  </w:pPr>
                  <w:r>
                    <w:rPr>
                      <w:rFonts w:hint="default" w:ascii="Times New Roman" w:hAnsi="Times New Roman" w:cs="Times New Roman"/>
                    </w:rPr>
                    <w:t>经度</w:t>
                  </w:r>
                </w:p>
              </w:tc>
              <w:tc>
                <w:tcPr>
                  <w:tcW w:w="1464" w:type="pct"/>
                  <w:tcBorders>
                    <w:tl2br w:val="nil"/>
                    <w:tr2bl w:val="nil"/>
                  </w:tcBorders>
                  <w:noWrap/>
                  <w:vAlign w:val="center"/>
                </w:tcPr>
                <w:p>
                  <w:pPr>
                    <w:pStyle w:val="49"/>
                    <w:rPr>
                      <w:rFonts w:hint="default" w:ascii="Times New Roman" w:hAnsi="Times New Roman" w:cs="Times New Roman"/>
                    </w:rPr>
                  </w:pPr>
                  <w:r>
                    <w:rPr>
                      <w:rFonts w:hint="default" w:ascii="Times New Roman" w:hAnsi="Times New Roman" w:cs="Times New Roman"/>
                    </w:rPr>
                    <w:t>纬度</w:t>
                  </w:r>
                </w:p>
              </w:tc>
              <w:tc>
                <w:tcPr>
                  <w:tcW w:w="1313" w:type="pct"/>
                  <w:vMerge w:val="continue"/>
                  <w:tcBorders>
                    <w:tl2br w:val="nil"/>
                    <w:tr2bl w:val="nil"/>
                  </w:tcBorders>
                  <w:noWrap w:val="0"/>
                  <w:vAlign w:val="center"/>
                </w:tcPr>
                <w:p>
                  <w:pPr>
                    <w:pStyle w:val="4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eastAsia="zh-CN"/>
                    </w:rPr>
                  </w:pPr>
                  <w:r>
                    <w:rPr>
                      <w:rFonts w:hint="default" w:ascii="Times New Roman" w:hAnsi="Times New Roman" w:cs="Times New Roman"/>
                      <w:lang w:val="en-US" w:eastAsia="zh-CN"/>
                    </w:rPr>
                    <w:t>1</w:t>
                  </w:r>
                </w:p>
              </w:tc>
              <w:tc>
                <w:tcPr>
                  <w:tcW w:w="1758"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86°11'29.000"</w:t>
                  </w:r>
                </w:p>
              </w:tc>
              <w:tc>
                <w:tcPr>
                  <w:tcW w:w="1464"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41°57'01.000"</w:t>
                  </w:r>
                </w:p>
              </w:tc>
              <w:tc>
                <w:tcPr>
                  <w:tcW w:w="1313" w:type="pct"/>
                  <w:vMerge w:val="restart"/>
                  <w:tcBorders>
                    <w:tl2br w:val="nil"/>
                    <w:tr2bl w:val="nil"/>
                  </w:tcBorders>
                  <w:noWrap w:val="0"/>
                  <w:vAlign w:val="center"/>
                </w:tcPr>
                <w:p>
                  <w:pPr>
                    <w:pStyle w:val="55"/>
                    <w:bidi w:val="0"/>
                    <w:rPr>
                      <w:rFonts w:hint="default" w:ascii="Times New Roman" w:hAnsi="Times New Roman" w:cs="Times New Roman"/>
                    </w:rPr>
                  </w:pPr>
                  <w:r>
                    <w:rPr>
                      <w:rFonts w:hint="default" w:ascii="Times New Roman" w:hAnsi="Times New Roman" w:cs="Times New Roman"/>
                    </w:rPr>
                    <w:t>共由</w:t>
                  </w:r>
                  <w:r>
                    <w:rPr>
                      <w:rFonts w:hint="eastAsia" w:cs="Times New Roman"/>
                      <w:lang w:val="en-US" w:eastAsia="zh-CN"/>
                    </w:rPr>
                    <w:t>10</w:t>
                  </w:r>
                  <w:r>
                    <w:rPr>
                      <w:rFonts w:hint="default" w:ascii="Times New Roman" w:hAnsi="Times New Roman" w:cs="Times New Roman"/>
                    </w:rPr>
                    <w:t>个拐点圈连，面积</w:t>
                  </w:r>
                  <w:r>
                    <w:rPr>
                      <w:rFonts w:hint="eastAsia" w:cs="Times New Roman"/>
                      <w:lang w:val="en-US" w:eastAsia="zh-CN"/>
                    </w:rPr>
                    <w:t>8.39</w:t>
                  </w:r>
                  <w:r>
                    <w:rPr>
                      <w:rFonts w:hint="default" w:ascii="Times New Roman" w:hAnsi="Times New Roman" w:cs="Times New Roman"/>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eastAsia="zh-CN"/>
                    </w:rPr>
                  </w:pPr>
                  <w:r>
                    <w:rPr>
                      <w:rFonts w:hint="default" w:ascii="Times New Roman" w:hAnsi="Times New Roman" w:cs="Times New Roman"/>
                      <w:lang w:val="en-US" w:eastAsia="zh-CN"/>
                    </w:rPr>
                    <w:t>2</w:t>
                  </w:r>
                </w:p>
              </w:tc>
              <w:tc>
                <w:tcPr>
                  <w:tcW w:w="1758"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86°11′59.000"</w:t>
                  </w:r>
                </w:p>
              </w:tc>
              <w:tc>
                <w:tcPr>
                  <w:tcW w:w="1464"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41°57′01.000"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1758"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86°11'59.000"</w:t>
                  </w:r>
                </w:p>
              </w:tc>
              <w:tc>
                <w:tcPr>
                  <w:tcW w:w="1464"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41°57'34.000"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1758"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86°13'06.000"</w:t>
                  </w:r>
                </w:p>
              </w:tc>
              <w:tc>
                <w:tcPr>
                  <w:tcW w:w="1464"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41°57'34.000"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1758"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86°13′06.000"</w:t>
                  </w:r>
                </w:p>
              </w:tc>
              <w:tc>
                <w:tcPr>
                  <w:tcW w:w="1464"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41°57'25.000"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default" w:ascii="Times New Roman" w:hAnsi="Times New Roman" w:cs="Times New Roman"/>
                      <w:lang w:val="en-US" w:eastAsia="zh-CN"/>
                    </w:rPr>
                    <w:t>6</w:t>
                  </w:r>
                </w:p>
              </w:tc>
              <w:tc>
                <w:tcPr>
                  <w:tcW w:w="1758"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86°13'53.000"</w:t>
                  </w:r>
                </w:p>
              </w:tc>
              <w:tc>
                <w:tcPr>
                  <w:tcW w:w="1464" w:type="pct"/>
                  <w:tcBorders>
                    <w:tl2br w:val="nil"/>
                    <w:tr2bl w:val="nil"/>
                  </w:tcBorders>
                  <w:noWrap/>
                  <w:vAlign w:val="center"/>
                </w:tcPr>
                <w:p>
                  <w:pPr>
                    <w:pStyle w:val="76"/>
                    <w:rPr>
                      <w:rFonts w:hint="default" w:ascii="Times New Roman" w:hAnsi="Times New Roman" w:cs="Times New Roman"/>
                      <w:lang w:val="en-US" w:eastAsia="zh-CN"/>
                    </w:rPr>
                  </w:pPr>
                  <w:r>
                    <w:rPr>
                      <w:rFonts w:hint="default" w:ascii="Times New Roman" w:hAnsi="Times New Roman" w:cs="Times New Roman"/>
                    </w:rPr>
                    <w:t>41°57'25.000"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eastAsia" w:cs="Times New Roman"/>
                      <w:lang w:val="en-US" w:eastAsia="zh-CN"/>
                    </w:rPr>
                    <w:t>7</w:t>
                  </w:r>
                </w:p>
              </w:tc>
              <w:tc>
                <w:tcPr>
                  <w:tcW w:w="1758"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86°13'51.000"</w:t>
                  </w:r>
                </w:p>
              </w:tc>
              <w:tc>
                <w:tcPr>
                  <w:tcW w:w="1464"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41°56′06.000"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eastAsia" w:cs="Times New Roman"/>
                      <w:lang w:val="en-US" w:eastAsia="zh-CN"/>
                    </w:rPr>
                    <w:t>8</w:t>
                  </w:r>
                </w:p>
              </w:tc>
              <w:tc>
                <w:tcPr>
                  <w:tcW w:w="1758"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86°12'27.000"</w:t>
                  </w:r>
                </w:p>
              </w:tc>
              <w:tc>
                <w:tcPr>
                  <w:tcW w:w="1464"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41°56'12.000"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eastAsia" w:cs="Times New Roman"/>
                      <w:lang w:val="en-US" w:eastAsia="zh-CN"/>
                    </w:rPr>
                    <w:t>9</w:t>
                  </w:r>
                </w:p>
              </w:tc>
              <w:tc>
                <w:tcPr>
                  <w:tcW w:w="1758"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86°11′51.000"</w:t>
                  </w:r>
                </w:p>
              </w:tc>
              <w:tc>
                <w:tcPr>
                  <w:tcW w:w="1464"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41°55′41.000"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463" w:type="pct"/>
                  <w:tcBorders>
                    <w:tl2br w:val="nil"/>
                    <w:tr2bl w:val="nil"/>
                  </w:tcBorders>
                  <w:noWrap/>
                  <w:vAlign w:val="center"/>
                </w:tcPr>
                <w:p>
                  <w:pPr>
                    <w:pStyle w:val="55"/>
                    <w:bidi w:val="0"/>
                    <w:rPr>
                      <w:rFonts w:hint="default" w:ascii="Times New Roman" w:hAnsi="Times New Roman" w:cs="Times New Roman"/>
                      <w:lang w:val="en-US" w:eastAsia="zh-CN"/>
                    </w:rPr>
                  </w:pPr>
                  <w:r>
                    <w:rPr>
                      <w:rFonts w:hint="eastAsia" w:cs="Times New Roman"/>
                      <w:lang w:val="en-US" w:eastAsia="zh-CN"/>
                    </w:rPr>
                    <w:t>10</w:t>
                  </w:r>
                </w:p>
              </w:tc>
              <w:tc>
                <w:tcPr>
                  <w:tcW w:w="1758"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86°11′29.000"</w:t>
                  </w:r>
                </w:p>
              </w:tc>
              <w:tc>
                <w:tcPr>
                  <w:tcW w:w="1464" w:type="pct"/>
                  <w:tcBorders>
                    <w:tl2br w:val="nil"/>
                    <w:tr2bl w:val="nil"/>
                  </w:tcBorders>
                  <w:noWrap/>
                  <w:vAlign w:val="center"/>
                </w:tcPr>
                <w:p>
                  <w:pPr>
                    <w:pStyle w:val="76"/>
                    <w:rPr>
                      <w:rFonts w:hint="default" w:ascii="Times New Roman" w:hAnsi="Times New Roman" w:cs="Times New Roman"/>
                    </w:rPr>
                  </w:pPr>
                  <w:r>
                    <w:rPr>
                      <w:rFonts w:hint="default" w:ascii="Times New Roman" w:hAnsi="Times New Roman" w:cs="Times New Roman"/>
                    </w:rPr>
                    <w:t>41°55'40.000"</w:t>
                  </w:r>
                </w:p>
              </w:tc>
              <w:tc>
                <w:tcPr>
                  <w:tcW w:w="1313" w:type="pct"/>
                  <w:vMerge w:val="continue"/>
                  <w:tcBorders>
                    <w:tl2br w:val="nil"/>
                    <w:tr2bl w:val="nil"/>
                  </w:tcBorders>
                  <w:noWrap w:val="0"/>
                  <w:vAlign w:val="center"/>
                </w:tcPr>
                <w:p>
                  <w:pPr>
                    <w:pStyle w:val="55"/>
                    <w:bidi w:val="0"/>
                    <w:rPr>
                      <w:rFonts w:hint="default" w:ascii="Times New Roman" w:hAnsi="Times New Roman" w:cs="Times New Roman"/>
                    </w:rPr>
                  </w:pPr>
                </w:p>
              </w:tc>
            </w:tr>
          </w:tbl>
          <w:p>
            <w:pPr>
              <w:pStyle w:val="49"/>
              <w:rPr>
                <w:rFonts w:hint="default" w:eastAsia="宋体"/>
                <w:lang w:val="en-US" w:eastAsia="zh-CN"/>
              </w:rPr>
            </w:pPr>
            <w:r>
              <w:rPr>
                <w:rFonts w:hint="eastAsia"/>
                <w:lang w:val="en-US" w:eastAsia="zh-CN"/>
              </w:rPr>
              <w:t>勘查区地势平缓、交通状况良好。由塔什店镇出发沿矿山路行驶大约13km到达库尔勒金川矿业有限公司塔什店二井田煤矿，再向正北方向简易土路行进2km可到达勘查区。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 w:type="pct"/>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项目组成及规模</w:t>
            </w:r>
          </w:p>
        </w:tc>
        <w:tc>
          <w:tcPr>
            <w:tcW w:w="4795" w:type="pct"/>
            <w:noWrap w:val="0"/>
            <w:vAlign w:val="center"/>
          </w:tcPr>
          <w:p>
            <w:pPr>
              <w:pStyle w:val="51"/>
              <w:bidi w:val="0"/>
              <w:rPr>
                <w:rFonts w:hint="default"/>
                <w:highlight w:val="none"/>
                <w:lang w:val="en-US" w:eastAsia="zh-CN"/>
              </w:rPr>
            </w:pPr>
            <w:r>
              <w:rPr>
                <w:rFonts w:hint="eastAsia"/>
                <w:highlight w:val="none"/>
                <w:lang w:val="en-US" w:eastAsia="zh-CN"/>
              </w:rPr>
              <w:t>1.项目基本情况</w:t>
            </w:r>
          </w:p>
          <w:p>
            <w:pPr>
              <w:pStyle w:val="49"/>
              <w:bidi w:val="0"/>
              <w:jc w:val="left"/>
              <w:rPr>
                <w:rFonts w:hint="default"/>
              </w:rPr>
            </w:pPr>
            <w:r>
              <w:rPr>
                <w:rFonts w:hint="default"/>
              </w:rPr>
              <w:t>探矿权基本信息如下（探矿权拐点坐标见表</w:t>
            </w:r>
            <w:r>
              <w:rPr>
                <w:rFonts w:hint="default"/>
                <w:lang w:val="en-US" w:eastAsia="zh-CN"/>
              </w:rPr>
              <w:t>2</w:t>
            </w:r>
            <w:r>
              <w:rPr>
                <w:rFonts w:hint="default"/>
              </w:rPr>
              <w:t>-</w:t>
            </w:r>
            <w:r>
              <w:rPr>
                <w:rFonts w:hint="default"/>
                <w:lang w:val="en-US" w:eastAsia="zh-CN"/>
              </w:rPr>
              <w:t>1</w:t>
            </w:r>
            <w:r>
              <w:rPr>
                <w:rFonts w:hint="default"/>
              </w:rPr>
              <w:t>）：</w:t>
            </w:r>
          </w:p>
          <w:p>
            <w:pPr>
              <w:pStyle w:val="49"/>
              <w:bidi w:val="0"/>
              <w:rPr>
                <w:rFonts w:hint="default"/>
                <w:highlight w:val="none"/>
                <w:lang w:val="en-US" w:eastAsia="zh-CN"/>
              </w:rPr>
            </w:pPr>
            <w:r>
              <w:rPr>
                <w:rFonts w:hint="eastAsia"/>
                <w:lang w:val="en-US" w:eastAsia="zh-CN"/>
              </w:rPr>
              <w:t>证号：T6500002008123010021160</w:t>
            </w:r>
          </w:p>
          <w:p>
            <w:pPr>
              <w:pStyle w:val="49"/>
              <w:bidi w:val="0"/>
              <w:rPr>
                <w:rFonts w:hint="eastAsia"/>
                <w:lang w:val="en-US" w:eastAsia="zh-CN"/>
              </w:rPr>
            </w:pPr>
            <w:r>
              <w:rPr>
                <w:rFonts w:hint="eastAsia"/>
                <w:lang w:val="en-US" w:eastAsia="zh-CN"/>
              </w:rPr>
              <w:t>项目名称：新疆焉耆县红柳沟铜多金属矿勘探</w:t>
            </w:r>
          </w:p>
          <w:p>
            <w:pPr>
              <w:pStyle w:val="49"/>
              <w:bidi w:val="0"/>
              <w:rPr>
                <w:rFonts w:hint="eastAsia"/>
                <w:lang w:val="en-US" w:eastAsia="zh-CN"/>
              </w:rPr>
            </w:pPr>
            <w:r>
              <w:rPr>
                <w:rFonts w:hint="default"/>
                <w:lang w:val="en-US" w:eastAsia="zh-CN"/>
              </w:rPr>
              <w:t>探矿权人：</w:t>
            </w:r>
            <w:r>
              <w:rPr>
                <w:rFonts w:hint="eastAsia"/>
                <w:lang w:val="en-US" w:eastAsia="zh-CN"/>
              </w:rPr>
              <w:t>新疆沪迪矿业有限公司</w:t>
            </w:r>
          </w:p>
          <w:p>
            <w:pPr>
              <w:pStyle w:val="49"/>
              <w:bidi w:val="0"/>
              <w:rPr>
                <w:rFonts w:hint="default"/>
                <w:lang w:val="en-US" w:eastAsia="zh-CN"/>
              </w:rPr>
            </w:pPr>
            <w:r>
              <w:rPr>
                <w:rFonts w:hint="default"/>
                <w:lang w:val="en-US" w:eastAsia="zh-CN"/>
              </w:rPr>
              <w:t>地理位置：新疆维吾尔自治区巴音郭楞蒙古自治州</w:t>
            </w:r>
            <w:r>
              <w:rPr>
                <w:rFonts w:hint="eastAsia"/>
                <w:lang w:val="en-US" w:eastAsia="zh-CN"/>
              </w:rPr>
              <w:t>焉耆回族自治县</w:t>
            </w:r>
          </w:p>
          <w:p>
            <w:pPr>
              <w:pStyle w:val="49"/>
              <w:bidi w:val="0"/>
              <w:rPr>
                <w:rFonts w:hint="default"/>
                <w:lang w:val="en-US" w:eastAsia="zh-CN"/>
              </w:rPr>
            </w:pPr>
            <w:r>
              <w:rPr>
                <w:rFonts w:hint="default"/>
                <w:lang w:val="en-US" w:eastAsia="zh-CN"/>
              </w:rPr>
              <w:t>勘查面积：</w:t>
            </w:r>
            <w:r>
              <w:rPr>
                <w:rFonts w:hint="eastAsia"/>
                <w:lang w:val="en-US" w:eastAsia="zh-CN"/>
              </w:rPr>
              <w:t>8.39平方公里</w:t>
            </w:r>
          </w:p>
          <w:p>
            <w:pPr>
              <w:pStyle w:val="49"/>
              <w:keepNext w:val="0"/>
              <w:keepLines w:val="0"/>
              <w:pageBreakBefore w:val="0"/>
              <w:widowControl w:val="0"/>
              <w:kinsoku/>
              <w:wordWrap w:val="0"/>
              <w:overflowPunct/>
              <w:topLinePunct w:val="0"/>
              <w:autoSpaceDE/>
              <w:autoSpaceDN/>
              <w:bidi w:val="0"/>
              <w:adjustRightInd w:val="0"/>
              <w:snapToGrid w:val="0"/>
              <w:textAlignment w:val="auto"/>
              <w:rPr>
                <w:rFonts w:hint="default"/>
                <w:lang w:val="en-US" w:eastAsia="zh-CN"/>
              </w:rPr>
            </w:pPr>
            <w:r>
              <w:rPr>
                <w:rFonts w:hint="default"/>
                <w:lang w:val="en-US" w:eastAsia="zh-CN"/>
              </w:rPr>
              <w:t>有效期限：</w:t>
            </w:r>
            <w:r>
              <w:rPr>
                <w:rFonts w:hint="eastAsia"/>
                <w:highlight w:val="none"/>
                <w:lang w:val="en-US" w:eastAsia="zh-CN"/>
              </w:rPr>
              <w:t>2021</w:t>
            </w:r>
            <w:r>
              <w:rPr>
                <w:rFonts w:hint="default"/>
                <w:highlight w:val="none"/>
                <w:lang w:val="en-US" w:eastAsia="zh-CN"/>
              </w:rPr>
              <w:t>年</w:t>
            </w:r>
            <w:r>
              <w:rPr>
                <w:rFonts w:hint="eastAsia"/>
                <w:highlight w:val="none"/>
                <w:lang w:val="en-US" w:eastAsia="zh-CN"/>
              </w:rPr>
              <w:t>11月1</w:t>
            </w:r>
            <w:r>
              <w:rPr>
                <w:rFonts w:hint="default"/>
                <w:highlight w:val="none"/>
                <w:lang w:val="en-US" w:eastAsia="zh-CN"/>
              </w:rPr>
              <w:t>日至20</w:t>
            </w:r>
            <w:r>
              <w:rPr>
                <w:rFonts w:hint="eastAsia"/>
                <w:highlight w:val="none"/>
                <w:lang w:val="en-US" w:eastAsia="zh-CN"/>
              </w:rPr>
              <w:t>26</w:t>
            </w:r>
            <w:r>
              <w:rPr>
                <w:rFonts w:hint="default"/>
                <w:highlight w:val="none"/>
                <w:lang w:val="en-US" w:eastAsia="zh-CN"/>
              </w:rPr>
              <w:t>年</w:t>
            </w:r>
            <w:r>
              <w:rPr>
                <w:rFonts w:hint="eastAsia"/>
                <w:highlight w:val="none"/>
                <w:lang w:val="en-US" w:eastAsia="zh-CN"/>
              </w:rPr>
              <w:t>11</w:t>
            </w:r>
            <w:r>
              <w:rPr>
                <w:rFonts w:hint="default"/>
                <w:highlight w:val="none"/>
                <w:lang w:val="en-US" w:eastAsia="zh-CN"/>
              </w:rPr>
              <w:t>月</w:t>
            </w:r>
            <w:r>
              <w:rPr>
                <w:rFonts w:hint="eastAsia"/>
                <w:highlight w:val="none"/>
                <w:lang w:val="en-US" w:eastAsia="zh-CN"/>
              </w:rPr>
              <w:t>1</w:t>
            </w:r>
            <w:r>
              <w:rPr>
                <w:rFonts w:hint="default"/>
                <w:highlight w:val="none"/>
                <w:lang w:val="en-US" w:eastAsia="zh-CN"/>
              </w:rPr>
              <w:t>日</w:t>
            </w:r>
          </w:p>
          <w:p>
            <w:pPr>
              <w:pStyle w:val="51"/>
              <w:bidi w:val="0"/>
              <w:rPr>
                <w:rFonts w:hint="eastAsia"/>
                <w:color w:val="auto"/>
                <w:lang w:val="en-US" w:eastAsia="zh-CN"/>
              </w:rPr>
            </w:pPr>
            <w:r>
              <w:rPr>
                <w:rFonts w:hint="eastAsia"/>
                <w:color w:val="auto"/>
                <w:lang w:val="en-US" w:eastAsia="zh-CN"/>
              </w:rPr>
              <w:t>2.项目主要建设内容</w:t>
            </w:r>
          </w:p>
          <w:p>
            <w:pPr>
              <w:pStyle w:val="49"/>
              <w:bidi w:val="0"/>
              <w:rPr>
                <w:rFonts w:hint="eastAsia"/>
                <w:color w:val="auto"/>
                <w:lang w:val="en-US" w:eastAsia="zh-CN"/>
              </w:rPr>
            </w:pPr>
            <w:r>
              <w:rPr>
                <w:rFonts w:hint="eastAsia"/>
                <w:color w:val="auto"/>
                <w:lang w:val="en-US" w:eastAsia="zh-CN"/>
              </w:rPr>
              <w:t>项目主要建设内容见表2-2。</w:t>
            </w:r>
          </w:p>
          <w:p>
            <w:pPr>
              <w:pStyle w:val="53"/>
              <w:bidi w:val="0"/>
              <w:rPr>
                <w:rFonts w:hint="eastAsia"/>
                <w:color w:val="auto"/>
                <w:lang w:val="en-US" w:eastAsia="zh-CN"/>
              </w:rPr>
            </w:pPr>
            <w:r>
              <w:rPr>
                <w:rFonts w:hint="eastAsia"/>
                <w:color w:val="auto"/>
                <w:lang w:val="en-US" w:eastAsia="zh-CN"/>
              </w:rPr>
              <w:t>表2-2    主要建设内容一览表</w:t>
            </w:r>
          </w:p>
          <w:tbl>
            <w:tblPr>
              <w:tblStyle w:val="25"/>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290"/>
              <w:gridCol w:w="6"/>
              <w:gridCol w:w="1354"/>
              <w:gridCol w:w="1695"/>
              <w:gridCol w:w="1071"/>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271" w:type="pct"/>
                  <w:gridSpan w:val="3"/>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类别</w:t>
                  </w:r>
                </w:p>
              </w:tc>
              <w:tc>
                <w:tcPr>
                  <w:tcW w:w="2004"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建设内容</w:t>
                  </w:r>
                </w:p>
              </w:tc>
              <w:tc>
                <w:tcPr>
                  <w:tcW w:w="704" w:type="pc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计量单位</w:t>
                  </w:r>
                </w:p>
              </w:tc>
              <w:tc>
                <w:tcPr>
                  <w:tcW w:w="1020" w:type="pc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19" w:type="pct"/>
                  <w:vMerge w:val="restart"/>
                  <w:noWrap w:val="0"/>
                  <w:vAlign w:val="center"/>
                </w:tcPr>
                <w:p>
                  <w:pPr>
                    <w:pStyle w:val="59"/>
                    <w:bidi w:val="0"/>
                    <w:rPr>
                      <w:rFonts w:hint="default"/>
                      <w:lang w:val="en-US" w:eastAsia="zh-CN"/>
                    </w:rPr>
                  </w:pPr>
                  <w:r>
                    <w:rPr>
                      <w:rFonts w:hint="default"/>
                      <w:lang w:val="en-US" w:eastAsia="zh-CN"/>
                    </w:rPr>
                    <w:t>主体工程</w:t>
                  </w:r>
                </w:p>
              </w:tc>
              <w:tc>
                <w:tcPr>
                  <w:tcW w:w="851" w:type="pct"/>
                  <w:gridSpan w:val="2"/>
                  <w:vMerge w:val="restart"/>
                  <w:noWrap w:val="0"/>
                  <w:vAlign w:val="center"/>
                </w:tcPr>
                <w:p>
                  <w:pPr>
                    <w:pStyle w:val="59"/>
                    <w:bidi w:val="0"/>
                    <w:rPr>
                      <w:rFonts w:hint="default"/>
                      <w:lang w:val="en-US" w:eastAsia="zh-CN"/>
                    </w:rPr>
                  </w:pPr>
                  <w:r>
                    <w:rPr>
                      <w:rFonts w:hint="eastAsia"/>
                      <w:lang w:val="en-US" w:eastAsia="zh-CN"/>
                    </w:rPr>
                    <w:t>地形、地质测量</w:t>
                  </w:r>
                </w:p>
              </w:tc>
              <w:tc>
                <w:tcPr>
                  <w:tcW w:w="2004" w:type="pct"/>
                  <w:gridSpan w:val="2"/>
                  <w:shd w:val="clear" w:color="auto" w:fill="auto"/>
                  <w:noWrap w:val="0"/>
                  <w:vAlign w:val="center"/>
                </w:tcPr>
                <w:p>
                  <w:pPr>
                    <w:pStyle w:val="59"/>
                    <w:bidi w:val="0"/>
                    <w:rPr>
                      <w:rFonts w:hint="default"/>
                      <w:lang w:val="en-US" w:eastAsia="zh-CN"/>
                    </w:rPr>
                  </w:pPr>
                  <w:r>
                    <w:rPr>
                      <w:rFonts w:hint="default"/>
                      <w:lang w:val="en-US" w:eastAsia="zh-CN"/>
                    </w:rPr>
                    <w:t>GPS  E级控制点测量</w:t>
                  </w:r>
                </w:p>
              </w:tc>
              <w:tc>
                <w:tcPr>
                  <w:tcW w:w="704" w:type="pct"/>
                  <w:shd w:val="clear" w:color="auto" w:fill="auto"/>
                  <w:noWrap w:val="0"/>
                  <w:vAlign w:val="center"/>
                </w:tcPr>
                <w:p>
                  <w:pPr>
                    <w:pStyle w:val="59"/>
                    <w:bidi w:val="0"/>
                    <w:rPr>
                      <w:rFonts w:hint="default"/>
                      <w:lang w:val="en-US" w:eastAsia="zh-CN"/>
                    </w:rPr>
                  </w:pPr>
                  <w:r>
                    <w:rPr>
                      <w:rFonts w:hint="eastAsia"/>
                      <w:lang w:val="en-US" w:eastAsia="zh-CN"/>
                    </w:rPr>
                    <w:t>个</w:t>
                  </w:r>
                </w:p>
              </w:tc>
              <w:tc>
                <w:tcPr>
                  <w:tcW w:w="1020" w:type="pct"/>
                  <w:shd w:val="clear" w:color="auto" w:fill="auto"/>
                  <w:noWrap w:val="0"/>
                  <w:vAlign w:val="center"/>
                </w:tcPr>
                <w:p>
                  <w:pPr>
                    <w:pStyle w:val="59"/>
                    <w:bidi w:val="0"/>
                    <w:rPr>
                      <w:rFonts w:hint="default"/>
                      <w:lang w:val="en-US" w:eastAsia="zh-CN"/>
                    </w:rPr>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eastAsia"/>
                      <w:lang w:val="en-US" w:eastAsia="zh-CN"/>
                    </w:rPr>
                  </w:pPr>
                </w:p>
              </w:tc>
              <w:tc>
                <w:tcPr>
                  <w:tcW w:w="2004" w:type="pct"/>
                  <w:gridSpan w:val="2"/>
                  <w:shd w:val="clear" w:color="auto" w:fill="auto"/>
                  <w:noWrap w:val="0"/>
                  <w:vAlign w:val="center"/>
                </w:tcPr>
                <w:p>
                  <w:pPr>
                    <w:pStyle w:val="59"/>
                    <w:bidi w:val="0"/>
                    <w:rPr>
                      <w:rFonts w:hint="default"/>
                      <w:lang w:val="en-US" w:eastAsia="zh-CN"/>
                    </w:rPr>
                  </w:pPr>
                  <w:r>
                    <w:t>1</w:t>
                  </w:r>
                  <w:r>
                    <w:rPr>
                      <w:rFonts w:hint="eastAsia"/>
                    </w:rPr>
                    <w:t>:</w:t>
                  </w:r>
                  <w:r>
                    <w:t>2</w:t>
                  </w:r>
                  <w:r>
                    <w:rPr>
                      <w:rFonts w:hint="eastAsia"/>
                      <w:lang w:val="en-US" w:eastAsia="zh-CN"/>
                    </w:rPr>
                    <w:t>000地形测量</w:t>
                  </w:r>
                </w:p>
              </w:tc>
              <w:tc>
                <w:tcPr>
                  <w:tcW w:w="704" w:type="pct"/>
                  <w:shd w:val="clear" w:color="auto" w:fill="auto"/>
                  <w:noWrap w:val="0"/>
                  <w:vAlign w:val="center"/>
                </w:tcPr>
                <w:p>
                  <w:pPr>
                    <w:pStyle w:val="59"/>
                    <w:bidi w:val="0"/>
                    <w:rPr>
                      <w:rFonts w:hint="default"/>
                      <w:lang w:val="en-US" w:eastAsia="zh-CN"/>
                    </w:rPr>
                  </w:pPr>
                  <w:r>
                    <w:rPr>
                      <w:rFonts w:hint="default"/>
                      <w:lang w:val="en-US" w:eastAsia="zh-CN"/>
                    </w:rPr>
                    <w:t>平方千米</w:t>
                  </w:r>
                </w:p>
              </w:tc>
              <w:tc>
                <w:tcPr>
                  <w:tcW w:w="1020" w:type="pct"/>
                  <w:shd w:val="clear" w:color="auto" w:fill="auto"/>
                  <w:noWrap w:val="0"/>
                  <w:vAlign w:val="center"/>
                </w:tcPr>
                <w:p>
                  <w:pPr>
                    <w:pStyle w:val="59"/>
                    <w:bidi w:val="0"/>
                    <w:rPr>
                      <w:rFonts w:hint="default"/>
                      <w:lang w:val="en-US" w:eastAsia="zh-CN"/>
                    </w:rPr>
                  </w:pPr>
                  <w:r>
                    <w:rPr>
                      <w:rFonts w:hint="eastAsia"/>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eastAsia"/>
                      <w:lang w:val="en-US" w:eastAsia="zh-CN"/>
                    </w:rPr>
                  </w:pPr>
                </w:p>
              </w:tc>
              <w:tc>
                <w:tcPr>
                  <w:tcW w:w="2004" w:type="pct"/>
                  <w:gridSpan w:val="2"/>
                  <w:shd w:val="clear" w:color="auto" w:fill="auto"/>
                  <w:noWrap w:val="0"/>
                  <w:vAlign w:val="center"/>
                </w:tcPr>
                <w:p>
                  <w:pPr>
                    <w:pStyle w:val="59"/>
                    <w:bidi w:val="0"/>
                  </w:pPr>
                  <w:r>
                    <w:rPr>
                      <w:rFonts w:hint="default"/>
                    </w:rPr>
                    <w:t>1:</w:t>
                  </w:r>
                  <w:r>
                    <w:rPr>
                      <w:rFonts w:hint="eastAsia"/>
                      <w:lang w:val="en-US" w:eastAsia="zh-CN"/>
                    </w:rPr>
                    <w:t>2000</w:t>
                  </w:r>
                  <w:r>
                    <w:rPr>
                      <w:rFonts w:hint="default"/>
                    </w:rPr>
                    <w:t>地质修测</w:t>
                  </w:r>
                </w:p>
              </w:tc>
              <w:tc>
                <w:tcPr>
                  <w:tcW w:w="704" w:type="pct"/>
                  <w:shd w:val="clear" w:color="auto" w:fill="auto"/>
                  <w:noWrap w:val="0"/>
                  <w:vAlign w:val="center"/>
                </w:tcPr>
                <w:p>
                  <w:pPr>
                    <w:pStyle w:val="59"/>
                    <w:bidi w:val="0"/>
                    <w:rPr>
                      <w:rFonts w:hint="default"/>
                      <w:lang w:val="en-US" w:eastAsia="zh-CN"/>
                    </w:rPr>
                  </w:pPr>
                  <w:r>
                    <w:rPr>
                      <w:rFonts w:hint="default"/>
                      <w:lang w:val="en-US" w:eastAsia="zh-CN"/>
                    </w:rPr>
                    <w:t>平方千米</w:t>
                  </w:r>
                </w:p>
              </w:tc>
              <w:tc>
                <w:tcPr>
                  <w:tcW w:w="1020" w:type="pct"/>
                  <w:shd w:val="clear" w:color="auto" w:fill="auto"/>
                  <w:noWrap w:val="0"/>
                  <w:vAlign w:val="center"/>
                </w:tcPr>
                <w:p>
                  <w:pPr>
                    <w:pStyle w:val="59"/>
                    <w:bidi w:val="0"/>
                    <w:rPr>
                      <w:rFonts w:hint="eastAsia"/>
                      <w:lang w:val="en-US" w:eastAsia="zh-CN"/>
                    </w:rPr>
                  </w:pPr>
                  <w:r>
                    <w:rPr>
                      <w:rFonts w:hint="eastAsia"/>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shd w:val="clear" w:color="auto" w:fill="auto"/>
                  <w:noWrap w:val="0"/>
                  <w:vAlign w:val="center"/>
                </w:tcPr>
                <w:p>
                  <w:pPr>
                    <w:pStyle w:val="59"/>
                    <w:bidi w:val="0"/>
                    <w:rPr>
                      <w:rFonts w:hint="eastAsia"/>
                      <w:lang w:val="en-US" w:eastAsia="zh-CN"/>
                    </w:rPr>
                  </w:pPr>
                  <w:r>
                    <w:t>1</w:t>
                  </w:r>
                  <w:r>
                    <w:rPr>
                      <w:rFonts w:hint="eastAsia"/>
                    </w:rPr>
                    <w:t>:</w:t>
                  </w:r>
                  <w:r>
                    <w:rPr>
                      <w:rFonts w:hint="eastAsia"/>
                      <w:lang w:val="en-US" w:eastAsia="zh-CN"/>
                    </w:rPr>
                    <w:t>2000水工环测量</w:t>
                  </w:r>
                </w:p>
              </w:tc>
              <w:tc>
                <w:tcPr>
                  <w:tcW w:w="704" w:type="pct"/>
                  <w:shd w:val="clear" w:color="auto" w:fill="auto"/>
                  <w:noWrap w:val="0"/>
                  <w:vAlign w:val="center"/>
                </w:tcPr>
                <w:p>
                  <w:pPr>
                    <w:pStyle w:val="59"/>
                    <w:bidi w:val="0"/>
                    <w:rPr>
                      <w:rFonts w:hint="default"/>
                      <w:lang w:val="en-US" w:eastAsia="zh-CN"/>
                    </w:rPr>
                  </w:pPr>
                  <w:r>
                    <w:rPr>
                      <w:rFonts w:hint="default"/>
                      <w:lang w:val="en-US" w:eastAsia="zh-CN"/>
                    </w:rPr>
                    <w:t>平方千米</w:t>
                  </w:r>
                </w:p>
              </w:tc>
              <w:tc>
                <w:tcPr>
                  <w:tcW w:w="1020" w:type="pct"/>
                  <w:shd w:val="clear" w:color="auto" w:fill="auto"/>
                  <w:noWrap w:val="0"/>
                  <w:vAlign w:val="center"/>
                </w:tcPr>
                <w:p>
                  <w:pPr>
                    <w:pStyle w:val="59"/>
                    <w:bidi w:val="0"/>
                    <w:rPr>
                      <w:rFonts w:hint="default"/>
                      <w:lang w:val="en-US" w:eastAsia="zh-CN"/>
                    </w:rPr>
                  </w:pPr>
                  <w:r>
                    <w:rPr>
                      <w:rFonts w:hint="eastAsia"/>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restart"/>
                  <w:noWrap w:val="0"/>
                  <w:vAlign w:val="center"/>
                </w:tcPr>
                <w:p>
                  <w:pPr>
                    <w:pStyle w:val="59"/>
                    <w:bidi w:val="0"/>
                    <w:rPr>
                      <w:rFonts w:hint="default"/>
                      <w:lang w:val="en-US" w:eastAsia="zh-CN"/>
                    </w:rPr>
                  </w:pPr>
                  <w:r>
                    <w:rPr>
                      <w:rFonts w:hint="default"/>
                      <w:lang w:eastAsia="zh-CN"/>
                    </w:rPr>
                    <w:t>探矿工程</w:t>
                  </w:r>
                </w:p>
              </w:tc>
              <w:tc>
                <w:tcPr>
                  <w:tcW w:w="2004" w:type="pct"/>
                  <w:gridSpan w:val="2"/>
                  <w:shd w:val="clear" w:color="auto" w:fill="auto"/>
                  <w:noWrap w:val="0"/>
                  <w:vAlign w:val="center"/>
                </w:tcPr>
                <w:p>
                  <w:pPr>
                    <w:pStyle w:val="59"/>
                    <w:bidi w:val="0"/>
                    <w:rPr>
                      <w:rFonts w:hint="default"/>
                      <w:lang w:val="en-US" w:eastAsia="zh-CN"/>
                    </w:rPr>
                  </w:pPr>
                  <w:r>
                    <w:rPr>
                      <w:rFonts w:hint="default"/>
                    </w:rPr>
                    <w:t>槽探</w:t>
                  </w:r>
                </w:p>
              </w:tc>
              <w:tc>
                <w:tcPr>
                  <w:tcW w:w="704" w:type="pct"/>
                  <w:shd w:val="clear" w:color="auto" w:fill="auto"/>
                  <w:noWrap w:val="0"/>
                  <w:vAlign w:val="center"/>
                </w:tcPr>
                <w:p>
                  <w:pPr>
                    <w:pStyle w:val="59"/>
                    <w:bidi w:val="0"/>
                    <w:rPr>
                      <w:rFonts w:hint="default"/>
                      <w:lang w:val="en-US" w:eastAsia="zh-CN"/>
                    </w:rPr>
                  </w:pPr>
                  <w:r>
                    <w:rPr>
                      <w:rFonts w:hint="default"/>
                      <w:lang w:val="en-US" w:eastAsia="zh-CN"/>
                    </w:rPr>
                    <w:t>立方米</w:t>
                  </w:r>
                </w:p>
              </w:tc>
              <w:tc>
                <w:tcPr>
                  <w:tcW w:w="1020" w:type="pct"/>
                  <w:shd w:val="clear" w:color="auto" w:fill="auto"/>
                  <w:noWrap w:val="0"/>
                  <w:vAlign w:val="center"/>
                </w:tcPr>
                <w:p>
                  <w:pPr>
                    <w:pStyle w:val="59"/>
                    <w:bidi w:val="0"/>
                    <w:rPr>
                      <w:rFonts w:hint="default"/>
                      <w:lang w:val="en-US" w:eastAsia="zh-CN"/>
                    </w:rPr>
                  </w:pPr>
                  <w:r>
                    <w:rPr>
                      <w:rFonts w:hint="eastAsia"/>
                      <w:lang w:val="en-US" w:eastAsia="zh-CN"/>
                    </w:rPr>
                    <w:t>6000（111条）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noWrap w:val="0"/>
                  <w:vAlign w:val="center"/>
                </w:tcPr>
                <w:p>
                  <w:pPr>
                    <w:pStyle w:val="59"/>
                    <w:bidi w:val="0"/>
                    <w:rPr>
                      <w:rFonts w:hint="default"/>
                      <w:lang w:val="en-US" w:eastAsia="zh-CN"/>
                    </w:rPr>
                  </w:pPr>
                  <w:r>
                    <w:rPr>
                      <w:rFonts w:hint="eastAsia"/>
                      <w:lang w:val="en-US" w:eastAsia="zh-CN"/>
                    </w:rPr>
                    <w:t>钻探</w:t>
                  </w:r>
                </w:p>
              </w:tc>
              <w:tc>
                <w:tcPr>
                  <w:tcW w:w="704" w:type="pct"/>
                  <w:noWrap w:val="0"/>
                  <w:vAlign w:val="center"/>
                </w:tcPr>
                <w:p>
                  <w:pPr>
                    <w:pStyle w:val="59"/>
                    <w:bidi w:val="0"/>
                    <w:rPr>
                      <w:rFonts w:hint="default"/>
                      <w:lang w:val="en-US" w:eastAsia="zh-CN"/>
                    </w:rPr>
                  </w:pPr>
                  <w:r>
                    <w:rPr>
                      <w:rFonts w:hint="eastAsia"/>
                      <w:lang w:val="en-US" w:eastAsia="zh-CN"/>
                    </w:rPr>
                    <w:t>米</w:t>
                  </w:r>
                </w:p>
              </w:tc>
              <w:tc>
                <w:tcPr>
                  <w:tcW w:w="1020" w:type="pct"/>
                  <w:noWrap w:val="0"/>
                  <w:vAlign w:val="center"/>
                </w:tcPr>
                <w:p>
                  <w:pPr>
                    <w:pStyle w:val="59"/>
                    <w:bidi w:val="0"/>
                    <w:rPr>
                      <w:rFonts w:hint="default"/>
                      <w:lang w:val="en-US" w:eastAsia="zh-CN"/>
                    </w:rPr>
                  </w:pPr>
                  <w:r>
                    <w:rPr>
                      <w:rFonts w:hint="eastAsia"/>
                      <w:lang w:val="en-US" w:eastAsia="zh-CN"/>
                    </w:rPr>
                    <w:t>10600（36孔）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restart"/>
                  <w:tcBorders>
                    <w:top w:val="single" w:color="000000" w:sz="4" w:space="0"/>
                  </w:tcBorders>
                  <w:noWrap w:val="0"/>
                  <w:vAlign w:val="center"/>
                </w:tcPr>
                <w:p>
                  <w:pPr>
                    <w:pStyle w:val="59"/>
                    <w:bidi w:val="0"/>
                    <w:rPr>
                      <w:rFonts w:hint="default"/>
                      <w:lang w:val="en-US" w:eastAsia="zh-CN"/>
                    </w:rPr>
                  </w:pPr>
                  <w:r>
                    <w:rPr>
                      <w:rFonts w:hint="default"/>
                      <w:lang w:val="en-US" w:eastAsia="zh-CN"/>
                    </w:rPr>
                    <w:t>采样与分析</w:t>
                  </w:r>
                </w:p>
              </w:tc>
              <w:tc>
                <w:tcPr>
                  <w:tcW w:w="2004" w:type="pct"/>
                  <w:gridSpan w:val="2"/>
                  <w:tcBorders>
                    <w:top w:val="single" w:color="000000" w:sz="4" w:space="0"/>
                  </w:tcBorders>
                  <w:noWrap w:val="0"/>
                  <w:vAlign w:val="center"/>
                </w:tcPr>
                <w:p>
                  <w:pPr>
                    <w:pStyle w:val="59"/>
                    <w:bidi w:val="0"/>
                    <w:rPr>
                      <w:rFonts w:hint="default"/>
                      <w:lang w:val="en-US" w:eastAsia="zh-CN"/>
                    </w:rPr>
                  </w:pPr>
                  <w:r>
                    <w:t>基本分析样</w:t>
                  </w:r>
                </w:p>
              </w:tc>
              <w:tc>
                <w:tcPr>
                  <w:tcW w:w="704" w:type="pct"/>
                  <w:noWrap w:val="0"/>
                  <w:vAlign w:val="center"/>
                </w:tcPr>
                <w:p>
                  <w:pPr>
                    <w:pStyle w:val="59"/>
                    <w:bidi w:val="0"/>
                    <w:rPr>
                      <w:rFonts w:hint="default"/>
                      <w:lang w:val="en-US" w:eastAsia="zh-CN"/>
                    </w:rPr>
                  </w:pPr>
                  <w:r>
                    <w:t>件</w:t>
                  </w:r>
                </w:p>
              </w:tc>
              <w:tc>
                <w:tcPr>
                  <w:tcW w:w="1020" w:type="pct"/>
                  <w:noWrap w:val="0"/>
                  <w:vAlign w:val="center"/>
                </w:tcPr>
                <w:p>
                  <w:pPr>
                    <w:pStyle w:val="59"/>
                    <w:bidi w:val="0"/>
                    <w:rPr>
                      <w:rFonts w:hint="default"/>
                      <w:lang w:val="en-US" w:eastAsia="zh-CN"/>
                    </w:rPr>
                  </w:pPr>
                  <w:r>
                    <w:rPr>
                      <w:rFonts w:hint="eastAsia"/>
                      <w:lang w:val="en-US" w:eastAsia="zh-CN"/>
                    </w:rPr>
                    <w:t>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lang w:val="en-US" w:eastAsia="zh-CN"/>
                    </w:rPr>
                  </w:pPr>
                  <w:r>
                    <w:t>组合分析样</w:t>
                  </w:r>
                </w:p>
              </w:tc>
              <w:tc>
                <w:tcPr>
                  <w:tcW w:w="704" w:type="pct"/>
                  <w:noWrap w:val="0"/>
                  <w:vAlign w:val="center"/>
                </w:tcPr>
                <w:p>
                  <w:pPr>
                    <w:pStyle w:val="59"/>
                    <w:bidi w:val="0"/>
                    <w:rPr>
                      <w:rFonts w:hint="default"/>
                      <w:lang w:val="en-US" w:eastAsia="zh-CN"/>
                    </w:rPr>
                  </w:pPr>
                  <w:r>
                    <w:t>件</w:t>
                  </w:r>
                </w:p>
              </w:tc>
              <w:tc>
                <w:tcPr>
                  <w:tcW w:w="1020" w:type="pct"/>
                  <w:noWrap w:val="0"/>
                  <w:vAlign w:val="center"/>
                </w:tcPr>
                <w:p>
                  <w:pPr>
                    <w:pStyle w:val="59"/>
                    <w:bidi w:val="0"/>
                    <w:rPr>
                      <w:rFonts w:hint="default"/>
                      <w:lang w:val="en-US" w:eastAsia="zh-CN"/>
                    </w:rPr>
                  </w:pPr>
                  <w:r>
                    <w:rPr>
                      <w:rFonts w:hint="eastAsia"/>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lang w:val="en-US" w:eastAsia="zh-CN"/>
                    </w:rPr>
                  </w:pPr>
                  <w:r>
                    <w:rPr>
                      <w:rFonts w:hint="eastAsia"/>
                      <w:lang w:val="en-US" w:eastAsia="zh-CN"/>
                    </w:rPr>
                    <w:t>光谱定量全分析样</w:t>
                  </w:r>
                </w:p>
              </w:tc>
              <w:tc>
                <w:tcPr>
                  <w:tcW w:w="704" w:type="pct"/>
                  <w:noWrap w:val="0"/>
                  <w:vAlign w:val="center"/>
                </w:tcPr>
                <w:p>
                  <w:pPr>
                    <w:pStyle w:val="59"/>
                    <w:bidi w:val="0"/>
                    <w:rPr>
                      <w:rFonts w:hint="default"/>
                      <w:lang w:val="en-US" w:eastAsia="zh-CN"/>
                    </w:rPr>
                  </w:pPr>
                  <w:r>
                    <w:t>件</w:t>
                  </w:r>
                </w:p>
              </w:tc>
              <w:tc>
                <w:tcPr>
                  <w:tcW w:w="1020" w:type="pct"/>
                  <w:noWrap w:val="0"/>
                  <w:vAlign w:val="center"/>
                </w:tcPr>
                <w:p>
                  <w:pPr>
                    <w:pStyle w:val="59"/>
                    <w:bidi w:val="0"/>
                    <w:rPr>
                      <w:rFonts w:hint="default"/>
                      <w:lang w:val="en-US" w:eastAsia="zh-CN"/>
                    </w:rPr>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lang w:val="en-US" w:eastAsia="zh-CN"/>
                    </w:rPr>
                  </w:pPr>
                  <w:r>
                    <w:rPr>
                      <w:rFonts w:hint="eastAsia"/>
                      <w:lang w:val="en-US" w:eastAsia="zh-CN"/>
                    </w:rPr>
                    <w:t>岩/矿石化学全分析</w:t>
                  </w:r>
                </w:p>
              </w:tc>
              <w:tc>
                <w:tcPr>
                  <w:tcW w:w="704" w:type="pct"/>
                  <w:noWrap w:val="0"/>
                  <w:vAlign w:val="center"/>
                </w:tcPr>
                <w:p>
                  <w:pPr>
                    <w:pStyle w:val="59"/>
                    <w:bidi w:val="0"/>
                    <w:rPr>
                      <w:rFonts w:hint="default"/>
                      <w:lang w:val="en-US" w:eastAsia="zh-CN"/>
                    </w:rPr>
                  </w:pPr>
                  <w:r>
                    <w:t>件</w:t>
                  </w:r>
                </w:p>
              </w:tc>
              <w:tc>
                <w:tcPr>
                  <w:tcW w:w="1020" w:type="pct"/>
                  <w:noWrap w:val="0"/>
                  <w:vAlign w:val="center"/>
                </w:tcPr>
                <w:p>
                  <w:pPr>
                    <w:pStyle w:val="59"/>
                    <w:bidi w:val="0"/>
                    <w:rPr>
                      <w:rFonts w:hint="default"/>
                      <w:lang w:val="en-US" w:eastAsia="zh-CN"/>
                    </w:rPr>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lang w:val="en-US" w:eastAsia="zh-CN"/>
                    </w:rPr>
                  </w:pPr>
                  <w:r>
                    <w:rPr>
                      <w:rFonts w:hint="eastAsia"/>
                    </w:rPr>
                    <w:t>岩石力学样</w:t>
                  </w:r>
                </w:p>
              </w:tc>
              <w:tc>
                <w:tcPr>
                  <w:tcW w:w="704" w:type="pct"/>
                  <w:noWrap w:val="0"/>
                  <w:vAlign w:val="top"/>
                </w:tcPr>
                <w:p>
                  <w:pPr>
                    <w:pStyle w:val="59"/>
                    <w:bidi w:val="0"/>
                    <w:rPr>
                      <w:rFonts w:hint="eastAsia" w:eastAsia="宋体"/>
                      <w:lang w:val="en-US" w:eastAsia="zh-CN"/>
                    </w:rPr>
                  </w:pPr>
                  <w:r>
                    <w:rPr>
                      <w:rFonts w:hint="eastAsia"/>
                      <w:lang w:val="en-US" w:eastAsia="zh-CN"/>
                    </w:rPr>
                    <w:t>组</w:t>
                  </w:r>
                </w:p>
              </w:tc>
              <w:tc>
                <w:tcPr>
                  <w:tcW w:w="1020" w:type="pct"/>
                  <w:noWrap w:val="0"/>
                  <w:vAlign w:val="center"/>
                </w:tcPr>
                <w:p>
                  <w:pPr>
                    <w:pStyle w:val="59"/>
                    <w:bidi w:val="0"/>
                    <w:rPr>
                      <w:rFonts w:hint="default"/>
                      <w:lang w:val="en-US" w:eastAsia="zh-CN"/>
                    </w:rPr>
                  </w:pPr>
                  <w:r>
                    <w:rPr>
                      <w:rFonts w:hint="eastAsia"/>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rPr>
                  </w:pPr>
                  <w:r>
                    <w:rPr>
                      <w:rFonts w:hint="eastAsia"/>
                      <w:lang w:val="en-US" w:eastAsia="zh-CN"/>
                    </w:rPr>
                    <w:t>水质全分析样品</w:t>
                  </w:r>
                </w:p>
              </w:tc>
              <w:tc>
                <w:tcPr>
                  <w:tcW w:w="704" w:type="pct"/>
                  <w:noWrap w:val="0"/>
                  <w:vAlign w:val="top"/>
                </w:tcPr>
                <w:p>
                  <w:pPr>
                    <w:bidi w:val="0"/>
                    <w:ind w:left="0" w:leftChars="0" w:right="0" w:rightChars="0" w:firstLine="0" w:firstLineChars="0"/>
                    <w:jc w:val="center"/>
                  </w:pPr>
                  <w:r>
                    <w:t>件</w:t>
                  </w:r>
                </w:p>
              </w:tc>
              <w:tc>
                <w:tcPr>
                  <w:tcW w:w="1020" w:type="pct"/>
                  <w:noWrap w:val="0"/>
                  <w:vAlign w:val="center"/>
                </w:tcPr>
                <w:p>
                  <w:pPr>
                    <w:pStyle w:val="59"/>
                    <w:bidi w:val="0"/>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rPr>
                  </w:pPr>
                  <w:r>
                    <w:rPr>
                      <w:rFonts w:hint="eastAsia"/>
                    </w:rPr>
                    <w:t>基本分析内检样</w:t>
                  </w:r>
                </w:p>
              </w:tc>
              <w:tc>
                <w:tcPr>
                  <w:tcW w:w="704" w:type="pct"/>
                  <w:noWrap w:val="0"/>
                  <w:vAlign w:val="top"/>
                </w:tcPr>
                <w:p>
                  <w:pPr>
                    <w:bidi w:val="0"/>
                    <w:ind w:left="0" w:leftChars="0" w:right="0" w:rightChars="0" w:firstLine="0" w:firstLineChars="0"/>
                    <w:jc w:val="center"/>
                  </w:pPr>
                  <w:r>
                    <w:t>件</w:t>
                  </w:r>
                </w:p>
              </w:tc>
              <w:tc>
                <w:tcPr>
                  <w:tcW w:w="1020" w:type="pct"/>
                  <w:noWrap w:val="0"/>
                  <w:vAlign w:val="center"/>
                </w:tcPr>
                <w:p>
                  <w:pPr>
                    <w:pStyle w:val="59"/>
                    <w:bidi w:val="0"/>
                    <w:rPr>
                      <w:rFonts w:hint="default"/>
                      <w:lang w:val="en-US" w:eastAsia="zh-CN"/>
                    </w:rPr>
                  </w:pPr>
                  <w:r>
                    <w:rPr>
                      <w:rFonts w:hint="eastAsia"/>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rPr>
                  </w:pPr>
                  <w:r>
                    <w:rPr>
                      <w:rFonts w:hint="eastAsia"/>
                    </w:rPr>
                    <w:t>基本分析外检样</w:t>
                  </w:r>
                </w:p>
              </w:tc>
              <w:tc>
                <w:tcPr>
                  <w:tcW w:w="704" w:type="pct"/>
                  <w:noWrap w:val="0"/>
                  <w:vAlign w:val="top"/>
                </w:tcPr>
                <w:p>
                  <w:pPr>
                    <w:bidi w:val="0"/>
                    <w:ind w:left="0" w:leftChars="0" w:right="0" w:rightChars="0" w:firstLine="0" w:firstLineChars="0"/>
                    <w:jc w:val="center"/>
                  </w:pPr>
                  <w:r>
                    <w:t>件</w:t>
                  </w:r>
                </w:p>
              </w:tc>
              <w:tc>
                <w:tcPr>
                  <w:tcW w:w="1020" w:type="pct"/>
                  <w:noWrap w:val="0"/>
                  <w:vAlign w:val="center"/>
                </w:tcPr>
                <w:p>
                  <w:pPr>
                    <w:pStyle w:val="59"/>
                    <w:bidi w:val="0"/>
                    <w:rPr>
                      <w:rFonts w:hint="default"/>
                      <w:lang w:val="en-US" w:eastAsia="zh-CN"/>
                    </w:rPr>
                  </w:pPr>
                  <w:r>
                    <w:rPr>
                      <w:rFonts w:hint="eastAsia"/>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rPr>
                  </w:pPr>
                  <w:r>
                    <w:rPr>
                      <w:rFonts w:hint="eastAsia"/>
                      <w:lang w:val="en-US" w:eastAsia="zh-CN"/>
                    </w:rPr>
                    <w:t>物相分析（钛物相）</w:t>
                  </w:r>
                </w:p>
              </w:tc>
              <w:tc>
                <w:tcPr>
                  <w:tcW w:w="704" w:type="pct"/>
                  <w:noWrap w:val="0"/>
                  <w:vAlign w:val="top"/>
                </w:tcPr>
                <w:p>
                  <w:pPr>
                    <w:bidi w:val="0"/>
                    <w:ind w:left="0" w:leftChars="0" w:right="0" w:rightChars="0" w:firstLine="0" w:firstLineChars="0"/>
                    <w:jc w:val="center"/>
                  </w:pPr>
                  <w:r>
                    <w:t>件</w:t>
                  </w:r>
                </w:p>
              </w:tc>
              <w:tc>
                <w:tcPr>
                  <w:tcW w:w="1020" w:type="pct"/>
                  <w:noWrap w:val="0"/>
                  <w:vAlign w:val="center"/>
                </w:tcPr>
                <w:p>
                  <w:pPr>
                    <w:pStyle w:val="59"/>
                    <w:bidi w:val="0"/>
                    <w:rPr>
                      <w:rFonts w:hint="default"/>
                      <w:lang w:val="en-US" w:eastAsia="zh-CN"/>
                    </w:rPr>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rPr>
                  </w:pPr>
                  <w:r>
                    <w:t>小体重</w:t>
                  </w:r>
                </w:p>
              </w:tc>
              <w:tc>
                <w:tcPr>
                  <w:tcW w:w="704" w:type="pct"/>
                  <w:noWrap w:val="0"/>
                  <w:vAlign w:val="top"/>
                </w:tcPr>
                <w:p>
                  <w:pPr>
                    <w:bidi w:val="0"/>
                    <w:ind w:left="0" w:leftChars="0" w:right="0" w:rightChars="0" w:firstLine="0" w:firstLineChars="0"/>
                    <w:jc w:val="center"/>
                  </w:pPr>
                  <w:r>
                    <w:t>件</w:t>
                  </w:r>
                </w:p>
              </w:tc>
              <w:tc>
                <w:tcPr>
                  <w:tcW w:w="1020" w:type="pct"/>
                  <w:noWrap w:val="0"/>
                  <w:vAlign w:val="center"/>
                </w:tcPr>
                <w:p>
                  <w:pPr>
                    <w:pStyle w:val="59"/>
                    <w:bidi w:val="0"/>
                    <w:rPr>
                      <w:rFonts w:hint="default"/>
                      <w:lang w:val="en-US" w:eastAsia="zh-CN"/>
                    </w:rPr>
                  </w:pPr>
                  <w:r>
                    <w:rPr>
                      <w:rFonts w:hint="eastAsia"/>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19" w:type="pct"/>
                  <w:vMerge w:val="continue"/>
                  <w:noWrap w:val="0"/>
                  <w:vAlign w:val="center"/>
                </w:tcPr>
                <w:p>
                  <w:pPr>
                    <w:pStyle w:val="59"/>
                    <w:bidi w:val="0"/>
                    <w:rPr>
                      <w:rFonts w:hint="default"/>
                      <w:lang w:val="en-US" w:eastAsia="zh-CN"/>
                    </w:rPr>
                  </w:pPr>
                </w:p>
              </w:tc>
              <w:tc>
                <w:tcPr>
                  <w:tcW w:w="851" w:type="pct"/>
                  <w:gridSpan w:val="2"/>
                  <w:vMerge w:val="continue"/>
                  <w:noWrap w:val="0"/>
                  <w:vAlign w:val="center"/>
                </w:tcPr>
                <w:p>
                  <w:pPr>
                    <w:pStyle w:val="59"/>
                    <w:bidi w:val="0"/>
                    <w:rPr>
                      <w:rFonts w:hint="default"/>
                      <w:lang w:val="en-US" w:eastAsia="zh-CN"/>
                    </w:rPr>
                  </w:pPr>
                </w:p>
              </w:tc>
              <w:tc>
                <w:tcPr>
                  <w:tcW w:w="2004" w:type="pct"/>
                  <w:gridSpan w:val="2"/>
                  <w:tcBorders>
                    <w:top w:val="single" w:color="000000" w:sz="4" w:space="0"/>
                  </w:tcBorders>
                  <w:noWrap w:val="0"/>
                  <w:vAlign w:val="center"/>
                </w:tcPr>
                <w:p>
                  <w:pPr>
                    <w:pStyle w:val="59"/>
                    <w:bidi w:val="0"/>
                    <w:rPr>
                      <w:rFonts w:hint="eastAsia"/>
                      <w:lang w:val="en-US" w:eastAsia="zh-CN"/>
                    </w:rPr>
                  </w:pPr>
                  <w:r>
                    <w:rPr>
                      <w:rFonts w:hint="eastAsia"/>
                      <w:lang w:val="en-US" w:eastAsia="zh-CN"/>
                    </w:rPr>
                    <w:t>实验室流程选矿试验样</w:t>
                  </w:r>
                </w:p>
              </w:tc>
              <w:tc>
                <w:tcPr>
                  <w:tcW w:w="704" w:type="pct"/>
                  <w:noWrap w:val="0"/>
                  <w:vAlign w:val="top"/>
                </w:tcPr>
                <w:p>
                  <w:pPr>
                    <w:pStyle w:val="59"/>
                    <w:bidi w:val="0"/>
                    <w:rPr>
                      <w:rFonts w:hint="default"/>
                      <w:lang w:val="en-US" w:eastAsia="zh-CN"/>
                    </w:rPr>
                  </w:pPr>
                  <w:r>
                    <w:t>件</w:t>
                  </w:r>
                </w:p>
              </w:tc>
              <w:tc>
                <w:tcPr>
                  <w:tcW w:w="1020" w:type="pct"/>
                  <w:noWrap w:val="0"/>
                  <w:vAlign w:val="center"/>
                </w:tcPr>
                <w:p>
                  <w:pPr>
                    <w:pStyle w:val="59"/>
                    <w:bidi w:val="0"/>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419" w:type="pct"/>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辅助工程</w:t>
                  </w: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生活营地</w:t>
                  </w:r>
                </w:p>
              </w:tc>
              <w:tc>
                <w:tcPr>
                  <w:tcW w:w="3728" w:type="pct"/>
                  <w:gridSpan w:val="4"/>
                  <w:noWrap w:val="0"/>
                  <w:vAlign w:val="center"/>
                </w:tcPr>
                <w:p>
                  <w:pPr>
                    <w:pStyle w:val="59"/>
                    <w:bidi w:val="0"/>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不</w:t>
                  </w:r>
                  <w:r>
                    <w:rPr>
                      <w:rFonts w:hint="eastAsia" w:eastAsia="宋体" w:cs="Times New Roman"/>
                      <w:color w:val="auto"/>
                      <w:sz w:val="21"/>
                      <w:szCs w:val="21"/>
                      <w:lang w:val="en-US" w:eastAsia="zh-CN"/>
                    </w:rPr>
                    <w:t>设置生活营地</w:t>
                  </w:r>
                  <w:r>
                    <w:rPr>
                      <w:rFonts w:hint="eastAsia" w:cs="Times New Roman"/>
                      <w:color w:val="auto"/>
                      <w:sz w:val="21"/>
                      <w:szCs w:val="21"/>
                      <w:lang w:val="en-US" w:eastAsia="zh-CN"/>
                    </w:rPr>
                    <w:t>，工作人员在塔什店镇食宿，每日往返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highlight w:val="none"/>
                      <w:lang w:val="en-US" w:eastAsia="zh-CN"/>
                    </w:rPr>
                  </w:pP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设备贮存区</w:t>
                  </w:r>
                </w:p>
              </w:tc>
              <w:tc>
                <w:tcPr>
                  <w:tcW w:w="3728" w:type="pct"/>
                  <w:gridSpan w:val="4"/>
                  <w:noWrap w:val="0"/>
                  <w:vAlign w:val="center"/>
                </w:tcPr>
                <w:p>
                  <w:pPr>
                    <w:pStyle w:val="59"/>
                    <w:bidi w:val="0"/>
                    <w:rPr>
                      <w:rFonts w:hint="default" w:cs="Times New Roman"/>
                      <w:color w:val="auto"/>
                      <w:sz w:val="21"/>
                      <w:szCs w:val="21"/>
                      <w:lang w:val="en-US" w:eastAsia="zh-CN"/>
                    </w:rPr>
                  </w:pPr>
                  <w:r>
                    <w:rPr>
                      <w:rFonts w:hint="eastAsia" w:cs="Times New Roman"/>
                      <w:color w:val="auto"/>
                      <w:sz w:val="21"/>
                      <w:szCs w:val="21"/>
                      <w:lang w:val="en-US" w:eastAsia="zh-CN"/>
                    </w:rPr>
                    <w:t>勘查区内设置100m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设备贮存区，用于设备、材料堆放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highlight w:val="none"/>
                      <w:lang w:val="en-US" w:eastAsia="zh-CN"/>
                    </w:rPr>
                  </w:pP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矿区道路</w:t>
                  </w:r>
                </w:p>
              </w:tc>
              <w:tc>
                <w:tcPr>
                  <w:tcW w:w="3728" w:type="pct"/>
                  <w:gridSpan w:val="4"/>
                  <w:noWrap w:val="0"/>
                  <w:vAlign w:val="center"/>
                </w:tcPr>
                <w:p>
                  <w:pPr>
                    <w:pStyle w:val="59"/>
                    <w:bidi w:val="0"/>
                    <w:rPr>
                      <w:rFonts w:hint="default" w:eastAsia="宋体" w:cs="Times New Roman"/>
                      <w:color w:val="auto"/>
                      <w:sz w:val="21"/>
                      <w:szCs w:val="21"/>
                      <w:lang w:val="en-US" w:eastAsia="zh-CN"/>
                    </w:rPr>
                  </w:pPr>
                  <w:r>
                    <w:rPr>
                      <w:rFonts w:hint="eastAsia" w:cs="Times New Roman"/>
                      <w:color w:val="auto"/>
                      <w:sz w:val="21"/>
                      <w:szCs w:val="21"/>
                      <w:lang w:val="en-US" w:eastAsia="zh-CN"/>
                    </w:rPr>
                    <w:t>矿区内地势平缓，无需新建道路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atLeast"/>
                <w:jc w:val="center"/>
              </w:trPr>
              <w:tc>
                <w:tcPr>
                  <w:tcW w:w="419" w:type="pct"/>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储运</w:t>
                  </w:r>
                  <w:r>
                    <w:rPr>
                      <w:rFonts w:hint="default" w:ascii="Times New Roman" w:hAnsi="Times New Roman" w:eastAsia="宋体" w:cs="Times New Roman"/>
                      <w:color w:val="auto"/>
                      <w:sz w:val="21"/>
                      <w:szCs w:val="21"/>
                    </w:rPr>
                    <w:t>工程</w:t>
                  </w: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临时堆场</w:t>
                  </w:r>
                </w:p>
              </w:tc>
              <w:tc>
                <w:tcPr>
                  <w:tcW w:w="3728" w:type="pct"/>
                  <w:gridSpan w:val="4"/>
                  <w:noWrap w:val="0"/>
                  <w:vAlign w:val="center"/>
                </w:tcPr>
                <w:p>
                  <w:pPr>
                    <w:pStyle w:val="59"/>
                    <w:bidi w:val="0"/>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设置</w:t>
                  </w:r>
                  <w:r>
                    <w:rPr>
                      <w:rFonts w:hint="eastAsia" w:cs="Times New Roman"/>
                      <w:color w:val="auto"/>
                      <w:sz w:val="21"/>
                      <w:szCs w:val="21"/>
                      <w:highlight w:val="none"/>
                      <w:lang w:val="en-US" w:eastAsia="zh-CN"/>
                    </w:rPr>
                    <w:t>6500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临时堆场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5"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柴油贮存点</w:t>
                  </w:r>
                </w:p>
              </w:tc>
              <w:tc>
                <w:tcPr>
                  <w:tcW w:w="3728" w:type="pct"/>
                  <w:gridSpan w:val="4"/>
                  <w:noWrap w:val="0"/>
                  <w:vAlign w:val="center"/>
                </w:tcPr>
                <w:p>
                  <w:pPr>
                    <w:pStyle w:val="59"/>
                    <w:bidi w:val="0"/>
                    <w:rPr>
                      <w:rFonts w:hint="default" w:ascii="Times New Roman" w:hAnsi="Times New Roman" w:eastAsia="宋体" w:cs="Times New Roman"/>
                      <w:color w:val="auto"/>
                      <w:sz w:val="21"/>
                      <w:szCs w:val="21"/>
                      <w:highlight w:val="none"/>
                      <w:lang w:val="en-US" w:eastAsia="zh-CN"/>
                    </w:rPr>
                  </w:pPr>
                  <w:r>
                    <w:t>本项目</w:t>
                  </w:r>
                  <w:r>
                    <w:rPr>
                      <w:rFonts w:hint="eastAsia"/>
                      <w:lang w:val="en-US" w:eastAsia="zh-CN"/>
                    </w:rPr>
                    <w:t>现场</w:t>
                  </w:r>
                  <w:r>
                    <w:t>不设置固定柴油贮存点，</w:t>
                  </w:r>
                  <w:r>
                    <w:rPr>
                      <w:rFonts w:hint="eastAsia"/>
                      <w:lang w:val="en-US" w:eastAsia="zh-CN"/>
                    </w:rPr>
                    <w:t>勘探</w:t>
                  </w:r>
                  <w:r>
                    <w:t>所需油品定期从塔什店镇统一补给，</w:t>
                  </w:r>
                  <w:r>
                    <w:rPr>
                      <w:rFonts w:hint="eastAsia"/>
                      <w:lang w:val="en-US" w:eastAsia="zh-CN"/>
                    </w:rPr>
                    <w:t>现场</w:t>
                  </w:r>
                  <w:r>
                    <w:t>无油品长期贮存、堆放环节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jc w:val="center"/>
              </w:trPr>
              <w:tc>
                <w:tcPr>
                  <w:tcW w:w="419" w:type="pct"/>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公用工程</w:t>
                  </w: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供水</w:t>
                  </w:r>
                </w:p>
              </w:tc>
              <w:tc>
                <w:tcPr>
                  <w:tcW w:w="3728" w:type="pct"/>
                  <w:gridSpan w:val="4"/>
                  <w:noWrap w:val="0"/>
                  <w:vAlign w:val="center"/>
                </w:tcPr>
                <w:p>
                  <w:pPr>
                    <w:pStyle w:val="59"/>
                    <w:bidi w:val="0"/>
                    <w:rPr>
                      <w:rFonts w:hint="default" w:ascii="Times New Roman" w:hAnsi="Times New Roman" w:eastAsia="宋体" w:cs="Times New Roman"/>
                      <w:color w:val="auto"/>
                      <w:sz w:val="21"/>
                      <w:szCs w:val="21"/>
                      <w:lang w:val="en-US"/>
                    </w:rPr>
                  </w:pPr>
                  <w:r>
                    <w:rPr>
                      <w:rFonts w:hint="eastAsia" w:eastAsia="宋体" w:cs="Times New Roman"/>
                      <w:color w:val="auto"/>
                      <w:sz w:val="21"/>
                      <w:szCs w:val="21"/>
                      <w:lang w:val="en-US" w:eastAsia="zh-CN"/>
                    </w:rPr>
                    <w:t>从塔什店镇拉运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排水</w:t>
                  </w:r>
                </w:p>
              </w:tc>
              <w:tc>
                <w:tcPr>
                  <w:tcW w:w="3728" w:type="pct"/>
                  <w:gridSpan w:val="4"/>
                  <w:noWrap w:val="0"/>
                  <w:vAlign w:val="center"/>
                </w:tcPr>
                <w:p>
                  <w:pPr>
                    <w:pStyle w:val="59"/>
                    <w:bidi w:val="0"/>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项目工作人员食宿均依托塔什店镇现有生活设施，不在勘探场区食宿，日常生活产生的污水全部依托租住房屋配套的污水收集处理系统统一处置，项目区内无生活污水</w:t>
                  </w:r>
                  <w:r>
                    <w:rPr>
                      <w:rFonts w:hint="eastAsia"/>
                      <w:lang w:val="en-US" w:eastAsia="zh-CN"/>
                    </w:rPr>
                    <w:t>排放</w:t>
                  </w:r>
                  <w:r>
                    <w:rPr>
                      <w:rFonts w:hint="default" w:ascii="Times New Roman" w:hAnsi="Times New Roman" w:eastAsia="宋体" w:cs="Times New Roman"/>
                      <w:color w:val="auto"/>
                      <w:sz w:val="21"/>
                      <w:szCs w:val="21"/>
                      <w:lang w:val="en-US" w:eastAsia="zh-CN"/>
                    </w:rPr>
                    <w:t>；钻井设备冲洗水经沉淀池处理后用于洒水降尘，不外排；泥浆废水经泥浆沉淀池处理后全部回用于泥浆配制；勘查过程中产生的粉尘通过洒水降尘的措施进行处理，全部蒸发逸散，不外排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供电</w:t>
                  </w:r>
                </w:p>
              </w:tc>
              <w:tc>
                <w:tcPr>
                  <w:tcW w:w="3728" w:type="pct"/>
                  <w:gridSpan w:val="4"/>
                  <w:noWrap w:val="0"/>
                  <w:vAlign w:val="center"/>
                </w:tcPr>
                <w:p>
                  <w:pPr>
                    <w:pStyle w:val="59"/>
                    <w:bidi w:val="0"/>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柴油发电机发电</w:t>
                  </w:r>
                  <w:r>
                    <w:rPr>
                      <w:rFonts w:hint="eastAsia" w:cs="Times New Roman"/>
                      <w:color w:val="auto"/>
                      <w:sz w:val="21"/>
                      <w:szCs w:val="21"/>
                      <w:lang w:eastAsia="zh-CN"/>
                    </w:rPr>
                    <w:t>，</w:t>
                  </w:r>
                  <w:r>
                    <w:rPr>
                      <w:rFonts w:hint="eastAsia" w:cs="Times New Roman"/>
                      <w:color w:val="auto"/>
                      <w:sz w:val="21"/>
                      <w:szCs w:val="21"/>
                      <w:lang w:val="en-US" w:eastAsia="zh-CN"/>
                    </w:rPr>
                    <w:t>勘探机械设备使用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19" w:type="pct"/>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环保工程</w:t>
                  </w:r>
                </w:p>
              </w:tc>
              <w:tc>
                <w:tcPr>
                  <w:tcW w:w="851" w:type="pct"/>
                  <w:gridSpan w:val="2"/>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废气治理</w:t>
                  </w:r>
                </w:p>
              </w:tc>
              <w:tc>
                <w:tcPr>
                  <w:tcW w:w="890" w:type="pc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扬尘</w:t>
                  </w:r>
                </w:p>
              </w:tc>
              <w:tc>
                <w:tcPr>
                  <w:tcW w:w="2838" w:type="pct"/>
                  <w:gridSpan w:val="3"/>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开挖土</w:t>
                  </w:r>
                  <w:r>
                    <w:rPr>
                      <w:rFonts w:hint="default" w:ascii="Times New Roman" w:hAnsi="Times New Roman" w:eastAsia="宋体" w:cs="Times New Roman"/>
                      <w:color w:val="auto"/>
                      <w:sz w:val="21"/>
                      <w:szCs w:val="21"/>
                      <w:lang w:val="en-US" w:eastAsia="zh-CN"/>
                    </w:rPr>
                    <w:t>石</w:t>
                  </w:r>
                  <w:r>
                    <w:rPr>
                      <w:rFonts w:hint="default" w:ascii="Times New Roman" w:hAnsi="Times New Roman" w:eastAsia="宋体" w:cs="Times New Roman"/>
                      <w:color w:val="auto"/>
                      <w:sz w:val="21"/>
                      <w:szCs w:val="21"/>
                    </w:rPr>
                    <w:t>方使用</w:t>
                  </w:r>
                  <w:r>
                    <w:rPr>
                      <w:rFonts w:hint="eastAsia" w:cs="Times New Roman"/>
                      <w:color w:val="auto"/>
                      <w:sz w:val="21"/>
                      <w:szCs w:val="21"/>
                      <w:lang w:val="en-US" w:eastAsia="zh-CN"/>
                    </w:rPr>
                    <w:t>彩条布</w:t>
                  </w:r>
                  <w:r>
                    <w:rPr>
                      <w:rFonts w:hint="default" w:ascii="Times New Roman" w:hAnsi="Times New Roman" w:eastAsia="宋体" w:cs="Times New Roman"/>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90" w:type="pc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燃油废气</w:t>
                  </w:r>
                </w:p>
              </w:tc>
              <w:tc>
                <w:tcPr>
                  <w:tcW w:w="2838" w:type="pct"/>
                  <w:gridSpan w:val="3"/>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对柴油发电机及运输车辆定期维护保养，使用正品燃油，减少尾气排放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废水治理</w:t>
                  </w:r>
                </w:p>
              </w:tc>
              <w:tc>
                <w:tcPr>
                  <w:tcW w:w="890"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生活污水</w:t>
                  </w:r>
                </w:p>
              </w:tc>
              <w:tc>
                <w:tcPr>
                  <w:tcW w:w="2838" w:type="pct"/>
                  <w:gridSpan w:val="3"/>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项目工作人员食宿均依托塔什店镇现有生活设施，不在勘探场区食宿，日常生活产生的污水全部依托租住房屋配套的污水收集处理系统统一处置，项目区内无生活污水排放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highlight w:val="none"/>
                      <w:lang w:val="en-US" w:eastAsia="zh-CN"/>
                    </w:rPr>
                  </w:pPr>
                </w:p>
              </w:tc>
              <w:tc>
                <w:tcPr>
                  <w:tcW w:w="890"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eastAsiaTheme="minorEastAsia"/>
                      <w:color w:val="auto"/>
                      <w:sz w:val="21"/>
                      <w:szCs w:val="21"/>
                      <w:lang w:val="en-US" w:eastAsia="zh-CN"/>
                    </w:rPr>
                    <w:t>钻井</w:t>
                  </w:r>
                  <w:r>
                    <w:rPr>
                      <w:rFonts w:hint="default" w:ascii="Times New Roman" w:hAnsi="Times New Roman" w:cs="Times New Roman" w:eastAsiaTheme="minorEastAsia"/>
                      <w:color w:val="auto"/>
                      <w:sz w:val="21"/>
                      <w:szCs w:val="21"/>
                      <w:lang w:eastAsia="zh-CN"/>
                    </w:rPr>
                    <w:t>设备冲洗水</w:t>
                  </w:r>
                </w:p>
              </w:tc>
              <w:tc>
                <w:tcPr>
                  <w:tcW w:w="2838" w:type="pct"/>
                  <w:gridSpan w:val="3"/>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eastAsiaTheme="minorEastAsia"/>
                      <w:color w:val="auto"/>
                      <w:sz w:val="21"/>
                      <w:szCs w:val="21"/>
                      <w:highlight w:val="none"/>
                      <w:lang w:val="en-US" w:eastAsia="zh-CN"/>
                    </w:rPr>
                    <w:t>防渗</w:t>
                  </w:r>
                  <w:r>
                    <w:rPr>
                      <w:rFonts w:hint="default" w:ascii="Times New Roman" w:hAnsi="Times New Roman" w:cs="Times New Roman" w:eastAsiaTheme="minorEastAsia"/>
                      <w:color w:val="auto"/>
                      <w:sz w:val="21"/>
                      <w:szCs w:val="21"/>
                      <w:highlight w:val="none"/>
                      <w:lang w:eastAsia="zh-CN"/>
                    </w:rPr>
                    <w:t>沉淀池（</w:t>
                  </w:r>
                  <w:r>
                    <w:rPr>
                      <w:rFonts w:hint="eastAsia" w:cs="Times New Roman" w:eastAsiaTheme="minorEastAsia"/>
                      <w:color w:val="auto"/>
                      <w:sz w:val="21"/>
                      <w:szCs w:val="21"/>
                      <w:highlight w:val="none"/>
                      <w:lang w:val="en-US" w:eastAsia="zh-CN"/>
                    </w:rPr>
                    <w:t>4m</w:t>
                  </w:r>
                  <w:r>
                    <w:rPr>
                      <w:rFonts w:hint="eastAsia"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eastAsia="zh-CN"/>
                    </w:rPr>
                    <w:t>）</w:t>
                  </w:r>
                  <w:r>
                    <w:rPr>
                      <w:rFonts w:hint="eastAsia" w:cs="Times New Roman" w:eastAsiaTheme="minorEastAsia"/>
                      <w:color w:val="auto"/>
                      <w:sz w:val="21"/>
                      <w:szCs w:val="21"/>
                      <w:highlight w:val="none"/>
                      <w:lang w:val="en-US" w:eastAsia="zh-CN"/>
                    </w:rPr>
                    <w:t>沉淀处理</w:t>
                  </w:r>
                  <w:r>
                    <w:rPr>
                      <w:rFonts w:hint="default" w:ascii="Times New Roman" w:hAnsi="Times New Roman" w:cs="Times New Roman" w:eastAsiaTheme="minorEastAsia"/>
                      <w:color w:val="auto"/>
                      <w:sz w:val="21"/>
                      <w:szCs w:val="21"/>
                      <w:highlight w:val="none"/>
                      <w:lang w:val="en-US" w:eastAsia="zh-CN"/>
                    </w:rPr>
                    <w:t>后</w:t>
                  </w:r>
                  <w:r>
                    <w:rPr>
                      <w:rFonts w:hint="eastAsia" w:cs="Times New Roman" w:eastAsiaTheme="minorEastAsia"/>
                      <w:color w:val="auto"/>
                      <w:sz w:val="21"/>
                      <w:szCs w:val="21"/>
                      <w:highlight w:val="none"/>
                      <w:lang w:val="en-US" w:eastAsia="zh-CN"/>
                    </w:rPr>
                    <w:t>用于洒水降尘</w:t>
                  </w:r>
                  <w:r>
                    <w:rPr>
                      <w:rFonts w:hint="default" w:ascii="Times New Roman" w:hAnsi="Times New Roman" w:cs="Times New Roman" w:eastAsiaTheme="minorEastAsia"/>
                      <w:color w:val="auto"/>
                      <w:sz w:val="21"/>
                      <w:szCs w:val="21"/>
                      <w:highlight w:val="no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highlight w:val="none"/>
                      <w:lang w:val="en-US" w:eastAsia="zh-CN"/>
                    </w:rPr>
                  </w:pPr>
                </w:p>
              </w:tc>
              <w:tc>
                <w:tcPr>
                  <w:tcW w:w="890"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宋体"/>
                      <w:color w:val="000000"/>
                      <w:kern w:val="0"/>
                      <w:sz w:val="21"/>
                      <w:szCs w:val="21"/>
                      <w:lang w:val="en-US" w:eastAsia="zh-CN" w:bidi="ar-SA"/>
                    </w:rPr>
                  </w:pPr>
                  <w:r>
                    <w:rPr>
                      <w:rFonts w:hint="default" w:ascii="Times New Roman" w:hAnsi="Times New Roman" w:cs="Times New Roman" w:eastAsiaTheme="minorEastAsia"/>
                      <w:color w:val="auto"/>
                      <w:sz w:val="21"/>
                      <w:szCs w:val="21"/>
                      <w:lang w:val="en-US" w:eastAsia="zh-CN"/>
                    </w:rPr>
                    <w:t>泥浆废水</w:t>
                  </w:r>
                </w:p>
              </w:tc>
              <w:tc>
                <w:tcPr>
                  <w:tcW w:w="2838" w:type="pct"/>
                  <w:gridSpan w:val="3"/>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宋体"/>
                      <w:color w:val="000000"/>
                      <w:kern w:val="0"/>
                      <w:sz w:val="21"/>
                      <w:szCs w:val="21"/>
                      <w:lang w:val="en-US" w:eastAsia="zh-CN" w:bidi="ar-SA"/>
                    </w:rPr>
                  </w:pPr>
                  <w:r>
                    <w:rPr>
                      <w:rFonts w:hint="default" w:ascii="Times New Roman" w:hAnsi="Times New Roman" w:cs="Times New Roman" w:eastAsiaTheme="minorEastAsia"/>
                      <w:color w:val="auto"/>
                      <w:sz w:val="21"/>
                      <w:szCs w:val="21"/>
                      <w:highlight w:val="none"/>
                      <w:lang w:val="en-US" w:eastAsia="zh-CN"/>
                    </w:rPr>
                    <w:t>排入移动式泥浆沉淀池（</w:t>
                  </w:r>
                  <w:r>
                    <w:rPr>
                      <w:rFonts w:hint="eastAsia" w:cs="Times New Roman" w:eastAsiaTheme="minorEastAsia"/>
                      <w:color w:val="auto"/>
                      <w:sz w:val="21"/>
                      <w:szCs w:val="21"/>
                      <w:highlight w:val="none"/>
                      <w:lang w:val="en-US" w:eastAsia="zh-CN"/>
                    </w:rPr>
                    <w:t>10</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val="en-US" w:eastAsia="zh-CN"/>
                    </w:rPr>
                    <w:t>）</w:t>
                  </w:r>
                  <w:r>
                    <w:rPr>
                      <w:rFonts w:hint="eastAsia" w:ascii="Times New Roman" w:hAnsi="Times New Roman" w:cs="Times New Roman"/>
                      <w:lang w:val="en-US" w:eastAsia="zh-CN"/>
                    </w:rPr>
                    <w:t>处理后全部回用于泥浆配制，循环使用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restar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固废治理</w:t>
                  </w:r>
                </w:p>
              </w:tc>
              <w:tc>
                <w:tcPr>
                  <w:tcW w:w="1354" w:type="dxa"/>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生活垃圾</w:t>
                  </w:r>
                </w:p>
              </w:tc>
              <w:tc>
                <w:tcPr>
                  <w:tcW w:w="4318" w:type="dxa"/>
                  <w:gridSpan w:val="3"/>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配置带盖密封分类收集桶，每日</w:t>
                  </w:r>
                  <w:r>
                    <w:rPr>
                      <w:rFonts w:hint="eastAsia" w:ascii="Times New Roman" w:hAnsi="Times New Roman" w:cs="Times New Roman"/>
                      <w:color w:val="auto"/>
                      <w:kern w:val="2"/>
                      <w:sz w:val="21"/>
                      <w:szCs w:val="21"/>
                      <w:lang w:val="en-US" w:eastAsia="zh-CN" w:bidi="ar-SA"/>
                    </w:rPr>
                    <w:t>随车带回交</w:t>
                  </w:r>
                  <w:r>
                    <w:rPr>
                      <w:rFonts w:hint="default" w:ascii="Times New Roman" w:hAnsi="Times New Roman" w:eastAsia="宋体" w:cs="Times New Roman"/>
                      <w:color w:val="auto"/>
                      <w:kern w:val="2"/>
                      <w:sz w:val="21"/>
                      <w:szCs w:val="21"/>
                      <w:lang w:val="en-US" w:eastAsia="zh-CN" w:bidi="ar-SA"/>
                    </w:rPr>
                    <w:t>环卫部门收集处理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90"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eastAsiaTheme="minorEastAsia"/>
                      <w:color w:val="auto"/>
                      <w:sz w:val="21"/>
                      <w:szCs w:val="21"/>
                      <w:lang w:eastAsia="zh-CN"/>
                    </w:rPr>
                    <w:t>开挖土石</w:t>
                  </w:r>
                  <w:r>
                    <w:rPr>
                      <w:rFonts w:hint="default" w:ascii="Times New Roman" w:hAnsi="Times New Roman" w:cs="Times New Roman" w:eastAsiaTheme="minorEastAsia"/>
                      <w:color w:val="auto"/>
                      <w:sz w:val="21"/>
                      <w:szCs w:val="21"/>
                      <w:lang w:val="en-US" w:eastAsia="zh-CN"/>
                    </w:rPr>
                    <w:t>方</w:t>
                  </w:r>
                </w:p>
              </w:tc>
              <w:tc>
                <w:tcPr>
                  <w:tcW w:w="2838" w:type="pct"/>
                  <w:gridSpan w:val="3"/>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eastAsiaTheme="minorEastAsia"/>
                      <w:color w:val="auto"/>
                      <w:sz w:val="21"/>
                      <w:szCs w:val="21"/>
                    </w:rPr>
                    <w:t>回填</w:t>
                  </w:r>
                  <w:r>
                    <w:rPr>
                      <w:rFonts w:hint="eastAsia" w:cs="Times New Roman" w:eastAsiaTheme="minorEastAsia"/>
                      <w:color w:val="auto"/>
                      <w:sz w:val="21"/>
                      <w:szCs w:val="21"/>
                      <w:lang w:val="en-US" w:eastAsia="zh-CN"/>
                    </w:rPr>
                    <w:t>或用于周边场地平整</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90"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cs="Times New Roman" w:eastAsiaTheme="minorEastAsia"/>
                      <w:color w:val="auto"/>
                      <w:sz w:val="21"/>
                      <w:szCs w:val="21"/>
                      <w:lang w:eastAsia="zh-CN"/>
                    </w:rPr>
                    <w:t>钻井泥浆</w:t>
                  </w:r>
                </w:p>
              </w:tc>
              <w:tc>
                <w:tcPr>
                  <w:tcW w:w="2838" w:type="pct"/>
                  <w:gridSpan w:val="3"/>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rPr>
                  </w:pPr>
                  <w:r>
                    <w:rPr>
                      <w:rFonts w:hint="default" w:ascii="Times New Roman" w:hAnsi="Times New Roman" w:cs="Times New Roman" w:eastAsiaTheme="minorEastAsia"/>
                      <w:color w:val="auto"/>
                      <w:sz w:val="21"/>
                      <w:szCs w:val="21"/>
                      <w:lang w:val="en-US" w:eastAsia="zh-CN"/>
                    </w:rPr>
                    <w:t>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90"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lang w:eastAsia="zh-CN"/>
                    </w:rPr>
                  </w:pPr>
                  <w:r>
                    <w:rPr>
                      <w:rFonts w:hint="default" w:ascii="Times New Roman" w:hAnsi="Times New Roman" w:cs="Times New Roman" w:eastAsiaTheme="minorEastAsia"/>
                      <w:color w:val="auto"/>
                      <w:sz w:val="21"/>
                      <w:szCs w:val="21"/>
                      <w:lang w:val="en-US" w:eastAsia="zh-CN"/>
                    </w:rPr>
                    <w:t>钻井</w:t>
                  </w:r>
                  <w:r>
                    <w:rPr>
                      <w:rFonts w:hint="eastAsia" w:cs="Times New Roman" w:eastAsiaTheme="minorEastAsia"/>
                      <w:color w:val="auto"/>
                      <w:sz w:val="21"/>
                      <w:szCs w:val="21"/>
                      <w:lang w:val="en-US" w:eastAsia="zh-CN"/>
                    </w:rPr>
                    <w:t>岩屑</w:t>
                  </w:r>
                </w:p>
              </w:tc>
              <w:tc>
                <w:tcPr>
                  <w:tcW w:w="2838" w:type="pct"/>
                  <w:gridSpan w:val="3"/>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cs="Times New Roman" w:eastAsiaTheme="minorEastAsia"/>
                      <w:color w:val="auto"/>
                      <w:sz w:val="21"/>
                      <w:szCs w:val="21"/>
                      <w:lang w:val="en-US" w:eastAsia="zh-CN"/>
                    </w:rPr>
                    <w:t>岩屑回填</w:t>
                  </w:r>
                  <w:r>
                    <w:rPr>
                      <w:rFonts w:hint="eastAsia" w:cs="Times New Roman" w:eastAsiaTheme="minorEastAsia"/>
                      <w:color w:val="auto"/>
                      <w:sz w:val="21"/>
                      <w:szCs w:val="21"/>
                      <w:lang w:val="en-US" w:eastAsia="zh-CN"/>
                    </w:rPr>
                    <w:t>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90"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沉淀池沉渣</w:t>
                  </w:r>
                </w:p>
              </w:tc>
              <w:tc>
                <w:tcPr>
                  <w:tcW w:w="2838" w:type="pct"/>
                  <w:gridSpan w:val="3"/>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19" w:type="pct"/>
                  <w:vMerge w:val="continue"/>
                  <w:noWrap w:val="0"/>
                  <w:vAlign w:val="center"/>
                </w:tcPr>
                <w:p>
                  <w:pPr>
                    <w:pStyle w:val="59"/>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噪声治理</w:t>
                  </w:r>
                </w:p>
              </w:tc>
              <w:tc>
                <w:tcPr>
                  <w:tcW w:w="890" w:type="pct"/>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施工设备噪声</w:t>
                  </w:r>
                </w:p>
              </w:tc>
              <w:tc>
                <w:tcPr>
                  <w:tcW w:w="2838" w:type="pct"/>
                  <w:gridSpan w:val="3"/>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7"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生态保护与恢复工程</w:t>
                  </w:r>
                </w:p>
              </w:tc>
              <w:tc>
                <w:tcPr>
                  <w:tcW w:w="3732" w:type="pct"/>
                  <w:gridSpan w:val="5"/>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7" w:type="pct"/>
                  <w:gridSpan w:val="2"/>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环境风险防范工程</w:t>
                  </w:r>
                </w:p>
              </w:tc>
              <w:tc>
                <w:tcPr>
                  <w:tcW w:w="3732" w:type="pct"/>
                  <w:gridSpan w:val="5"/>
                  <w:noWrap w:val="0"/>
                  <w:vAlign w:val="center"/>
                </w:tcPr>
                <w:p>
                  <w:pPr>
                    <w:pStyle w:val="5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制定环境风险管理制度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000" w:type="pct"/>
                  <w:gridSpan w:val="7"/>
                  <w:noWrap w:val="0"/>
                  <w:vAlign w:val="center"/>
                </w:tcPr>
                <w:p>
                  <w:pPr>
                    <w:pStyle w:val="59"/>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备注：项目距离塔什店镇较近</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交通</w:t>
                  </w:r>
                  <w:r>
                    <w:rPr>
                      <w:rFonts w:hint="eastAsia" w:cs="Times New Roman"/>
                      <w:color w:val="auto"/>
                      <w:sz w:val="21"/>
                      <w:szCs w:val="21"/>
                      <w:highlight w:val="none"/>
                      <w:lang w:val="en-US" w:eastAsia="zh-CN"/>
                    </w:rPr>
                    <w:t>较为</w:t>
                  </w:r>
                  <w:r>
                    <w:rPr>
                      <w:rFonts w:hint="default" w:ascii="Times New Roman" w:hAnsi="Times New Roman" w:eastAsia="宋体" w:cs="Times New Roman"/>
                      <w:color w:val="auto"/>
                      <w:sz w:val="21"/>
                      <w:szCs w:val="21"/>
                      <w:highlight w:val="none"/>
                      <w:lang w:val="en-US" w:eastAsia="zh-CN"/>
                    </w:rPr>
                    <w:t>便利，施工车辆、勘探设备统一送至塔什店镇维修点定期养护，勘探现场不会产生废润滑油等危废，故场内无需单独设置危险废物贮存点</w:t>
                  </w:r>
                </w:p>
              </w:tc>
            </w:tr>
          </w:tbl>
          <w:p>
            <w:pPr>
              <w:pStyle w:val="51"/>
              <w:numPr>
                <w:ilvl w:val="0"/>
                <w:numId w:val="0"/>
              </w:numPr>
              <w:bidi w:val="0"/>
              <w:rPr>
                <w:rFonts w:hint="default"/>
                <w:color w:val="auto"/>
                <w:highlight w:val="none"/>
                <w:lang w:eastAsia="zh-CN"/>
              </w:rPr>
            </w:pPr>
            <w:r>
              <w:rPr>
                <w:rFonts w:hint="eastAsia"/>
                <w:color w:val="auto"/>
                <w:highlight w:val="none"/>
                <w:lang w:val="en-US" w:eastAsia="zh-CN"/>
              </w:rPr>
              <w:t>3.</w:t>
            </w:r>
            <w:r>
              <w:rPr>
                <w:rFonts w:hint="default"/>
                <w:color w:val="auto"/>
                <w:highlight w:val="none"/>
                <w:lang w:eastAsia="zh-CN"/>
              </w:rPr>
              <w:t>主要勘探设备及原、辅材料</w:t>
            </w:r>
          </w:p>
          <w:p>
            <w:pPr>
              <w:pStyle w:val="49"/>
              <w:bidi w:val="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3"/>
              <w:bidi w:val="0"/>
              <w:rPr>
                <w:rFonts w:hint="default"/>
                <w:color w:val="auto"/>
              </w:rPr>
            </w:pPr>
            <w:r>
              <w:rPr>
                <w:rFonts w:hint="default"/>
                <w:color w:val="auto"/>
                <w:lang w:val="en-US" w:eastAsia="zh-CN"/>
              </w:rPr>
              <w:t>表2-</w:t>
            </w:r>
            <w:r>
              <w:rPr>
                <w:rFonts w:hint="eastAsia"/>
                <w:color w:val="auto"/>
                <w:lang w:val="en-US" w:eastAsia="zh-CN"/>
              </w:rPr>
              <w:t xml:space="preserve">3    </w:t>
            </w:r>
            <w:r>
              <w:rPr>
                <w:rFonts w:hint="default"/>
                <w:color w:val="auto"/>
              </w:rPr>
              <w:t>工程主要设备一览表</w:t>
            </w:r>
          </w:p>
          <w:tbl>
            <w:tblPr>
              <w:tblStyle w:val="2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945"/>
              <w:gridCol w:w="3111"/>
              <w:gridCol w:w="1377"/>
              <w:gridCol w:w="14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eastAsia"/>
                      <w:lang w:val="en-US" w:eastAsia="zh-CN"/>
                    </w:rPr>
                  </w:pPr>
                  <w:r>
                    <w:rPr>
                      <w:rFonts w:hint="default"/>
                      <w:lang w:val="en-US" w:eastAsia="zh-CN"/>
                    </w:rPr>
                    <w:t>序号</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default"/>
                      <w:lang w:eastAsia="zh-CN"/>
                    </w:rPr>
                  </w:pPr>
                  <w:r>
                    <w:rPr>
                      <w:rFonts w:hint="default"/>
                      <w:lang w:eastAsia="zh-CN"/>
                    </w:rPr>
                    <w:t>技术装备名称</w:t>
                  </w:r>
                </w:p>
              </w:tc>
              <w:tc>
                <w:tcPr>
                  <w:tcW w:w="875"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单位</w:t>
                  </w:r>
                </w:p>
              </w:tc>
              <w:tc>
                <w:tcPr>
                  <w:tcW w:w="911"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default"/>
                      <w:lang w:eastAsia="zh-CN"/>
                    </w:rPr>
                  </w:pPr>
                  <w:r>
                    <w:rPr>
                      <w:rFonts w:hint="default"/>
                      <w:lang w:eastAsia="zh-CN"/>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eastAsia"/>
                      <w:lang w:eastAsia="zh-CN"/>
                    </w:rPr>
                  </w:pPr>
                  <w:r>
                    <w:t>1</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default"/>
                      <w:lang w:eastAsia="zh-CN"/>
                    </w:rPr>
                  </w:pPr>
                  <w:r>
                    <w:rPr>
                      <w:rFonts w:hint="default"/>
                    </w:rPr>
                    <w:t>轻型越野车</w:t>
                  </w:r>
                </w:p>
              </w:tc>
              <w:tc>
                <w:tcPr>
                  <w:tcW w:w="875" w:type="pct"/>
                  <w:tcBorders>
                    <w:top w:val="single" w:color="auto" w:sz="4" w:space="0"/>
                    <w:left w:val="single" w:color="auto" w:sz="4" w:space="0"/>
                    <w:right w:val="single" w:color="auto" w:sz="4" w:space="0"/>
                  </w:tcBorders>
                  <w:noWrap w:val="0"/>
                  <w:vAlign w:val="center"/>
                </w:tcPr>
                <w:p>
                  <w:pPr>
                    <w:pStyle w:val="55"/>
                    <w:bidi w:val="0"/>
                    <w:jc w:val="center"/>
                    <w:rPr>
                      <w:rFonts w:hint="default" w:eastAsia="宋体"/>
                      <w:lang w:val="en-US" w:eastAsia="zh-CN"/>
                    </w:rPr>
                  </w:pPr>
                  <w:r>
                    <w:rPr>
                      <w:rFonts w:hint="eastAsia"/>
                      <w:lang w:val="en-US" w:eastAsia="zh-CN"/>
                    </w:rPr>
                    <w:t>辆</w:t>
                  </w:r>
                </w:p>
              </w:tc>
              <w:tc>
                <w:tcPr>
                  <w:tcW w:w="911" w:type="pct"/>
                  <w:tcBorders>
                    <w:top w:val="single" w:color="auto" w:sz="4" w:space="0"/>
                    <w:left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pPr>
                  <w:r>
                    <w:rPr>
                      <w:rFonts w:hint="eastAsia"/>
                      <w:lang w:val="en-US" w:eastAsia="zh-CN"/>
                    </w:rPr>
                    <w:t>2</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eastAsia" w:eastAsia="宋体"/>
                      <w:lang w:val="en-US" w:eastAsia="zh-CN"/>
                    </w:rPr>
                  </w:pPr>
                  <w:r>
                    <w:rPr>
                      <w:rFonts w:hint="eastAsia"/>
                      <w:lang w:val="en-US" w:eastAsia="zh-CN"/>
                    </w:rPr>
                    <w:t>越野载重汽车</w:t>
                  </w:r>
                </w:p>
              </w:tc>
              <w:tc>
                <w:tcPr>
                  <w:tcW w:w="875" w:type="pct"/>
                  <w:tcBorders>
                    <w:top w:val="single" w:color="auto" w:sz="4" w:space="0"/>
                    <w:left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辆</w:t>
                  </w:r>
                </w:p>
              </w:tc>
              <w:tc>
                <w:tcPr>
                  <w:tcW w:w="911" w:type="pct"/>
                  <w:tcBorders>
                    <w:top w:val="single" w:color="auto" w:sz="4" w:space="0"/>
                    <w:left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eastAsia" w:eastAsia="宋体"/>
                      <w:lang w:val="en-US" w:eastAsia="zh-CN"/>
                    </w:rPr>
                  </w:pPr>
                  <w:r>
                    <w:t>3</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eastAsia" w:eastAsia="宋体"/>
                      <w:lang w:val="en-US" w:eastAsia="zh-CN"/>
                    </w:rPr>
                  </w:pPr>
                  <w:r>
                    <w:rPr>
                      <w:rFonts w:hint="eastAsia"/>
                      <w:lang w:val="en-US" w:eastAsia="zh-CN"/>
                    </w:rPr>
                    <w:t>全站仪</w:t>
                  </w:r>
                </w:p>
              </w:tc>
              <w:tc>
                <w:tcPr>
                  <w:tcW w:w="875" w:type="pct"/>
                  <w:tcBorders>
                    <w:top w:val="single" w:color="auto" w:sz="4" w:space="0"/>
                    <w:left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台</w:t>
                  </w:r>
                </w:p>
              </w:tc>
              <w:tc>
                <w:tcPr>
                  <w:tcW w:w="911" w:type="pct"/>
                  <w:tcBorders>
                    <w:top w:val="single" w:color="auto" w:sz="4" w:space="0"/>
                    <w:left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t>4</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default"/>
                      <w:lang w:val="en-US" w:eastAsia="zh-CN"/>
                    </w:rPr>
                  </w:pPr>
                  <w:r>
                    <w:rPr>
                      <w:rFonts w:hint="eastAsia"/>
                      <w:lang w:val="en-US" w:eastAsia="zh-CN"/>
                    </w:rPr>
                    <w:t>GPS卫星定位仪</w:t>
                  </w:r>
                </w:p>
              </w:tc>
              <w:tc>
                <w:tcPr>
                  <w:tcW w:w="875"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eastAsia" w:eastAsia="宋体"/>
                      <w:lang w:val="en-US" w:eastAsia="zh-CN"/>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noWrap w:val="0"/>
                  <w:vAlign w:val="center"/>
                </w:tcPr>
                <w:p>
                  <w:pPr>
                    <w:pStyle w:val="55"/>
                    <w:bidi w:val="0"/>
                    <w:jc w:val="center"/>
                    <w:rPr>
                      <w:rFonts w:hint="default" w:eastAsia="宋体"/>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t>5</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照相机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架</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7"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t>6</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罗盘</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个</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t>7</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地质锤</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把</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t>8</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凿岩机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t>9</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笔记本电脑</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eastAsia="宋体"/>
                      <w:lang w:val="en-US" w:eastAsia="zh-CN"/>
                    </w:rPr>
                  </w:pPr>
                  <w:r>
                    <w:rPr>
                      <w:rFonts w:hint="eastAsia"/>
                      <w:lang w:val="en-US" w:eastAsia="zh-CN"/>
                    </w:rPr>
                    <w:t>10</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岩芯切割机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eastAsia="宋体"/>
                      <w:lang w:val="en-US" w:eastAsia="zh-CN"/>
                    </w:rPr>
                  </w:pPr>
                  <w:r>
                    <w:rPr>
                      <w:rFonts w:hint="eastAsia"/>
                      <w:lang w:val="en-US" w:eastAsia="zh-CN"/>
                    </w:rPr>
                    <w:t>11</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挖掘机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辆</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12</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钻机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13</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刻槽取样机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14</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eastAsia"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柴油发电机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5"/>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1</w:t>
                  </w:r>
                </w:p>
              </w:tc>
            </w:tr>
          </w:tbl>
          <w:p>
            <w:pPr>
              <w:pStyle w:val="53"/>
              <w:bidi w:val="0"/>
              <w:rPr>
                <w:rFonts w:hint="default"/>
                <w:color w:val="auto"/>
                <w:highlight w:val="none"/>
              </w:rPr>
            </w:pPr>
            <w:r>
              <w:rPr>
                <w:rFonts w:hint="default"/>
                <w:color w:val="auto"/>
                <w:highlight w:val="none"/>
                <w:lang w:val="en-US" w:eastAsia="zh-CN"/>
              </w:rPr>
              <w:t>表2-</w:t>
            </w:r>
            <w:r>
              <w:rPr>
                <w:rFonts w:hint="eastAsia"/>
                <w:color w:val="auto"/>
                <w:highlight w:val="none"/>
                <w:lang w:val="en-US" w:eastAsia="zh-CN"/>
              </w:rPr>
              <w:t xml:space="preserve">4    </w:t>
            </w:r>
            <w:r>
              <w:rPr>
                <w:rFonts w:hint="default"/>
                <w:color w:val="auto"/>
                <w:highlight w:val="none"/>
              </w:rPr>
              <w:t>工程主要原、辅材料一览表</w:t>
            </w:r>
          </w:p>
          <w:tbl>
            <w:tblPr>
              <w:tblStyle w:val="24"/>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566"/>
              <w:gridCol w:w="1012"/>
              <w:gridCol w:w="1232"/>
              <w:gridCol w:w="191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330" w:type="pct"/>
                  <w:noWrap w:val="0"/>
                  <w:vAlign w:val="center"/>
                </w:tcPr>
                <w:p>
                  <w:pPr>
                    <w:pStyle w:val="59"/>
                    <w:bidi w:val="0"/>
                    <w:rPr>
                      <w:rFonts w:hint="default"/>
                      <w:color w:val="auto"/>
                      <w:highlight w:val="none"/>
                    </w:rPr>
                  </w:pPr>
                  <w:r>
                    <w:rPr>
                      <w:rFonts w:hint="default"/>
                      <w:color w:val="auto"/>
                      <w:highlight w:val="none"/>
                    </w:rPr>
                    <w:t>序号</w:t>
                  </w:r>
                </w:p>
              </w:tc>
              <w:tc>
                <w:tcPr>
                  <w:tcW w:w="360" w:type="pct"/>
                  <w:noWrap w:val="0"/>
                  <w:vAlign w:val="center"/>
                </w:tcPr>
                <w:p>
                  <w:pPr>
                    <w:pStyle w:val="59"/>
                    <w:bidi w:val="0"/>
                    <w:rPr>
                      <w:rFonts w:hint="eastAsia"/>
                      <w:color w:val="auto"/>
                      <w:highlight w:val="none"/>
                      <w:lang w:val="en-US" w:eastAsia="zh-CN"/>
                    </w:rPr>
                  </w:pPr>
                  <w:r>
                    <w:rPr>
                      <w:rFonts w:hint="eastAsia"/>
                      <w:color w:val="auto"/>
                      <w:highlight w:val="none"/>
                      <w:lang w:val="en-US" w:eastAsia="zh-CN"/>
                    </w:rPr>
                    <w:t>类别</w:t>
                  </w:r>
                </w:p>
              </w:tc>
              <w:tc>
                <w:tcPr>
                  <w:tcW w:w="644" w:type="pct"/>
                  <w:noWrap w:val="0"/>
                  <w:vAlign w:val="center"/>
                </w:tcPr>
                <w:p>
                  <w:pPr>
                    <w:pStyle w:val="59"/>
                    <w:bidi w:val="0"/>
                    <w:rPr>
                      <w:rFonts w:hint="default"/>
                      <w:color w:val="auto"/>
                      <w:highlight w:val="none"/>
                    </w:rPr>
                  </w:pPr>
                  <w:r>
                    <w:rPr>
                      <w:rFonts w:hint="default"/>
                      <w:color w:val="auto"/>
                      <w:highlight w:val="none"/>
                    </w:rPr>
                    <w:t>名称</w:t>
                  </w:r>
                </w:p>
              </w:tc>
              <w:tc>
                <w:tcPr>
                  <w:tcW w:w="784" w:type="pct"/>
                  <w:noWrap w:val="0"/>
                  <w:vAlign w:val="center"/>
                </w:tcPr>
                <w:p>
                  <w:pPr>
                    <w:pStyle w:val="59"/>
                    <w:bidi w:val="0"/>
                    <w:rPr>
                      <w:rFonts w:hint="default"/>
                      <w:color w:val="auto"/>
                      <w:highlight w:val="none"/>
                    </w:rPr>
                  </w:pPr>
                  <w:r>
                    <w:rPr>
                      <w:rFonts w:hint="default"/>
                      <w:color w:val="auto"/>
                      <w:highlight w:val="none"/>
                    </w:rPr>
                    <w:t>用量</w:t>
                  </w:r>
                </w:p>
              </w:tc>
              <w:tc>
                <w:tcPr>
                  <w:tcW w:w="1218" w:type="pct"/>
                  <w:noWrap w:val="0"/>
                  <w:vAlign w:val="center"/>
                </w:tcPr>
                <w:p>
                  <w:pPr>
                    <w:pStyle w:val="59"/>
                    <w:bidi w:val="0"/>
                    <w:rPr>
                      <w:rFonts w:hint="default"/>
                      <w:color w:val="auto"/>
                      <w:highlight w:val="none"/>
                    </w:rPr>
                  </w:pPr>
                  <w:r>
                    <w:rPr>
                      <w:rFonts w:hint="default"/>
                      <w:color w:val="auto"/>
                      <w:highlight w:val="none"/>
                    </w:rPr>
                    <w:t>来源</w:t>
                  </w:r>
                </w:p>
              </w:tc>
              <w:tc>
                <w:tcPr>
                  <w:tcW w:w="1662" w:type="pct"/>
                  <w:noWrap w:val="0"/>
                  <w:vAlign w:val="center"/>
                </w:tcPr>
                <w:p>
                  <w:pPr>
                    <w:pStyle w:val="59"/>
                    <w:bidi w:val="0"/>
                    <w:rPr>
                      <w:rFonts w:hint="default"/>
                      <w:color w:val="auto"/>
                      <w:highlight w:val="none"/>
                    </w:rPr>
                  </w:pPr>
                  <w:r>
                    <w:rPr>
                      <w:rFonts w:hint="default"/>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30" w:type="pct"/>
                  <w:noWrap w:val="0"/>
                  <w:vAlign w:val="center"/>
                </w:tcPr>
                <w:p>
                  <w:pPr>
                    <w:pStyle w:val="59"/>
                    <w:bidi w:val="0"/>
                    <w:rPr>
                      <w:rFonts w:hint="default"/>
                      <w:color w:val="auto"/>
                      <w:highlight w:val="none"/>
                    </w:rPr>
                  </w:pPr>
                  <w:r>
                    <w:rPr>
                      <w:rFonts w:hint="default"/>
                      <w:color w:val="auto"/>
                      <w:highlight w:val="none"/>
                    </w:rPr>
                    <w:t>1</w:t>
                  </w:r>
                </w:p>
              </w:tc>
              <w:tc>
                <w:tcPr>
                  <w:tcW w:w="360" w:type="pct"/>
                  <w:noWrap w:val="0"/>
                  <w:vAlign w:val="center"/>
                </w:tcPr>
                <w:p>
                  <w:pPr>
                    <w:pStyle w:val="59"/>
                    <w:bidi w:val="0"/>
                    <w:rPr>
                      <w:rFonts w:hint="eastAsia"/>
                      <w:color w:val="auto"/>
                      <w:highlight w:val="none"/>
                      <w:lang w:val="en-US" w:eastAsia="zh-CN"/>
                    </w:rPr>
                  </w:pPr>
                  <w:r>
                    <w:rPr>
                      <w:rFonts w:hint="eastAsia"/>
                      <w:color w:val="auto"/>
                      <w:highlight w:val="none"/>
                      <w:lang w:val="en-US" w:eastAsia="zh-CN"/>
                    </w:rPr>
                    <w:t>辅料</w:t>
                  </w:r>
                </w:p>
              </w:tc>
              <w:tc>
                <w:tcPr>
                  <w:tcW w:w="644"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彩条布</w:t>
                  </w:r>
                </w:p>
              </w:tc>
              <w:tc>
                <w:tcPr>
                  <w:tcW w:w="784"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1000m</w:t>
                  </w:r>
                </w:p>
              </w:tc>
              <w:tc>
                <w:tcPr>
                  <w:tcW w:w="1218"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外购</w:t>
                  </w:r>
                </w:p>
              </w:tc>
              <w:tc>
                <w:tcPr>
                  <w:tcW w:w="1662" w:type="pct"/>
                  <w:noWrap w:val="0"/>
                  <w:vAlign w:val="center"/>
                </w:tcPr>
                <w:p>
                  <w:pPr>
                    <w:pStyle w:val="59"/>
                    <w:bidi w:val="0"/>
                    <w:rPr>
                      <w:rFonts w:hint="default"/>
                      <w:color w:val="auto"/>
                      <w:highlight w:val="none"/>
                      <w:lang w:val="en-US" w:eastAsia="zh-CN"/>
                    </w:rPr>
                  </w:pPr>
                  <w:r>
                    <w:rPr>
                      <w:rFonts w:hint="default"/>
                      <w:color w:val="auto"/>
                      <w:highlight w:val="none"/>
                      <w:lang w:val="en-US" w:eastAsia="zh-CN"/>
                    </w:rPr>
                    <w:t>对暂时露天放置的设备</w:t>
                  </w:r>
                  <w:r>
                    <w:rPr>
                      <w:rFonts w:hint="eastAsia"/>
                      <w:color w:val="auto"/>
                      <w:highlight w:val="none"/>
                      <w:lang w:val="en-US" w:eastAsia="zh-CN"/>
                    </w:rPr>
                    <w:t>、</w:t>
                  </w:r>
                  <w:r>
                    <w:rPr>
                      <w:rFonts w:hint="default"/>
                      <w:color w:val="auto"/>
                      <w:highlight w:val="none"/>
                      <w:lang w:val="en-US" w:eastAsia="zh-CN"/>
                    </w:rPr>
                    <w:t>槽探开挖石料进行</w:t>
                  </w:r>
                  <w:r>
                    <w:rPr>
                      <w:rFonts w:hint="eastAsia"/>
                      <w:color w:val="auto"/>
                      <w:highlight w:val="none"/>
                      <w:lang w:val="en-US" w:eastAsia="zh-CN"/>
                    </w:rPr>
                    <w:t>苫盖</w:t>
                  </w:r>
                  <w:r>
                    <w:rPr>
                      <w:rFonts w:hint="default"/>
                      <w:color w:val="auto"/>
                      <w:highlight w:val="none"/>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0" w:type="pct"/>
                  <w:shd w:val="clear" w:color="auto" w:fill="auto"/>
                  <w:noWrap w:val="0"/>
                  <w:vAlign w:val="center"/>
                </w:tcPr>
                <w:p>
                  <w:pPr>
                    <w:pStyle w:val="59"/>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w:t>
                  </w:r>
                </w:p>
              </w:tc>
              <w:tc>
                <w:tcPr>
                  <w:tcW w:w="360" w:type="pct"/>
                  <w:vMerge w:val="restart"/>
                  <w:noWrap w:val="0"/>
                  <w:vAlign w:val="center"/>
                </w:tcPr>
                <w:p>
                  <w:pPr>
                    <w:pStyle w:val="59"/>
                    <w:bidi w:val="0"/>
                    <w:rPr>
                      <w:rFonts w:hint="eastAsia"/>
                      <w:color w:val="auto"/>
                      <w:highlight w:val="none"/>
                      <w:lang w:val="en-US" w:eastAsia="zh-CN"/>
                    </w:rPr>
                  </w:pPr>
                  <w:r>
                    <w:rPr>
                      <w:rFonts w:hint="eastAsia"/>
                      <w:color w:val="auto"/>
                      <w:highlight w:val="none"/>
                      <w:lang w:val="en-US" w:eastAsia="zh-CN"/>
                    </w:rPr>
                    <w:t>资源</w:t>
                  </w:r>
                </w:p>
              </w:tc>
              <w:tc>
                <w:tcPr>
                  <w:tcW w:w="644" w:type="pct"/>
                  <w:noWrap w:val="0"/>
                  <w:vAlign w:val="center"/>
                </w:tcPr>
                <w:p>
                  <w:pPr>
                    <w:pStyle w:val="59"/>
                    <w:bidi w:val="0"/>
                    <w:rPr>
                      <w:rFonts w:hint="eastAsia" w:eastAsia="宋体"/>
                      <w:color w:val="auto"/>
                      <w:highlight w:val="none"/>
                      <w:lang w:val="en-US" w:eastAsia="zh-CN"/>
                    </w:rPr>
                  </w:pPr>
                  <w:r>
                    <w:rPr>
                      <w:rFonts w:hint="eastAsia"/>
                      <w:color w:val="auto"/>
                      <w:highlight w:val="none"/>
                      <w:lang w:val="en-US" w:eastAsia="zh-CN"/>
                    </w:rPr>
                    <w:t>水泥</w:t>
                  </w:r>
                </w:p>
              </w:tc>
              <w:tc>
                <w:tcPr>
                  <w:tcW w:w="784"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3t</w:t>
                  </w:r>
                </w:p>
              </w:tc>
              <w:tc>
                <w:tcPr>
                  <w:tcW w:w="1218" w:type="pct"/>
                  <w:noWrap w:val="0"/>
                  <w:vAlign w:val="center"/>
                </w:tcPr>
                <w:p>
                  <w:pPr>
                    <w:pStyle w:val="59"/>
                    <w:bidi w:val="0"/>
                    <w:rPr>
                      <w:rFonts w:hint="eastAsia"/>
                      <w:color w:val="auto"/>
                      <w:highlight w:val="none"/>
                      <w:lang w:val="en-US" w:eastAsia="zh-CN"/>
                    </w:rPr>
                  </w:pPr>
                  <w:r>
                    <w:rPr>
                      <w:rFonts w:hint="eastAsia"/>
                      <w:color w:val="auto"/>
                      <w:highlight w:val="none"/>
                      <w:lang w:val="en-US" w:eastAsia="zh-CN"/>
                    </w:rPr>
                    <w:t>外购</w:t>
                  </w:r>
                </w:p>
              </w:tc>
              <w:tc>
                <w:tcPr>
                  <w:tcW w:w="1662"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钻孔封孔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0" w:type="pct"/>
                  <w:shd w:val="clear" w:color="auto" w:fill="auto"/>
                  <w:noWrap w:val="0"/>
                  <w:vAlign w:val="center"/>
                </w:tcPr>
                <w:p>
                  <w:pPr>
                    <w:pStyle w:val="59"/>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3</w:t>
                  </w:r>
                </w:p>
              </w:tc>
              <w:tc>
                <w:tcPr>
                  <w:tcW w:w="360" w:type="pct"/>
                  <w:vMerge w:val="continue"/>
                  <w:noWrap w:val="0"/>
                  <w:vAlign w:val="center"/>
                </w:tcPr>
                <w:p>
                  <w:pPr>
                    <w:pStyle w:val="59"/>
                    <w:bidi w:val="0"/>
                    <w:rPr>
                      <w:rFonts w:hint="eastAsia"/>
                      <w:color w:val="auto"/>
                      <w:highlight w:val="none"/>
                      <w:lang w:val="en-US" w:eastAsia="zh-CN"/>
                    </w:rPr>
                  </w:pPr>
                </w:p>
              </w:tc>
              <w:tc>
                <w:tcPr>
                  <w:tcW w:w="644" w:type="pct"/>
                  <w:noWrap w:val="0"/>
                  <w:vAlign w:val="center"/>
                </w:tcPr>
                <w:p>
                  <w:pPr>
                    <w:pStyle w:val="59"/>
                    <w:bidi w:val="0"/>
                    <w:rPr>
                      <w:rFonts w:hint="eastAsia"/>
                      <w:color w:val="auto"/>
                      <w:highlight w:val="none"/>
                      <w:lang w:val="en-US" w:eastAsia="zh-CN"/>
                    </w:rPr>
                  </w:pPr>
                  <w:r>
                    <w:rPr>
                      <w:rFonts w:hint="eastAsia"/>
                      <w:lang w:val="en-US" w:eastAsia="zh-CN"/>
                    </w:rPr>
                    <w:t>膨润土</w:t>
                  </w:r>
                </w:p>
              </w:tc>
              <w:tc>
                <w:tcPr>
                  <w:tcW w:w="784" w:type="pct"/>
                  <w:noWrap w:val="0"/>
                  <w:vAlign w:val="center"/>
                </w:tcPr>
                <w:p>
                  <w:pPr>
                    <w:pStyle w:val="59"/>
                    <w:bidi w:val="0"/>
                    <w:rPr>
                      <w:rFonts w:hint="eastAsia"/>
                      <w:color w:val="auto"/>
                      <w:highlight w:val="none"/>
                      <w:lang w:val="en-US" w:eastAsia="zh-CN"/>
                    </w:rPr>
                  </w:pPr>
                  <w:r>
                    <w:rPr>
                      <w:rFonts w:hint="eastAsia"/>
                      <w:lang w:val="en-US" w:eastAsia="zh-CN"/>
                    </w:rPr>
                    <w:t>30t</w:t>
                  </w:r>
                </w:p>
              </w:tc>
              <w:tc>
                <w:tcPr>
                  <w:tcW w:w="1218" w:type="pct"/>
                  <w:noWrap w:val="0"/>
                  <w:vAlign w:val="center"/>
                </w:tcPr>
                <w:p>
                  <w:pPr>
                    <w:pStyle w:val="59"/>
                    <w:bidi w:val="0"/>
                    <w:rPr>
                      <w:rFonts w:hint="eastAsia"/>
                      <w:color w:val="auto"/>
                      <w:highlight w:val="none"/>
                      <w:lang w:val="en-US" w:eastAsia="zh-CN"/>
                    </w:rPr>
                  </w:pPr>
                  <w:r>
                    <w:rPr>
                      <w:rFonts w:hint="eastAsia"/>
                      <w:lang w:val="en-US" w:eastAsia="zh-CN"/>
                    </w:rPr>
                    <w:t>外购</w:t>
                  </w:r>
                </w:p>
              </w:tc>
              <w:tc>
                <w:tcPr>
                  <w:tcW w:w="1662" w:type="pct"/>
                  <w:vMerge w:val="restart"/>
                  <w:noWrap w:val="0"/>
                  <w:vAlign w:val="center"/>
                </w:tcPr>
                <w:p>
                  <w:pPr>
                    <w:pStyle w:val="59"/>
                    <w:bidi w:val="0"/>
                    <w:rPr>
                      <w:rFonts w:hint="eastAsia"/>
                      <w:color w:val="auto"/>
                      <w:highlight w:val="none"/>
                      <w:lang w:val="en-US" w:eastAsia="zh-CN"/>
                    </w:rPr>
                  </w:pPr>
                  <w:r>
                    <w:rPr>
                      <w:rFonts w:hint="eastAsia"/>
                      <w:color w:val="auto"/>
                      <w:highlight w:val="none"/>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0" w:type="pct"/>
                  <w:shd w:val="clear" w:color="auto" w:fill="auto"/>
                  <w:noWrap w:val="0"/>
                  <w:vAlign w:val="center"/>
                </w:tcPr>
                <w:p>
                  <w:pPr>
                    <w:pStyle w:val="59"/>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w:t>
                  </w:r>
                </w:p>
              </w:tc>
              <w:tc>
                <w:tcPr>
                  <w:tcW w:w="360" w:type="pct"/>
                  <w:vMerge w:val="continue"/>
                  <w:noWrap w:val="0"/>
                  <w:vAlign w:val="center"/>
                </w:tcPr>
                <w:p>
                  <w:pPr>
                    <w:pStyle w:val="59"/>
                    <w:bidi w:val="0"/>
                    <w:rPr>
                      <w:rFonts w:hint="eastAsia"/>
                      <w:color w:val="auto"/>
                      <w:highlight w:val="none"/>
                      <w:lang w:val="en-US" w:eastAsia="zh-CN"/>
                    </w:rPr>
                  </w:pPr>
                </w:p>
              </w:tc>
              <w:tc>
                <w:tcPr>
                  <w:tcW w:w="644" w:type="pct"/>
                  <w:noWrap w:val="0"/>
                  <w:vAlign w:val="center"/>
                </w:tcPr>
                <w:p>
                  <w:pPr>
                    <w:pStyle w:val="59"/>
                    <w:bidi w:val="0"/>
                    <w:rPr>
                      <w:rFonts w:hint="eastAsia"/>
                      <w:color w:val="auto"/>
                      <w:highlight w:val="none"/>
                      <w:lang w:val="en-US" w:eastAsia="zh-CN"/>
                    </w:rPr>
                  </w:pPr>
                  <w:r>
                    <w:rPr>
                      <w:rFonts w:hint="eastAsia"/>
                      <w:lang w:val="en-US" w:eastAsia="zh-CN"/>
                    </w:rPr>
                    <w:t>聚合物、降失水剂等</w:t>
                  </w:r>
                </w:p>
              </w:tc>
              <w:tc>
                <w:tcPr>
                  <w:tcW w:w="784" w:type="pct"/>
                  <w:noWrap w:val="0"/>
                  <w:vAlign w:val="center"/>
                </w:tcPr>
                <w:p>
                  <w:pPr>
                    <w:pStyle w:val="59"/>
                    <w:bidi w:val="0"/>
                    <w:rPr>
                      <w:rFonts w:hint="eastAsia"/>
                      <w:color w:val="auto"/>
                      <w:highlight w:val="none"/>
                      <w:lang w:val="en-US" w:eastAsia="zh-CN"/>
                    </w:rPr>
                  </w:pPr>
                  <w:r>
                    <w:rPr>
                      <w:rFonts w:hint="eastAsia"/>
                      <w:lang w:val="en-US" w:eastAsia="zh-CN"/>
                    </w:rPr>
                    <w:t>5t</w:t>
                  </w:r>
                </w:p>
              </w:tc>
              <w:tc>
                <w:tcPr>
                  <w:tcW w:w="1218" w:type="pct"/>
                  <w:noWrap w:val="0"/>
                  <w:vAlign w:val="center"/>
                </w:tcPr>
                <w:p>
                  <w:pPr>
                    <w:pStyle w:val="59"/>
                    <w:bidi w:val="0"/>
                    <w:rPr>
                      <w:rFonts w:hint="eastAsia"/>
                      <w:color w:val="auto"/>
                      <w:highlight w:val="none"/>
                      <w:lang w:val="en-US" w:eastAsia="zh-CN"/>
                    </w:rPr>
                  </w:pPr>
                  <w:r>
                    <w:rPr>
                      <w:rFonts w:hint="eastAsia"/>
                      <w:lang w:val="en-US" w:eastAsia="zh-CN"/>
                    </w:rPr>
                    <w:t>外购</w:t>
                  </w:r>
                </w:p>
              </w:tc>
              <w:tc>
                <w:tcPr>
                  <w:tcW w:w="1662" w:type="pct"/>
                  <w:vMerge w:val="continue"/>
                  <w:noWrap w:val="0"/>
                  <w:vAlign w:val="center"/>
                </w:tcPr>
                <w:p>
                  <w:pPr>
                    <w:pStyle w:val="59"/>
                    <w:bidi w:val="0"/>
                    <w:rPr>
                      <w:rFonts w:hint="eastAsia"/>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0" w:type="pct"/>
                  <w:shd w:val="clear" w:color="auto" w:fill="auto"/>
                  <w:noWrap w:val="0"/>
                  <w:vAlign w:val="center"/>
                </w:tcPr>
                <w:p>
                  <w:pPr>
                    <w:pStyle w:val="59"/>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5</w:t>
                  </w:r>
                </w:p>
              </w:tc>
              <w:tc>
                <w:tcPr>
                  <w:tcW w:w="360" w:type="pct"/>
                  <w:vMerge w:val="continue"/>
                  <w:noWrap w:val="0"/>
                  <w:vAlign w:val="center"/>
                </w:tcPr>
                <w:p>
                  <w:pPr>
                    <w:pStyle w:val="59"/>
                    <w:bidi w:val="0"/>
                    <w:rPr>
                      <w:rFonts w:hint="eastAsia"/>
                      <w:color w:val="auto"/>
                      <w:highlight w:val="none"/>
                      <w:lang w:val="en-US" w:eastAsia="zh-CN"/>
                    </w:rPr>
                  </w:pPr>
                </w:p>
              </w:tc>
              <w:tc>
                <w:tcPr>
                  <w:tcW w:w="644" w:type="pct"/>
                  <w:noWrap w:val="0"/>
                  <w:vAlign w:val="center"/>
                </w:tcPr>
                <w:p>
                  <w:pPr>
                    <w:pStyle w:val="59"/>
                    <w:bidi w:val="0"/>
                    <w:rPr>
                      <w:rFonts w:hint="default"/>
                      <w:color w:val="auto"/>
                      <w:highlight w:val="none"/>
                      <w:lang w:val="en-US" w:eastAsia="zh-CN"/>
                    </w:rPr>
                  </w:pPr>
                  <w:r>
                    <w:rPr>
                      <w:rFonts w:hint="default"/>
                      <w:color w:val="auto"/>
                      <w:highlight w:val="none"/>
                    </w:rPr>
                    <w:t>水</w:t>
                  </w:r>
                </w:p>
              </w:tc>
              <w:tc>
                <w:tcPr>
                  <w:tcW w:w="784"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42</w:t>
                  </w:r>
                  <w:r>
                    <w:rPr>
                      <w:rFonts w:hint="default"/>
                      <w:color w:val="auto"/>
                      <w:highlight w:val="none"/>
                      <w:lang w:eastAsia="zh-CN"/>
                    </w:rPr>
                    <w:t>m</w:t>
                  </w:r>
                  <w:r>
                    <w:rPr>
                      <w:rFonts w:hint="eastAsia"/>
                      <w:color w:val="auto"/>
                      <w:highlight w:val="none"/>
                      <w:vertAlign w:val="superscript"/>
                      <w:lang w:val="en-US" w:eastAsia="zh-CN"/>
                    </w:rPr>
                    <w:t>3</w:t>
                  </w:r>
                  <w:r>
                    <w:rPr>
                      <w:rFonts w:hint="default"/>
                      <w:color w:val="auto"/>
                      <w:highlight w:val="none"/>
                      <w:lang w:eastAsia="zh-CN"/>
                    </w:rPr>
                    <w:t>/</w:t>
                  </w:r>
                  <w:r>
                    <w:rPr>
                      <w:rFonts w:hint="eastAsia"/>
                      <w:color w:val="auto"/>
                      <w:highlight w:val="none"/>
                      <w:lang w:val="en-US" w:eastAsia="zh-CN"/>
                    </w:rPr>
                    <w:t>探矿期</w:t>
                  </w:r>
                </w:p>
              </w:tc>
              <w:tc>
                <w:tcPr>
                  <w:tcW w:w="1218" w:type="pct"/>
                  <w:noWrap w:val="0"/>
                  <w:vAlign w:val="center"/>
                </w:tcPr>
                <w:p>
                  <w:pPr>
                    <w:pStyle w:val="59"/>
                    <w:bidi w:val="0"/>
                    <w:rPr>
                      <w:rFonts w:hint="default"/>
                      <w:color w:val="auto"/>
                      <w:highlight w:val="none"/>
                      <w:lang w:val="en-US" w:eastAsia="zh-CN"/>
                    </w:rPr>
                  </w:pPr>
                  <w:r>
                    <w:rPr>
                      <w:rFonts w:hint="default"/>
                      <w:color w:val="auto"/>
                      <w:highlight w:val="none"/>
                      <w:lang w:val="en-US" w:eastAsia="zh-CN"/>
                    </w:rPr>
                    <w:t>从塔什店镇拉运</w:t>
                  </w:r>
                </w:p>
              </w:tc>
              <w:tc>
                <w:tcPr>
                  <w:tcW w:w="1662"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6</w:t>
                  </w:r>
                </w:p>
              </w:tc>
              <w:tc>
                <w:tcPr>
                  <w:tcW w:w="360" w:type="pct"/>
                  <w:vMerge w:val="continue"/>
                  <w:noWrap w:val="0"/>
                  <w:vAlign w:val="center"/>
                </w:tcPr>
                <w:p>
                  <w:pPr>
                    <w:pStyle w:val="59"/>
                    <w:bidi w:val="0"/>
                    <w:rPr>
                      <w:rFonts w:hint="default"/>
                      <w:color w:val="auto"/>
                      <w:highlight w:val="none"/>
                    </w:rPr>
                  </w:pPr>
                </w:p>
              </w:tc>
              <w:tc>
                <w:tcPr>
                  <w:tcW w:w="644"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柴油</w:t>
                  </w:r>
                </w:p>
              </w:tc>
              <w:tc>
                <w:tcPr>
                  <w:tcW w:w="784"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15t/探矿期</w:t>
                  </w:r>
                </w:p>
              </w:tc>
              <w:tc>
                <w:tcPr>
                  <w:tcW w:w="1218" w:type="pct"/>
                  <w:noWrap w:val="0"/>
                  <w:vAlign w:val="center"/>
                </w:tcPr>
                <w:p>
                  <w:pPr>
                    <w:pStyle w:val="59"/>
                    <w:bidi w:val="0"/>
                    <w:rPr>
                      <w:rFonts w:hint="default"/>
                      <w:color w:val="auto"/>
                      <w:highlight w:val="none"/>
                      <w:lang w:val="en-US" w:eastAsia="zh-CN"/>
                    </w:rPr>
                  </w:pPr>
                  <w:r>
                    <w:rPr>
                      <w:rFonts w:hint="default"/>
                      <w:color w:val="auto"/>
                      <w:highlight w:val="none"/>
                      <w:lang w:val="en-US" w:eastAsia="zh-CN"/>
                    </w:rPr>
                    <w:t>从</w:t>
                  </w:r>
                  <w:r>
                    <w:rPr>
                      <w:rFonts w:hint="eastAsia"/>
                      <w:color w:val="auto"/>
                      <w:highlight w:val="none"/>
                      <w:lang w:val="en-US" w:eastAsia="zh-CN"/>
                    </w:rPr>
                    <w:t>塔什店镇</w:t>
                  </w:r>
                  <w:r>
                    <w:rPr>
                      <w:rFonts w:hint="default"/>
                      <w:color w:val="auto"/>
                      <w:highlight w:val="none"/>
                      <w:lang w:val="en-US" w:eastAsia="zh-CN"/>
                    </w:rPr>
                    <w:t>拉运</w:t>
                  </w:r>
                </w:p>
              </w:tc>
              <w:tc>
                <w:tcPr>
                  <w:tcW w:w="1662" w:type="pct"/>
                  <w:noWrap w:val="0"/>
                  <w:vAlign w:val="center"/>
                </w:tcPr>
                <w:p>
                  <w:pPr>
                    <w:pStyle w:val="59"/>
                    <w:bidi w:val="0"/>
                    <w:rPr>
                      <w:rFonts w:hint="default"/>
                      <w:color w:val="auto"/>
                      <w:highlight w:val="none"/>
                      <w:lang w:val="en-US" w:eastAsia="zh-CN"/>
                    </w:rPr>
                  </w:pPr>
                  <w:r>
                    <w:rPr>
                      <w:rFonts w:hint="eastAsia"/>
                      <w:color w:val="auto"/>
                      <w:highlight w:val="none"/>
                      <w:lang w:val="en-US" w:eastAsia="zh-CN"/>
                    </w:rPr>
                    <w:t>油桶储存，最大储存量为5t</w:t>
                  </w:r>
                </w:p>
              </w:tc>
            </w:tr>
          </w:tbl>
          <w:p>
            <w:pPr>
              <w:pStyle w:val="51"/>
              <w:bidi w:val="0"/>
              <w:rPr>
                <w:rFonts w:hint="default"/>
                <w:color w:val="auto"/>
                <w:lang w:val="en-US" w:eastAsia="zh-CN"/>
              </w:rPr>
            </w:pPr>
            <w:r>
              <w:rPr>
                <w:rFonts w:hint="eastAsia"/>
                <w:color w:val="auto"/>
                <w:lang w:val="en-US" w:eastAsia="zh-CN"/>
              </w:rPr>
              <w:t>4</w:t>
            </w:r>
            <w:r>
              <w:rPr>
                <w:rFonts w:hint="eastAsia"/>
                <w:color w:val="auto"/>
                <w:highlight w:val="none"/>
                <w:lang w:val="en-US" w:eastAsia="zh-CN"/>
              </w:rPr>
              <w:t>.公用工程</w:t>
            </w:r>
          </w:p>
          <w:p>
            <w:pPr>
              <w:pStyle w:val="51"/>
              <w:bidi w:val="0"/>
              <w:rPr>
                <w:rFonts w:hint="default"/>
                <w:color w:val="auto"/>
                <w:lang w:val="en-US" w:eastAsia="zh-CN"/>
              </w:rPr>
            </w:pPr>
            <w:r>
              <w:rPr>
                <w:rFonts w:hint="eastAsia"/>
                <w:color w:val="auto"/>
                <w:lang w:val="en-US" w:eastAsia="zh-CN"/>
              </w:rPr>
              <w:t>4.1给水</w:t>
            </w:r>
          </w:p>
          <w:p>
            <w:pPr>
              <w:pStyle w:val="49"/>
              <w:bidi w:val="0"/>
              <w:rPr>
                <w:rFonts w:hint="eastAsia"/>
                <w:color w:val="auto"/>
                <w:lang w:val="en-US" w:eastAsia="zh-CN"/>
              </w:rPr>
            </w:pPr>
            <w:r>
              <w:rPr>
                <w:rFonts w:hint="eastAsia"/>
                <w:color w:val="auto"/>
                <w:lang w:val="en-US" w:eastAsia="zh-CN"/>
              </w:rPr>
              <w:t>本项目生活用水依托塔什店镇既有城镇供水系统，该城镇供水管网完备、水量充足，可充分保障作业人员日常生活用水需求。泥浆配置用水及钻井设备冲洗用水取自塔什店镇合规供水点，通过储水箱运至勘探区，取水来源合法、运输规范、供给持续，项目整体用水保障条件可靠，可行性强。</w:t>
            </w:r>
          </w:p>
          <w:p>
            <w:pPr>
              <w:pStyle w:val="49"/>
              <w:bidi w:val="0"/>
              <w:rPr>
                <w:rFonts w:hint="default"/>
                <w:color w:val="auto"/>
                <w:lang w:val="en-US" w:eastAsia="zh-CN"/>
              </w:rPr>
            </w:pPr>
            <w:r>
              <w:rPr>
                <w:rFonts w:hint="eastAsia"/>
                <w:color w:val="auto"/>
                <w:lang w:val="en-US" w:eastAsia="zh-CN"/>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工作人员日常生活产生的污水全部依托租住房屋配套的污水收集处理系统统一处置，项目区内无生活污水产生</w:t>
            </w:r>
            <w:r>
              <w:rPr>
                <w:rFonts w:hint="eastAsia"/>
                <w:lang w:eastAsia="zh-CN"/>
              </w:rPr>
              <w:t>。</w:t>
            </w:r>
          </w:p>
          <w:p>
            <w:pPr>
              <w:pStyle w:val="49"/>
              <w:bidi w:val="0"/>
              <w:rPr>
                <w:rFonts w:hint="default"/>
                <w:color w:val="auto"/>
                <w:lang w:val="en-US" w:eastAsia="zh-CN"/>
              </w:rPr>
            </w:pPr>
            <w:r>
              <w:rPr>
                <w:rFonts w:hint="eastAsia"/>
                <w:color w:val="auto"/>
                <w:lang w:val="en-US" w:eastAsia="zh-CN"/>
              </w:rPr>
              <w:t>（2）生产用水</w:t>
            </w:r>
          </w:p>
          <w:p>
            <w:pPr>
              <w:pStyle w:val="49"/>
              <w:bidi w:val="0"/>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泥浆调配用水：</w:t>
            </w:r>
            <w:r>
              <w:rPr>
                <w:rFonts w:hint="eastAsia" w:cs="Times New Roman"/>
                <w:sz w:val="24"/>
                <w:szCs w:val="24"/>
                <w:highlight w:val="none"/>
                <w:lang w:val="en-US" w:eastAsia="zh-CN"/>
              </w:rPr>
              <w:t>钻井期间泥浆调配用水补充量为34m</w:t>
            </w:r>
            <w:r>
              <w:rPr>
                <w:rFonts w:hint="eastAsia" w:cs="Times New Roman"/>
                <w:sz w:val="24"/>
                <w:szCs w:val="24"/>
                <w:highlight w:val="none"/>
                <w:vertAlign w:val="superscript"/>
                <w:lang w:val="en-US" w:eastAsia="zh-CN"/>
              </w:rPr>
              <w:t>3</w:t>
            </w:r>
            <w:r>
              <w:rPr>
                <w:rFonts w:hint="eastAsia" w:cs="Times New Roman"/>
                <w:sz w:val="24"/>
                <w:szCs w:val="24"/>
                <w:highlight w:val="none"/>
                <w:vertAlign w:val="baseline"/>
                <w:lang w:val="en-US" w:eastAsia="zh-CN"/>
              </w:rPr>
              <w:t>，调配好的泥浆循环使用。</w:t>
            </w:r>
          </w:p>
          <w:p>
            <w:pPr>
              <w:pStyle w:val="49"/>
              <w:bidi w:val="0"/>
              <w:rPr>
                <w:rFonts w:hint="eastAsia"/>
                <w:lang w:val="en-US" w:eastAsia="zh-CN"/>
              </w:rPr>
            </w:pPr>
            <w:r>
              <w:rPr>
                <w:rFonts w:hint="eastAsia"/>
                <w:lang w:val="en-US" w:eastAsia="zh-CN"/>
              </w:rPr>
              <w:t>钻井设备冲洗用水：项目勘探期间用水量约为8m</w:t>
            </w:r>
            <w:r>
              <w:rPr>
                <w:rFonts w:hint="eastAsia"/>
                <w:vertAlign w:val="superscript"/>
                <w:lang w:val="en-US" w:eastAsia="zh-CN"/>
              </w:rPr>
              <w:t>3</w:t>
            </w:r>
            <w:r>
              <w:rPr>
                <w:rFonts w:hint="eastAsia"/>
                <w:lang w:val="en-US" w:eastAsia="zh-CN"/>
              </w:rPr>
              <w:t>，经沉淀池处理后用于洒水降尘，不外排。</w:t>
            </w:r>
          </w:p>
          <w:p>
            <w:pPr>
              <w:pStyle w:val="51"/>
              <w:bidi w:val="0"/>
              <w:rPr>
                <w:rFonts w:hint="default"/>
                <w:color w:val="auto"/>
                <w:lang w:val="en-US" w:eastAsia="zh-CN"/>
              </w:rPr>
            </w:pPr>
            <w:r>
              <w:rPr>
                <w:rFonts w:hint="eastAsia"/>
                <w:color w:val="auto"/>
                <w:lang w:val="en-US" w:eastAsia="zh-CN"/>
              </w:rPr>
              <w:t>4.2排水</w:t>
            </w:r>
          </w:p>
          <w:p>
            <w:pPr>
              <w:pStyle w:val="49"/>
              <w:numPr>
                <w:ilvl w:val="0"/>
                <w:numId w:val="0"/>
              </w:numPr>
              <w:bidi w:val="0"/>
              <w:ind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9"/>
              <w:bidi w:val="0"/>
              <w:rPr>
                <w:rFonts w:hint="default"/>
                <w:color w:val="auto"/>
                <w:lang w:val="en-US" w:eastAsia="zh-CN"/>
              </w:rPr>
            </w:pPr>
            <w:r>
              <w:rPr>
                <w:rFonts w:hint="eastAsia"/>
                <w:color w:val="auto"/>
                <w:lang w:val="en-US" w:eastAsia="zh-CN"/>
              </w:rPr>
              <w:t>工作人员日常生活产生的污水全部依托租住房屋配套的污水收集处理系统统一处置，项目区内无生活污水排放</w:t>
            </w:r>
            <w:r>
              <w:rPr>
                <w:rFonts w:hint="default"/>
                <w:color w:val="auto"/>
                <w:highlight w:val="none"/>
                <w:lang w:val="en-US" w:eastAsia="zh-CN"/>
              </w:rPr>
              <w:t>。</w:t>
            </w:r>
          </w:p>
          <w:p>
            <w:pPr>
              <w:pStyle w:val="49"/>
              <w:bidi w:val="0"/>
              <w:rPr>
                <w:rFonts w:hint="eastAsia"/>
                <w:color w:val="auto"/>
                <w:lang w:val="en-US" w:eastAsia="zh-CN"/>
              </w:rPr>
            </w:pPr>
            <w:r>
              <w:rPr>
                <w:rFonts w:hint="eastAsia"/>
                <w:color w:val="auto"/>
                <w:lang w:val="en-US" w:eastAsia="zh-CN"/>
              </w:rPr>
              <w:t>（2）生产废水</w:t>
            </w:r>
          </w:p>
          <w:p>
            <w:pPr>
              <w:pStyle w:val="49"/>
              <w:keepNext w:val="0"/>
              <w:keepLines w:val="0"/>
              <w:pageBreakBefore w:val="0"/>
              <w:widowControl w:val="0"/>
              <w:kinsoku/>
              <w:wordWrap/>
              <w:overflowPunct/>
              <w:topLinePunct w:val="0"/>
              <w:autoSpaceDE/>
              <w:autoSpaceDN/>
              <w:bidi w:val="0"/>
              <w:adjustRightInd w:val="0"/>
              <w:snapToGrid w:val="0"/>
              <w:textAlignment w:val="auto"/>
              <w:rPr>
                <w:rFonts w:hint="eastAsia"/>
                <w:lang w:val="en-US" w:eastAsia="zh-CN"/>
              </w:rPr>
            </w:pPr>
            <w:r>
              <w:rPr>
                <w:rFonts w:hint="eastAsia"/>
                <w:lang w:val="en-US" w:eastAsia="zh-CN"/>
              </w:rPr>
              <w:t>泥浆废水：经防渗沉淀池处理后全部回用于钻孔泥浆配制，定期补充，循环使用，不外排。</w:t>
            </w:r>
          </w:p>
          <w:p>
            <w:pPr>
              <w:pStyle w:val="49"/>
              <w:keepNext w:val="0"/>
              <w:keepLines w:val="0"/>
              <w:pageBreakBefore w:val="0"/>
              <w:widowControl w:val="0"/>
              <w:kinsoku/>
              <w:wordWrap/>
              <w:overflowPunct/>
              <w:topLinePunct w:val="0"/>
              <w:autoSpaceDE/>
              <w:autoSpaceDN/>
              <w:bidi w:val="0"/>
              <w:adjustRightInd w:val="0"/>
              <w:snapToGrid w:val="0"/>
              <w:textAlignment w:val="auto"/>
              <w:rPr>
                <w:rFonts w:hint="eastAsia"/>
                <w:color w:val="auto"/>
                <w:lang w:val="en-US" w:eastAsia="zh-CN"/>
              </w:rPr>
            </w:pPr>
            <w:r>
              <w:rPr>
                <w:rFonts w:hint="eastAsia"/>
                <w:lang w:val="en-US" w:eastAsia="zh-CN"/>
              </w:rPr>
              <w:t>钻井设备冲洗用水：经沉淀池处理后用于洒水降尘，不外排。</w:t>
            </w:r>
          </w:p>
          <w:p>
            <w:pPr>
              <w:jc w:val="center"/>
              <w:rPr>
                <w:rStyle w:val="54"/>
                <w:rFonts w:hint="eastAsia"/>
                <w:color w:val="auto"/>
                <w:highlight w:val="none"/>
                <w:lang w:val="en-US" w:eastAsia="zh-CN"/>
              </w:rPr>
            </w:pPr>
            <w:r>
              <w:rPr>
                <w:rStyle w:val="54"/>
                <w:rFonts w:hint="eastAsia"/>
                <w:color w:val="auto"/>
                <w:highlight w:val="none"/>
                <w:lang w:val="en-US" w:eastAsia="zh-CN"/>
              </w:rPr>
              <w:drawing>
                <wp:inline distT="0" distB="0" distL="114300" distR="114300">
                  <wp:extent cx="4780280" cy="2134235"/>
                  <wp:effectExtent l="0" t="0" r="0" b="0"/>
                  <wp:docPr id="4" name="E657119C-6982-421D-8BA7-E74DEB70A7D9-1" descr="C:/Users/Administrator/AppData/Local/Temp/wps.CRazRF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657119C-6982-421D-8BA7-E74DEB70A7D9-1" descr="C:/Users/Administrator/AppData/Local/Temp/wps.CRazRFwps"/>
                          <pic:cNvPicPr>
                            <a:picLocks noChangeAspect="1"/>
                          </pic:cNvPicPr>
                        </pic:nvPicPr>
                        <pic:blipFill>
                          <a:blip r:embed="rId7"/>
                          <a:stretch>
                            <a:fillRect/>
                          </a:stretch>
                        </pic:blipFill>
                        <pic:spPr>
                          <a:xfrm>
                            <a:off x="0" y="0"/>
                            <a:ext cx="4780280" cy="2134235"/>
                          </a:xfrm>
                          <a:prstGeom prst="rect">
                            <a:avLst/>
                          </a:prstGeom>
                        </pic:spPr>
                      </pic:pic>
                    </a:graphicData>
                  </a:graphic>
                </wp:inline>
              </w:drawing>
            </w:r>
          </w:p>
          <w:p>
            <w:pPr>
              <w:jc w:val="center"/>
              <w:rPr>
                <w:rFonts w:hint="default" w:eastAsia="宋体"/>
                <w:color w:val="auto"/>
                <w:highlight w:val="none"/>
                <w:lang w:val="en-US" w:eastAsia="zh-CN"/>
              </w:rPr>
            </w:pPr>
            <w:r>
              <w:rPr>
                <w:rStyle w:val="54"/>
                <w:rFonts w:hint="eastAsia"/>
                <w:color w:val="auto"/>
                <w:highlight w:val="none"/>
                <w:lang w:val="en-US" w:eastAsia="zh-CN"/>
              </w:rPr>
              <w:t>图2-1    探矿工作期水平衡示意图    （m</w:t>
            </w:r>
            <w:r>
              <w:rPr>
                <w:rStyle w:val="54"/>
                <w:rFonts w:hint="eastAsia"/>
                <w:color w:val="auto"/>
                <w:highlight w:val="none"/>
                <w:vertAlign w:val="superscript"/>
                <w:lang w:val="en-US" w:eastAsia="zh-CN"/>
              </w:rPr>
              <w:t>3</w:t>
            </w:r>
            <w:r>
              <w:rPr>
                <w:rStyle w:val="54"/>
                <w:rFonts w:hint="eastAsia"/>
                <w:color w:val="auto"/>
                <w:highlight w:val="none"/>
                <w:lang w:val="en-US" w:eastAsia="zh-CN"/>
              </w:rPr>
              <w:t>/探矿期）</w:t>
            </w:r>
          </w:p>
          <w:p>
            <w:pPr>
              <w:pStyle w:val="51"/>
              <w:bidi w:val="0"/>
              <w:rPr>
                <w:rFonts w:hint="default"/>
                <w:color w:val="auto"/>
                <w:lang w:val="en-US" w:eastAsia="zh-CN"/>
              </w:rPr>
            </w:pPr>
            <w:r>
              <w:rPr>
                <w:rFonts w:hint="eastAsia"/>
                <w:color w:val="auto"/>
                <w:lang w:val="en-US" w:eastAsia="zh-CN"/>
              </w:rPr>
              <w:t>4.3供电</w:t>
            </w:r>
          </w:p>
          <w:p>
            <w:pPr>
              <w:pStyle w:val="49"/>
              <w:bidi w:val="0"/>
              <w:rPr>
                <w:rFonts w:hint="eastAsia" w:ascii="Times New Roman" w:hAnsi="Times New Roman" w:eastAsia="宋体" w:cs="宋体"/>
                <w:b w:val="0"/>
                <w:kern w:val="0"/>
                <w:sz w:val="24"/>
                <w:szCs w:val="24"/>
                <w:lang w:val="en-US" w:eastAsia="zh-CN" w:bidi="ar-SA"/>
              </w:rPr>
            </w:pPr>
            <w:r>
              <w:rPr>
                <w:rFonts w:hint="eastAsia"/>
                <w:color w:val="auto"/>
                <w:lang w:eastAsia="zh-CN"/>
              </w:rPr>
              <w:t>使用</w:t>
            </w:r>
            <w:r>
              <w:rPr>
                <w:rFonts w:hint="eastAsia"/>
                <w:color w:val="auto"/>
                <w:lang w:val="en-US" w:eastAsia="zh-CN"/>
              </w:rPr>
              <w:t>柴油</w:t>
            </w:r>
            <w:r>
              <w:rPr>
                <w:rFonts w:hint="eastAsia"/>
                <w:color w:val="auto"/>
                <w:lang w:eastAsia="zh-CN"/>
              </w:rPr>
              <w:t>发电机供电。</w:t>
            </w:r>
            <w:r>
              <w:rPr>
                <w:rFonts w:hint="eastAsia"/>
                <w:color w:val="auto"/>
                <w:lang w:val="en-US" w:eastAsia="zh-CN"/>
              </w:rPr>
              <w:t>柴油采用不锈钢油桶分类堆放于配有防渗漏托盘的贮存区。</w:t>
            </w:r>
          </w:p>
          <w:p>
            <w:pPr>
              <w:pStyle w:val="51"/>
              <w:bidi w:val="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9"/>
              <w:bidi w:val="0"/>
              <w:rPr>
                <w:rFonts w:hint="default"/>
                <w:color w:val="auto"/>
                <w:lang w:val="en-US" w:eastAsia="zh-CN"/>
              </w:rPr>
            </w:pPr>
            <w:r>
              <w:rPr>
                <w:rFonts w:hint="eastAsia"/>
                <w:color w:val="auto"/>
                <w:lang w:val="en-US" w:eastAsia="zh-CN"/>
              </w:rPr>
              <w:t>本项目劳动定员为15人，野外勘查共计70天，采取8小时工作制</w:t>
            </w: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4" w:type="pct"/>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总平面及现场布置</w:t>
            </w:r>
          </w:p>
        </w:tc>
        <w:tc>
          <w:tcPr>
            <w:tcW w:w="4795" w:type="pct"/>
            <w:noWrap w:val="0"/>
            <w:vAlign w:val="center"/>
          </w:tcPr>
          <w:p>
            <w:pPr>
              <w:pStyle w:val="49"/>
              <w:bidi w:val="0"/>
              <w:rPr>
                <w:rFonts w:hint="default"/>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9"/>
              <w:bidi w:val="0"/>
              <w:rPr>
                <w:rFonts w:hint="eastAsia" w:cs="Times New Roman"/>
                <w:bCs/>
                <w:color w:val="auto"/>
                <w:kern w:val="0"/>
                <w:sz w:val="24"/>
                <w:szCs w:val="24"/>
                <w:lang w:val="en-US" w:eastAsia="zh-CN" w:bidi="ar-SA"/>
              </w:rPr>
            </w:pPr>
            <w:r>
              <w:rPr>
                <w:rFonts w:hint="eastAsia" w:cs="Times New Roman"/>
                <w:bCs/>
                <w:color w:val="auto"/>
                <w:kern w:val="0"/>
                <w:sz w:val="24"/>
                <w:szCs w:val="24"/>
                <w:lang w:val="en-US" w:eastAsia="zh-CN" w:bidi="ar-SA"/>
              </w:rPr>
              <w:t>1、设备贮存区</w:t>
            </w:r>
          </w:p>
          <w:p>
            <w:pPr>
              <w:pStyle w:val="49"/>
              <w:bidi w:val="0"/>
              <w:rPr>
                <w:rFonts w:hint="default" w:cs="Times New Roman"/>
                <w:bCs/>
                <w:color w:val="auto"/>
                <w:kern w:val="0"/>
                <w:sz w:val="24"/>
                <w:szCs w:val="24"/>
                <w:lang w:val="en-US" w:eastAsia="zh-CN" w:bidi="ar-SA"/>
              </w:rPr>
            </w:pPr>
            <w:r>
              <w:rPr>
                <w:rFonts w:hint="eastAsia" w:cs="Times New Roman"/>
                <w:bCs/>
                <w:color w:val="auto"/>
                <w:kern w:val="0"/>
                <w:sz w:val="24"/>
                <w:szCs w:val="24"/>
                <w:lang w:val="en-US" w:eastAsia="zh-CN" w:bidi="ar-SA"/>
              </w:rPr>
              <w:t>勘查车辆、勘探设备、各类物料统一集中存放于设备贮存区；柴油发电机、作业车辆等易发生油品泄漏设备底部铺设防渗地膜，贮存区配套遮阳、防雨设施，落实防渗、防晒、防雨污染防控要求。</w:t>
            </w:r>
          </w:p>
          <w:p>
            <w:pPr>
              <w:pStyle w:val="49"/>
              <w:bidi w:val="0"/>
              <w:rPr>
                <w:rFonts w:hint="eastAsia" w:cs="Times New Roman"/>
                <w:bCs/>
                <w:color w:val="auto"/>
                <w:kern w:val="0"/>
                <w:sz w:val="24"/>
                <w:szCs w:val="24"/>
                <w:lang w:val="en-US" w:eastAsia="zh-CN" w:bidi="ar-SA"/>
              </w:rPr>
            </w:pPr>
            <w:r>
              <w:rPr>
                <w:rFonts w:hint="eastAsia" w:cs="Times New Roman"/>
                <w:bCs/>
                <w:color w:val="auto"/>
                <w:kern w:val="0"/>
                <w:sz w:val="24"/>
                <w:szCs w:val="24"/>
                <w:lang w:val="en-US" w:eastAsia="zh-CN" w:bidi="ar-SA"/>
              </w:rPr>
              <w:t>2、临时堆场</w:t>
            </w:r>
          </w:p>
          <w:p>
            <w:pPr>
              <w:pStyle w:val="49"/>
              <w:bidi w:val="0"/>
              <w:rPr>
                <w:rFonts w:hint="eastAsia" w:cs="Times New Roman"/>
                <w:bCs/>
                <w:color w:val="auto"/>
                <w:kern w:val="0"/>
                <w:sz w:val="24"/>
                <w:szCs w:val="24"/>
                <w:lang w:val="en-US" w:eastAsia="zh-CN" w:bidi="ar-SA"/>
              </w:rPr>
            </w:pPr>
            <w:r>
              <w:rPr>
                <w:rFonts w:hint="eastAsia" w:cs="Times New Roman"/>
                <w:bCs/>
                <w:color w:val="auto"/>
                <w:kern w:val="0"/>
                <w:sz w:val="24"/>
                <w:szCs w:val="24"/>
                <w:lang w:val="en-US" w:eastAsia="zh-CN" w:bidi="ar-SA"/>
              </w:rPr>
              <w:t>临时堆场位于槽探一侧，占地面积共6500m</w:t>
            </w:r>
            <w:r>
              <w:rPr>
                <w:rFonts w:hint="eastAsia" w:cs="Times New Roman"/>
                <w:bCs/>
                <w:color w:val="auto"/>
                <w:kern w:val="0"/>
                <w:sz w:val="24"/>
                <w:szCs w:val="24"/>
                <w:vertAlign w:val="superscript"/>
                <w:lang w:val="en-US" w:eastAsia="zh-CN" w:bidi="ar-SA"/>
              </w:rPr>
              <w:t>2</w:t>
            </w:r>
            <w:r>
              <w:rPr>
                <w:rFonts w:hint="eastAsia" w:cs="Times New Roman"/>
                <w:bCs/>
                <w:color w:val="auto"/>
                <w:kern w:val="0"/>
                <w:sz w:val="24"/>
                <w:szCs w:val="24"/>
                <w:lang w:val="en-US" w:eastAsia="zh-CN" w:bidi="ar-SA"/>
              </w:rPr>
              <w:t>，堆放槽探施工产生的土石方，采用彩条布苫盖。</w:t>
            </w:r>
          </w:p>
          <w:p>
            <w:pPr>
              <w:pStyle w:val="49"/>
              <w:bidi w:val="0"/>
              <w:rPr>
                <w:rFonts w:hint="eastAsia" w:cs="Times New Roman"/>
                <w:bCs/>
                <w:color w:val="auto"/>
                <w:kern w:val="0"/>
                <w:sz w:val="24"/>
                <w:szCs w:val="24"/>
                <w:lang w:val="en-US" w:eastAsia="zh-CN" w:bidi="ar-SA"/>
              </w:rPr>
            </w:pPr>
            <w:r>
              <w:rPr>
                <w:rFonts w:hint="eastAsia" w:cs="Times New Roman"/>
                <w:bCs/>
                <w:color w:val="auto"/>
                <w:kern w:val="0"/>
                <w:sz w:val="24"/>
                <w:szCs w:val="24"/>
                <w:lang w:val="en-US" w:eastAsia="zh-CN" w:bidi="ar-SA"/>
              </w:rPr>
              <w:t>3、勘探工程</w:t>
            </w:r>
          </w:p>
          <w:p>
            <w:pPr>
              <w:pStyle w:val="49"/>
              <w:bidi w:val="0"/>
              <w:rPr>
                <w:rFonts w:hint="eastAsia" w:cs="Times New Roman"/>
                <w:bCs/>
                <w:color w:val="auto"/>
                <w:kern w:val="0"/>
                <w:sz w:val="24"/>
                <w:szCs w:val="24"/>
                <w:lang w:val="en-US" w:eastAsia="zh-CN" w:bidi="ar-SA"/>
              </w:rPr>
            </w:pPr>
            <w:r>
              <w:rPr>
                <w:rFonts w:hint="eastAsia" w:cs="Times New Roman"/>
                <w:bCs/>
                <w:color w:val="auto"/>
                <w:kern w:val="0"/>
                <w:sz w:val="24"/>
                <w:szCs w:val="24"/>
                <w:lang w:val="en-US" w:eastAsia="zh-CN" w:bidi="ar-SA"/>
              </w:rPr>
              <w:t>本项目勘查工作布设探槽总工作量6000m</w:t>
            </w:r>
            <w:r>
              <w:rPr>
                <w:rFonts w:hint="eastAsia" w:cs="Times New Roman"/>
                <w:bCs/>
                <w:color w:val="auto"/>
                <w:kern w:val="0"/>
                <w:sz w:val="24"/>
                <w:szCs w:val="24"/>
                <w:vertAlign w:val="superscript"/>
                <w:lang w:val="en-US" w:eastAsia="zh-CN" w:bidi="ar-SA"/>
              </w:rPr>
              <w:t>3</w:t>
            </w:r>
            <w:r>
              <w:rPr>
                <w:rFonts w:hint="eastAsia" w:cs="Times New Roman"/>
                <w:bCs/>
                <w:color w:val="auto"/>
                <w:kern w:val="0"/>
                <w:sz w:val="24"/>
                <w:szCs w:val="24"/>
                <w:lang w:val="en-US" w:eastAsia="zh-CN" w:bidi="ar-SA"/>
              </w:rPr>
              <w:t>，探槽深度0-1.5m，本项目按0.75米计，故探槽占地8000m</w:t>
            </w:r>
            <w:r>
              <w:rPr>
                <w:rFonts w:hint="eastAsia" w:cs="Times New Roman"/>
                <w:bCs/>
                <w:color w:val="auto"/>
                <w:kern w:val="0"/>
                <w:sz w:val="24"/>
                <w:szCs w:val="24"/>
                <w:vertAlign w:val="superscript"/>
                <w:lang w:val="en-US" w:eastAsia="zh-CN" w:bidi="ar-SA"/>
              </w:rPr>
              <w:t>2</w:t>
            </w:r>
            <w:r>
              <w:rPr>
                <w:rFonts w:hint="eastAsia" w:cs="Times New Roman"/>
                <w:bCs/>
                <w:color w:val="auto"/>
                <w:kern w:val="0"/>
                <w:sz w:val="24"/>
                <w:szCs w:val="24"/>
                <w:lang w:val="en-US" w:eastAsia="zh-CN" w:bidi="ar-SA"/>
              </w:rPr>
              <w:t>。布设36个钻孔，钻孔位于探槽倾斜坡面，不额外占用土地。</w:t>
            </w:r>
          </w:p>
          <w:p>
            <w:pPr>
              <w:pStyle w:val="49"/>
              <w:bidi w:val="0"/>
              <w:rPr>
                <w:rFonts w:hint="eastAsia" w:cs="Times New Roman"/>
                <w:bCs/>
                <w:color w:val="auto"/>
                <w:kern w:val="0"/>
                <w:sz w:val="24"/>
                <w:szCs w:val="24"/>
                <w:lang w:val="en-US" w:eastAsia="zh-CN" w:bidi="ar-SA"/>
              </w:rPr>
            </w:pPr>
            <w:r>
              <w:rPr>
                <w:rFonts w:hint="eastAsia" w:cs="Times New Roman"/>
                <w:bCs/>
                <w:color w:val="auto"/>
                <w:kern w:val="0"/>
                <w:sz w:val="24"/>
                <w:szCs w:val="24"/>
                <w:lang w:val="en-US" w:eastAsia="zh-CN" w:bidi="ar-SA"/>
              </w:rPr>
              <w:t>本项目设置2个10m</w:t>
            </w:r>
            <w:r>
              <w:rPr>
                <w:rFonts w:hint="eastAsia" w:cs="Times New Roman"/>
                <w:bCs/>
                <w:color w:val="auto"/>
                <w:kern w:val="0"/>
                <w:sz w:val="24"/>
                <w:szCs w:val="24"/>
                <w:vertAlign w:val="superscript"/>
                <w:lang w:val="en-US" w:eastAsia="zh-CN" w:bidi="ar-SA"/>
              </w:rPr>
              <w:t>3</w:t>
            </w:r>
            <w:r>
              <w:rPr>
                <w:rFonts w:hint="eastAsia" w:cs="Times New Roman"/>
                <w:bCs/>
                <w:color w:val="auto"/>
                <w:kern w:val="0"/>
                <w:sz w:val="24"/>
                <w:szCs w:val="24"/>
                <w:lang w:val="en-US" w:eastAsia="zh-CN" w:bidi="ar-SA"/>
              </w:rPr>
              <w:t>移动式泥浆沉淀池（深度为1m）和2个4m</w:t>
            </w:r>
            <w:r>
              <w:rPr>
                <w:rFonts w:hint="eastAsia" w:cs="Times New Roman"/>
                <w:bCs/>
                <w:color w:val="auto"/>
                <w:kern w:val="0"/>
                <w:sz w:val="24"/>
                <w:szCs w:val="24"/>
                <w:vertAlign w:val="superscript"/>
                <w:lang w:val="en-US" w:eastAsia="zh-CN" w:bidi="ar-SA"/>
              </w:rPr>
              <w:t>3</w:t>
            </w:r>
            <w:r>
              <w:rPr>
                <w:rFonts w:hint="eastAsia" w:cs="Times New Roman"/>
                <w:bCs/>
                <w:color w:val="auto"/>
                <w:kern w:val="0"/>
                <w:sz w:val="24"/>
                <w:szCs w:val="24"/>
                <w:lang w:val="en-US" w:eastAsia="zh-CN" w:bidi="ar-SA"/>
              </w:rPr>
              <w:t>钻井设备冲洗水沉淀池（深度为1m），占地共28m</w:t>
            </w:r>
            <w:r>
              <w:rPr>
                <w:rFonts w:hint="eastAsia" w:cs="Times New Roman"/>
                <w:bCs/>
                <w:color w:val="auto"/>
                <w:kern w:val="0"/>
                <w:sz w:val="24"/>
                <w:szCs w:val="24"/>
                <w:vertAlign w:val="superscript"/>
                <w:lang w:val="en-US" w:eastAsia="zh-CN" w:bidi="ar-SA"/>
              </w:rPr>
              <w:t>2</w:t>
            </w:r>
            <w:r>
              <w:rPr>
                <w:rFonts w:hint="eastAsia" w:cs="Times New Roman"/>
                <w:bCs/>
                <w:color w:val="auto"/>
                <w:kern w:val="0"/>
                <w:sz w:val="24"/>
                <w:szCs w:val="24"/>
                <w:lang w:val="en-US" w:eastAsia="zh-CN" w:bidi="ar-SA"/>
              </w:rPr>
              <w:t>。</w:t>
            </w:r>
          </w:p>
          <w:p>
            <w:pPr>
              <w:pStyle w:val="49"/>
              <w:bidi w:val="0"/>
              <w:rPr>
                <w:rFonts w:hint="default"/>
                <w:color w:val="auto"/>
                <w:lang w:val="en-US" w:eastAsia="zh-CN"/>
              </w:rPr>
            </w:pPr>
            <w:r>
              <w:rPr>
                <w:rFonts w:hint="default"/>
                <w:color w:val="auto"/>
                <w:lang w:val="en-US" w:eastAsia="zh-CN"/>
              </w:rPr>
              <w:t>本项目占地类型一览表见下表。</w:t>
            </w:r>
          </w:p>
          <w:p>
            <w:pPr>
              <w:pStyle w:val="53"/>
              <w:bidi w:val="0"/>
              <w:rPr>
                <w:rFonts w:hint="default"/>
                <w:color w:val="auto"/>
                <w:lang w:val="en-US" w:eastAsia="zh-CN"/>
              </w:rPr>
            </w:pPr>
            <w:r>
              <w:rPr>
                <w:rFonts w:hint="default"/>
                <w:color w:val="auto"/>
                <w:lang w:val="en-US" w:eastAsia="zh-CN"/>
              </w:rPr>
              <w:t>表2-</w:t>
            </w:r>
            <w:r>
              <w:rPr>
                <w:rFonts w:hint="eastAsia"/>
                <w:color w:val="auto"/>
                <w:lang w:val="en-US" w:eastAsia="zh-CN"/>
              </w:rPr>
              <w:t>5</w:t>
            </w:r>
            <w:r>
              <w:rPr>
                <w:rFonts w:hint="default"/>
                <w:color w:val="auto"/>
                <w:lang w:val="en-US" w:eastAsia="zh-CN"/>
              </w:rPr>
              <w:t xml:space="preserve">    项目占地类型一览表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482"/>
              <w:gridCol w:w="1067"/>
              <w:gridCol w:w="1508"/>
              <w:gridCol w:w="1657"/>
              <w:gridCol w:w="1160"/>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1275" w:type="pct"/>
                  <w:gridSpan w:val="3"/>
                  <w:noWrap w:val="0"/>
                  <w:vAlign w:val="center"/>
                </w:tcPr>
                <w:p>
                  <w:pPr>
                    <w:pStyle w:val="55"/>
                    <w:bidi w:val="0"/>
                    <w:rPr>
                      <w:rFonts w:hint="default"/>
                      <w:lang w:val="en-US" w:eastAsia="zh-CN"/>
                    </w:rPr>
                  </w:pPr>
                  <w:r>
                    <w:rPr>
                      <w:rFonts w:hint="default"/>
                      <w:lang w:val="en-US" w:eastAsia="zh-CN"/>
                    </w:rPr>
                    <w:t>名称</w:t>
                  </w:r>
                </w:p>
              </w:tc>
              <w:tc>
                <w:tcPr>
                  <w:tcW w:w="958" w:type="pct"/>
                  <w:noWrap w:val="0"/>
                  <w:vAlign w:val="center"/>
                </w:tcPr>
                <w:p>
                  <w:pPr>
                    <w:pStyle w:val="55"/>
                    <w:bidi w:val="0"/>
                    <w:rPr>
                      <w:rFonts w:hint="default"/>
                      <w:lang w:val="en-US" w:eastAsia="zh-CN"/>
                    </w:rPr>
                  </w:pPr>
                  <w:r>
                    <w:rPr>
                      <w:rFonts w:hint="default"/>
                      <w:lang w:val="en-US" w:eastAsia="zh-CN"/>
                    </w:rPr>
                    <w:t>占地面积（m</w:t>
                  </w:r>
                  <w:r>
                    <w:rPr>
                      <w:rFonts w:hint="default"/>
                      <w:vertAlign w:val="superscript"/>
                      <w:lang w:val="en-US" w:eastAsia="zh-CN"/>
                    </w:rPr>
                    <w:t>2</w:t>
                  </w:r>
                  <w:r>
                    <w:rPr>
                      <w:rFonts w:hint="default"/>
                      <w:lang w:val="en-US" w:eastAsia="zh-CN"/>
                    </w:rPr>
                    <w:t>）</w:t>
                  </w:r>
                </w:p>
              </w:tc>
              <w:tc>
                <w:tcPr>
                  <w:tcW w:w="1053" w:type="pct"/>
                  <w:noWrap w:val="0"/>
                  <w:vAlign w:val="center"/>
                </w:tcPr>
                <w:p>
                  <w:pPr>
                    <w:pStyle w:val="55"/>
                    <w:bidi w:val="0"/>
                    <w:rPr>
                      <w:rFonts w:hint="default"/>
                      <w:highlight w:val="green"/>
                      <w:lang w:val="en-US" w:eastAsia="zh-CN"/>
                    </w:rPr>
                  </w:pPr>
                  <w:r>
                    <w:rPr>
                      <w:rFonts w:hint="default"/>
                      <w:highlight w:val="none"/>
                      <w:lang w:val="en-US" w:eastAsia="zh-CN"/>
                    </w:rPr>
                    <w:t>占地类型</w:t>
                  </w:r>
                </w:p>
              </w:tc>
              <w:tc>
                <w:tcPr>
                  <w:tcW w:w="737" w:type="pct"/>
                  <w:noWrap w:val="0"/>
                  <w:vAlign w:val="center"/>
                </w:tcPr>
                <w:p>
                  <w:pPr>
                    <w:pStyle w:val="55"/>
                    <w:bidi w:val="0"/>
                    <w:rPr>
                      <w:rFonts w:hint="default"/>
                      <w:lang w:val="en-US" w:eastAsia="zh-CN"/>
                    </w:rPr>
                  </w:pPr>
                  <w:r>
                    <w:rPr>
                      <w:rFonts w:hint="default"/>
                      <w:lang w:val="en-US" w:eastAsia="zh-CN"/>
                    </w:rPr>
                    <w:t>占地性质</w:t>
                  </w:r>
                </w:p>
              </w:tc>
              <w:tc>
                <w:tcPr>
                  <w:tcW w:w="975" w:type="pct"/>
                  <w:noWrap w:val="0"/>
                  <w:vAlign w:val="center"/>
                </w:tcPr>
                <w:p>
                  <w:pPr>
                    <w:pStyle w:val="55"/>
                    <w:bidi w:val="0"/>
                    <w:rPr>
                      <w:rFonts w:hint="default"/>
                      <w:lang w:val="en-US" w:eastAsia="zh-CN"/>
                    </w:rPr>
                  </w:pPr>
                  <w:r>
                    <w:rPr>
                      <w:rFonts w:hint="default"/>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75" w:type="pct"/>
                  <w:gridSpan w:val="3"/>
                  <w:noWrap w:val="0"/>
                  <w:vAlign w:val="center"/>
                </w:tcPr>
                <w:p>
                  <w:pPr>
                    <w:pStyle w:val="55"/>
                    <w:bidi w:val="0"/>
                    <w:rPr>
                      <w:rFonts w:hint="default"/>
                      <w:lang w:val="en-US" w:eastAsia="zh-CN"/>
                    </w:rPr>
                  </w:pPr>
                  <w:r>
                    <w:rPr>
                      <w:rFonts w:hint="default"/>
                      <w:lang w:val="en-US" w:eastAsia="zh-CN"/>
                    </w:rPr>
                    <w:t>探矿权范围</w:t>
                  </w:r>
                </w:p>
              </w:tc>
              <w:tc>
                <w:tcPr>
                  <w:tcW w:w="958" w:type="pct"/>
                  <w:noWrap w:val="0"/>
                  <w:vAlign w:val="center"/>
                </w:tcPr>
                <w:p>
                  <w:pPr>
                    <w:pStyle w:val="55"/>
                    <w:bidi w:val="0"/>
                    <w:rPr>
                      <w:rFonts w:hint="default"/>
                      <w:lang w:val="en-US" w:eastAsia="zh-CN"/>
                    </w:rPr>
                  </w:pPr>
                  <w:r>
                    <w:rPr>
                      <w:rFonts w:hint="eastAsia"/>
                      <w:lang w:val="en-US" w:eastAsia="zh-CN"/>
                    </w:rPr>
                    <w:t>8390000</w:t>
                  </w:r>
                </w:p>
              </w:tc>
              <w:tc>
                <w:tcPr>
                  <w:tcW w:w="1053" w:type="pct"/>
                  <w:noWrap w:val="0"/>
                  <w:vAlign w:val="center"/>
                </w:tcPr>
                <w:p>
                  <w:pPr>
                    <w:pStyle w:val="55"/>
                    <w:bidi w:val="0"/>
                    <w:rPr>
                      <w:rFonts w:hint="default"/>
                      <w:highlight w:val="none"/>
                      <w:lang w:val="en-US" w:eastAsia="zh-CN"/>
                    </w:rPr>
                  </w:pPr>
                  <w:r>
                    <w:rPr>
                      <w:rFonts w:hint="eastAsia"/>
                      <w:highlight w:val="none"/>
                      <w:lang w:val="en-US" w:eastAsia="zh-CN"/>
                    </w:rPr>
                    <w:t>裸岩石砾地、戈壁</w:t>
                  </w:r>
                </w:p>
              </w:tc>
              <w:tc>
                <w:tcPr>
                  <w:tcW w:w="737" w:type="pct"/>
                  <w:noWrap w:val="0"/>
                  <w:vAlign w:val="center"/>
                </w:tcPr>
                <w:p>
                  <w:pPr>
                    <w:pStyle w:val="55"/>
                    <w:bidi w:val="0"/>
                    <w:rPr>
                      <w:rFonts w:hint="default"/>
                      <w:lang w:val="en-US" w:eastAsia="zh-CN"/>
                    </w:rPr>
                  </w:pPr>
                  <w:r>
                    <w:rPr>
                      <w:rFonts w:hint="default"/>
                      <w:lang w:val="en-US" w:eastAsia="zh-CN"/>
                    </w:rPr>
                    <w:t>临时占地</w:t>
                  </w:r>
                </w:p>
              </w:tc>
              <w:tc>
                <w:tcPr>
                  <w:tcW w:w="975" w:type="pct"/>
                  <w:noWrap w:val="0"/>
                  <w:vAlign w:val="center"/>
                </w:tcPr>
                <w:p>
                  <w:pPr>
                    <w:pStyle w:val="55"/>
                    <w:bidi w:val="0"/>
                    <w:rPr>
                      <w:rFonts w:hint="default"/>
                      <w:lang w:val="en-US" w:eastAsia="zh-CN"/>
                    </w:rPr>
                  </w:pPr>
                  <w:r>
                    <w:rPr>
                      <w:rFonts w:hint="defaul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1" w:hRule="atLeast"/>
                <w:jc w:val="center"/>
              </w:trPr>
              <w:tc>
                <w:tcPr>
                  <w:tcW w:w="291" w:type="pct"/>
                  <w:vMerge w:val="restart"/>
                  <w:noWrap w:val="0"/>
                  <w:vAlign w:val="center"/>
                </w:tcPr>
                <w:p>
                  <w:pPr>
                    <w:pStyle w:val="55"/>
                    <w:bidi w:val="0"/>
                    <w:rPr>
                      <w:rFonts w:hint="default"/>
                      <w:lang w:val="en-US" w:eastAsia="zh-CN"/>
                    </w:rPr>
                  </w:pPr>
                  <w:r>
                    <w:rPr>
                      <w:rFonts w:hint="default"/>
                      <w:lang w:val="en-US" w:eastAsia="zh-CN"/>
                    </w:rPr>
                    <w:t>其中</w:t>
                  </w:r>
                </w:p>
              </w:tc>
              <w:tc>
                <w:tcPr>
                  <w:tcW w:w="984" w:type="pct"/>
                  <w:gridSpan w:val="2"/>
                  <w:noWrap w:val="0"/>
                  <w:vAlign w:val="center"/>
                </w:tcPr>
                <w:p>
                  <w:pPr>
                    <w:pStyle w:val="55"/>
                    <w:bidi w:val="0"/>
                    <w:rPr>
                      <w:rFonts w:hint="default"/>
                      <w:lang w:val="en-US" w:eastAsia="zh-CN"/>
                    </w:rPr>
                  </w:pPr>
                  <w:r>
                    <w:rPr>
                      <w:rFonts w:hint="default"/>
                      <w:lang w:val="en-US" w:eastAsia="zh-CN"/>
                    </w:rPr>
                    <w:t>槽探区</w:t>
                  </w:r>
                </w:p>
              </w:tc>
              <w:tc>
                <w:tcPr>
                  <w:tcW w:w="958" w:type="pct"/>
                  <w:noWrap w:val="0"/>
                  <w:vAlign w:val="center"/>
                </w:tcPr>
                <w:p>
                  <w:pPr>
                    <w:pStyle w:val="55"/>
                    <w:bidi w:val="0"/>
                    <w:rPr>
                      <w:rFonts w:hint="default"/>
                      <w:lang w:val="en-US" w:eastAsia="zh-CN"/>
                    </w:rPr>
                  </w:pPr>
                  <w:r>
                    <w:rPr>
                      <w:rFonts w:hint="eastAsia"/>
                      <w:lang w:val="en-US" w:eastAsia="zh-CN"/>
                    </w:rPr>
                    <w:t>8000</w:t>
                  </w:r>
                </w:p>
              </w:tc>
              <w:tc>
                <w:tcPr>
                  <w:tcW w:w="1053" w:type="pct"/>
                  <w:noWrap w:val="0"/>
                  <w:vAlign w:val="center"/>
                </w:tcPr>
                <w:p>
                  <w:pPr>
                    <w:pStyle w:val="55"/>
                    <w:bidi w:val="0"/>
                    <w:rPr>
                      <w:rFonts w:hint="default"/>
                      <w:highlight w:val="none"/>
                      <w:lang w:val="en-US" w:eastAsia="zh-CN"/>
                    </w:rPr>
                  </w:pPr>
                  <w:r>
                    <w:rPr>
                      <w:rFonts w:hint="default"/>
                      <w:highlight w:val="none"/>
                      <w:lang w:val="en-US" w:eastAsia="zh-CN"/>
                    </w:rPr>
                    <w:t>裸岩石砾地</w:t>
                  </w:r>
                </w:p>
              </w:tc>
              <w:tc>
                <w:tcPr>
                  <w:tcW w:w="737" w:type="pct"/>
                  <w:noWrap w:val="0"/>
                  <w:vAlign w:val="center"/>
                </w:tcPr>
                <w:p>
                  <w:pPr>
                    <w:pStyle w:val="55"/>
                    <w:bidi w:val="0"/>
                    <w:rPr>
                      <w:rFonts w:hint="default"/>
                      <w:lang w:val="en-US" w:eastAsia="zh-CN"/>
                    </w:rPr>
                  </w:pPr>
                  <w:r>
                    <w:rPr>
                      <w:rFonts w:hint="default"/>
                      <w:lang w:val="en-US" w:eastAsia="zh-CN"/>
                    </w:rPr>
                    <w:t>临时占地</w:t>
                  </w:r>
                </w:p>
              </w:tc>
              <w:tc>
                <w:tcPr>
                  <w:tcW w:w="975" w:type="pct"/>
                  <w:noWrap w:val="0"/>
                  <w:vAlign w:val="center"/>
                </w:tcPr>
                <w:p>
                  <w:pPr>
                    <w:pStyle w:val="55"/>
                    <w:bidi w:val="0"/>
                    <w:rPr>
                      <w:rFonts w:hint="default"/>
                      <w:lang w:val="en-US" w:eastAsia="zh-CN"/>
                    </w:rPr>
                  </w:pPr>
                  <w:r>
                    <w:rPr>
                      <w:rFonts w:hint="defaul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jc w:val="center"/>
              </w:trPr>
              <w:tc>
                <w:tcPr>
                  <w:tcW w:w="291" w:type="pct"/>
                  <w:vMerge w:val="continue"/>
                  <w:noWrap w:val="0"/>
                  <w:vAlign w:val="center"/>
                </w:tcPr>
                <w:p>
                  <w:pPr>
                    <w:pStyle w:val="55"/>
                    <w:bidi w:val="0"/>
                    <w:rPr>
                      <w:rFonts w:hint="default"/>
                      <w:lang w:val="en-US" w:eastAsia="zh-CN"/>
                    </w:rPr>
                  </w:pPr>
                </w:p>
              </w:tc>
              <w:tc>
                <w:tcPr>
                  <w:tcW w:w="306" w:type="pct"/>
                  <w:vMerge w:val="restart"/>
                  <w:noWrap w:val="0"/>
                  <w:vAlign w:val="center"/>
                </w:tcPr>
                <w:p>
                  <w:pPr>
                    <w:pStyle w:val="55"/>
                    <w:bidi w:val="0"/>
                    <w:rPr>
                      <w:rFonts w:hint="default"/>
                      <w:lang w:val="en-US" w:eastAsia="zh-CN"/>
                    </w:rPr>
                  </w:pPr>
                  <w:r>
                    <w:rPr>
                      <w:rFonts w:hint="eastAsia"/>
                      <w:lang w:val="en-US" w:eastAsia="zh-CN"/>
                    </w:rPr>
                    <w:t>钻探区</w:t>
                  </w:r>
                </w:p>
              </w:tc>
              <w:tc>
                <w:tcPr>
                  <w:tcW w:w="678" w:type="pct"/>
                  <w:noWrap w:val="0"/>
                  <w:vAlign w:val="center"/>
                </w:tcPr>
                <w:p>
                  <w:pPr>
                    <w:pStyle w:val="55"/>
                    <w:bidi w:val="0"/>
                    <w:rPr>
                      <w:rFonts w:hint="default"/>
                      <w:lang w:val="en-US" w:eastAsia="zh-CN"/>
                    </w:rPr>
                  </w:pPr>
                  <w:r>
                    <w:rPr>
                      <w:rFonts w:hint="eastAsia"/>
                      <w:lang w:val="en-US" w:eastAsia="zh-CN"/>
                    </w:rPr>
                    <w:t>钻探施工</w:t>
                  </w:r>
                </w:p>
              </w:tc>
              <w:tc>
                <w:tcPr>
                  <w:tcW w:w="958" w:type="pct"/>
                  <w:noWrap w:val="0"/>
                  <w:vAlign w:val="center"/>
                </w:tcPr>
                <w:p>
                  <w:pPr>
                    <w:pStyle w:val="55"/>
                    <w:bidi w:val="0"/>
                    <w:rPr>
                      <w:rFonts w:hint="default"/>
                      <w:lang w:val="en-US" w:eastAsia="zh-CN"/>
                    </w:rPr>
                  </w:pPr>
                  <w:r>
                    <w:rPr>
                      <w:rFonts w:hint="eastAsia"/>
                      <w:lang w:val="en-US" w:eastAsia="zh-CN"/>
                    </w:rPr>
                    <w:t>/</w:t>
                  </w:r>
                </w:p>
              </w:tc>
              <w:tc>
                <w:tcPr>
                  <w:tcW w:w="1053" w:type="pct"/>
                  <w:noWrap w:val="0"/>
                  <w:vAlign w:val="center"/>
                </w:tcPr>
                <w:p>
                  <w:pPr>
                    <w:pStyle w:val="55"/>
                    <w:bidi w:val="0"/>
                    <w:rPr>
                      <w:rFonts w:hint="default"/>
                      <w:lang w:val="en-US" w:eastAsia="zh-CN"/>
                    </w:rPr>
                  </w:pPr>
                  <w:r>
                    <w:rPr>
                      <w:rFonts w:hint="default"/>
                      <w:lang w:val="en-US" w:eastAsia="zh-CN"/>
                    </w:rPr>
                    <w:t>裸岩石砾地</w:t>
                  </w:r>
                </w:p>
              </w:tc>
              <w:tc>
                <w:tcPr>
                  <w:tcW w:w="737" w:type="pct"/>
                  <w:noWrap w:val="0"/>
                  <w:vAlign w:val="center"/>
                </w:tcPr>
                <w:p>
                  <w:pPr>
                    <w:pStyle w:val="55"/>
                    <w:bidi w:val="0"/>
                    <w:rPr>
                      <w:rFonts w:hint="default"/>
                      <w:lang w:val="en-US" w:eastAsia="zh-CN"/>
                    </w:rPr>
                  </w:pPr>
                  <w:r>
                    <w:rPr>
                      <w:rFonts w:hint="eastAsia"/>
                    </w:rPr>
                    <w:t>临时占地</w:t>
                  </w:r>
                </w:p>
              </w:tc>
              <w:tc>
                <w:tcPr>
                  <w:tcW w:w="975" w:type="pct"/>
                  <w:noWrap w:val="0"/>
                  <w:vAlign w:val="center"/>
                </w:tcPr>
                <w:p>
                  <w:pPr>
                    <w:pStyle w:val="55"/>
                    <w:bidi w:val="0"/>
                    <w:rPr>
                      <w:rFonts w:hint="default"/>
                      <w:lang w:val="en-US" w:eastAsia="zh-CN"/>
                    </w:rPr>
                  </w:pPr>
                  <w:r>
                    <w:rPr>
                      <w:rFonts w:hint="eastAsia"/>
                      <w:lang w:val="en-US" w:eastAsia="zh-CN"/>
                    </w:rPr>
                    <w:t>钻孔</w:t>
                  </w:r>
                  <w:r>
                    <w:rPr>
                      <w:rFonts w:hint="eastAsia"/>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291" w:type="pct"/>
                  <w:vMerge w:val="continue"/>
                  <w:noWrap w:val="0"/>
                  <w:vAlign w:val="center"/>
                </w:tcPr>
                <w:p>
                  <w:pPr>
                    <w:pStyle w:val="55"/>
                    <w:bidi w:val="0"/>
                    <w:rPr>
                      <w:rFonts w:hint="default"/>
                      <w:lang w:val="en-US" w:eastAsia="zh-CN"/>
                    </w:rPr>
                  </w:pPr>
                </w:p>
              </w:tc>
              <w:tc>
                <w:tcPr>
                  <w:tcW w:w="306" w:type="pct"/>
                  <w:vMerge w:val="continue"/>
                  <w:noWrap w:val="0"/>
                  <w:vAlign w:val="center"/>
                </w:tcPr>
                <w:p>
                  <w:pPr>
                    <w:pStyle w:val="55"/>
                    <w:bidi w:val="0"/>
                    <w:rPr>
                      <w:rFonts w:hint="eastAsia"/>
                      <w:lang w:val="en-US" w:eastAsia="zh-CN"/>
                    </w:rPr>
                  </w:pPr>
                </w:p>
              </w:tc>
              <w:tc>
                <w:tcPr>
                  <w:tcW w:w="678" w:type="pct"/>
                  <w:noWrap w:val="0"/>
                  <w:vAlign w:val="center"/>
                </w:tcPr>
                <w:p>
                  <w:pPr>
                    <w:pStyle w:val="55"/>
                    <w:bidi w:val="0"/>
                    <w:rPr>
                      <w:rFonts w:hint="default"/>
                      <w:lang w:val="en-US" w:eastAsia="zh-CN"/>
                    </w:rPr>
                  </w:pPr>
                  <w:r>
                    <w:rPr>
                      <w:rFonts w:hint="eastAsia"/>
                      <w:lang w:val="en-US" w:eastAsia="zh-CN"/>
                    </w:rPr>
                    <w:t>沉淀池</w:t>
                  </w:r>
                </w:p>
              </w:tc>
              <w:tc>
                <w:tcPr>
                  <w:tcW w:w="958" w:type="pct"/>
                  <w:noWrap w:val="0"/>
                  <w:vAlign w:val="center"/>
                </w:tcPr>
                <w:p>
                  <w:pPr>
                    <w:pStyle w:val="55"/>
                    <w:bidi w:val="0"/>
                    <w:rPr>
                      <w:rFonts w:hint="default"/>
                      <w:lang w:val="en-US" w:eastAsia="zh-CN"/>
                    </w:rPr>
                  </w:pPr>
                  <w:r>
                    <w:rPr>
                      <w:rFonts w:hint="eastAsia"/>
                      <w:lang w:val="en-US" w:eastAsia="zh-CN"/>
                    </w:rPr>
                    <w:t>28</w:t>
                  </w:r>
                </w:p>
              </w:tc>
              <w:tc>
                <w:tcPr>
                  <w:tcW w:w="1053" w:type="pct"/>
                  <w:noWrap w:val="0"/>
                  <w:vAlign w:val="center"/>
                </w:tcPr>
                <w:p>
                  <w:pPr>
                    <w:pStyle w:val="55"/>
                    <w:bidi w:val="0"/>
                    <w:rPr>
                      <w:rFonts w:hint="eastAsia"/>
                      <w:lang w:val="en-US" w:eastAsia="zh-CN"/>
                    </w:rPr>
                  </w:pPr>
                  <w:r>
                    <w:rPr>
                      <w:rFonts w:hint="eastAsia"/>
                      <w:lang w:val="en-US" w:eastAsia="zh-CN"/>
                    </w:rPr>
                    <w:t>裸岩石砾地</w:t>
                  </w:r>
                </w:p>
              </w:tc>
              <w:tc>
                <w:tcPr>
                  <w:tcW w:w="737" w:type="pct"/>
                  <w:noWrap w:val="0"/>
                  <w:vAlign w:val="center"/>
                </w:tcPr>
                <w:p>
                  <w:pPr>
                    <w:pStyle w:val="55"/>
                    <w:bidi w:val="0"/>
                    <w:rPr>
                      <w:rFonts w:hint="eastAsia"/>
                    </w:rPr>
                  </w:pPr>
                  <w:r>
                    <w:rPr>
                      <w:rFonts w:hint="eastAsia"/>
                    </w:rPr>
                    <w:t>临时占地</w:t>
                  </w:r>
                </w:p>
              </w:tc>
              <w:tc>
                <w:tcPr>
                  <w:tcW w:w="975" w:type="pct"/>
                  <w:noWrap w:val="0"/>
                  <w:vAlign w:val="center"/>
                </w:tcPr>
                <w:p>
                  <w:pPr>
                    <w:pStyle w:val="55"/>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91" w:type="pct"/>
                  <w:vMerge w:val="continue"/>
                  <w:noWrap w:val="0"/>
                  <w:vAlign w:val="center"/>
                </w:tcPr>
                <w:p>
                  <w:pPr>
                    <w:pStyle w:val="55"/>
                    <w:bidi w:val="0"/>
                    <w:rPr>
                      <w:rFonts w:hint="default"/>
                      <w:lang w:val="en-US" w:eastAsia="zh-CN"/>
                    </w:rPr>
                  </w:pPr>
                </w:p>
              </w:tc>
              <w:tc>
                <w:tcPr>
                  <w:tcW w:w="984" w:type="pct"/>
                  <w:gridSpan w:val="2"/>
                  <w:shd w:val="clear" w:color="auto" w:fill="auto"/>
                  <w:noWrap w:val="0"/>
                  <w:vAlign w:val="center"/>
                </w:tcPr>
                <w:p>
                  <w:pPr>
                    <w:pStyle w:val="55"/>
                    <w:bidi w:val="0"/>
                    <w:rPr>
                      <w:rFonts w:hint="default"/>
                      <w:lang w:val="en-US" w:eastAsia="zh-CN"/>
                    </w:rPr>
                  </w:pPr>
                  <w:r>
                    <w:rPr>
                      <w:rFonts w:hint="default"/>
                      <w:lang w:val="en-US" w:eastAsia="zh-CN"/>
                    </w:rPr>
                    <w:t>临时堆场</w:t>
                  </w:r>
                </w:p>
              </w:tc>
              <w:tc>
                <w:tcPr>
                  <w:tcW w:w="958" w:type="pct"/>
                  <w:shd w:val="clear" w:color="auto" w:fill="auto"/>
                  <w:noWrap w:val="0"/>
                  <w:vAlign w:val="center"/>
                </w:tcPr>
                <w:p>
                  <w:pPr>
                    <w:pStyle w:val="55"/>
                    <w:bidi w:val="0"/>
                    <w:rPr>
                      <w:rFonts w:hint="default"/>
                      <w:lang w:val="en-US" w:eastAsia="zh-CN"/>
                    </w:rPr>
                  </w:pPr>
                  <w:r>
                    <w:rPr>
                      <w:rFonts w:hint="eastAsia"/>
                      <w:lang w:val="en-US" w:eastAsia="zh-CN"/>
                    </w:rPr>
                    <w:t>6500</w:t>
                  </w:r>
                </w:p>
              </w:tc>
              <w:tc>
                <w:tcPr>
                  <w:tcW w:w="1053" w:type="pct"/>
                  <w:shd w:val="clear" w:color="auto" w:fill="auto"/>
                  <w:noWrap w:val="0"/>
                  <w:vAlign w:val="center"/>
                </w:tcPr>
                <w:p>
                  <w:pPr>
                    <w:bidi w:val="0"/>
                    <w:ind w:left="0" w:leftChars="0" w:right="0" w:rightChars="0" w:firstLine="0" w:firstLineChars="0"/>
                    <w:jc w:val="center"/>
                    <w:rPr>
                      <w:rFonts w:hint="default"/>
                      <w:lang w:val="en-US" w:eastAsia="zh-CN"/>
                    </w:rPr>
                  </w:pPr>
                  <w:r>
                    <w:rPr>
                      <w:rFonts w:hint="eastAsia"/>
                      <w:highlight w:val="none"/>
                      <w:lang w:val="en-US" w:eastAsia="zh-CN"/>
                    </w:rPr>
                    <w:t>裸岩石砾地</w:t>
                  </w:r>
                </w:p>
              </w:tc>
              <w:tc>
                <w:tcPr>
                  <w:tcW w:w="737" w:type="pct"/>
                  <w:shd w:val="clear" w:color="auto" w:fill="auto"/>
                  <w:noWrap w:val="0"/>
                  <w:vAlign w:val="center"/>
                </w:tcPr>
                <w:p>
                  <w:pPr>
                    <w:pStyle w:val="55"/>
                    <w:bidi w:val="0"/>
                    <w:rPr>
                      <w:rFonts w:hint="default"/>
                      <w:lang w:val="en-US" w:eastAsia="zh-CN"/>
                    </w:rPr>
                  </w:pPr>
                  <w:r>
                    <w:rPr>
                      <w:rFonts w:hint="default"/>
                      <w:lang w:val="en-US" w:eastAsia="zh-CN"/>
                    </w:rPr>
                    <w:t>临时占地</w:t>
                  </w:r>
                </w:p>
              </w:tc>
              <w:tc>
                <w:tcPr>
                  <w:tcW w:w="975" w:type="pct"/>
                  <w:shd w:val="clear" w:color="auto" w:fill="auto"/>
                  <w:noWrap w:val="0"/>
                  <w:vAlign w:val="center"/>
                </w:tcPr>
                <w:p>
                  <w:pPr>
                    <w:pStyle w:val="55"/>
                    <w:bidi w:val="0"/>
                    <w:rPr>
                      <w:rFonts w:hint="default"/>
                      <w:lang w:val="en-US" w:eastAsia="zh-CN"/>
                    </w:rPr>
                  </w:pPr>
                  <w:r>
                    <w:rPr>
                      <w:rFonts w:hint="default"/>
                      <w:lang w:val="en-US" w:eastAsia="zh-CN"/>
                    </w:rPr>
                    <w:t>位于探槽</w:t>
                  </w:r>
                  <w:r>
                    <w:rPr>
                      <w:rFonts w:hint="eastAsia"/>
                      <w:lang w:val="en-US" w:eastAsia="zh-CN"/>
                    </w:rPr>
                    <w:t>一</w:t>
                  </w:r>
                  <w:r>
                    <w:rPr>
                      <w:rFonts w:hint="default"/>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291" w:type="pct"/>
                  <w:vMerge w:val="continue"/>
                  <w:noWrap w:val="0"/>
                  <w:vAlign w:val="center"/>
                </w:tcPr>
                <w:p>
                  <w:pPr>
                    <w:pStyle w:val="55"/>
                    <w:bidi w:val="0"/>
                    <w:rPr>
                      <w:rFonts w:hint="default"/>
                      <w:lang w:val="en-US" w:eastAsia="zh-CN"/>
                    </w:rPr>
                  </w:pPr>
                </w:p>
              </w:tc>
              <w:tc>
                <w:tcPr>
                  <w:tcW w:w="984" w:type="pct"/>
                  <w:gridSpan w:val="2"/>
                  <w:shd w:val="clear" w:color="auto" w:fill="auto"/>
                  <w:noWrap w:val="0"/>
                  <w:vAlign w:val="center"/>
                </w:tcPr>
                <w:p>
                  <w:pPr>
                    <w:pStyle w:val="55"/>
                    <w:bidi w:val="0"/>
                    <w:rPr>
                      <w:rFonts w:hint="default" w:ascii="Times New Roman" w:hAnsi="Times New Roman" w:eastAsia="宋体" w:cs="宋体"/>
                      <w:color w:val="000000"/>
                      <w:kern w:val="0"/>
                      <w:sz w:val="21"/>
                      <w:szCs w:val="21"/>
                      <w:lang w:val="en-US" w:eastAsia="zh-CN" w:bidi="ar-SA"/>
                    </w:rPr>
                  </w:pPr>
                  <w:r>
                    <w:rPr>
                      <w:rFonts w:hint="eastAsia"/>
                      <w:lang w:val="en-US" w:eastAsia="zh-CN"/>
                    </w:rPr>
                    <w:t>设备贮存区</w:t>
                  </w:r>
                </w:p>
              </w:tc>
              <w:tc>
                <w:tcPr>
                  <w:tcW w:w="958" w:type="pct"/>
                  <w:shd w:val="clear" w:color="auto" w:fill="auto"/>
                  <w:noWrap w:val="0"/>
                  <w:vAlign w:val="center"/>
                </w:tcPr>
                <w:p>
                  <w:pPr>
                    <w:pStyle w:val="55"/>
                    <w:bidi w:val="0"/>
                    <w:rPr>
                      <w:rFonts w:hint="default" w:ascii="Times New Roman" w:hAnsi="Times New Roman" w:eastAsia="宋体" w:cs="宋体"/>
                      <w:color w:val="000000"/>
                      <w:kern w:val="0"/>
                      <w:sz w:val="21"/>
                      <w:szCs w:val="21"/>
                      <w:lang w:val="en-US" w:eastAsia="zh-CN" w:bidi="ar-SA"/>
                    </w:rPr>
                  </w:pPr>
                  <w:r>
                    <w:rPr>
                      <w:rFonts w:hint="eastAsia"/>
                      <w:lang w:val="en-US" w:eastAsia="zh-CN"/>
                    </w:rPr>
                    <w:t>100</w:t>
                  </w:r>
                </w:p>
              </w:tc>
              <w:tc>
                <w:tcPr>
                  <w:tcW w:w="1053" w:type="pct"/>
                  <w:shd w:val="clear" w:color="auto" w:fill="auto"/>
                  <w:noWrap w:val="0"/>
                  <w:vAlign w:val="center"/>
                </w:tcPr>
                <w:p>
                  <w:pPr>
                    <w:bidi w:val="0"/>
                    <w:ind w:left="0" w:leftChars="0" w:right="0" w:rightChars="0" w:firstLine="0" w:firstLineChars="0"/>
                    <w:jc w:val="center"/>
                    <w:rPr>
                      <w:rFonts w:hint="default" w:ascii="Times New Roman" w:hAnsi="Times New Roman" w:eastAsia="宋体" w:cs="宋体"/>
                      <w:color w:val="000000"/>
                      <w:kern w:val="0"/>
                      <w:sz w:val="21"/>
                      <w:szCs w:val="21"/>
                      <w:lang w:val="en-US" w:eastAsia="zh-CN" w:bidi="ar-SA"/>
                    </w:rPr>
                  </w:pPr>
                  <w:r>
                    <w:rPr>
                      <w:rFonts w:hint="eastAsia"/>
                      <w:highlight w:val="none"/>
                      <w:lang w:val="en-US" w:eastAsia="zh-CN"/>
                    </w:rPr>
                    <w:t>裸岩石砾地</w:t>
                  </w:r>
                </w:p>
              </w:tc>
              <w:tc>
                <w:tcPr>
                  <w:tcW w:w="737" w:type="pct"/>
                  <w:shd w:val="clear" w:color="auto" w:fill="auto"/>
                  <w:noWrap w:val="0"/>
                  <w:vAlign w:val="center"/>
                </w:tcPr>
                <w:p>
                  <w:pPr>
                    <w:pStyle w:val="55"/>
                    <w:bidi w:val="0"/>
                    <w:rPr>
                      <w:rFonts w:hint="default" w:ascii="Times New Roman" w:hAnsi="Times New Roman" w:eastAsia="宋体" w:cs="宋体"/>
                      <w:color w:val="000000"/>
                      <w:kern w:val="0"/>
                      <w:sz w:val="21"/>
                      <w:szCs w:val="21"/>
                      <w:lang w:val="en-US" w:eastAsia="zh-CN" w:bidi="ar-SA"/>
                    </w:rPr>
                  </w:pPr>
                  <w:r>
                    <w:rPr>
                      <w:rFonts w:hint="eastAsia"/>
                    </w:rPr>
                    <w:t>临时占地</w:t>
                  </w:r>
                </w:p>
              </w:tc>
              <w:tc>
                <w:tcPr>
                  <w:tcW w:w="975" w:type="pct"/>
                  <w:shd w:val="clear" w:color="auto" w:fill="auto"/>
                  <w:noWrap w:val="0"/>
                  <w:vAlign w:val="center"/>
                </w:tcPr>
                <w:p>
                  <w:pPr>
                    <w:pStyle w:val="55"/>
                    <w:bidi w:val="0"/>
                    <w:rPr>
                      <w:rFonts w:hint="default" w:ascii="Times New Roman" w:hAnsi="Times New Roman" w:eastAsia="宋体" w:cs="宋体"/>
                      <w:color w:val="000000"/>
                      <w:kern w:val="0"/>
                      <w:sz w:val="21"/>
                      <w:szCs w:val="21"/>
                      <w:lang w:val="en-US" w:eastAsia="zh-CN" w:bidi="ar-SA"/>
                    </w:rPr>
                  </w:pPr>
                  <w:r>
                    <w:rPr>
                      <w:rFonts w:hint="eastAsia"/>
                      <w:lang w:val="en-US" w:eastAsia="zh-CN"/>
                    </w:rPr>
                    <w:t>/</w:t>
                  </w:r>
                </w:p>
              </w:tc>
            </w:tr>
          </w:tbl>
          <w:p>
            <w:pPr>
              <w:pStyle w:val="49"/>
              <w:bidi w:val="0"/>
              <w:ind w:left="0" w:leftChars="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4" w:type="pct"/>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施工方案</w:t>
            </w:r>
          </w:p>
        </w:tc>
        <w:tc>
          <w:tcPr>
            <w:tcW w:w="4795" w:type="pct"/>
            <w:noWrap w:val="0"/>
            <w:vAlign w:val="center"/>
          </w:tcPr>
          <w:p>
            <w:pPr>
              <w:pStyle w:val="51"/>
              <w:bidi w:val="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49"/>
              <w:bidi w:val="0"/>
              <w:rPr>
                <w:rFonts w:hint="eastAsia"/>
                <w:color w:val="auto"/>
                <w:lang w:val="en-US" w:eastAsia="zh-CN"/>
              </w:rPr>
            </w:pPr>
            <w:r>
              <w:rPr>
                <w:rFonts w:hint="eastAsia"/>
                <w:color w:val="auto"/>
                <w:lang w:val="en-US" w:eastAsia="zh-CN"/>
              </w:rPr>
              <w:t>在探矿权范围内选择不同勘查手段开展地质勘查工作，详细查明勘查区范围内铜多金属矿矿体及伴生有用矿产的分布、数量、规模和特征等。首先在以往地质勘查工作的基础上，在勘查区范围内开展1:2000地质修测工作，进一步查明详查区范围内地层及矿体分布特征，其次按照勘探工作要求，继续利用槽探、钻探工程对矿体进行系统控制，探求探明+控制+推断（TM+KZ+TD）资源量。同时开展选矿试验研究、矿床经济概略研究、工业指标论证及水工环专项测量等工作，为矿山建设设计提供必需的地质资料。</w:t>
            </w:r>
          </w:p>
          <w:p>
            <w:pPr>
              <w:pStyle w:val="51"/>
              <w:bidi w:val="0"/>
              <w:rPr>
                <w:rFonts w:hint="default"/>
                <w:lang w:val="en-US" w:eastAsia="zh-CN"/>
              </w:rPr>
            </w:pPr>
            <w:r>
              <w:rPr>
                <w:rFonts w:hint="eastAsia"/>
                <w:lang w:val="en-US" w:eastAsia="zh-CN"/>
              </w:rPr>
              <w:t>1.1</w:t>
            </w:r>
            <w:r>
              <w:rPr>
                <w:rFonts w:hint="default"/>
                <w:lang w:val="en-US" w:eastAsia="zh-CN"/>
              </w:rPr>
              <w:t>具体工作部署</w:t>
            </w:r>
          </w:p>
          <w:p>
            <w:pPr>
              <w:pStyle w:val="49"/>
              <w:bidi w:val="0"/>
              <w:rPr>
                <w:rFonts w:hint="eastAsia"/>
                <w:color w:val="auto"/>
                <w:lang w:val="en-US" w:eastAsia="zh-CN"/>
              </w:rPr>
            </w:pPr>
            <w:r>
              <w:rPr>
                <w:rFonts w:hint="eastAsia"/>
                <w:color w:val="auto"/>
                <w:lang w:val="en-US" w:eastAsia="zh-CN"/>
              </w:rPr>
              <w:t>（1）GPS E级控制点测量</w:t>
            </w:r>
          </w:p>
          <w:p>
            <w:pPr>
              <w:pStyle w:val="49"/>
              <w:bidi w:val="0"/>
              <w:rPr>
                <w:rFonts w:hint="eastAsia"/>
                <w:color w:val="auto"/>
                <w:lang w:val="en-US" w:eastAsia="zh-CN"/>
              </w:rPr>
            </w:pPr>
            <w:r>
              <w:rPr>
                <w:rFonts w:hint="eastAsia"/>
                <w:color w:val="auto"/>
                <w:lang w:val="en-US" w:eastAsia="zh-CN"/>
              </w:rPr>
              <w:t>根据勘查区实际地形确定埋石地点，设计工作量5点。</w:t>
            </w:r>
          </w:p>
          <w:p>
            <w:pPr>
              <w:pStyle w:val="49"/>
              <w:bidi w:val="0"/>
              <w:rPr>
                <w:rFonts w:hint="eastAsia"/>
                <w:color w:val="auto"/>
                <w:lang w:val="en-US" w:eastAsia="zh-CN"/>
              </w:rPr>
            </w:pPr>
            <w:r>
              <w:rPr>
                <w:rFonts w:hint="eastAsia"/>
                <w:color w:val="auto"/>
                <w:lang w:val="en-US" w:eastAsia="zh-CN"/>
              </w:rPr>
              <w:t>（2）1:2000地形测量</w:t>
            </w:r>
          </w:p>
          <w:p>
            <w:pPr>
              <w:pStyle w:val="49"/>
              <w:bidi w:val="0"/>
              <w:rPr>
                <w:rFonts w:hint="eastAsia"/>
                <w:color w:val="auto"/>
                <w:lang w:val="en-US" w:eastAsia="zh-CN"/>
              </w:rPr>
            </w:pPr>
            <w:r>
              <w:rPr>
                <w:rFonts w:hint="eastAsia"/>
                <w:color w:val="auto"/>
                <w:lang w:val="en-US" w:eastAsia="zh-CN"/>
              </w:rPr>
              <w:t>基本查明勘探区范围内地形地貌特征，布置1：2000地形测量工作量2.5平方千米。</w:t>
            </w:r>
          </w:p>
          <w:p>
            <w:pPr>
              <w:pStyle w:val="49"/>
              <w:bidi w:val="0"/>
              <w:rPr>
                <w:rFonts w:hint="eastAsia"/>
                <w:color w:val="auto"/>
                <w:lang w:val="en-US" w:eastAsia="zh-CN"/>
              </w:rPr>
            </w:pPr>
            <w:r>
              <w:rPr>
                <w:rFonts w:hint="eastAsia"/>
                <w:color w:val="auto"/>
                <w:lang w:val="en-US" w:eastAsia="zh-CN"/>
              </w:rPr>
              <w:t>（3）1:2000地质修测</w:t>
            </w:r>
          </w:p>
          <w:p>
            <w:pPr>
              <w:pStyle w:val="49"/>
              <w:bidi w:val="0"/>
              <w:rPr>
                <w:rFonts w:hint="default"/>
                <w:color w:val="auto"/>
                <w:lang w:val="en-US" w:eastAsia="zh-CN"/>
              </w:rPr>
            </w:pPr>
            <w:r>
              <w:rPr>
                <w:rFonts w:hint="eastAsia"/>
                <w:color w:val="auto"/>
                <w:lang w:val="en-US" w:eastAsia="zh-CN"/>
              </w:rPr>
              <w:t>根据前期地质工作成果，在勘探区开展1：2000地质修测，目的是进一步了解区内地层、构造、岩体及矿体的地质特征，在综合研究的基础上，为探矿工程的布置提供依据，设计工作量2.50km</w:t>
            </w:r>
            <w:r>
              <w:rPr>
                <w:rFonts w:hint="eastAsia"/>
                <w:color w:val="auto"/>
                <w:vertAlign w:val="superscript"/>
                <w:lang w:val="en-US" w:eastAsia="zh-CN"/>
              </w:rPr>
              <w:t>2</w:t>
            </w:r>
            <w:r>
              <w:rPr>
                <w:rFonts w:hint="default"/>
                <w:color w:val="auto"/>
                <w:lang w:val="en-US" w:eastAsia="zh-CN"/>
              </w:rPr>
              <w:t>。</w:t>
            </w:r>
          </w:p>
          <w:p>
            <w:pPr>
              <w:pStyle w:val="49"/>
              <w:bidi w:val="0"/>
              <w:rPr>
                <w:rFonts w:hint="eastAsia"/>
                <w:color w:val="auto"/>
                <w:lang w:val="en-US" w:eastAsia="zh-CN"/>
              </w:rPr>
            </w:pPr>
            <w:r>
              <w:rPr>
                <w:rFonts w:hint="eastAsia"/>
                <w:color w:val="auto"/>
                <w:lang w:val="en-US" w:eastAsia="zh-CN"/>
              </w:rPr>
              <w:t>（4）水、工、环调查</w:t>
            </w:r>
          </w:p>
          <w:p>
            <w:pPr>
              <w:pStyle w:val="49"/>
              <w:bidi w:val="0"/>
              <w:rPr>
                <w:rFonts w:hint="default"/>
                <w:color w:val="auto"/>
                <w:lang w:val="en-US" w:eastAsia="zh-CN"/>
              </w:rPr>
            </w:pPr>
            <w:r>
              <w:rPr>
                <w:rFonts w:hint="default"/>
                <w:color w:val="auto"/>
                <w:lang w:val="en-US" w:eastAsia="zh-CN"/>
              </w:rPr>
              <w:t>在勘探范围内开展1:2000水工环测量，详细查明矿床开采技术条件。设计1:2000水工环测量3.00km</w:t>
            </w:r>
            <w:r>
              <w:rPr>
                <w:rFonts w:hint="default"/>
                <w:color w:val="auto"/>
                <w:vertAlign w:val="superscript"/>
                <w:lang w:val="en-US" w:eastAsia="zh-CN"/>
              </w:rPr>
              <w:t>2</w:t>
            </w:r>
            <w:r>
              <w:rPr>
                <w:rFonts w:hint="default"/>
                <w:color w:val="auto"/>
                <w:lang w:val="en-US" w:eastAsia="zh-CN"/>
              </w:rPr>
              <w:t>。</w:t>
            </w:r>
          </w:p>
          <w:p>
            <w:pPr>
              <w:pStyle w:val="49"/>
              <w:bidi w:val="0"/>
              <w:rPr>
                <w:rFonts w:hint="eastAsia"/>
                <w:color w:val="auto"/>
                <w:lang w:val="en-US" w:eastAsia="zh-CN"/>
              </w:rPr>
            </w:pPr>
            <w:r>
              <w:rPr>
                <w:rFonts w:hint="eastAsia"/>
                <w:color w:val="auto"/>
                <w:lang w:val="en-US" w:eastAsia="zh-CN"/>
              </w:rPr>
              <w:t>（5）槽探工程</w:t>
            </w:r>
          </w:p>
          <w:p>
            <w:pPr>
              <w:pStyle w:val="49"/>
              <w:bidi w:val="0"/>
              <w:rPr>
                <w:rFonts w:hint="eastAsia"/>
                <w:color w:val="auto"/>
                <w:lang w:val="en-US" w:eastAsia="zh-CN"/>
              </w:rPr>
            </w:pPr>
            <w:r>
              <w:rPr>
                <w:rFonts w:hint="default"/>
                <w:color w:val="auto"/>
                <w:lang w:val="en-US" w:eastAsia="zh-CN"/>
              </w:rPr>
              <w:t>针对前期地质工作成果确定的矿体，系统布设槽探工程，通过槽探工程揭露、采样分析，进一步查明地表矿（化）体的规模、形态、产状、厚度等。槽探布设根据地质修测资料及现场实际情况适时调整。一般探槽只穿过矿（化）体及近矿蚀变带即可，主干探槽要穿过整个控矿破碎带。槽探的施工深度视原岩的风化程度和矿化情况而定，探槽开口一般1.2-1.5m，深度0-1.5m，个别地段若需加深者则施工宽口槽，素描一壁一底，比例尺1:100。设计工作量：槽探6000m</w:t>
            </w:r>
            <w:r>
              <w:rPr>
                <w:rFonts w:hint="default"/>
                <w:color w:val="auto"/>
                <w:vertAlign w:val="superscript"/>
                <w:lang w:val="en-US" w:eastAsia="zh-CN"/>
              </w:rPr>
              <w:t>3</w:t>
            </w:r>
            <w:r>
              <w:rPr>
                <w:rFonts w:hint="eastAsia"/>
                <w:color w:val="auto"/>
                <w:lang w:val="en-US" w:eastAsia="zh-CN"/>
              </w:rPr>
              <w:t>。</w:t>
            </w:r>
          </w:p>
          <w:p>
            <w:pPr>
              <w:pStyle w:val="49"/>
              <w:bidi w:val="0"/>
              <w:rPr>
                <w:rFonts w:hint="eastAsia"/>
                <w:color w:val="auto"/>
                <w:lang w:val="en-US" w:eastAsia="zh-CN"/>
              </w:rPr>
            </w:pPr>
            <w:r>
              <w:rPr>
                <w:rFonts w:hint="eastAsia"/>
                <w:color w:val="auto"/>
                <w:lang w:val="en-US" w:eastAsia="zh-CN"/>
              </w:rPr>
              <w:t>（6）钻探工程</w:t>
            </w:r>
          </w:p>
          <w:p>
            <w:pPr>
              <w:pStyle w:val="49"/>
              <w:bidi w:val="0"/>
              <w:rPr>
                <w:rFonts w:hint="eastAsia"/>
                <w:color w:val="auto"/>
                <w:lang w:val="en-US" w:eastAsia="zh-CN"/>
              </w:rPr>
            </w:pPr>
            <w:r>
              <w:rPr>
                <w:rFonts w:hint="default"/>
                <w:color w:val="auto"/>
                <w:lang w:val="en-US" w:eastAsia="zh-CN"/>
              </w:rPr>
              <w:t>根据槽探工程见矿情况，对圈定的矿（化）体利用钻探工程按照其基本工程间距进行系统控制验证，了解矿（化）体沿倾向延深、产态、品位及厚度变化情况。设计孔深：孔深300米/孔，最终孔深以了解基岩类含水层为目的，孔深应根据目的层适当调整</w:t>
            </w:r>
            <w:r>
              <w:rPr>
                <w:rFonts w:hint="eastAsia"/>
                <w:color w:val="auto"/>
                <w:lang w:val="en-US" w:eastAsia="zh-CN"/>
              </w:rPr>
              <w:t>。</w:t>
            </w:r>
            <w:r>
              <w:rPr>
                <w:rFonts w:hint="default"/>
                <w:color w:val="auto"/>
                <w:lang w:val="en-US" w:eastAsia="zh-CN"/>
              </w:rPr>
              <w:t>设计工作量：钻探10600m</w:t>
            </w:r>
            <w:r>
              <w:rPr>
                <w:rFonts w:hint="eastAsia"/>
                <w:color w:val="auto"/>
                <w:lang w:val="en-US" w:eastAsia="zh-CN"/>
              </w:rPr>
              <w:t>。</w:t>
            </w:r>
          </w:p>
          <w:p>
            <w:pPr>
              <w:pStyle w:val="49"/>
              <w:bidi w:val="0"/>
              <w:rPr>
                <w:rFonts w:hint="eastAsia"/>
                <w:color w:val="auto"/>
                <w:lang w:val="en-US" w:eastAsia="zh-CN"/>
              </w:rPr>
            </w:pPr>
            <w:r>
              <w:rPr>
                <w:rFonts w:hint="eastAsia"/>
                <w:color w:val="auto"/>
                <w:lang w:val="en-US" w:eastAsia="zh-CN"/>
              </w:rPr>
              <w:t>（7）样品采集</w:t>
            </w:r>
          </w:p>
          <w:p>
            <w:pPr>
              <w:pStyle w:val="49"/>
              <w:bidi w:val="0"/>
              <w:rPr>
                <w:rFonts w:hint="default"/>
                <w:color w:val="auto"/>
                <w:lang w:val="en-US" w:eastAsia="zh-CN"/>
              </w:rPr>
            </w:pPr>
            <w:r>
              <w:rPr>
                <w:rFonts w:hint="default"/>
                <w:color w:val="auto"/>
                <w:lang w:val="en-US" w:eastAsia="zh-CN"/>
              </w:rPr>
              <w:t>在矿体及围岩地段根据详查要求，采集基本分析化学样、化学全分析样、小体重等样品。分析测试矿石化学成分、矿石比重、各类有益、有害元素含量等，查明矿石质量特征。</w:t>
            </w:r>
            <w:r>
              <w:rPr>
                <w:rFonts w:hint="eastAsia"/>
                <w:color w:val="auto"/>
                <w:lang w:val="en-US" w:eastAsia="zh-CN"/>
              </w:rPr>
              <w:t>设计工作量：基本化学分析样、组合分析样、光谱定量全分析样等各类样品共8947件。</w:t>
            </w:r>
          </w:p>
          <w:p>
            <w:pPr>
              <w:pStyle w:val="49"/>
              <w:bidi w:val="0"/>
              <w:rPr>
                <w:rFonts w:hint="default"/>
                <w:color w:val="auto"/>
                <w:lang w:val="en-US" w:eastAsia="zh-CN"/>
              </w:rPr>
            </w:pPr>
            <w:r>
              <w:rPr>
                <w:rFonts w:hint="default"/>
                <w:color w:val="auto"/>
                <w:lang w:val="en-US" w:eastAsia="zh-CN"/>
              </w:rPr>
              <w:t>本次野外勘查工作只包含取样，现场不设实验室，化验工作交由实验室承担。</w:t>
            </w:r>
          </w:p>
          <w:p>
            <w:pPr>
              <w:pStyle w:val="51"/>
              <w:bidi w:val="0"/>
              <w:rPr>
                <w:rFonts w:hint="eastAsia"/>
                <w:lang w:val="en-US" w:eastAsia="zh-CN"/>
              </w:rPr>
            </w:pPr>
            <w:r>
              <w:rPr>
                <w:rFonts w:hint="eastAsia"/>
                <w:color w:val="auto"/>
                <w:lang w:val="en-US" w:eastAsia="zh-CN"/>
              </w:rPr>
              <w:t>2</w:t>
            </w:r>
            <w:r>
              <w:rPr>
                <w:rFonts w:hint="eastAsia"/>
                <w:lang w:val="en-US" w:eastAsia="zh-CN"/>
              </w:rPr>
              <w:t>.施工期流程简述</w:t>
            </w:r>
          </w:p>
          <w:p>
            <w:pPr>
              <w:pStyle w:val="53"/>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Style w:val="50"/>
                <w:rFonts w:hint="eastAsia"/>
                <w:b w:val="0"/>
                <w:bCs/>
                <w:lang w:val="en-US" w:eastAsia="zh-CN"/>
              </w:rPr>
            </w:pPr>
            <w:r>
              <w:rPr>
                <w:rStyle w:val="50"/>
                <w:rFonts w:hint="eastAsia"/>
                <w:b w:val="0"/>
                <w:bCs/>
                <w:lang w:val="en-US" w:eastAsia="zh-CN"/>
              </w:rPr>
              <w:t>本项目为矿产资源地质勘查项目，项目性质为纯野外探矿作业，不规划建设永久性建（构）筑物及配套设施，无土建施工环节，因此不存在常规工程施工期。</w:t>
            </w:r>
          </w:p>
          <w:p>
            <w:pPr>
              <w:pStyle w:val="51"/>
              <w:bidi w:val="0"/>
              <w:rPr>
                <w:rFonts w:hint="default"/>
                <w:lang w:val="en-US" w:eastAsia="zh-CN"/>
              </w:rPr>
            </w:pPr>
            <w:r>
              <w:rPr>
                <w:rFonts w:hint="eastAsia"/>
                <w:lang w:val="en-US" w:eastAsia="zh-CN"/>
              </w:rPr>
              <w:t>3.勘探期流程简述</w:t>
            </w:r>
          </w:p>
          <w:p>
            <w:pPr>
              <w:pStyle w:val="49"/>
              <w:bidi w:val="0"/>
              <w:rPr>
                <w:rFonts w:hint="eastAsia"/>
              </w:rPr>
            </w:pPr>
            <w:r>
              <w:rPr>
                <w:rFonts w:hint="eastAsia"/>
                <w:lang w:val="en-US" w:eastAsia="zh-CN"/>
              </w:rPr>
              <w:t>勘探期主要包括槽探和钻探，工程实施过程中主要污染来自槽探和钻探过程中扬尘、机械噪声、工程弃渣等</w:t>
            </w:r>
            <w:r>
              <w:rPr>
                <w:rFonts w:hint="eastAsia"/>
              </w:rPr>
              <w:t>。</w:t>
            </w:r>
          </w:p>
          <w:p>
            <w:pPr>
              <w:pStyle w:val="51"/>
              <w:bidi w:val="0"/>
              <w:rPr>
                <w:rFonts w:hint="default"/>
                <w:lang w:val="en-US" w:eastAsia="zh-CN"/>
              </w:rPr>
            </w:pPr>
            <w:r>
              <w:rPr>
                <w:rFonts w:hint="eastAsia"/>
                <w:lang w:val="en-US" w:eastAsia="zh-CN"/>
              </w:rPr>
              <w:t>3.1槽探</w:t>
            </w:r>
          </w:p>
          <w:p>
            <w:pPr>
              <w:pStyle w:val="57"/>
              <w:bidi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lang w:val="en-US" w:eastAsia="zh-CN"/>
              </w:rPr>
              <w:drawing>
                <wp:inline distT="0" distB="0" distL="114300" distR="114300">
                  <wp:extent cx="4173855" cy="1511300"/>
                  <wp:effectExtent l="0" t="0" r="17145" b="12700"/>
                  <wp:docPr id="1" name="F360BE8B-6686-4F3D-AEAF-501FE73E4058-2" descr="绘图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360BE8B-6686-4F3D-AEAF-501FE73E4058-2" descr="绘图1(69)"/>
                          <pic:cNvPicPr>
                            <a:picLocks noChangeAspect="1"/>
                          </pic:cNvPicPr>
                        </pic:nvPicPr>
                        <pic:blipFill>
                          <a:blip r:embed="rId8"/>
                          <a:stretch>
                            <a:fillRect/>
                          </a:stretch>
                        </pic:blipFill>
                        <pic:spPr>
                          <a:xfrm>
                            <a:off x="0" y="0"/>
                            <a:ext cx="4173855" cy="1511300"/>
                          </a:xfrm>
                          <a:prstGeom prst="rect">
                            <a:avLst/>
                          </a:prstGeom>
                        </pic:spPr>
                      </pic:pic>
                    </a:graphicData>
                  </a:graphic>
                </wp:inline>
              </w:drawing>
            </w:r>
          </w:p>
          <w:p>
            <w:pPr>
              <w:pStyle w:val="57"/>
              <w:bidi w:val="0"/>
              <w:jc w:val="center"/>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槽探施工流程及产污环节示意图</w:t>
            </w:r>
          </w:p>
          <w:p>
            <w:pPr>
              <w:pStyle w:val="49"/>
              <w:bidi w:val="0"/>
              <w:rPr>
                <w:rFonts w:hint="default"/>
                <w:lang w:val="en-US" w:eastAsia="zh-CN"/>
              </w:rPr>
            </w:pPr>
            <w:r>
              <w:rPr>
                <w:rFonts w:hint="default"/>
                <w:lang w:val="en-US" w:eastAsia="zh-CN"/>
              </w:rPr>
              <w:t>表土剥离：槽探开挖前先行剥离表层腐殖土，剥离表土单独分区堆存，全程采用彩条布苫盖。剥离作业产生无组织扬尘、机械间断噪声；施工扰动原生地表土层，造成局部植被破坏、地表景观扰动，同时形成临时弃土堆，存在水土流失隐患。</w:t>
            </w:r>
          </w:p>
          <w:p>
            <w:pPr>
              <w:pStyle w:val="49"/>
              <w:bidi w:val="0"/>
              <w:rPr>
                <w:rFonts w:hint="default"/>
                <w:lang w:val="en-US" w:eastAsia="zh-CN"/>
              </w:rPr>
            </w:pPr>
            <w:r>
              <w:rPr>
                <w:rFonts w:hint="default"/>
                <w:lang w:val="en-US" w:eastAsia="zh-CN"/>
              </w:rPr>
              <w:t>槽探开挖、土石方堆放：采用凿岩设备开展槽体开挖作业，开挖废石与剥离表土分层分区堆置于探槽单侧。开挖工序持续产生无组织扬尘、凿岩机械噪声；土石方堆体裸露易受风蚀起尘，临时占地损毁原生植被，汛期堆土存在冲刷流失风险，无废水、燃油废气产生。</w:t>
            </w:r>
          </w:p>
          <w:p>
            <w:pPr>
              <w:pStyle w:val="49"/>
              <w:bidi w:val="0"/>
              <w:rPr>
                <w:rFonts w:hint="default"/>
                <w:lang w:val="en-US" w:eastAsia="zh-CN"/>
              </w:rPr>
            </w:pPr>
            <w:r>
              <w:rPr>
                <w:rFonts w:hint="default"/>
                <w:lang w:val="en-US" w:eastAsia="zh-CN"/>
              </w:rPr>
              <w:t>取样、地质编录：开挖完成后人工开展槽壁地质取样、地层编录工作，仅少量渣土散落，无新增扬尘、噪声、废水、废气污染物，仅轻微扰动局部堆土。</w:t>
            </w:r>
          </w:p>
          <w:p>
            <w:pPr>
              <w:pStyle w:val="49"/>
              <w:bidi w:val="0"/>
              <w:rPr>
                <w:rFonts w:hint="default"/>
                <w:lang w:val="en-US" w:eastAsia="zh-CN"/>
              </w:rPr>
            </w:pPr>
            <w:r>
              <w:rPr>
                <w:rFonts w:hint="default"/>
                <w:lang w:val="en-US" w:eastAsia="zh-CN"/>
              </w:rPr>
              <w:t>探槽分层回填：地质编录完成后，将前期堆放的表土、开挖废石分层回填至探槽内部并整平压实。回填土方作业产生短时无组织扬尘、机械间断噪声；回填完成后消除临时弃土堆，大幅降低水土流失、植被扰动影响。</w:t>
            </w:r>
          </w:p>
          <w:p>
            <w:pPr>
              <w:pStyle w:val="51"/>
              <w:bidi w:val="0"/>
              <w:rPr>
                <w:rFonts w:hint="default"/>
                <w:lang w:val="en-US" w:eastAsia="zh-CN"/>
              </w:rPr>
            </w:pPr>
            <w:r>
              <w:rPr>
                <w:rFonts w:hint="eastAsia"/>
                <w:lang w:val="en-US" w:eastAsia="zh-CN"/>
              </w:rPr>
              <w:t>3.2钻探</w:t>
            </w:r>
          </w:p>
          <w:p>
            <w:pPr>
              <w:pStyle w:val="57"/>
              <w:bidi w:val="0"/>
            </w:pPr>
            <w:r>
              <w:rPr>
                <w:rFonts w:hint="default"/>
                <w:lang w:val="en-US" w:eastAsia="zh-CN"/>
              </w:rPr>
              <w:drawing>
                <wp:inline distT="0" distB="0" distL="114300" distR="114300">
                  <wp:extent cx="4173855" cy="1511300"/>
                  <wp:effectExtent l="0" t="0" r="17145" b="12700"/>
                  <wp:docPr id="3" name="F360BE8B-6686-4F3D-AEAF-501FE73E4058-3" descr="绘图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360BE8B-6686-4F3D-AEAF-501FE73E4058-3" descr="绘图1(69)"/>
                          <pic:cNvPicPr>
                            <a:picLocks noChangeAspect="1"/>
                          </pic:cNvPicPr>
                        </pic:nvPicPr>
                        <pic:blipFill>
                          <a:blip r:embed="rId8"/>
                          <a:stretch>
                            <a:fillRect/>
                          </a:stretch>
                        </pic:blipFill>
                        <pic:spPr>
                          <a:xfrm>
                            <a:off x="0" y="0"/>
                            <a:ext cx="4173855" cy="1511300"/>
                          </a:xfrm>
                          <a:prstGeom prst="rect">
                            <a:avLst/>
                          </a:prstGeom>
                        </pic:spPr>
                      </pic:pic>
                    </a:graphicData>
                  </a:graphic>
                </wp:inline>
              </w:drawing>
            </w:r>
          </w:p>
          <w:p>
            <w:pPr>
              <w:pStyle w:val="57"/>
              <w:bidi w:val="0"/>
              <w:jc w:val="center"/>
              <w:rPr>
                <w:rFonts w:hint="default"/>
                <w:lang w:val="en-US" w:eastAsia="zh-CN"/>
              </w:rPr>
            </w:pPr>
            <w:r>
              <w:rPr>
                <w:rFonts w:hint="default"/>
                <w:lang w:val="en-US" w:eastAsia="zh-CN"/>
              </w:rPr>
              <w:t>图2-</w:t>
            </w:r>
            <w:r>
              <w:rPr>
                <w:rFonts w:hint="eastAsia"/>
                <w:lang w:val="en-US" w:eastAsia="zh-CN"/>
              </w:rPr>
              <w:t xml:space="preserve">5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9"/>
              <w:bidi w:val="0"/>
              <w:rPr>
                <w:rStyle w:val="48"/>
                <w:rFonts w:hint="default"/>
                <w:lang w:val="en-US" w:eastAsia="zh-CN"/>
              </w:rPr>
            </w:pPr>
            <w:r>
              <w:rPr>
                <w:rStyle w:val="48"/>
                <w:rFonts w:hint="default"/>
                <w:lang w:val="en-US" w:eastAsia="zh-CN"/>
              </w:rPr>
              <w:t>钻孔定位、放线：现场测量划定钻孔及施工平台范围，仅人工放线作业，无明显污染物产生，仅划定临时扰动区域，后期会造成地表植被、地貌破坏。</w:t>
            </w:r>
          </w:p>
          <w:p>
            <w:pPr>
              <w:pStyle w:val="49"/>
              <w:bidi w:val="0"/>
              <w:rPr>
                <w:rStyle w:val="48"/>
                <w:rFonts w:hint="default"/>
                <w:lang w:val="en-US" w:eastAsia="zh-CN"/>
              </w:rPr>
            </w:pPr>
            <w:r>
              <w:rPr>
                <w:rStyle w:val="48"/>
                <w:rFonts w:hint="default"/>
                <w:lang w:val="en-US" w:eastAsia="zh-CN"/>
              </w:rPr>
              <w:t>施工平台表土剥离、平整：依据放线范围剥离平台表层土并平整作业场地，剥离土方分区临时堆存、彩条布苫盖；作业过程产生无组织扬尘、施工机械噪声；剥离土层扰动原生地表，造成生态植被、自然景观破坏，剥离出的表土形成临时土石方固废堆，存在水土流失风险。</w:t>
            </w:r>
          </w:p>
          <w:p>
            <w:pPr>
              <w:pStyle w:val="49"/>
              <w:bidi w:val="0"/>
              <w:rPr>
                <w:rStyle w:val="48"/>
                <w:rFonts w:hint="default"/>
                <w:lang w:val="en-US" w:eastAsia="zh-CN"/>
              </w:rPr>
            </w:pPr>
            <w:r>
              <w:rPr>
                <w:rStyle w:val="48"/>
                <w:rFonts w:hint="default"/>
                <w:lang w:val="en-US" w:eastAsia="zh-CN"/>
              </w:rPr>
              <w:t>井架安装、钻孔施工：架设钻探井架后开展持续钻进作业；钻机、配套柴油发电机运转产生持续噪声，钻进过程产生钻井泥浆废水；柴油设备燃烧排放NOₓ、CO、HC、烟尘、SO₂等废气；施工产生岩屑、钻渣等一般固体废物；作业平台长期占地持续扰动地表生态。配套防渗沉淀池收集泥浆，泥浆沉淀后循环回用。</w:t>
            </w:r>
          </w:p>
          <w:p>
            <w:pPr>
              <w:pStyle w:val="49"/>
              <w:bidi w:val="0"/>
              <w:rPr>
                <w:rStyle w:val="48"/>
                <w:rFonts w:hint="default"/>
                <w:lang w:val="en-US" w:eastAsia="zh-CN"/>
              </w:rPr>
            </w:pPr>
            <w:r>
              <w:rPr>
                <w:rStyle w:val="48"/>
                <w:rFonts w:hint="default"/>
                <w:lang w:val="en-US" w:eastAsia="zh-CN"/>
              </w:rPr>
              <w:t>岩心取样、化验分析：钻进完成后采集岩心、送样化验，仅少量岩屑散落，无新增废水、废气、高噪声污染；取样完成后开展钻孔封堵、表土回填恢复工序。</w:t>
            </w:r>
          </w:p>
          <w:p>
            <w:pPr>
              <w:pStyle w:val="49"/>
              <w:bidi w:val="0"/>
              <w:rPr>
                <w:rStyle w:val="48"/>
                <w:rFonts w:hint="default"/>
                <w:lang w:val="en-US" w:eastAsia="zh-CN"/>
              </w:rPr>
            </w:pPr>
            <w:r>
              <w:rPr>
                <w:rStyle w:val="48"/>
                <w:rFonts w:hint="default"/>
                <w:lang w:val="en-US" w:eastAsia="zh-CN"/>
              </w:rPr>
              <w:t>钻孔封堵、表土回填恢复：勘探结束后分层封堵钻孔，将前期剥离的表土、钻渣分层回填并整平；回填作业产生短时扬尘、机械间断噪声；场地恢复后消除临时堆土、泥浆池等污染源，逐步减轻生态破坏影响。</w:t>
            </w:r>
          </w:p>
          <w:p>
            <w:pPr>
              <w:pStyle w:val="51"/>
              <w:bidi w:val="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9"/>
              <w:shd w:val="clear" w:color="auto" w:fill="auto"/>
              <w:bidi w:val="0"/>
              <w:rPr>
                <w:rFonts w:hint="eastAsia"/>
                <w:color w:val="auto"/>
                <w:shd w:val="clear" w:color="auto" w:fill="auto"/>
                <w:lang w:val="en-US" w:eastAsia="zh-CN"/>
              </w:rPr>
            </w:pPr>
            <w:r>
              <w:rPr>
                <w:rFonts w:hint="eastAsia"/>
                <w:color w:val="auto"/>
                <w:highlight w:val="none"/>
                <w:lang w:val="en-US" w:eastAsia="zh-CN"/>
              </w:rPr>
              <w:t>项目建设周期</w:t>
            </w:r>
            <w:r>
              <w:rPr>
                <w:rFonts w:hint="eastAsia"/>
                <w:color w:val="auto"/>
                <w:lang w:val="en-US" w:eastAsia="zh-CN"/>
              </w:rPr>
              <w:t>：</w:t>
            </w:r>
            <w:r>
              <w:rPr>
                <w:rFonts w:hint="eastAsia"/>
                <w:color w:val="auto"/>
                <w:shd w:val="clear" w:color="auto" w:fill="auto"/>
                <w:lang w:val="en-US" w:eastAsia="zh-CN"/>
              </w:rPr>
              <w:t>2026年8月~10月。</w:t>
            </w:r>
          </w:p>
          <w:p>
            <w:pPr>
              <w:pStyle w:val="53"/>
              <w:bidi w:val="0"/>
              <w:rPr>
                <w:rFonts w:hint="default"/>
                <w:color w:val="auto"/>
                <w:lang w:val="en-US" w:eastAsia="zh-CN"/>
              </w:rPr>
            </w:pPr>
            <w:r>
              <w:rPr>
                <w:rFonts w:hint="eastAsia"/>
                <w:color w:val="auto"/>
                <w:lang w:val="en-US" w:eastAsia="zh-CN"/>
              </w:rPr>
              <w:t>表2-6    工作计划与时间安排表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1629"/>
              <w:gridCol w:w="5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44" w:type="pct"/>
                  <w:noWrap w:val="0"/>
                  <w:vAlign w:val="center"/>
                </w:tcPr>
                <w:p>
                  <w:pPr>
                    <w:pStyle w:val="55"/>
                    <w:bidi w:val="0"/>
                    <w:rPr>
                      <w:rFonts w:hint="default"/>
                      <w:lang w:val="en-US" w:eastAsia="zh-CN"/>
                    </w:rPr>
                  </w:pPr>
                  <w:r>
                    <w:rPr>
                      <w:rFonts w:hint="eastAsia"/>
                      <w:lang w:val="en-US" w:eastAsia="zh-CN"/>
                    </w:rPr>
                    <w:t>工作阶段</w:t>
                  </w:r>
                </w:p>
              </w:tc>
              <w:tc>
                <w:tcPr>
                  <w:tcW w:w="1035" w:type="pct"/>
                  <w:noWrap w:val="0"/>
                  <w:vAlign w:val="center"/>
                </w:tcPr>
                <w:p>
                  <w:pPr>
                    <w:pStyle w:val="55"/>
                    <w:bidi w:val="0"/>
                    <w:rPr>
                      <w:rFonts w:hint="default"/>
                    </w:rPr>
                  </w:pPr>
                  <w:r>
                    <w:rPr>
                      <w:rFonts w:hint="default"/>
                    </w:rPr>
                    <w:t>具体时间安排</w:t>
                  </w:r>
                </w:p>
              </w:tc>
              <w:tc>
                <w:tcPr>
                  <w:tcW w:w="3219" w:type="pct"/>
                  <w:noWrap w:val="0"/>
                  <w:vAlign w:val="center"/>
                </w:tcPr>
                <w:p>
                  <w:pPr>
                    <w:pStyle w:val="55"/>
                    <w:bidi w:val="0"/>
                    <w:rPr>
                      <w:rFonts w:hint="default"/>
                    </w:rPr>
                  </w:pPr>
                  <w:r>
                    <w:rPr>
                      <w:rFonts w:hint="default"/>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44" w:type="pct"/>
                  <w:noWrap w:val="0"/>
                  <w:vAlign w:val="center"/>
                </w:tcPr>
                <w:p>
                  <w:pPr>
                    <w:pStyle w:val="59"/>
                    <w:bidi w:val="0"/>
                    <w:rPr>
                      <w:rFonts w:hint="eastAsia" w:eastAsia="宋体"/>
                      <w:lang w:eastAsia="zh-CN"/>
                    </w:rPr>
                  </w:pPr>
                  <w:r>
                    <w:rPr>
                      <w:rFonts w:hint="eastAsia"/>
                      <w:color w:val="auto"/>
                    </w:rPr>
                    <w:t>准备阶段</w:t>
                  </w:r>
                </w:p>
              </w:tc>
              <w:tc>
                <w:tcPr>
                  <w:tcW w:w="1035" w:type="pct"/>
                  <w:noWrap w:val="0"/>
                  <w:vAlign w:val="center"/>
                </w:tcPr>
                <w:p>
                  <w:pPr>
                    <w:pStyle w:val="59"/>
                    <w:bidi w:val="0"/>
                    <w:jc w:val="center"/>
                    <w:rPr>
                      <w:rFonts w:hint="default"/>
                      <w:lang w:val="en-US" w:eastAsia="zh-CN"/>
                    </w:rPr>
                  </w:pPr>
                  <w:r>
                    <w:rPr>
                      <w:rFonts w:hint="eastAsia"/>
                      <w:color w:val="auto"/>
                      <w:lang w:val="en-US" w:eastAsia="zh-CN"/>
                    </w:rPr>
                    <w:t>2026年8月10日~8月22日</w:t>
                  </w:r>
                </w:p>
              </w:tc>
              <w:tc>
                <w:tcPr>
                  <w:tcW w:w="3219" w:type="pct"/>
                  <w:noWrap w:val="0"/>
                  <w:vAlign w:val="center"/>
                </w:tcPr>
                <w:p>
                  <w:pPr>
                    <w:pStyle w:val="59"/>
                    <w:bidi w:val="0"/>
                    <w:jc w:val="both"/>
                    <w:rPr>
                      <w:rFonts w:hint="default"/>
                      <w:lang w:val="en-US" w:eastAsia="zh-CN"/>
                    </w:rPr>
                  </w:pPr>
                  <w:r>
                    <w:rPr>
                      <w:rFonts w:hint="eastAsia" w:eastAsia="宋体"/>
                      <w:color w:val="auto"/>
                      <w:lang w:val="en-US" w:eastAsia="zh-CN"/>
                    </w:rPr>
                    <w:t>分析研究已有资料，编写项目设计书。确定人员机构编制、组建项目分队并组织技术人员学习设计，熟悉工作区所获各种资料，落实资金、设备、运输等诸项事宜，健全规章制度。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44" w:type="pct"/>
                  <w:noWrap w:val="0"/>
                  <w:vAlign w:val="center"/>
                </w:tcPr>
                <w:p>
                  <w:pPr>
                    <w:pStyle w:val="59"/>
                    <w:bidi w:val="0"/>
                    <w:rPr>
                      <w:rFonts w:hint="eastAsia" w:eastAsia="宋体"/>
                      <w:lang w:eastAsia="zh-CN"/>
                    </w:rPr>
                  </w:pPr>
                  <w:r>
                    <w:rPr>
                      <w:rFonts w:hint="default"/>
                      <w:color w:val="auto"/>
                    </w:rPr>
                    <w:t>野外</w:t>
                  </w:r>
                  <w:r>
                    <w:rPr>
                      <w:rFonts w:hint="eastAsia"/>
                      <w:color w:val="auto"/>
                      <w:lang w:val="en-US" w:eastAsia="zh-CN"/>
                    </w:rPr>
                    <w:t>勘查</w:t>
                  </w:r>
                  <w:r>
                    <w:rPr>
                      <w:rFonts w:hint="default"/>
                      <w:color w:val="auto"/>
                    </w:rPr>
                    <w:t>阶段</w:t>
                  </w:r>
                </w:p>
              </w:tc>
              <w:tc>
                <w:tcPr>
                  <w:tcW w:w="1035" w:type="pct"/>
                  <w:noWrap w:val="0"/>
                  <w:vAlign w:val="center"/>
                </w:tcPr>
                <w:p>
                  <w:pPr>
                    <w:pStyle w:val="59"/>
                    <w:bidi w:val="0"/>
                    <w:jc w:val="center"/>
                    <w:rPr>
                      <w:rFonts w:hint="default"/>
                      <w:lang w:val="en-US" w:eastAsia="zh-CN"/>
                    </w:rPr>
                  </w:pPr>
                  <w:r>
                    <w:rPr>
                      <w:rFonts w:hint="eastAsia"/>
                      <w:color w:val="auto"/>
                      <w:lang w:val="en-US" w:eastAsia="zh-CN"/>
                    </w:rPr>
                    <w:t>2026年8月23日~10月31日</w:t>
                  </w:r>
                </w:p>
              </w:tc>
              <w:tc>
                <w:tcPr>
                  <w:tcW w:w="3219" w:type="pct"/>
                  <w:noWrap w:val="0"/>
                  <w:vAlign w:val="center"/>
                </w:tcPr>
                <w:p>
                  <w:pPr>
                    <w:pStyle w:val="59"/>
                    <w:bidi w:val="0"/>
                    <w:jc w:val="both"/>
                    <w:rPr>
                      <w:rFonts w:hint="default"/>
                      <w:lang w:val="en-US" w:eastAsia="zh-CN"/>
                    </w:rPr>
                  </w:pPr>
                  <w:r>
                    <w:rPr>
                      <w:rFonts w:hint="eastAsia"/>
                      <w:color w:val="auto"/>
                      <w:lang w:val="en-US" w:eastAsia="zh-CN"/>
                    </w:rPr>
                    <w:t>①开展地质测量、槽探、钻探、采样等探矿工程②</w:t>
                  </w:r>
                  <w:r>
                    <w:rPr>
                      <w:rFonts w:hint="eastAsia"/>
                      <w:color w:val="auto"/>
                    </w:rPr>
                    <w:t>对野外所获的全部地质资料、测试成果及以往所获地质资料进行系统整理和综合研究，编制各类地质图件，编写</w:t>
                  </w:r>
                  <w:r>
                    <w:rPr>
                      <w:rFonts w:hint="eastAsia"/>
                      <w:color w:val="auto"/>
                      <w:lang w:eastAsia="zh-CN"/>
                    </w:rPr>
                    <w:t>详查</w:t>
                  </w:r>
                  <w:r>
                    <w:rPr>
                      <w:rFonts w:hint="eastAsia"/>
                      <w:color w:val="auto"/>
                    </w:rPr>
                    <w:t>报告。</w:t>
                  </w:r>
                </w:p>
              </w:tc>
            </w:tr>
          </w:tbl>
          <w:p>
            <w:pPr>
              <w:pStyle w:val="49"/>
              <w:shd w:val="clear" w:color="auto" w:fill="auto"/>
              <w:bidi w:val="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施工设备准备齐全，包含挖掘机、运输车辆等。④物资准备齐全，包含生活用品和安全生产用品等。⑤明确施工环境保护措施。</w:t>
            </w:r>
          </w:p>
          <w:p>
            <w:pPr>
              <w:pStyle w:val="51"/>
              <w:bidi w:val="0"/>
              <w:rPr>
                <w:rFonts w:hint="default"/>
                <w:highlight w:val="none"/>
                <w:lang w:val="en-US" w:eastAsia="zh-CN"/>
              </w:rPr>
            </w:pPr>
            <w:r>
              <w:rPr>
                <w:rFonts w:hint="eastAsia"/>
                <w:highlight w:val="none"/>
                <w:lang w:val="en-US" w:eastAsia="zh-CN"/>
              </w:rPr>
              <w:t>5.土石方平衡分析</w:t>
            </w:r>
          </w:p>
          <w:p>
            <w:pPr>
              <w:pStyle w:val="49"/>
              <w:bidi w:val="0"/>
              <w:rPr>
                <w:rFonts w:hint="eastAsia"/>
                <w:lang w:val="en-US" w:eastAsia="zh-CN"/>
              </w:rPr>
            </w:pPr>
            <w:r>
              <w:rPr>
                <w:rFonts w:hint="eastAsia"/>
                <w:lang w:val="en-US" w:eastAsia="zh-CN"/>
              </w:rPr>
              <w:t>本项目主要的土石方工程为槽探、钻探期间开挖的土壤与风化岩石剥离、回填产生的土石方。</w:t>
            </w:r>
          </w:p>
          <w:p>
            <w:pPr>
              <w:pStyle w:val="49"/>
              <w:bidi w:val="0"/>
              <w:rPr>
                <w:rFonts w:hint="default"/>
                <w:lang w:val="en-US" w:eastAsia="zh-CN"/>
              </w:rPr>
            </w:pPr>
            <w:r>
              <w:rPr>
                <w:rFonts w:hint="eastAsia"/>
                <w:lang w:val="en-US" w:eastAsia="zh-CN"/>
              </w:rPr>
              <w:t>槽探总工作量6000m</w:t>
            </w:r>
            <w:r>
              <w:rPr>
                <w:rFonts w:hint="eastAsia"/>
                <w:vertAlign w:val="superscript"/>
                <w:lang w:val="en-US" w:eastAsia="zh-CN"/>
              </w:rPr>
              <w:t>3</w:t>
            </w:r>
            <w:r>
              <w:rPr>
                <w:rFonts w:hint="eastAsia"/>
                <w:lang w:val="en-US" w:eastAsia="zh-CN"/>
              </w:rPr>
              <w:t>。</w:t>
            </w:r>
          </w:p>
          <w:p>
            <w:pPr>
              <w:pStyle w:val="49"/>
              <w:bidi w:val="0"/>
              <w:rPr>
                <w:rFonts w:hint="eastAsia"/>
                <w:lang w:val="en-US" w:eastAsia="zh-CN"/>
              </w:rPr>
            </w:pPr>
            <w:r>
              <w:rPr>
                <w:rFonts w:hint="eastAsia"/>
                <w:lang w:val="en-US" w:eastAsia="zh-CN"/>
              </w:rPr>
              <w:t>钻探总工作量为10600m，钻探开孔直径91mm（Φ91mm钻头，配备Φ68mm岩心管），根据公式V=</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r>
              <w:rPr>
                <w:rFonts w:hint="eastAsia"/>
                <w:lang w:val="en-US" w:eastAsia="zh-CN"/>
              </w:rPr>
              <w:t>计算，钻孔产生的土石方量约为68.91m</w:t>
            </w:r>
            <w:r>
              <w:rPr>
                <w:rFonts w:hint="eastAsia"/>
                <w:vertAlign w:val="superscript"/>
                <w:lang w:val="en-US" w:eastAsia="zh-CN"/>
              </w:rPr>
              <w:t>3</w:t>
            </w:r>
            <w:r>
              <w:rPr>
                <w:rFonts w:hint="eastAsia"/>
                <w:lang w:val="en-US" w:eastAsia="zh-CN"/>
              </w:rPr>
              <w:t>，其中岩心量为38.48m³，岩屑量为30.43m³。</w:t>
            </w:r>
          </w:p>
          <w:p>
            <w:pPr>
              <w:pStyle w:val="53"/>
              <w:bidi w:val="0"/>
              <w:rPr>
                <w:rFonts w:hint="eastAsia"/>
                <w:vertAlign w:val="superscript"/>
                <w:lang w:val="en-US" w:eastAsia="zh-CN"/>
              </w:rPr>
            </w:pPr>
            <w:r>
              <w:rPr>
                <w:rFonts w:hint="eastAsia"/>
                <w:lang w:val="en-US" w:eastAsia="zh-CN"/>
              </w:rPr>
              <w:t xml:space="preserve">表2-7   </w:t>
            </w:r>
            <w:r>
              <w:rPr>
                <w:rFonts w:hint="eastAsia"/>
                <w:highlight w:val="none"/>
                <w:lang w:val="en-US" w:eastAsia="zh-CN"/>
              </w:rPr>
              <w:t xml:space="preserve"> 工程土石方平衡分析表</w:t>
            </w:r>
            <w:r>
              <w:rPr>
                <w:rFonts w:hint="eastAsia"/>
                <w:lang w:val="en-US" w:eastAsia="zh-CN"/>
              </w:rPr>
              <w:t xml:space="preserve">    单位：m</w:t>
            </w:r>
            <w:r>
              <w:rPr>
                <w:rFonts w:hint="eastAsia"/>
                <w:vertAlign w:val="superscript"/>
                <w:lang w:val="en-US" w:eastAsia="zh-CN"/>
              </w:rPr>
              <w:t>3</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143"/>
              <w:gridCol w:w="1109"/>
              <w:gridCol w:w="954"/>
              <w:gridCol w:w="3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28" w:type="pct"/>
                  <w:noWrap w:val="0"/>
                  <w:vAlign w:val="center"/>
                </w:tcPr>
                <w:p>
                  <w:pPr>
                    <w:pStyle w:val="59"/>
                    <w:bidi w:val="0"/>
                    <w:rPr>
                      <w:rFonts w:hint="eastAsia" w:eastAsia="宋体"/>
                      <w:lang w:eastAsia="zh-CN"/>
                    </w:rPr>
                  </w:pPr>
                  <w:r>
                    <w:rPr>
                      <w:rFonts w:hint="eastAsia"/>
                      <w:lang w:val="en-US" w:eastAsia="zh-CN"/>
                    </w:rPr>
                    <w:t>类型</w:t>
                  </w:r>
                </w:p>
              </w:tc>
              <w:tc>
                <w:tcPr>
                  <w:tcW w:w="726" w:type="pct"/>
                  <w:noWrap w:val="0"/>
                  <w:vAlign w:val="center"/>
                </w:tcPr>
                <w:p>
                  <w:pPr>
                    <w:pStyle w:val="59"/>
                    <w:bidi w:val="0"/>
                    <w:rPr>
                      <w:rFonts w:hint="default"/>
                    </w:rPr>
                  </w:pPr>
                  <w:r>
                    <w:rPr>
                      <w:rFonts w:hint="eastAsia"/>
                      <w:lang w:val="en-US" w:eastAsia="zh-CN"/>
                    </w:rPr>
                    <w:t>挖方</w:t>
                  </w:r>
                </w:p>
              </w:tc>
              <w:tc>
                <w:tcPr>
                  <w:tcW w:w="704" w:type="pct"/>
                  <w:noWrap w:val="0"/>
                  <w:vAlign w:val="center"/>
                </w:tcPr>
                <w:p>
                  <w:pPr>
                    <w:pStyle w:val="59"/>
                    <w:bidi w:val="0"/>
                    <w:rPr>
                      <w:rFonts w:hint="default"/>
                    </w:rPr>
                  </w:pPr>
                  <w:r>
                    <w:rPr>
                      <w:rFonts w:hint="eastAsia"/>
                      <w:lang w:val="en-US" w:eastAsia="zh-CN"/>
                    </w:rPr>
                    <w:t>回填</w:t>
                  </w:r>
                </w:p>
              </w:tc>
              <w:tc>
                <w:tcPr>
                  <w:tcW w:w="606" w:type="pct"/>
                  <w:noWrap w:val="0"/>
                  <w:vAlign w:val="center"/>
                </w:tcPr>
                <w:p>
                  <w:pPr>
                    <w:pStyle w:val="59"/>
                    <w:bidi w:val="0"/>
                    <w:rPr>
                      <w:rFonts w:hint="default"/>
                      <w:lang w:val="en-US" w:eastAsia="zh-CN"/>
                    </w:rPr>
                  </w:pPr>
                  <w:r>
                    <w:rPr>
                      <w:rFonts w:hint="eastAsia"/>
                      <w:lang w:val="en-US" w:eastAsia="zh-CN"/>
                    </w:rPr>
                    <w:t>取样</w:t>
                  </w:r>
                </w:p>
              </w:tc>
              <w:tc>
                <w:tcPr>
                  <w:tcW w:w="2132" w:type="pct"/>
                  <w:noWrap w:val="0"/>
                  <w:vAlign w:val="center"/>
                </w:tcPr>
                <w:p>
                  <w:pPr>
                    <w:pStyle w:val="59"/>
                    <w:bidi w:val="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noWrap w:val="0"/>
                  <w:vAlign w:val="center"/>
                </w:tcPr>
                <w:p>
                  <w:pPr>
                    <w:pStyle w:val="59"/>
                    <w:bidi w:val="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726" w:type="pct"/>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6000</w:t>
                  </w:r>
                </w:p>
              </w:tc>
              <w:tc>
                <w:tcPr>
                  <w:tcW w:w="704" w:type="pct"/>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5980</w:t>
                  </w:r>
                </w:p>
              </w:tc>
              <w:tc>
                <w:tcPr>
                  <w:tcW w:w="606" w:type="pct"/>
                  <w:noWrap w:val="0"/>
                  <w:vAlign w:val="center"/>
                </w:tcPr>
                <w:p>
                  <w:pPr>
                    <w:pStyle w:val="59"/>
                    <w:bidi w:val="0"/>
                    <w:rPr>
                      <w:rFonts w:hint="default"/>
                      <w:lang w:val="en-US" w:eastAsia="zh-CN"/>
                    </w:rPr>
                  </w:pPr>
                  <w:r>
                    <w:rPr>
                      <w:rFonts w:hint="eastAsia"/>
                      <w:lang w:val="en-US" w:eastAsia="zh-CN"/>
                    </w:rPr>
                    <w:t>20</w:t>
                  </w:r>
                </w:p>
              </w:tc>
              <w:tc>
                <w:tcPr>
                  <w:tcW w:w="2132" w:type="pct"/>
                  <w:noWrap w:val="0"/>
                  <w:vAlign w:val="center"/>
                </w:tcPr>
                <w:p>
                  <w:pPr>
                    <w:pStyle w:val="59"/>
                    <w:bidi w:val="0"/>
                    <w:rPr>
                      <w:rFonts w:hint="eastAsia" w:ascii="Times New Roman" w:hAnsi="Times New Roman" w:eastAsia="宋体" w:cs="Times New Roman"/>
                      <w:kern w:val="2"/>
                      <w:sz w:val="21"/>
                      <w:szCs w:val="21"/>
                      <w:lang w:val="en-US" w:eastAsia="zh-CN" w:bidi="ar-SA"/>
                    </w:rPr>
                  </w:pPr>
                  <w:r>
                    <w:rPr>
                      <w:rFonts w:hint="eastAsia"/>
                      <w:lang w:val="en-US" w:eastAsia="zh-CN"/>
                    </w:rPr>
                    <w:t>采集的样品带回实验室分析，其余土石方回填至探槽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726"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38.48</w:t>
                  </w:r>
                </w:p>
              </w:tc>
              <w:tc>
                <w:tcPr>
                  <w:tcW w:w="704"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606" w:type="pct"/>
                  <w:shd w:val="clear" w:color="auto" w:fill="auto"/>
                  <w:noWrap w:val="0"/>
                  <w:vAlign w:val="center"/>
                </w:tcPr>
                <w:p>
                  <w:pPr>
                    <w:pStyle w:val="59"/>
                    <w:bidi w:val="0"/>
                    <w:rPr>
                      <w:rFonts w:hint="default" w:cs="Times New Roman"/>
                      <w:kern w:val="2"/>
                      <w:sz w:val="21"/>
                      <w:szCs w:val="21"/>
                      <w:lang w:val="en-US" w:eastAsia="zh-CN" w:bidi="ar-SA"/>
                    </w:rPr>
                  </w:pPr>
                  <w:r>
                    <w:rPr>
                      <w:rFonts w:hint="eastAsia" w:cs="Times New Roman"/>
                      <w:kern w:val="2"/>
                      <w:sz w:val="21"/>
                      <w:szCs w:val="21"/>
                      <w:lang w:val="en-US" w:eastAsia="zh-CN" w:bidi="ar-SA"/>
                    </w:rPr>
                    <w:t>38.48</w:t>
                  </w:r>
                </w:p>
              </w:tc>
              <w:tc>
                <w:tcPr>
                  <w:tcW w:w="2132"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岩心全部带回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noWrap w:val="0"/>
                  <w:vAlign w:val="center"/>
                </w:tcPr>
                <w:p>
                  <w:pPr>
                    <w:pStyle w:val="59"/>
                    <w:bidi w:val="0"/>
                    <w:rPr>
                      <w:rFonts w:hint="default" w:cs="Times New Roman"/>
                      <w:kern w:val="2"/>
                      <w:sz w:val="21"/>
                      <w:szCs w:val="21"/>
                      <w:lang w:val="en-US" w:eastAsia="zh-CN" w:bidi="ar-SA"/>
                    </w:rPr>
                  </w:pPr>
                  <w:r>
                    <w:rPr>
                      <w:rFonts w:hint="eastAsia" w:cs="Times New Roman"/>
                      <w:kern w:val="2"/>
                      <w:sz w:val="21"/>
                      <w:szCs w:val="21"/>
                      <w:lang w:val="en-US" w:eastAsia="zh-CN" w:bidi="ar-SA"/>
                    </w:rPr>
                    <w:t>岩屑</w:t>
                  </w:r>
                </w:p>
              </w:tc>
              <w:tc>
                <w:tcPr>
                  <w:tcW w:w="726" w:type="pct"/>
                  <w:shd w:val="clear" w:color="auto" w:fill="auto"/>
                  <w:noWrap w:val="0"/>
                  <w:vAlign w:val="center"/>
                </w:tcPr>
                <w:p>
                  <w:pPr>
                    <w:pStyle w:val="59"/>
                    <w:bidi w:val="0"/>
                    <w:rPr>
                      <w:rFonts w:hint="default" w:cs="Times New Roman"/>
                      <w:kern w:val="2"/>
                      <w:sz w:val="21"/>
                      <w:szCs w:val="21"/>
                      <w:lang w:val="en-US" w:eastAsia="zh-CN" w:bidi="ar-SA"/>
                    </w:rPr>
                  </w:pPr>
                  <w:r>
                    <w:rPr>
                      <w:rFonts w:hint="eastAsia" w:cs="Times New Roman"/>
                      <w:kern w:val="2"/>
                      <w:sz w:val="21"/>
                      <w:szCs w:val="21"/>
                      <w:lang w:val="en-US" w:eastAsia="zh-CN" w:bidi="ar-SA"/>
                    </w:rPr>
                    <w:t>30.43</w:t>
                  </w:r>
                </w:p>
              </w:tc>
              <w:tc>
                <w:tcPr>
                  <w:tcW w:w="704" w:type="pct"/>
                  <w:shd w:val="clear" w:color="auto" w:fill="auto"/>
                  <w:noWrap w:val="0"/>
                  <w:vAlign w:val="center"/>
                </w:tcPr>
                <w:p>
                  <w:pPr>
                    <w:pStyle w:val="59"/>
                    <w:bidi w:val="0"/>
                    <w:rPr>
                      <w:rFonts w:hint="default" w:cs="Times New Roman"/>
                      <w:kern w:val="2"/>
                      <w:sz w:val="21"/>
                      <w:szCs w:val="21"/>
                      <w:lang w:val="en-US" w:eastAsia="zh-CN" w:bidi="ar-SA"/>
                    </w:rPr>
                  </w:pPr>
                  <w:r>
                    <w:rPr>
                      <w:rFonts w:hint="eastAsia" w:cs="Times New Roman"/>
                      <w:kern w:val="2"/>
                      <w:sz w:val="21"/>
                      <w:szCs w:val="21"/>
                      <w:lang w:val="en-US" w:eastAsia="zh-CN" w:bidi="ar-SA"/>
                    </w:rPr>
                    <w:t>30.43</w:t>
                  </w:r>
                </w:p>
              </w:tc>
              <w:tc>
                <w:tcPr>
                  <w:tcW w:w="606" w:type="pct"/>
                  <w:shd w:val="clear" w:color="auto" w:fill="auto"/>
                  <w:noWrap w:val="0"/>
                  <w:vAlign w:val="center"/>
                </w:tcPr>
                <w:p>
                  <w:pPr>
                    <w:pStyle w:val="59"/>
                    <w:bidi w:val="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2132" w:type="pct"/>
                  <w:shd w:val="clear" w:color="auto" w:fill="auto"/>
                  <w:noWrap w:val="0"/>
                  <w:vAlign w:val="center"/>
                </w:tcPr>
                <w:p>
                  <w:pPr>
                    <w:pStyle w:val="59"/>
                    <w:bidi w:val="0"/>
                    <w:rPr>
                      <w:rFonts w:hint="default"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t>总计</w:t>
                  </w:r>
                </w:p>
              </w:tc>
              <w:tc>
                <w:tcPr>
                  <w:tcW w:w="726" w:type="pct"/>
                  <w:shd w:val="clear" w:color="auto" w:fill="auto"/>
                  <w:noWrap w:val="0"/>
                  <w:vAlign w:val="center"/>
                </w:tcPr>
                <w:p>
                  <w:pPr>
                    <w:pStyle w:val="55"/>
                    <w:bidi w:val="0"/>
                    <w:rPr>
                      <w:rFonts w:hint="default"/>
                      <w:lang w:val="en-US" w:eastAsia="zh-CN"/>
                    </w:rPr>
                  </w:pPr>
                  <w:r>
                    <w:rPr>
                      <w:rFonts w:hint="eastAsia"/>
                      <w:lang w:val="en-US" w:eastAsia="zh-CN"/>
                    </w:rPr>
                    <w:t>6068.91</w:t>
                  </w:r>
                </w:p>
              </w:tc>
              <w:tc>
                <w:tcPr>
                  <w:tcW w:w="704" w:type="pct"/>
                  <w:shd w:val="clear" w:color="auto" w:fill="auto"/>
                  <w:noWrap w:val="0"/>
                  <w:vAlign w:val="center"/>
                </w:tcPr>
                <w:p>
                  <w:pPr>
                    <w:pStyle w:val="55"/>
                    <w:bidi w:val="0"/>
                    <w:rPr>
                      <w:rFonts w:hint="default"/>
                      <w:lang w:val="en-US" w:eastAsia="zh-CN"/>
                    </w:rPr>
                  </w:pPr>
                  <w:r>
                    <w:rPr>
                      <w:rFonts w:hint="eastAsia"/>
                      <w:lang w:val="en-US" w:eastAsia="zh-CN"/>
                    </w:rPr>
                    <w:t>6010.43</w:t>
                  </w:r>
                </w:p>
              </w:tc>
              <w:tc>
                <w:tcPr>
                  <w:tcW w:w="606" w:type="pct"/>
                  <w:shd w:val="clear" w:color="auto" w:fill="auto"/>
                  <w:noWrap w:val="0"/>
                  <w:vAlign w:val="center"/>
                </w:tcPr>
                <w:p>
                  <w:pPr>
                    <w:pStyle w:val="55"/>
                    <w:bidi w:val="0"/>
                    <w:rPr>
                      <w:rFonts w:hint="default"/>
                      <w:lang w:val="en-US" w:eastAsia="zh-CN"/>
                    </w:rPr>
                  </w:pPr>
                  <w:r>
                    <w:rPr>
                      <w:rFonts w:hint="eastAsia"/>
                      <w:lang w:val="en-US" w:eastAsia="zh-CN"/>
                    </w:rPr>
                    <w:t>58.48</w:t>
                  </w:r>
                </w:p>
              </w:tc>
              <w:tc>
                <w:tcPr>
                  <w:tcW w:w="2132" w:type="pct"/>
                  <w:shd w:val="clear" w:color="auto" w:fill="auto"/>
                  <w:noWrap w:val="0"/>
                  <w:vAlign w:val="center"/>
                </w:tcPr>
                <w:p>
                  <w:pPr>
                    <w:pStyle w:val="59"/>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9"/>
              <w:bidi w:val="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04" w:type="pct"/>
            <w:noWrap w:val="0"/>
            <w:vAlign w:val="center"/>
          </w:tcPr>
          <w:p>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4795" w:type="pct"/>
            <w:noWrap w:val="0"/>
            <w:vAlign w:val="center"/>
          </w:tcPr>
          <w:p>
            <w:pPr>
              <w:pStyle w:val="49"/>
              <w:bidi w:val="0"/>
              <w:jc w:val="center"/>
              <w:rPr>
                <w:rFonts w:hint="default"/>
                <w:lang w:val="en-US" w:eastAsia="zh-CN"/>
              </w:rPr>
            </w:pPr>
            <w:r>
              <w:rPr>
                <w:rFonts w:hint="eastAsia"/>
                <w:lang w:val="en-US" w:eastAsia="zh-CN"/>
              </w:rPr>
              <w:t>无</w:t>
            </w:r>
          </w:p>
        </w:tc>
      </w:tr>
    </w:tbl>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4"/>
        <w:tblW w:w="88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1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生态环境现状</w:t>
            </w:r>
          </w:p>
        </w:tc>
        <w:tc>
          <w:tcPr>
            <w:tcW w:w="8139" w:type="dxa"/>
            <w:noWrap w:val="0"/>
            <w:vAlign w:val="center"/>
          </w:tcPr>
          <w:p>
            <w:pPr>
              <w:pStyle w:val="51"/>
              <w:bidi w:val="0"/>
              <w:rPr>
                <w:rFonts w:hint="eastAsia"/>
                <w:lang w:val="en-US" w:eastAsia="zh-CN"/>
              </w:rPr>
            </w:pPr>
            <w:r>
              <w:rPr>
                <w:rFonts w:hint="eastAsia"/>
                <w:lang w:val="en-US" w:eastAsia="zh-CN"/>
              </w:rPr>
              <w:t>1.生态环境</w:t>
            </w:r>
          </w:p>
          <w:p>
            <w:pPr>
              <w:pStyle w:val="49"/>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9"/>
              <w:bidi w:val="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eastAsia"/>
                <w:lang w:val="en-US" w:eastAsia="zh-CN"/>
              </w:rPr>
              <w:t>天山南坡中段山地草原生态功能区</w:t>
            </w:r>
            <w:r>
              <w:rPr>
                <w:rFonts w:hint="eastAsia"/>
                <w:lang w:eastAsia="zh-CN"/>
              </w:rPr>
              <w:t>”</w:t>
            </w:r>
            <w:r>
              <w:rPr>
                <w:rFonts w:hint="default"/>
              </w:rPr>
              <w:t>，</w:t>
            </w:r>
            <w:r>
              <w:rPr>
                <w:rFonts w:hint="default"/>
                <w:lang w:val="en-US" w:eastAsia="zh-CN"/>
              </w:rPr>
              <w:t>该功能区发展方向见下表。</w:t>
            </w:r>
          </w:p>
          <w:p>
            <w:pPr>
              <w:pStyle w:val="53"/>
              <w:bidi w:val="0"/>
              <w:rPr>
                <w:rFonts w:hint="default"/>
              </w:rPr>
            </w:pPr>
            <w:r>
              <w:rPr>
                <w:rFonts w:hint="eastAsia"/>
                <w:lang w:val="en-US" w:eastAsia="zh-CN"/>
              </w:rPr>
              <w:t xml:space="preserve">表3-1    </w:t>
            </w:r>
            <w:r>
              <w:rPr>
                <w:rFonts w:hint="default"/>
                <w:lang w:val="en-US" w:eastAsia="zh-CN"/>
              </w:rPr>
              <w:t>主体功能区的类型和发展方向</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122"/>
              <w:gridCol w:w="373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14" w:type="pct"/>
                  <w:noWrap w:val="0"/>
                  <w:vAlign w:val="center"/>
                </w:tcPr>
                <w:p>
                  <w:pPr>
                    <w:pStyle w:val="59"/>
                    <w:bidi w:val="0"/>
                    <w:rPr>
                      <w:rFonts w:hint="default"/>
                      <w:lang w:eastAsia="zh-CN"/>
                    </w:rPr>
                  </w:pPr>
                  <w:r>
                    <w:rPr>
                      <w:rFonts w:hint="default"/>
                      <w:lang w:eastAsia="zh-CN"/>
                    </w:rPr>
                    <w:t>名称</w:t>
                  </w:r>
                </w:p>
              </w:tc>
              <w:tc>
                <w:tcPr>
                  <w:tcW w:w="709" w:type="pct"/>
                  <w:noWrap w:val="0"/>
                  <w:vAlign w:val="center"/>
                </w:tcPr>
                <w:p>
                  <w:pPr>
                    <w:pStyle w:val="59"/>
                    <w:bidi w:val="0"/>
                    <w:rPr>
                      <w:rFonts w:hint="default"/>
                      <w:lang w:eastAsia="zh-CN"/>
                    </w:rPr>
                  </w:pPr>
                  <w:r>
                    <w:rPr>
                      <w:rFonts w:hint="default"/>
                      <w:lang w:eastAsia="zh-CN"/>
                    </w:rPr>
                    <w:t>类型</w:t>
                  </w:r>
                </w:p>
              </w:tc>
              <w:tc>
                <w:tcPr>
                  <w:tcW w:w="2358" w:type="pct"/>
                  <w:noWrap w:val="0"/>
                  <w:vAlign w:val="center"/>
                </w:tcPr>
                <w:p>
                  <w:pPr>
                    <w:pStyle w:val="59"/>
                    <w:bidi w:val="0"/>
                    <w:rPr>
                      <w:rFonts w:hint="default"/>
                      <w:lang w:eastAsia="zh-CN"/>
                    </w:rPr>
                  </w:pPr>
                  <w:r>
                    <w:rPr>
                      <w:rFonts w:hint="default"/>
                      <w:lang w:eastAsia="zh-CN"/>
                    </w:rPr>
                    <w:t>综合评价</w:t>
                  </w:r>
                </w:p>
              </w:tc>
              <w:tc>
                <w:tcPr>
                  <w:tcW w:w="1217" w:type="pct"/>
                  <w:noWrap w:val="0"/>
                  <w:vAlign w:val="center"/>
                </w:tcPr>
                <w:p>
                  <w:pPr>
                    <w:pStyle w:val="59"/>
                    <w:bidi w:val="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714" w:type="pct"/>
                  <w:noWrap w:val="0"/>
                  <w:vAlign w:val="center"/>
                </w:tcPr>
                <w:p>
                  <w:pPr>
                    <w:pStyle w:val="59"/>
                    <w:bidi w:val="0"/>
                    <w:rPr>
                      <w:rFonts w:hint="default"/>
                    </w:rPr>
                  </w:pPr>
                  <w:r>
                    <w:rPr>
                      <w:rFonts w:hint="default"/>
                      <w:lang w:val="en-US" w:eastAsia="zh-CN"/>
                    </w:rPr>
                    <w:t>天山南坡中段山地草原生态功能区</w:t>
                  </w:r>
                </w:p>
              </w:tc>
              <w:tc>
                <w:tcPr>
                  <w:tcW w:w="709" w:type="pct"/>
                  <w:noWrap w:val="0"/>
                  <w:vAlign w:val="center"/>
                </w:tcPr>
                <w:p>
                  <w:pPr>
                    <w:pStyle w:val="59"/>
                    <w:bidi w:val="0"/>
                    <w:rPr>
                      <w:rFonts w:hint="default"/>
                    </w:rPr>
                  </w:pPr>
                  <w:r>
                    <w:rPr>
                      <w:rFonts w:hint="eastAsia"/>
                      <w:lang w:val="en-US" w:eastAsia="zh-CN"/>
                    </w:rPr>
                    <w:t>水源涵养</w:t>
                  </w:r>
                </w:p>
              </w:tc>
              <w:tc>
                <w:tcPr>
                  <w:tcW w:w="2358" w:type="pct"/>
                  <w:noWrap w:val="0"/>
                  <w:vAlign w:val="center"/>
                </w:tcPr>
                <w:p>
                  <w:pPr>
                    <w:pStyle w:val="59"/>
                    <w:bidi w:val="0"/>
                    <w:jc w:val="both"/>
                    <w:rPr>
                      <w:rFonts w:hint="default"/>
                    </w:rPr>
                  </w:pPr>
                  <w:r>
                    <w:rPr>
                      <w:rFonts w:hint="default"/>
                      <w:lang w:val="en-US" w:eastAsia="zh-CN"/>
                    </w:rPr>
                    <w:t>冰川发育，众多河流发源地，拥有国</w:t>
                  </w:r>
                  <w:r>
                    <w:rPr>
                      <w:rFonts w:hint="eastAsia"/>
                      <w:lang w:val="en-US" w:eastAsia="zh-CN"/>
                    </w:rPr>
                    <w:t>内</w:t>
                  </w:r>
                  <w:r>
                    <w:rPr>
                      <w:rFonts w:hint="default"/>
                      <w:lang w:val="en-US" w:eastAsia="zh-CN"/>
                    </w:rPr>
                    <w:t>最大的淡水内陆湖，分布有大面积的芦苇湿地，巴州重要的供水水源地。目前水土流失、土壤侵蚀严重、森林遭到破坏，草原退化，湖水水质污染、湿地萎缩。</w:t>
                  </w:r>
                </w:p>
              </w:tc>
              <w:tc>
                <w:tcPr>
                  <w:tcW w:w="1217" w:type="pct"/>
                  <w:noWrap w:val="0"/>
                  <w:vAlign w:val="center"/>
                </w:tcPr>
                <w:p>
                  <w:pPr>
                    <w:pStyle w:val="59"/>
                    <w:bidi w:val="0"/>
                    <w:rPr>
                      <w:rFonts w:hint="default"/>
                    </w:rPr>
                  </w:pPr>
                  <w:r>
                    <w:rPr>
                      <w:rFonts w:hint="default"/>
                      <w:lang w:val="en-US" w:eastAsia="zh-CN"/>
                    </w:rPr>
                    <w:t>禁止过度放牧，恢复天然草原植被，加大水污染防治力度，加强野生动物和湿地保护。</w:t>
                  </w:r>
                </w:p>
              </w:tc>
            </w:tr>
          </w:tbl>
          <w:p>
            <w:pPr>
              <w:pStyle w:val="49"/>
              <w:bidi w:val="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9"/>
              <w:bidi w:val="0"/>
              <w:rPr>
                <w:rFonts w:hint="eastAsia" w:ascii="Times New Roman" w:hAnsi="Times New Roman"/>
              </w:rPr>
            </w:pPr>
            <w:r>
              <w:rPr>
                <w:rFonts w:hint="eastAsia" w:ascii="Times New Roman" w:hAnsi="Times New Roman"/>
              </w:rPr>
              <w:t>根据《新疆生态功能区划》，评价区属</w:t>
            </w:r>
            <w:r>
              <w:rPr>
                <w:rFonts w:hint="eastAsia" w:ascii="Times New Roman" w:hAnsi="Times New Roman"/>
                <w:highlight w:val="none"/>
                <w:lang w:val="en-US" w:eastAsia="zh-CN"/>
              </w:rPr>
              <w:t>“</w:t>
            </w:r>
            <w:r>
              <w:rPr>
                <w:rFonts w:hint="eastAsia"/>
                <w:highlight w:val="none"/>
                <w:lang w:val="en-US" w:eastAsia="zh-CN"/>
              </w:rPr>
              <w:t>托木尔峰和天山南坡中段冰雪水源及生物多样性保护生态功能区</w:t>
            </w:r>
            <w:r>
              <w:rPr>
                <w:rFonts w:hint="eastAsia" w:ascii="Times New Roman" w:hAnsi="Times New Roman"/>
                <w:highlight w:val="none"/>
                <w:lang w:val="en-US" w:eastAsia="zh-CN"/>
              </w:rPr>
              <w:t>”</w:t>
            </w:r>
            <w:r>
              <w:rPr>
                <w:rFonts w:hint="eastAsia"/>
                <w:lang w:eastAsia="zh-CN"/>
              </w:rPr>
              <w:t>，</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3"/>
              <w:bidi w:val="0"/>
            </w:pPr>
            <w:r>
              <w:rPr>
                <w:rFonts w:hint="eastAsia"/>
              </w:rPr>
              <w:t>表3-</w:t>
            </w:r>
            <w:r>
              <w:rPr>
                <w:rFonts w:hint="eastAsia"/>
                <w:lang w:val="en-US" w:eastAsia="zh-CN"/>
              </w:rPr>
              <w:t xml:space="preserve">2    </w:t>
            </w:r>
            <w:r>
              <w:rPr>
                <w:rFonts w:hint="eastAsia"/>
              </w:rPr>
              <w:t>生态功能区划</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144"/>
              <w:gridCol w:w="1244"/>
              <w:gridCol w:w="1401"/>
              <w:gridCol w:w="1522"/>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93" w:type="pct"/>
                  <w:noWrap w:val="0"/>
                  <w:vAlign w:val="center"/>
                </w:tcPr>
                <w:p>
                  <w:pPr>
                    <w:pStyle w:val="55"/>
                    <w:bidi w:val="0"/>
                  </w:pPr>
                  <w:r>
                    <w:rPr>
                      <w:rFonts w:hint="eastAsia"/>
                    </w:rPr>
                    <w:t>生态功能分区</w:t>
                  </w:r>
                </w:p>
              </w:tc>
              <w:tc>
                <w:tcPr>
                  <w:tcW w:w="723" w:type="pct"/>
                  <w:noWrap w:val="0"/>
                  <w:vAlign w:val="center"/>
                </w:tcPr>
                <w:p>
                  <w:pPr>
                    <w:pStyle w:val="55"/>
                    <w:bidi w:val="0"/>
                  </w:pPr>
                  <w:r>
                    <w:rPr>
                      <w:rFonts w:hint="eastAsia"/>
                    </w:rPr>
                    <w:t>主要生态服务功能</w:t>
                  </w:r>
                </w:p>
              </w:tc>
              <w:tc>
                <w:tcPr>
                  <w:tcW w:w="786" w:type="pct"/>
                  <w:noWrap w:val="0"/>
                  <w:vAlign w:val="center"/>
                </w:tcPr>
                <w:p>
                  <w:pPr>
                    <w:pStyle w:val="55"/>
                    <w:bidi w:val="0"/>
                  </w:pPr>
                  <w:r>
                    <w:rPr>
                      <w:rFonts w:hint="eastAsia"/>
                    </w:rPr>
                    <w:t>主要生态问题</w:t>
                  </w:r>
                </w:p>
              </w:tc>
              <w:tc>
                <w:tcPr>
                  <w:tcW w:w="885" w:type="pct"/>
                  <w:noWrap w:val="0"/>
                  <w:vAlign w:val="center"/>
                </w:tcPr>
                <w:p>
                  <w:pPr>
                    <w:pStyle w:val="55"/>
                    <w:bidi w:val="0"/>
                  </w:pPr>
                  <w:r>
                    <w:rPr>
                      <w:rFonts w:hint="eastAsia"/>
                    </w:rPr>
                    <w:t>主要生态</w:t>
                  </w:r>
                </w:p>
                <w:p>
                  <w:pPr>
                    <w:pStyle w:val="55"/>
                    <w:bidi w:val="0"/>
                  </w:pPr>
                  <w:r>
                    <w:rPr>
                      <w:rFonts w:hint="eastAsia"/>
                    </w:rPr>
                    <w:t>敏感因子</w:t>
                  </w:r>
                </w:p>
              </w:tc>
              <w:tc>
                <w:tcPr>
                  <w:tcW w:w="962" w:type="pct"/>
                  <w:noWrap w:val="0"/>
                  <w:vAlign w:val="center"/>
                </w:tcPr>
                <w:p>
                  <w:pPr>
                    <w:pStyle w:val="55"/>
                    <w:bidi w:val="0"/>
                  </w:pPr>
                  <w:r>
                    <w:rPr>
                      <w:rFonts w:hint="eastAsia"/>
                    </w:rPr>
                    <w:t>保护目标</w:t>
                  </w:r>
                </w:p>
              </w:tc>
              <w:tc>
                <w:tcPr>
                  <w:tcW w:w="749" w:type="pct"/>
                  <w:noWrap w:val="0"/>
                  <w:vAlign w:val="center"/>
                </w:tcPr>
                <w:p>
                  <w:pPr>
                    <w:pStyle w:val="55"/>
                    <w:bidi w:val="0"/>
                  </w:pPr>
                  <w:r>
                    <w:rPr>
                      <w:rFonts w:hint="eastAsia"/>
                    </w:rPr>
                    <w:t>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93" w:type="pct"/>
                  <w:noWrap w:val="0"/>
                  <w:vAlign w:val="center"/>
                </w:tcPr>
                <w:p>
                  <w:pPr>
                    <w:pStyle w:val="55"/>
                    <w:bidi w:val="0"/>
                    <w:rPr>
                      <w:rFonts w:hint="eastAsia"/>
                    </w:rPr>
                  </w:pPr>
                  <w:r>
                    <w:rPr>
                      <w:rFonts w:hint="eastAsia"/>
                      <w:lang w:val="en-US" w:eastAsia="zh-CN"/>
                    </w:rPr>
                    <w:t>42</w:t>
                  </w:r>
                  <w:r>
                    <w:rPr>
                      <w:rFonts w:hint="eastAsia"/>
                    </w:rPr>
                    <w:t>．托木尔峰和天山南坡中段冰雪水源及生物多样性保护生态功能区</w:t>
                  </w:r>
                </w:p>
              </w:tc>
              <w:tc>
                <w:tcPr>
                  <w:tcW w:w="723" w:type="pct"/>
                  <w:noWrap w:val="0"/>
                  <w:vAlign w:val="center"/>
                </w:tcPr>
                <w:p>
                  <w:pPr>
                    <w:rPr>
                      <w:rFonts w:hint="eastAsia"/>
                    </w:rPr>
                  </w:pPr>
                  <w:r>
                    <w:rPr>
                      <w:rFonts w:hint="eastAsia" w:ascii="宋体" w:hAnsi="宋体"/>
                    </w:rPr>
                    <w:t>水源补给、生物多样性维护、土壤保持</w:t>
                  </w:r>
                </w:p>
              </w:tc>
              <w:tc>
                <w:tcPr>
                  <w:tcW w:w="786" w:type="pct"/>
                  <w:noWrap w:val="0"/>
                  <w:vAlign w:val="center"/>
                </w:tcPr>
                <w:p>
                  <w:pPr>
                    <w:rPr>
                      <w:rFonts w:hint="eastAsia"/>
                    </w:rPr>
                  </w:pPr>
                  <w:r>
                    <w:rPr>
                      <w:rFonts w:hint="eastAsia" w:ascii="宋体" w:hAnsi="宋体"/>
                    </w:rPr>
                    <w:t>水土流失、野生动物减少、土壤侵蚀、森林破坏</w:t>
                  </w:r>
                </w:p>
              </w:tc>
              <w:tc>
                <w:tcPr>
                  <w:tcW w:w="885" w:type="pct"/>
                  <w:noWrap w:val="0"/>
                  <w:vAlign w:val="center"/>
                </w:tcPr>
                <w:p>
                  <w:pPr>
                    <w:rPr>
                      <w:rFonts w:hint="eastAsia"/>
                    </w:rPr>
                  </w:pPr>
                  <w:r>
                    <w:rPr>
                      <w:rFonts w:hint="eastAsia" w:ascii="宋体" w:hAnsi="宋体"/>
                    </w:rPr>
                    <w:t>生物多样性及其生境极度敏感，土壤侵蚀轻度敏感</w:t>
                  </w:r>
                </w:p>
              </w:tc>
              <w:tc>
                <w:tcPr>
                  <w:tcW w:w="962" w:type="pct"/>
                  <w:noWrap w:val="0"/>
                  <w:vAlign w:val="center"/>
                </w:tcPr>
                <w:p>
                  <w:pPr>
                    <w:rPr>
                      <w:rFonts w:hint="eastAsia"/>
                    </w:rPr>
                  </w:pPr>
                  <w:r>
                    <w:rPr>
                      <w:rFonts w:hint="eastAsia" w:ascii="宋体" w:hAnsi="宋体"/>
                    </w:rPr>
                    <w:t>保护托木尔峰自然景观、保护高山冰川、保护野生动物、保护森林和草原</w:t>
                  </w:r>
                </w:p>
              </w:tc>
              <w:tc>
                <w:tcPr>
                  <w:tcW w:w="749" w:type="pct"/>
                  <w:noWrap w:val="0"/>
                  <w:vAlign w:val="center"/>
                </w:tcPr>
                <w:p>
                  <w:pPr>
                    <w:rPr>
                      <w:rFonts w:hint="eastAsia"/>
                    </w:rPr>
                  </w:pPr>
                  <w:r>
                    <w:rPr>
                      <w:rFonts w:hint="eastAsia" w:ascii="宋体" w:hAnsi="宋体"/>
                    </w:rPr>
                    <w:t>草地减牧、森林禁伐、禁猎、加强保护区管理</w:t>
                  </w:r>
                </w:p>
              </w:tc>
            </w:tr>
          </w:tbl>
          <w:p>
            <w:pPr>
              <w:pStyle w:val="49"/>
              <w:numPr>
                <w:ilvl w:val="0"/>
                <w:numId w:val="0"/>
              </w:numPr>
              <w:bidi w:val="0"/>
              <w:ind w:leftChars="20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9"/>
              <w:bidi w:val="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9"/>
              <w:bidi w:val="0"/>
              <w:rPr>
                <w:rFonts w:hint="eastAsia"/>
                <w:lang w:val="en-US" w:eastAsia="zh-CN"/>
              </w:rPr>
            </w:pPr>
            <w:r>
              <w:rPr>
                <w:rFonts w:hint="eastAsia"/>
                <w:lang w:val="en-US" w:eastAsia="zh-CN"/>
              </w:rPr>
              <w:t>本项目生态评价等级为三级，采用样方调查法进行植被现状调查。本次植被调查共布设3个草本样方，样方统一规格为1m×1m，样方均匀布设于项目钻探作业区、槽探区等全部施工占地范围，覆盖项目全部评价区域，样方布设具有全面性、典型性和代表性。</w:t>
            </w:r>
          </w:p>
          <w:p>
            <w:pPr>
              <w:pStyle w:val="49"/>
              <w:bidi w:val="0"/>
              <w:rPr>
                <w:rFonts w:hint="default"/>
                <w:lang w:val="en-US" w:eastAsia="zh-CN"/>
              </w:rPr>
            </w:pPr>
            <w:r>
              <w:rPr>
                <w:rFonts w:hint="eastAsia"/>
                <w:lang w:val="en-US" w:eastAsia="zh-CN"/>
              </w:rPr>
              <w:t>经现场调查，项目区内基本为裸地，群落稀疏，植被类型简单，区域整体植被覆盖率极低。通过样方调查统计，评价区内野生植物种类单一，无珍稀保护野生植物，常见植物主要为耐旱耐盐碱荒漠植被，具体植物名录见下表</w:t>
            </w:r>
            <w:r>
              <w:rPr>
                <w:rFonts w:hint="eastAsia"/>
              </w:rPr>
              <w:t>。</w:t>
            </w:r>
          </w:p>
          <w:p>
            <w:pPr>
              <w:pStyle w:val="53"/>
              <w:bidi w:val="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5"/>
              <w:tblW w:w="4992"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634"/>
              <w:gridCol w:w="1891"/>
              <w:gridCol w:w="437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pct"/>
                  <w:noWrap w:val="0"/>
                  <w:vAlign w:val="center"/>
                </w:tcPr>
                <w:p>
                  <w:pPr>
                    <w:pStyle w:val="59"/>
                    <w:bidi w:val="0"/>
                    <w:rPr>
                      <w:rFonts w:hint="default"/>
                    </w:rPr>
                  </w:pPr>
                  <w:r>
                    <w:rPr>
                      <w:rFonts w:hint="default"/>
                    </w:rPr>
                    <w:t>科</w:t>
                  </w:r>
                </w:p>
              </w:tc>
              <w:tc>
                <w:tcPr>
                  <w:tcW w:w="1197" w:type="pct"/>
                  <w:noWrap w:val="0"/>
                  <w:vAlign w:val="center"/>
                </w:tcPr>
                <w:p>
                  <w:pPr>
                    <w:pStyle w:val="59"/>
                    <w:bidi w:val="0"/>
                    <w:rPr>
                      <w:rFonts w:hint="default"/>
                    </w:rPr>
                  </w:pPr>
                  <w:r>
                    <w:rPr>
                      <w:rFonts w:hint="default"/>
                    </w:rPr>
                    <w:t>属</w:t>
                  </w:r>
                </w:p>
              </w:tc>
              <w:tc>
                <w:tcPr>
                  <w:tcW w:w="2767" w:type="pct"/>
                  <w:noWrap w:val="0"/>
                  <w:vAlign w:val="center"/>
                </w:tcPr>
                <w:p>
                  <w:pPr>
                    <w:pStyle w:val="59"/>
                    <w:bidi w:val="0"/>
                    <w:rPr>
                      <w:rFonts w:hint="eastAsia"/>
                      <w:lang w:val="en-US" w:eastAsia="zh-CN"/>
                    </w:rPr>
                  </w:pPr>
                  <w:r>
                    <w:rPr>
                      <w:rFonts w:hint="default"/>
                    </w:rPr>
                    <w:t>种</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noWrap w:val="0"/>
                  <w:vAlign w:val="center"/>
                </w:tcPr>
                <w:p>
                  <w:pPr>
                    <w:pStyle w:val="59"/>
                    <w:bidi w:val="0"/>
                    <w:rPr>
                      <w:rFonts w:hint="default"/>
                      <w:lang w:val="en-US" w:eastAsia="zh-CN"/>
                    </w:rPr>
                  </w:pPr>
                  <w:r>
                    <w:rPr>
                      <w:rFonts w:hint="eastAsia"/>
                      <w:lang w:val="en-US" w:eastAsia="zh-CN"/>
                    </w:rPr>
                    <w:t>禾本科</w:t>
                  </w:r>
                </w:p>
              </w:tc>
              <w:tc>
                <w:tcPr>
                  <w:tcW w:w="1197" w:type="pct"/>
                  <w:noWrap w:val="0"/>
                  <w:vAlign w:val="center"/>
                </w:tcPr>
                <w:p>
                  <w:pPr>
                    <w:pStyle w:val="59"/>
                    <w:bidi w:val="0"/>
                    <w:rPr>
                      <w:rFonts w:hint="default"/>
                      <w:lang w:val="en-US" w:eastAsia="zh-CN"/>
                    </w:rPr>
                  </w:pPr>
                  <w:r>
                    <w:rPr>
                      <w:rFonts w:hint="eastAsia"/>
                      <w:lang w:val="en-US" w:eastAsia="zh-CN"/>
                    </w:rPr>
                    <w:t>针茅属</w:t>
                  </w:r>
                </w:p>
              </w:tc>
              <w:tc>
                <w:tcPr>
                  <w:tcW w:w="2767" w:type="pct"/>
                  <w:noWrap w:val="0"/>
                  <w:vAlign w:val="center"/>
                </w:tcPr>
                <w:p>
                  <w:pPr>
                    <w:pStyle w:val="59"/>
                    <w:bidi w:val="0"/>
                    <w:rPr>
                      <w:rFonts w:hint="default"/>
                      <w:lang w:val="en-US" w:eastAsia="zh-CN"/>
                    </w:rPr>
                  </w:pPr>
                  <w:r>
                    <w:rPr>
                      <w:rFonts w:hint="default"/>
                      <w:lang w:val="en-US" w:eastAsia="zh-CN"/>
                    </w:rPr>
                    <w:t>镰芒针茅</w:t>
                  </w:r>
                  <w:r>
                    <w:rPr>
                      <w:rFonts w:hint="default"/>
                      <w:i/>
                      <w:iCs/>
                      <w:lang w:val="en-US" w:eastAsia="zh-CN"/>
                    </w:rPr>
                    <w:t>Stipa caucasica</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noWrap w:val="0"/>
                  <w:vAlign w:val="center"/>
                </w:tcPr>
                <w:p>
                  <w:pPr>
                    <w:pStyle w:val="59"/>
                    <w:bidi w:val="0"/>
                    <w:rPr>
                      <w:rFonts w:hint="default"/>
                      <w:lang w:val="en-US" w:eastAsia="zh-CN"/>
                    </w:rPr>
                  </w:pPr>
                  <w:r>
                    <w:rPr>
                      <w:rFonts w:hint="default"/>
                      <w:lang w:val="en-US" w:eastAsia="zh-CN"/>
                    </w:rPr>
                    <w:t>夹竹桃科</w:t>
                  </w:r>
                </w:p>
              </w:tc>
              <w:tc>
                <w:tcPr>
                  <w:tcW w:w="1197" w:type="pct"/>
                  <w:noWrap w:val="0"/>
                  <w:vAlign w:val="center"/>
                </w:tcPr>
                <w:p>
                  <w:pPr>
                    <w:pStyle w:val="59"/>
                    <w:bidi w:val="0"/>
                    <w:rPr>
                      <w:rFonts w:hint="eastAsia" w:eastAsia="宋体"/>
                      <w:lang w:val="en-US" w:eastAsia="zh-CN"/>
                    </w:rPr>
                  </w:pPr>
                  <w:r>
                    <w:rPr>
                      <w:rFonts w:hint="default"/>
                      <w:lang w:val="en-US" w:eastAsia="zh-CN"/>
                    </w:rPr>
                    <w:t>罗布麻属</w:t>
                  </w:r>
                </w:p>
              </w:tc>
              <w:tc>
                <w:tcPr>
                  <w:tcW w:w="2767" w:type="pct"/>
                  <w:noWrap w:val="0"/>
                  <w:vAlign w:val="center"/>
                </w:tcPr>
                <w:p>
                  <w:pPr>
                    <w:pStyle w:val="59"/>
                    <w:bidi w:val="0"/>
                    <w:rPr>
                      <w:rFonts w:hint="eastAsia" w:eastAsia="宋体"/>
                      <w:lang w:val="en-US" w:eastAsia="zh-CN"/>
                    </w:rPr>
                  </w:pPr>
                  <w:r>
                    <w:rPr>
                      <w:rFonts w:hint="eastAsia" w:eastAsia="宋体"/>
                      <w:lang w:val="en-US" w:eastAsia="zh-CN"/>
                    </w:rPr>
                    <w:t>罗布麻</w:t>
                  </w:r>
                  <w:r>
                    <w:rPr>
                      <w:rFonts w:hint="eastAsia" w:eastAsia="宋体"/>
                      <w:i/>
                      <w:iCs/>
                      <w:lang w:val="en-US" w:eastAsia="zh-CN"/>
                    </w:rPr>
                    <w:t>Apocynum venetum</w:t>
                  </w:r>
                </w:p>
              </w:tc>
            </w:tr>
          </w:tbl>
          <w:p>
            <w:pPr>
              <w:pStyle w:val="49"/>
              <w:bidi w:val="0"/>
            </w:pPr>
            <w:r>
              <w:t>评价区的地质地貌、气候等自然因素处于相对稳定状态，地形、地貌等对植被的影响主要通过水分、盐分、矿质养分的分配差异体现出来</w:t>
            </w:r>
            <w:r>
              <w:rPr>
                <w:rFonts w:hint="eastAsia"/>
              </w:rPr>
              <w:t>。本区域植被</w:t>
            </w:r>
            <w:r>
              <w:t>主要为草本植物，植物类型主要</w:t>
            </w:r>
            <w:r>
              <w:rPr>
                <w:rFonts w:hint="eastAsia"/>
                <w:lang w:eastAsia="zh-CN"/>
              </w:rPr>
              <w:t>为</w:t>
            </w:r>
            <w:r>
              <w:rPr>
                <w:rFonts w:hint="default"/>
                <w:lang w:val="en-US" w:eastAsia="zh-CN"/>
              </w:rPr>
              <w:t>镰芒针茅</w:t>
            </w:r>
            <w:r>
              <w:rPr>
                <w:rFonts w:hint="eastAsia"/>
                <w:lang w:val="en-US" w:eastAsia="zh-CN"/>
              </w:rPr>
              <w:t>和罗布麻</w:t>
            </w:r>
            <w:r>
              <w:t>，</w:t>
            </w:r>
            <w:r>
              <w:rPr>
                <w:rFonts w:hint="eastAsia"/>
                <w:lang w:val="en-US" w:eastAsia="zh-CN"/>
              </w:rPr>
              <w:t>大部分区域</w:t>
            </w:r>
            <w:r>
              <w:t>植被生长稀疏，不涉及保护植物。</w:t>
            </w:r>
          </w:p>
          <w:p>
            <w:pPr>
              <w:pStyle w:val="49"/>
              <w:bidi w:val="0"/>
            </w:pPr>
            <w:r>
              <w:rPr>
                <w:rFonts w:hint="eastAsia"/>
              </w:rPr>
              <w:t>②</w:t>
            </w:r>
            <w:r>
              <w:t>野生动物现状调查及评价</w:t>
            </w:r>
          </w:p>
          <w:p>
            <w:pPr>
              <w:pStyle w:val="49"/>
              <w:bidi w:val="0"/>
              <w:rPr>
                <w:rFonts w:hint="eastAsia"/>
              </w:rPr>
            </w:pPr>
            <w:r>
              <w:rPr>
                <w:rFonts w:hint="eastAsia"/>
              </w:rPr>
              <w:t>本次评价于2026年</w:t>
            </w:r>
            <w:r>
              <w:rPr>
                <w:rFonts w:hint="eastAsia"/>
                <w:lang w:val="en-US" w:eastAsia="zh-CN"/>
              </w:rPr>
              <w:t>7</w:t>
            </w:r>
            <w:r>
              <w:rPr>
                <w:rFonts w:hint="eastAsia"/>
              </w:rPr>
              <w:t>月</w:t>
            </w:r>
            <w:r>
              <w:rPr>
                <w:rFonts w:hint="eastAsia"/>
                <w:lang w:val="en-US" w:eastAsia="zh-CN"/>
              </w:rPr>
              <w:t>针对评价区野生动物资源开展专项现状调查</w:t>
            </w:r>
            <w:r>
              <w:rPr>
                <w:rFonts w:hint="eastAsia"/>
              </w:rPr>
              <w:t>。</w:t>
            </w:r>
            <w:r>
              <w:rPr>
                <w:rFonts w:hint="eastAsia"/>
                <w:lang w:val="en-US" w:eastAsia="zh-CN"/>
              </w:rPr>
              <w:t>调查范围以项目槽探、钻探作业区为核心，向四周外延1km评价范围；共布设野外调查样线3条，单条样线长度2km，样线总长度6km，样线均匀覆盖项目施工占地及外围评价区域，采用步行巡查方式，系统观察记录区域内野生动物实体、足迹、粪便、巢穴等活动痕迹。同时走访项目周边乡镇牧民、基层工作人员，并查阅《新疆生态功能区划》、巴州及霍拉山区域野生动物相关历史文献、调查报告，对实地调查成果进行交叉比对、综合验证。</w:t>
            </w:r>
          </w:p>
          <w:p>
            <w:pPr>
              <w:pStyle w:val="49"/>
              <w:bidi w:val="0"/>
              <w:rPr>
                <w:rFonts w:hint="eastAsia"/>
              </w:rPr>
            </w:pPr>
            <w:r>
              <w:rPr>
                <w:rFonts w:hint="eastAsia"/>
                <w:lang w:val="en-US" w:eastAsia="zh-CN"/>
              </w:rPr>
              <w:t>综合本次样线实地调查、走访调查及资料查询结果，项目区及周边1km评价范围内，未发现国家及自治区重点保护野生动物实体，无重点保护野生动物栖息地、迁徙通道及繁殖活动区域</w:t>
            </w:r>
            <w:r>
              <w:rPr>
                <w:rFonts w:hint="eastAsia"/>
              </w:rPr>
              <w:t>。</w:t>
            </w:r>
          </w:p>
          <w:p>
            <w:pPr>
              <w:pStyle w:val="49"/>
              <w:bidi w:val="0"/>
            </w:pPr>
            <w:r>
              <w:rPr>
                <w:rFonts w:hint="eastAsia"/>
              </w:rPr>
              <w:t>按中国动物地理区划的分级标准，项目区属古北界、中亚亚界、蒙新区。因气候寒冷和食物短缺，无栖息及躲藏之地，野生动物分布数量较少且动物组成较为单一。评价区主要野生动物名录见下表。</w:t>
            </w:r>
          </w:p>
          <w:p>
            <w:pPr>
              <w:pStyle w:val="53"/>
              <w:bidi w:val="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62"/>
              <w:gridCol w:w="1463"/>
              <w:gridCol w:w="153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bottom w:val="single" w:color="auto" w:sz="4" w:space="0"/>
                    <w:right w:val="single" w:color="auto" w:sz="4" w:space="0"/>
                  </w:tcBorders>
                  <w:noWrap w:val="0"/>
                  <w:vAlign w:val="center"/>
                </w:tcPr>
                <w:p>
                  <w:pPr>
                    <w:pStyle w:val="59"/>
                    <w:bidi w:val="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9"/>
                    <w:bidi w:val="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9"/>
                    <w:bidi w:val="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9"/>
                    <w:bidi w:val="0"/>
                    <w:rPr>
                      <w:rFonts w:hint="default"/>
                    </w:rPr>
                  </w:pPr>
                  <w:r>
                    <w:rPr>
                      <w:rFonts w:hint="default"/>
                    </w:rPr>
                    <w:t>中文名</w:t>
                  </w:r>
                </w:p>
              </w:tc>
              <w:tc>
                <w:tcPr>
                  <w:tcW w:w="1414" w:type="pct"/>
                  <w:tcBorders>
                    <w:left w:val="single" w:color="auto" w:sz="4" w:space="0"/>
                    <w:bottom w:val="single" w:color="auto" w:sz="4" w:space="0"/>
                  </w:tcBorders>
                  <w:noWrap w:val="0"/>
                  <w:vAlign w:val="center"/>
                </w:tcPr>
                <w:p>
                  <w:pPr>
                    <w:pStyle w:val="59"/>
                    <w:bidi w:val="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9"/>
                    <w:bidi w:val="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9"/>
                    <w:bidi w:val="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9"/>
                    <w:bidi w:val="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9"/>
                    <w:bidi w:val="0"/>
                    <w:rPr>
                      <w:rFonts w:hint="default"/>
                      <w:lang w:eastAsia="zh-CN"/>
                    </w:rPr>
                  </w:pPr>
                  <w:r>
                    <w:rPr>
                      <w:rFonts w:hint="default"/>
                      <w:lang w:eastAsia="zh-CN"/>
                    </w:rPr>
                    <w:t>灰仓鼠</w:t>
                  </w:r>
                </w:p>
              </w:tc>
              <w:tc>
                <w:tcPr>
                  <w:tcW w:w="1414" w:type="pct"/>
                  <w:tcBorders>
                    <w:top w:val="single" w:color="auto" w:sz="4" w:space="0"/>
                    <w:left w:val="single" w:color="auto" w:sz="4" w:space="0"/>
                    <w:bottom w:val="single" w:color="auto" w:sz="4" w:space="0"/>
                  </w:tcBorders>
                  <w:noWrap w:val="0"/>
                  <w:vAlign w:val="center"/>
                </w:tcPr>
                <w:p>
                  <w:pPr>
                    <w:pStyle w:val="59"/>
                    <w:bidi w:val="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9"/>
                    <w:bidi w:val="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9"/>
                    <w:bidi w:val="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9"/>
                    <w:bidi w:val="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9"/>
                    <w:bidi w:val="0"/>
                    <w:rPr>
                      <w:rFonts w:hint="default"/>
                      <w:lang w:val="en-US" w:eastAsia="zh-CN"/>
                    </w:rPr>
                  </w:pPr>
                  <w:r>
                    <w:rPr>
                      <w:rFonts w:hint="default"/>
                    </w:rPr>
                    <w:t>蜥蜴</w:t>
                  </w:r>
                </w:p>
              </w:tc>
              <w:tc>
                <w:tcPr>
                  <w:tcW w:w="1414" w:type="pct"/>
                  <w:tcBorders>
                    <w:top w:val="single" w:color="auto" w:sz="4" w:space="0"/>
                    <w:left w:val="single" w:color="auto" w:sz="4" w:space="0"/>
                    <w:bottom w:val="single" w:color="auto" w:sz="4" w:space="0"/>
                  </w:tcBorders>
                  <w:noWrap w:val="0"/>
                  <w:vAlign w:val="center"/>
                </w:tcPr>
                <w:p>
                  <w:pPr>
                    <w:pStyle w:val="59"/>
                    <w:bidi w:val="0"/>
                    <w:rPr>
                      <w:rFonts w:hint="default"/>
                      <w:i/>
                      <w:iCs/>
                      <w:lang w:val="en-US" w:eastAsia="en-US"/>
                    </w:rPr>
                  </w:pPr>
                  <w:r>
                    <w:rPr>
                      <w:rFonts w:hint="default"/>
                      <w:i/>
                      <w:iCs/>
                    </w:rPr>
                    <w:t>Lizard</w:t>
                  </w:r>
                </w:p>
              </w:tc>
            </w:tr>
          </w:tbl>
          <w:p>
            <w:pPr>
              <w:pStyle w:val="49"/>
              <w:bidi w:val="0"/>
              <w:rPr>
                <w:rFonts w:hint="default"/>
                <w:highlight w:val="none"/>
                <w:lang w:val="en-US" w:eastAsia="zh-CN"/>
              </w:rPr>
            </w:pPr>
            <w:r>
              <w:rPr>
                <w:rFonts w:hint="eastAsia"/>
                <w:highlight w:val="none"/>
                <w:lang w:val="en-US" w:eastAsia="zh-CN"/>
              </w:rPr>
              <w:t>③水土流失现状调查：2024年焉耆回族自治县水土流失面积329.37km²，占全县土地总面积13.56%。项目区水土流失情况为微度。水土流失类型主要为风力侵蚀。水土流失类型见附图。</w:t>
            </w:r>
          </w:p>
          <w:p>
            <w:pPr>
              <w:pStyle w:val="49"/>
              <w:bidi w:val="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w:t>
            </w:r>
          </w:p>
          <w:p>
            <w:pPr>
              <w:pStyle w:val="51"/>
              <w:bidi w:val="0"/>
              <w:rPr>
                <w:rFonts w:hint="eastAsia"/>
                <w:lang w:val="en-US" w:eastAsia="zh-CN"/>
              </w:rPr>
            </w:pPr>
            <w:r>
              <w:rPr>
                <w:rFonts w:hint="eastAsia"/>
                <w:lang w:val="en-US" w:eastAsia="zh-CN"/>
              </w:rPr>
              <w:t>2.大气环境质量现状</w:t>
            </w:r>
          </w:p>
          <w:p>
            <w:pPr>
              <w:pStyle w:val="49"/>
              <w:bidi w:val="0"/>
              <w:rPr>
                <w:rFonts w:hint="eastAsia"/>
                <w:lang w:eastAsia="zh-CN"/>
              </w:rPr>
            </w:pPr>
            <w:r>
              <w:rPr>
                <w:rFonts w:hint="eastAsia"/>
              </w:rPr>
              <w:t>（</w:t>
            </w:r>
            <w:r>
              <w:t>1</w:t>
            </w:r>
            <w:r>
              <w:rPr>
                <w:rFonts w:hint="eastAsia"/>
              </w:rPr>
              <w:t>）评价数据选用</w:t>
            </w:r>
          </w:p>
          <w:p>
            <w:pPr>
              <w:pStyle w:val="49"/>
              <w:keepNext w:val="0"/>
              <w:keepLines w:val="0"/>
              <w:pageBreakBefore w:val="0"/>
              <w:widowControl w:val="0"/>
              <w:kinsoku/>
              <w:wordWrap/>
              <w:overflowPunct/>
              <w:topLinePunct w:val="0"/>
              <w:autoSpaceDE/>
              <w:autoSpaceDN/>
              <w:bidi w:val="0"/>
              <w:adjustRightInd w:val="0"/>
              <w:snapToGrid w:val="0"/>
              <w:textAlignment w:val="auto"/>
              <w:rPr>
                <w:lang w:val="en-US" w:eastAsia="zh-CN"/>
              </w:rPr>
            </w:pPr>
            <w:r>
              <w:rPr>
                <w:rFonts w:hint="default"/>
                <w:lang w:val="en-US" w:eastAsia="zh-CN"/>
              </w:rPr>
              <w:t>根据《建设项目环境影响报告表编制技术指南（生态影响类）（试行）》</w:t>
            </w:r>
            <w:r>
              <w:rPr>
                <w:rFonts w:hint="eastAsia"/>
                <w:lang w:val="en-US" w:eastAsia="zh-CN"/>
              </w:rPr>
              <w:t>“</w:t>
            </w:r>
            <w:r>
              <w:rPr>
                <w:rFonts w:hint="default"/>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lang w:val="en-US" w:eastAsia="zh-CN"/>
              </w:rPr>
              <w:t>”</w:t>
            </w:r>
            <w:r>
              <w:rPr>
                <w:rFonts w:hint="default"/>
                <w:lang w:val="en-US" w:eastAsia="zh-CN"/>
              </w:rPr>
              <w:t>，项目所在区域目前没有国家和地方生态环境部门公开发布的评价基准年环境质量公告或环境质量报告中的数据，本次选用</w:t>
            </w:r>
            <w:r>
              <w:rPr>
                <w:rFonts w:hint="eastAsia"/>
                <w:lang w:val="en-US" w:eastAsia="zh-CN"/>
              </w:rPr>
              <w:t>焉耆回族自治县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w:t>
            </w:r>
            <w:r>
              <w:rPr>
                <w:rFonts w:hint="eastAsia"/>
                <w:lang w:val="en-US" w:eastAsia="zh-CN"/>
              </w:rPr>
              <w:t>，所引用数据可以满足环境空气质量评价有效性要求。</w:t>
            </w:r>
          </w:p>
          <w:p>
            <w:pPr>
              <w:pStyle w:val="49"/>
              <w:bidi w:val="0"/>
            </w:pPr>
            <w:r>
              <w:rPr>
                <w:rFonts w:hint="eastAsia"/>
              </w:rPr>
              <w:t>①监测点位：</w:t>
            </w:r>
            <w:r>
              <w:rPr>
                <w:rFonts w:hint="eastAsia"/>
                <w:lang w:eastAsia="zh-CN"/>
              </w:rPr>
              <w:t>焉耆回族自治县</w:t>
            </w:r>
            <w:r>
              <w:rPr>
                <w:rFonts w:hint="eastAsia"/>
              </w:rPr>
              <w:t>环境空气自动监测站。</w:t>
            </w:r>
          </w:p>
          <w:p>
            <w:pPr>
              <w:pStyle w:val="49"/>
              <w:keepNext w:val="0"/>
              <w:keepLines w:val="0"/>
              <w:pageBreakBefore w:val="0"/>
              <w:widowControl w:val="0"/>
              <w:kinsoku/>
              <w:wordWrap/>
              <w:overflowPunct/>
              <w:topLinePunct w:val="0"/>
              <w:autoSpaceDE/>
              <w:autoSpaceDN/>
              <w:bidi w:val="0"/>
              <w:adjustRightInd w:val="0"/>
              <w:snapToGrid w:val="0"/>
              <w:textAlignment w:val="auto"/>
            </w:pPr>
            <w:r>
              <w:rPr>
                <w:rFonts w:hint="eastAsia"/>
              </w:rPr>
              <w:t>②监测项目：二氧化硫（</w:t>
            </w:r>
            <w:r>
              <w:t>SO</w:t>
            </w:r>
            <w:r>
              <w:rPr>
                <w:vertAlign w:val="subscript"/>
              </w:rPr>
              <w:t>2</w:t>
            </w:r>
            <w:r>
              <w:rPr>
                <w:rFonts w:hint="eastAsia"/>
              </w:rPr>
              <w:t>）、二氧化氮（</w:t>
            </w:r>
            <w:r>
              <w:t>NO</w:t>
            </w:r>
            <w:r>
              <w:rPr>
                <w:vertAlign w:val="subscript"/>
              </w:rPr>
              <w:t>2</w:t>
            </w:r>
            <w:r>
              <w:rPr>
                <w:rFonts w:hint="eastAsia"/>
              </w:rPr>
              <w:t>）、可吸入颗粒物（</w:t>
            </w:r>
            <w:r>
              <w:t>PM</w:t>
            </w:r>
            <w:r>
              <w:rPr>
                <w:vertAlign w:val="subscript"/>
              </w:rPr>
              <w:t>10</w:t>
            </w:r>
            <w:r>
              <w:rPr>
                <w:rFonts w:hint="eastAsia"/>
              </w:rPr>
              <w:t>）、一氧化碳（</w:t>
            </w:r>
            <w:r>
              <w:t>CO</w:t>
            </w:r>
            <w:r>
              <w:rPr>
                <w:rFonts w:hint="eastAsia"/>
              </w:rPr>
              <w:t>）、臭氧（</w:t>
            </w:r>
            <w:r>
              <w:t>O</w:t>
            </w:r>
            <w:r>
              <w:rPr>
                <w:vertAlign w:val="subscript"/>
              </w:rPr>
              <w:t>3</w:t>
            </w:r>
            <w:r>
              <w:rPr>
                <w:rFonts w:hint="eastAsia"/>
              </w:rPr>
              <w:t>）、细颗粒物（</w:t>
            </w:r>
            <w:r>
              <w:t>PM</w:t>
            </w:r>
            <w:r>
              <w:rPr>
                <w:vertAlign w:val="subscript"/>
              </w:rPr>
              <w:t>2.5</w:t>
            </w:r>
            <w:r>
              <w:rPr>
                <w:rFonts w:hint="eastAsia"/>
              </w:rPr>
              <w:t>）六项。</w:t>
            </w:r>
          </w:p>
          <w:p>
            <w:pPr>
              <w:pStyle w:val="49"/>
              <w:bidi w:val="0"/>
            </w:pPr>
            <w:r>
              <w:rPr>
                <w:rFonts w:hint="eastAsia"/>
              </w:rPr>
              <w:t>③监测时间：</w:t>
            </w:r>
            <w:r>
              <w:t>20</w:t>
            </w:r>
            <w:r>
              <w:rPr>
                <w:rFonts w:hint="eastAsia"/>
                <w:lang w:val="en-US" w:eastAsia="zh-CN"/>
              </w:rPr>
              <w:t>24年全年。</w:t>
            </w:r>
          </w:p>
          <w:p>
            <w:pPr>
              <w:pStyle w:val="49"/>
              <w:bidi w:val="0"/>
            </w:pPr>
            <w:r>
              <w:rPr>
                <w:rFonts w:hint="eastAsia"/>
              </w:rPr>
              <w:t>（</w:t>
            </w:r>
            <w:r>
              <w:t>2</w:t>
            </w:r>
            <w:r>
              <w:rPr>
                <w:rFonts w:hint="eastAsia"/>
              </w:rPr>
              <w:t>）评价标准</w:t>
            </w:r>
          </w:p>
          <w:p>
            <w:pPr>
              <w:pStyle w:val="49"/>
              <w:bidi w:val="0"/>
              <w:rPr>
                <w:rFonts w:hint="eastAsia"/>
              </w:rPr>
            </w:pPr>
            <w:r>
              <w:rPr>
                <w:rFonts w:hint="eastAsia"/>
              </w:rPr>
              <w:t>项目区属于二类环境空气功能区，评价标准执行《环境空气质量标准》（</w:t>
            </w:r>
            <w:r>
              <w:t>GB3095-20</w:t>
            </w:r>
            <w:r>
              <w:rPr>
                <w:rFonts w:hint="eastAsia"/>
                <w:lang w:val="en-US" w:eastAsia="zh-CN"/>
              </w:rPr>
              <w:t>26</w:t>
            </w:r>
            <w:r>
              <w:rPr>
                <w:rFonts w:hint="eastAsia"/>
              </w:rPr>
              <w:t>）</w:t>
            </w:r>
            <w:r>
              <w:rPr>
                <w:rFonts w:hint="eastAsia"/>
                <w:lang w:val="en-US" w:eastAsia="zh-CN"/>
              </w:rPr>
              <w:t>过渡阶段的</w:t>
            </w:r>
            <w:r>
              <w:rPr>
                <w:rFonts w:hint="eastAsia"/>
              </w:rPr>
              <w:t>二级标准。</w:t>
            </w:r>
          </w:p>
          <w:p>
            <w:pPr>
              <w:pStyle w:val="49"/>
              <w:bidi w:val="0"/>
              <w:rPr>
                <w:rFonts w:hint="default"/>
                <w:lang w:val="en-US" w:eastAsia="zh-CN"/>
              </w:rPr>
            </w:pPr>
            <w:r>
              <w:rPr>
                <w:rFonts w:hint="default"/>
                <w:lang w:val="en-US" w:eastAsia="zh-CN"/>
              </w:rPr>
              <w:t>（3）评价方法</w:t>
            </w:r>
          </w:p>
          <w:p>
            <w:pPr>
              <w:pStyle w:val="49"/>
              <w:bidi w:val="0"/>
              <w:rPr>
                <w:rFonts w:hint="default"/>
              </w:rPr>
            </w:pPr>
            <w:r>
              <w:rPr>
                <w:rFonts w:hint="default"/>
              </w:rPr>
              <w:t>选用占标率进行评价，公式为：</w:t>
            </w:r>
          </w:p>
          <w:p>
            <w:pPr>
              <w:keepLines w:val="0"/>
              <w:pageBreakBefore w:val="0"/>
              <w:kinsoku/>
              <w:wordWrap/>
              <w:overflowPunct/>
              <w:topLinePunct w:val="0"/>
              <w:autoSpaceDE/>
              <w:autoSpaceDN/>
              <w:bidi w:val="0"/>
              <w:spacing w:line="480" w:lineRule="exact"/>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49"/>
              <w:bidi w:val="0"/>
              <w:rPr>
                <w:rFonts w:hint="default"/>
              </w:rPr>
            </w:pPr>
            <w:r>
              <w:rPr>
                <w:rFonts w:hint="default"/>
              </w:rPr>
              <w:t>式中，Pi－第i个污染物的质量浓度占标率，%；</w:t>
            </w:r>
          </w:p>
          <w:p>
            <w:pPr>
              <w:pStyle w:val="49"/>
              <w:bidi w:val="0"/>
              <w:rPr>
                <w:rFonts w:hint="default"/>
              </w:rPr>
            </w:pPr>
            <w:r>
              <w:rPr>
                <w:rFonts w:hint="default"/>
              </w:rPr>
              <w:t>Ci－污染物的浓度，mg/m</w:t>
            </w:r>
            <w:r>
              <w:rPr>
                <w:rFonts w:hint="default"/>
                <w:vertAlign w:val="superscript"/>
              </w:rPr>
              <w:t>3</w:t>
            </w:r>
            <w:r>
              <w:rPr>
                <w:rFonts w:hint="default"/>
              </w:rPr>
              <w:t>（标准状态）；</w:t>
            </w:r>
          </w:p>
          <w:p>
            <w:pPr>
              <w:pStyle w:val="49"/>
              <w:bidi w:val="0"/>
              <w:rPr>
                <w:rFonts w:hint="default"/>
              </w:rPr>
            </w:pPr>
            <w:r>
              <w:rPr>
                <w:rFonts w:hint="default"/>
              </w:rPr>
              <w:t>Coi－污染物的质量标准，mg/m</w:t>
            </w:r>
            <w:r>
              <w:rPr>
                <w:rFonts w:hint="default"/>
                <w:vertAlign w:val="superscript"/>
              </w:rPr>
              <w:t>3</w:t>
            </w:r>
            <w:r>
              <w:rPr>
                <w:rFonts w:hint="default"/>
              </w:rPr>
              <w:t>（标准状态）。</w:t>
            </w:r>
          </w:p>
          <w:p>
            <w:pPr>
              <w:pStyle w:val="49"/>
              <w:bidi w:val="0"/>
              <w:rPr>
                <w:rFonts w:hint="default"/>
                <w:lang w:val="en-US" w:eastAsia="zh-CN"/>
              </w:rPr>
            </w:pPr>
            <w:r>
              <w:rPr>
                <w:rFonts w:hint="default"/>
                <w:lang w:val="en-US" w:eastAsia="zh-CN"/>
              </w:rPr>
              <w:t>（4）评价结果</w:t>
            </w:r>
          </w:p>
          <w:p>
            <w:pPr>
              <w:pStyle w:val="49"/>
              <w:bidi w:val="0"/>
              <w:rPr>
                <w:rFonts w:hint="default"/>
              </w:rPr>
            </w:pPr>
            <w:r>
              <w:rPr>
                <w:rFonts w:hint="default"/>
              </w:rPr>
              <w:t>评价结果见下表。</w:t>
            </w:r>
          </w:p>
          <w:p>
            <w:pPr>
              <w:pStyle w:val="53"/>
              <w:bidi w:val="0"/>
              <w:rPr>
                <w:rFonts w:hint="default"/>
                <w:highlight w:val="green"/>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4"/>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2606"/>
              <w:gridCol w:w="1144"/>
              <w:gridCol w:w="1272"/>
              <w:gridCol w:w="1074"/>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6" w:type="pct"/>
                  <w:vMerge w:val="restart"/>
                  <w:noWrap w:val="0"/>
                  <w:vAlign w:val="center"/>
                </w:tcPr>
                <w:p>
                  <w:pPr>
                    <w:pStyle w:val="59"/>
                    <w:bidi w:val="0"/>
                    <w:rPr>
                      <w:rFonts w:hint="default"/>
                    </w:rPr>
                  </w:pPr>
                  <w:bookmarkStart w:id="3" w:name="_Hlk82001264"/>
                  <w:r>
                    <w:rPr>
                      <w:rFonts w:hint="default"/>
                    </w:rPr>
                    <w:t>监测项目</w:t>
                  </w:r>
                </w:p>
              </w:tc>
              <w:tc>
                <w:tcPr>
                  <w:tcW w:w="1708" w:type="pct"/>
                  <w:vMerge w:val="restart"/>
                  <w:noWrap w:val="0"/>
                  <w:vAlign w:val="center"/>
                </w:tcPr>
                <w:p>
                  <w:pPr>
                    <w:pStyle w:val="59"/>
                    <w:bidi w:val="0"/>
                    <w:rPr>
                      <w:rFonts w:hint="default"/>
                    </w:rPr>
                  </w:pPr>
                  <w:r>
                    <w:rPr>
                      <w:rFonts w:hint="default"/>
                    </w:rPr>
                    <w:t>评价指标</w:t>
                  </w:r>
                </w:p>
              </w:tc>
              <w:tc>
                <w:tcPr>
                  <w:tcW w:w="732" w:type="pct"/>
                  <w:vMerge w:val="restart"/>
                  <w:noWrap w:val="0"/>
                  <w:vAlign w:val="center"/>
                </w:tcPr>
                <w:p>
                  <w:pPr>
                    <w:pStyle w:val="59"/>
                    <w:bidi w:val="0"/>
                    <w:rPr>
                      <w:rFonts w:hint="default"/>
                    </w:rPr>
                  </w:pPr>
                  <w:r>
                    <w:rPr>
                      <w:rFonts w:hint="default"/>
                    </w:rPr>
                    <w:t>现状</w:t>
                  </w:r>
                  <w:r>
                    <w:rPr>
                      <w:rFonts w:hint="eastAsia"/>
                      <w:lang w:val="en-US" w:eastAsia="zh-CN"/>
                    </w:rPr>
                    <w:t>值</w:t>
                  </w:r>
                  <w:r>
                    <w:rPr>
                      <w:rFonts w:hint="default"/>
                    </w:rPr>
                    <w:t>（μg/m</w:t>
                  </w:r>
                  <w:r>
                    <w:rPr>
                      <w:rFonts w:hint="default"/>
                      <w:vertAlign w:val="superscript"/>
                    </w:rPr>
                    <w:t>3</w:t>
                  </w:r>
                  <w:r>
                    <w:rPr>
                      <w:rFonts w:hint="default"/>
                    </w:rPr>
                    <w:t>）</w:t>
                  </w:r>
                </w:p>
              </w:tc>
              <w:tc>
                <w:tcPr>
                  <w:tcW w:w="835" w:type="pct"/>
                  <w:vMerge w:val="restart"/>
                  <w:noWrap w:val="0"/>
                  <w:vAlign w:val="center"/>
                </w:tcPr>
                <w:p>
                  <w:pPr>
                    <w:pStyle w:val="59"/>
                    <w:bidi w:val="0"/>
                    <w:rPr>
                      <w:rFonts w:hint="eastAsia" w:eastAsia="宋体"/>
                      <w:lang w:eastAsia="zh-CN"/>
                    </w:rPr>
                  </w:pPr>
                  <w:r>
                    <w:rPr>
                      <w:rFonts w:hint="default"/>
                    </w:rPr>
                    <w:t>标准值</w:t>
                  </w:r>
                </w:p>
                <w:p>
                  <w:pPr>
                    <w:pStyle w:val="59"/>
                    <w:bidi w:val="0"/>
                    <w:rPr>
                      <w:rFonts w:hint="default"/>
                    </w:rPr>
                  </w:pPr>
                  <w:r>
                    <w:rPr>
                      <w:rFonts w:hint="default"/>
                    </w:rPr>
                    <w:t>（μg/m</w:t>
                  </w:r>
                  <w:r>
                    <w:rPr>
                      <w:rFonts w:hint="default"/>
                      <w:vertAlign w:val="superscript"/>
                    </w:rPr>
                    <w:t>3</w:t>
                  </w:r>
                  <w:r>
                    <w:rPr>
                      <w:rFonts w:hint="default"/>
                    </w:rPr>
                    <w:t>）</w:t>
                  </w:r>
                </w:p>
              </w:tc>
              <w:tc>
                <w:tcPr>
                  <w:tcW w:w="706" w:type="pct"/>
                  <w:vMerge w:val="restart"/>
                  <w:noWrap w:val="0"/>
                  <w:vAlign w:val="center"/>
                </w:tcPr>
                <w:p>
                  <w:pPr>
                    <w:pStyle w:val="59"/>
                    <w:bidi w:val="0"/>
                    <w:rPr>
                      <w:rFonts w:hint="default"/>
                    </w:rPr>
                  </w:pPr>
                  <w:r>
                    <w:rPr>
                      <w:rFonts w:hint="default"/>
                    </w:rPr>
                    <w:t>占标率</w:t>
                  </w:r>
                </w:p>
                <w:p>
                  <w:pPr>
                    <w:pStyle w:val="59"/>
                    <w:bidi w:val="0"/>
                    <w:rPr>
                      <w:rFonts w:hint="default"/>
                    </w:rPr>
                  </w:pPr>
                  <w:r>
                    <w:rPr>
                      <w:rFonts w:hint="default"/>
                    </w:rPr>
                    <w:t>%</w:t>
                  </w:r>
                </w:p>
              </w:tc>
              <w:tc>
                <w:tcPr>
                  <w:tcW w:w="529" w:type="pct"/>
                  <w:vMerge w:val="restart"/>
                  <w:noWrap w:val="0"/>
                  <w:vAlign w:val="center"/>
                </w:tcPr>
                <w:p>
                  <w:pPr>
                    <w:pStyle w:val="59"/>
                    <w:bidi w:val="0"/>
                    <w:rPr>
                      <w:rFonts w:hint="default"/>
                    </w:rPr>
                  </w:pPr>
                  <w:r>
                    <w:rPr>
                      <w:rFonts w:hint="default"/>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6" w:type="pct"/>
                  <w:vMerge w:val="continue"/>
                  <w:noWrap w:val="0"/>
                  <w:vAlign w:val="center"/>
                </w:tcPr>
                <w:p>
                  <w:pPr>
                    <w:pStyle w:val="59"/>
                    <w:bidi w:val="0"/>
                    <w:rPr>
                      <w:rFonts w:hint="default"/>
                    </w:rPr>
                  </w:pPr>
                </w:p>
              </w:tc>
              <w:tc>
                <w:tcPr>
                  <w:tcW w:w="1708" w:type="pct"/>
                  <w:vMerge w:val="continue"/>
                  <w:noWrap w:val="0"/>
                  <w:vAlign w:val="center"/>
                </w:tcPr>
                <w:p>
                  <w:pPr>
                    <w:pStyle w:val="59"/>
                    <w:bidi w:val="0"/>
                    <w:rPr>
                      <w:rFonts w:hint="default"/>
                    </w:rPr>
                  </w:pPr>
                </w:p>
              </w:tc>
              <w:tc>
                <w:tcPr>
                  <w:tcW w:w="732" w:type="pct"/>
                  <w:vMerge w:val="continue"/>
                  <w:noWrap w:val="0"/>
                  <w:vAlign w:val="center"/>
                </w:tcPr>
                <w:p>
                  <w:pPr>
                    <w:pStyle w:val="59"/>
                    <w:bidi w:val="0"/>
                    <w:rPr>
                      <w:rFonts w:hint="default"/>
                    </w:rPr>
                  </w:pPr>
                </w:p>
              </w:tc>
              <w:tc>
                <w:tcPr>
                  <w:tcW w:w="835" w:type="pct"/>
                  <w:vMerge w:val="continue"/>
                  <w:noWrap w:val="0"/>
                  <w:vAlign w:val="center"/>
                </w:tcPr>
                <w:p>
                  <w:pPr>
                    <w:pStyle w:val="59"/>
                    <w:bidi w:val="0"/>
                    <w:rPr>
                      <w:rFonts w:hint="default"/>
                    </w:rPr>
                  </w:pPr>
                </w:p>
              </w:tc>
              <w:tc>
                <w:tcPr>
                  <w:tcW w:w="706" w:type="pct"/>
                  <w:vMerge w:val="continue"/>
                  <w:noWrap w:val="0"/>
                  <w:vAlign w:val="center"/>
                </w:tcPr>
                <w:p>
                  <w:pPr>
                    <w:pStyle w:val="59"/>
                    <w:bidi w:val="0"/>
                    <w:rPr>
                      <w:rFonts w:hint="default"/>
                    </w:rPr>
                  </w:pPr>
                </w:p>
              </w:tc>
              <w:tc>
                <w:tcPr>
                  <w:tcW w:w="529" w:type="pct"/>
                  <w:vMerge w:val="continue"/>
                  <w:noWrap w:val="0"/>
                  <w:vAlign w:val="center"/>
                </w:tcPr>
                <w:p>
                  <w:pPr>
                    <w:pStyle w:val="59"/>
                    <w:bidi w:val="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9"/>
                    <w:bidi w:val="0"/>
                    <w:rPr>
                      <w:rFonts w:hint="default"/>
                    </w:rPr>
                  </w:pPr>
                  <w:r>
                    <w:rPr>
                      <w:rFonts w:hint="default"/>
                    </w:rPr>
                    <w:t>SO</w:t>
                  </w:r>
                  <w:r>
                    <w:rPr>
                      <w:rFonts w:hint="default"/>
                      <w:vertAlign w:val="subscript"/>
                    </w:rPr>
                    <w:t>2</w:t>
                  </w:r>
                </w:p>
              </w:tc>
              <w:tc>
                <w:tcPr>
                  <w:tcW w:w="1708" w:type="pct"/>
                  <w:noWrap w:val="0"/>
                  <w:vAlign w:val="center"/>
                </w:tcPr>
                <w:p>
                  <w:pPr>
                    <w:pStyle w:val="76"/>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年平均</w:t>
                  </w:r>
                </w:p>
              </w:tc>
              <w:tc>
                <w:tcPr>
                  <w:tcW w:w="732" w:type="pct"/>
                  <w:noWrap w:val="0"/>
                  <w:vAlign w:val="center"/>
                </w:tcPr>
                <w:p>
                  <w:pPr>
                    <w:pStyle w:val="10"/>
                    <w:bidi w:val="0"/>
                    <w:ind w:left="0" w:leftChars="0" w:right="0" w:rightChars="0" w:firstLine="0" w:firstLineChars="0"/>
                    <w:jc w:val="center"/>
                    <w:rPr>
                      <w:rFonts w:hint="default"/>
                      <w:lang w:val="en-US" w:eastAsia="zh-CN"/>
                    </w:rPr>
                  </w:pPr>
                  <w:r>
                    <w:rPr>
                      <w:rFonts w:hint="eastAsia"/>
                      <w:lang w:val="en-US" w:eastAsia="zh-CN"/>
                    </w:rPr>
                    <w:t>6</w:t>
                  </w:r>
                </w:p>
              </w:tc>
              <w:tc>
                <w:tcPr>
                  <w:tcW w:w="835" w:type="pct"/>
                  <w:noWrap w:val="0"/>
                  <w:vAlign w:val="center"/>
                </w:tcPr>
                <w:p>
                  <w:pPr>
                    <w:pStyle w:val="75"/>
                    <w:spacing w:beforeLines="0" w:afterLines="0"/>
                    <w:rPr>
                      <w:rFonts w:hint="default"/>
                    </w:rPr>
                  </w:pPr>
                  <w:r>
                    <w:rPr>
                      <w:rFonts w:hint="eastAsia"/>
                      <w:color w:val="auto"/>
                      <w:sz w:val="21"/>
                      <w:szCs w:val="21"/>
                    </w:rPr>
                    <w:t>60</w:t>
                  </w:r>
                </w:p>
              </w:tc>
              <w:tc>
                <w:tcPr>
                  <w:tcW w:w="706" w:type="pct"/>
                  <w:noWrap w:val="0"/>
                  <w:vAlign w:val="center"/>
                </w:tcPr>
                <w:p>
                  <w:pPr>
                    <w:pStyle w:val="10"/>
                    <w:bidi w:val="0"/>
                    <w:ind w:left="0" w:leftChars="0" w:right="0" w:rightChars="0" w:firstLine="0" w:firstLineChars="0"/>
                    <w:jc w:val="center"/>
                    <w:rPr>
                      <w:rFonts w:hint="default" w:ascii="Times New Roman" w:hAnsi="Times New Roman" w:eastAsia="宋体" w:cs="Times New Roman"/>
                      <w:lang w:val="en-US" w:eastAsia="zh-CN"/>
                    </w:rPr>
                  </w:pPr>
                  <w:r>
                    <w:rPr>
                      <w:rFonts w:hint="eastAsia" w:cs="Times New Roman"/>
                      <w:lang w:val="en-US" w:eastAsia="zh-CN"/>
                    </w:rPr>
                    <w:t>10</w:t>
                  </w:r>
                </w:p>
              </w:tc>
              <w:tc>
                <w:tcPr>
                  <w:tcW w:w="529" w:type="pct"/>
                  <w:noWrap w:val="0"/>
                  <w:vAlign w:val="center"/>
                </w:tcPr>
                <w:p>
                  <w:pPr>
                    <w:pStyle w:val="59"/>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9"/>
                    <w:bidi w:val="0"/>
                    <w:rPr>
                      <w:rFonts w:hint="default"/>
                    </w:rPr>
                  </w:pPr>
                  <w:r>
                    <w:rPr>
                      <w:rFonts w:hint="default"/>
                    </w:rPr>
                    <w:t>NO</w:t>
                  </w:r>
                  <w:r>
                    <w:rPr>
                      <w:rFonts w:hint="default"/>
                      <w:vertAlign w:val="subscript"/>
                    </w:rPr>
                    <w:t>2</w:t>
                  </w:r>
                </w:p>
              </w:tc>
              <w:tc>
                <w:tcPr>
                  <w:tcW w:w="1708" w:type="pct"/>
                  <w:noWrap w:val="0"/>
                  <w:vAlign w:val="center"/>
                </w:tcPr>
                <w:p>
                  <w:pPr>
                    <w:pStyle w:val="76"/>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年平均</w:t>
                  </w:r>
                </w:p>
              </w:tc>
              <w:tc>
                <w:tcPr>
                  <w:tcW w:w="1119" w:type="dxa"/>
                  <w:noWrap w:val="0"/>
                  <w:vAlign w:val="center"/>
                </w:tcPr>
                <w:p>
                  <w:pPr>
                    <w:pStyle w:val="75"/>
                    <w:spacing w:beforeLines="0" w:afterLines="0"/>
                    <w:rPr>
                      <w:rFonts w:hint="default"/>
                      <w:lang w:val="en-US" w:eastAsia="zh-CN"/>
                    </w:rPr>
                  </w:pPr>
                  <w:r>
                    <w:rPr>
                      <w:rFonts w:hint="eastAsia"/>
                      <w:lang w:val="en-US" w:eastAsia="zh-CN"/>
                    </w:rPr>
                    <w:t>29</w:t>
                  </w:r>
                </w:p>
              </w:tc>
              <w:tc>
                <w:tcPr>
                  <w:tcW w:w="1277" w:type="dxa"/>
                  <w:noWrap w:val="0"/>
                  <w:vAlign w:val="center"/>
                </w:tcPr>
                <w:p>
                  <w:pPr>
                    <w:pStyle w:val="75"/>
                    <w:spacing w:beforeLines="0" w:afterLines="0"/>
                    <w:rPr>
                      <w:rFonts w:hint="default"/>
                    </w:rPr>
                  </w:pPr>
                  <w:r>
                    <w:rPr>
                      <w:rFonts w:hint="eastAsia"/>
                      <w:color w:val="auto"/>
                      <w:sz w:val="21"/>
                      <w:szCs w:val="21"/>
                    </w:rPr>
                    <w:t>40</w:t>
                  </w:r>
                </w:p>
              </w:tc>
              <w:tc>
                <w:tcPr>
                  <w:tcW w:w="1080" w:type="dxa"/>
                  <w:noWrap w:val="0"/>
                  <w:vAlign w:val="center"/>
                </w:tcPr>
                <w:p>
                  <w:pPr>
                    <w:pStyle w:val="75"/>
                    <w:bidi w:val="0"/>
                    <w:rPr>
                      <w:rFonts w:hint="default" w:ascii="Times New Roman" w:hAnsi="Times New Roman" w:eastAsia="宋体" w:cs="Times New Roman"/>
                      <w:lang w:val="en-US" w:eastAsia="zh-CN"/>
                    </w:rPr>
                  </w:pPr>
                  <w:r>
                    <w:rPr>
                      <w:rFonts w:hint="eastAsia" w:cs="Times New Roman"/>
                      <w:lang w:val="en-US" w:eastAsia="zh-CN"/>
                    </w:rPr>
                    <w:t>73</w:t>
                  </w:r>
                </w:p>
              </w:tc>
              <w:tc>
                <w:tcPr>
                  <w:tcW w:w="529" w:type="pct"/>
                  <w:noWrap w:val="0"/>
                  <w:vAlign w:val="center"/>
                </w:tcPr>
                <w:p>
                  <w:pPr>
                    <w:pStyle w:val="59"/>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9"/>
                    <w:bidi w:val="0"/>
                    <w:rPr>
                      <w:rFonts w:hint="default"/>
                    </w:rPr>
                  </w:pPr>
                  <w:r>
                    <w:rPr>
                      <w:rFonts w:hint="default"/>
                    </w:rPr>
                    <w:t>CO</w:t>
                  </w:r>
                </w:p>
              </w:tc>
              <w:tc>
                <w:tcPr>
                  <w:tcW w:w="1708" w:type="pct"/>
                  <w:noWrap w:val="0"/>
                  <w:vAlign w:val="center"/>
                </w:tcPr>
                <w:p>
                  <w:pPr>
                    <w:pStyle w:val="76"/>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24h平均第95百分位数</w:t>
                  </w:r>
                </w:p>
              </w:tc>
              <w:tc>
                <w:tcPr>
                  <w:tcW w:w="1119" w:type="dxa"/>
                  <w:noWrap w:val="0"/>
                  <w:vAlign w:val="center"/>
                </w:tcPr>
                <w:p>
                  <w:pPr>
                    <w:pStyle w:val="75"/>
                    <w:spacing w:beforeLines="0" w:afterLines="0"/>
                    <w:rPr>
                      <w:rFonts w:hint="default" w:eastAsia="宋体"/>
                      <w:lang w:val="en-US" w:eastAsia="zh-CN"/>
                    </w:rPr>
                  </w:pPr>
                  <w:r>
                    <w:rPr>
                      <w:rFonts w:hint="eastAsia"/>
                      <w:lang w:val="en-US" w:eastAsia="zh-CN"/>
                    </w:rPr>
                    <w:t>1</w:t>
                  </w:r>
                </w:p>
              </w:tc>
              <w:tc>
                <w:tcPr>
                  <w:tcW w:w="1277" w:type="dxa"/>
                  <w:noWrap w:val="0"/>
                  <w:vAlign w:val="center"/>
                </w:tcPr>
                <w:p>
                  <w:pPr>
                    <w:pStyle w:val="75"/>
                    <w:spacing w:beforeLines="0" w:afterLines="0"/>
                    <w:rPr>
                      <w:rFonts w:hint="default" w:eastAsia="宋体"/>
                      <w:lang w:val="en-US" w:eastAsia="zh-CN"/>
                    </w:rPr>
                  </w:pPr>
                  <w:r>
                    <w:rPr>
                      <w:rFonts w:hint="eastAsia"/>
                      <w:color w:val="auto"/>
                      <w:sz w:val="21"/>
                      <w:szCs w:val="21"/>
                    </w:rPr>
                    <w:t>4000</w:t>
                  </w:r>
                </w:p>
              </w:tc>
              <w:tc>
                <w:tcPr>
                  <w:tcW w:w="1080" w:type="dxa"/>
                  <w:noWrap w:val="0"/>
                  <w:vAlign w:val="center"/>
                </w:tcPr>
                <w:p>
                  <w:pPr>
                    <w:pStyle w:val="75"/>
                    <w:bidi w:val="0"/>
                    <w:rPr>
                      <w:rFonts w:hint="default" w:ascii="Times New Roman" w:hAnsi="Times New Roman" w:eastAsia="宋体" w:cs="Times New Roman"/>
                      <w:lang w:val="en-US" w:eastAsia="zh-CN"/>
                    </w:rPr>
                  </w:pPr>
                  <w:r>
                    <w:rPr>
                      <w:rFonts w:hint="eastAsia" w:cs="Times New Roman"/>
                      <w:lang w:val="en-US" w:eastAsia="zh-CN"/>
                    </w:rPr>
                    <w:t>25</w:t>
                  </w:r>
                </w:p>
              </w:tc>
              <w:tc>
                <w:tcPr>
                  <w:tcW w:w="529" w:type="pct"/>
                  <w:noWrap w:val="0"/>
                  <w:vAlign w:val="center"/>
                </w:tcPr>
                <w:p>
                  <w:pPr>
                    <w:pStyle w:val="59"/>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9"/>
                    <w:bidi w:val="0"/>
                    <w:rPr>
                      <w:rFonts w:hint="default"/>
                    </w:rPr>
                  </w:pPr>
                  <w:r>
                    <w:rPr>
                      <w:rFonts w:hint="default"/>
                    </w:rPr>
                    <w:t>O</w:t>
                  </w:r>
                  <w:r>
                    <w:rPr>
                      <w:rFonts w:hint="default"/>
                      <w:vertAlign w:val="subscript"/>
                    </w:rPr>
                    <w:t>3</w:t>
                  </w:r>
                </w:p>
              </w:tc>
              <w:tc>
                <w:tcPr>
                  <w:tcW w:w="1708" w:type="pct"/>
                  <w:noWrap w:val="0"/>
                  <w:vAlign w:val="center"/>
                </w:tcPr>
                <w:p>
                  <w:pPr>
                    <w:pStyle w:val="76"/>
                    <w:keepLines w:val="0"/>
                    <w:pageBreakBefore w:val="0"/>
                    <w:kinsoku/>
                    <w:wordWrap/>
                    <w:topLinePunct w:val="0"/>
                    <w:autoSpaceDE/>
                    <w:autoSpaceDN/>
                    <w:bidi w:val="0"/>
                    <w:spacing w:beforeAutospacing="0" w:afterAutospacing="0"/>
                    <w:textAlignment w:val="auto"/>
                    <w:rPr>
                      <w:rFonts w:hint="default"/>
                    </w:rPr>
                  </w:pPr>
                  <w:r>
                    <w:rPr>
                      <w:rFonts w:hint="default"/>
                      <w:lang w:val="en-US" w:eastAsia="zh-CN"/>
                    </w:rPr>
                    <w:t>最大8小时滑动平均值的第90百分位数</w:t>
                  </w:r>
                </w:p>
              </w:tc>
              <w:tc>
                <w:tcPr>
                  <w:tcW w:w="1119" w:type="dxa"/>
                  <w:noWrap w:val="0"/>
                  <w:vAlign w:val="center"/>
                </w:tcPr>
                <w:p>
                  <w:pPr>
                    <w:pStyle w:val="75"/>
                    <w:spacing w:beforeLines="0" w:afterLines="0"/>
                    <w:rPr>
                      <w:rFonts w:hint="default"/>
                      <w:lang w:val="en-US" w:eastAsia="zh-CN"/>
                    </w:rPr>
                  </w:pPr>
                  <w:r>
                    <w:rPr>
                      <w:rFonts w:hint="eastAsia"/>
                      <w:lang w:val="en-US" w:eastAsia="zh-CN"/>
                    </w:rPr>
                    <w:t>146</w:t>
                  </w:r>
                </w:p>
              </w:tc>
              <w:tc>
                <w:tcPr>
                  <w:tcW w:w="1277" w:type="dxa"/>
                  <w:noWrap w:val="0"/>
                  <w:vAlign w:val="center"/>
                </w:tcPr>
                <w:p>
                  <w:pPr>
                    <w:pStyle w:val="75"/>
                    <w:spacing w:beforeLines="0" w:afterLines="0"/>
                    <w:rPr>
                      <w:rFonts w:hint="default"/>
                    </w:rPr>
                  </w:pPr>
                  <w:r>
                    <w:rPr>
                      <w:rFonts w:hint="eastAsia"/>
                      <w:color w:val="auto"/>
                      <w:sz w:val="21"/>
                      <w:szCs w:val="21"/>
                    </w:rPr>
                    <w:t>160</w:t>
                  </w:r>
                </w:p>
              </w:tc>
              <w:tc>
                <w:tcPr>
                  <w:tcW w:w="1080" w:type="dxa"/>
                  <w:noWrap w:val="0"/>
                  <w:vAlign w:val="center"/>
                </w:tcPr>
                <w:p>
                  <w:pPr>
                    <w:pStyle w:val="75"/>
                    <w:bidi w:val="0"/>
                    <w:rPr>
                      <w:rFonts w:hint="default" w:ascii="Times New Roman" w:hAnsi="Times New Roman" w:eastAsia="宋体" w:cs="Times New Roman"/>
                      <w:lang w:val="en-US" w:eastAsia="zh-CN"/>
                    </w:rPr>
                  </w:pPr>
                  <w:r>
                    <w:rPr>
                      <w:rFonts w:hint="eastAsia" w:cs="Times New Roman"/>
                      <w:lang w:val="en-US" w:eastAsia="zh-CN"/>
                    </w:rPr>
                    <w:t>91</w:t>
                  </w:r>
                </w:p>
              </w:tc>
              <w:tc>
                <w:tcPr>
                  <w:tcW w:w="529" w:type="pct"/>
                  <w:noWrap w:val="0"/>
                  <w:vAlign w:val="center"/>
                </w:tcPr>
                <w:p>
                  <w:pPr>
                    <w:pStyle w:val="59"/>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shd w:val="clear" w:color="auto" w:fill="auto"/>
                  <w:noWrap w:val="0"/>
                  <w:vAlign w:val="center"/>
                </w:tcPr>
                <w:p>
                  <w:pPr>
                    <w:pStyle w:val="59"/>
                    <w:bidi w:val="0"/>
                    <w:rPr>
                      <w:rFonts w:hint="default" w:eastAsia="宋体"/>
                      <w:lang w:val="en-US" w:eastAsia="zh-CN"/>
                    </w:rPr>
                  </w:pPr>
                  <w:r>
                    <w:rPr>
                      <w:rFonts w:hint="default"/>
                    </w:rPr>
                    <w:t>PM</w:t>
                  </w:r>
                  <w:r>
                    <w:rPr>
                      <w:rFonts w:hint="eastAsia"/>
                      <w:vertAlign w:val="subscript"/>
                      <w:lang w:val="en-US" w:eastAsia="zh-CN"/>
                    </w:rPr>
                    <w:t>10</w:t>
                  </w:r>
                </w:p>
              </w:tc>
              <w:tc>
                <w:tcPr>
                  <w:tcW w:w="1708" w:type="pct"/>
                  <w:shd w:val="clear" w:color="auto" w:fill="auto"/>
                  <w:noWrap w:val="0"/>
                  <w:vAlign w:val="center"/>
                </w:tcPr>
                <w:p>
                  <w:pPr>
                    <w:pStyle w:val="76"/>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年平均</w:t>
                  </w:r>
                </w:p>
              </w:tc>
              <w:tc>
                <w:tcPr>
                  <w:tcW w:w="1119" w:type="dxa"/>
                  <w:shd w:val="clear" w:color="auto" w:fill="auto"/>
                  <w:noWrap w:val="0"/>
                  <w:vAlign w:val="center"/>
                </w:tcPr>
                <w:p>
                  <w:pPr>
                    <w:pStyle w:val="75"/>
                    <w:spacing w:beforeLines="0" w:afterLines="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112</w:t>
                  </w:r>
                </w:p>
              </w:tc>
              <w:tc>
                <w:tcPr>
                  <w:tcW w:w="1277" w:type="dxa"/>
                  <w:shd w:val="clear" w:color="auto" w:fill="auto"/>
                  <w:noWrap w:val="0"/>
                  <w:vAlign w:val="center"/>
                </w:tcPr>
                <w:p>
                  <w:pPr>
                    <w:pStyle w:val="75"/>
                    <w:spacing w:beforeLines="0" w:afterLines="0"/>
                    <w:rPr>
                      <w:rFonts w:hint="default" w:ascii="Times New Roman" w:hAnsi="Times New Roman" w:eastAsia="宋体" w:cs="Times New Roman"/>
                      <w:kern w:val="2"/>
                      <w:sz w:val="21"/>
                      <w:szCs w:val="21"/>
                      <w:lang w:val="en-US" w:eastAsia="zh-CN" w:bidi="ar-SA"/>
                    </w:rPr>
                  </w:pPr>
                  <w:r>
                    <w:rPr>
                      <w:rFonts w:hint="eastAsia"/>
                      <w:color w:val="auto"/>
                      <w:sz w:val="21"/>
                      <w:szCs w:val="21"/>
                      <w:lang w:val="en-US" w:eastAsia="zh-CN"/>
                    </w:rPr>
                    <w:t>60</w:t>
                  </w:r>
                </w:p>
              </w:tc>
              <w:tc>
                <w:tcPr>
                  <w:tcW w:w="1080" w:type="dxa"/>
                  <w:shd w:val="clear" w:color="auto" w:fill="auto"/>
                  <w:noWrap w:val="0"/>
                  <w:vAlign w:val="center"/>
                </w:tcPr>
                <w:p>
                  <w:pPr>
                    <w:pStyle w:val="75"/>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160</w:t>
                  </w:r>
                </w:p>
              </w:tc>
              <w:tc>
                <w:tcPr>
                  <w:tcW w:w="529"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超</w:t>
                  </w:r>
                  <w:r>
                    <w:rPr>
                      <w:rFonts w:hint="default"/>
                    </w:rPr>
                    <w:t>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shd w:val="clear" w:color="auto" w:fill="auto"/>
                  <w:noWrap w:val="0"/>
                  <w:vAlign w:val="center"/>
                </w:tcPr>
                <w:p>
                  <w:pPr>
                    <w:pStyle w:val="59"/>
                    <w:bidi w:val="0"/>
                    <w:rPr>
                      <w:rFonts w:hint="default" w:eastAsia="宋体"/>
                      <w:lang w:val="en-US" w:eastAsia="zh-CN"/>
                    </w:rPr>
                  </w:pPr>
                  <w:r>
                    <w:rPr>
                      <w:rFonts w:hint="default"/>
                    </w:rPr>
                    <w:t>PM</w:t>
                  </w:r>
                  <w:r>
                    <w:rPr>
                      <w:rFonts w:hint="eastAsia"/>
                      <w:vertAlign w:val="subscript"/>
                      <w:lang w:val="en-US" w:eastAsia="zh-CN"/>
                    </w:rPr>
                    <w:t>2.5</w:t>
                  </w:r>
                </w:p>
              </w:tc>
              <w:tc>
                <w:tcPr>
                  <w:tcW w:w="1708" w:type="pct"/>
                  <w:shd w:val="clear" w:color="auto" w:fill="auto"/>
                  <w:noWrap w:val="0"/>
                  <w:vAlign w:val="center"/>
                </w:tcPr>
                <w:p>
                  <w:pPr>
                    <w:pStyle w:val="76"/>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年平均</w:t>
                  </w:r>
                </w:p>
              </w:tc>
              <w:tc>
                <w:tcPr>
                  <w:tcW w:w="1119" w:type="dxa"/>
                  <w:shd w:val="clear" w:color="auto" w:fill="auto"/>
                  <w:noWrap w:val="0"/>
                  <w:vAlign w:val="center"/>
                </w:tcPr>
                <w:p>
                  <w:pPr>
                    <w:pStyle w:val="75"/>
                    <w:spacing w:beforeLines="0" w:afterLines="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41</w:t>
                  </w:r>
                </w:p>
              </w:tc>
              <w:tc>
                <w:tcPr>
                  <w:tcW w:w="1277" w:type="dxa"/>
                  <w:shd w:val="clear" w:color="auto" w:fill="auto"/>
                  <w:noWrap w:val="0"/>
                  <w:vAlign w:val="center"/>
                </w:tcPr>
                <w:p>
                  <w:pPr>
                    <w:pStyle w:val="75"/>
                    <w:spacing w:beforeLines="0" w:afterLines="0"/>
                    <w:rPr>
                      <w:rFonts w:hint="default" w:ascii="Times New Roman" w:hAnsi="Times New Roman" w:eastAsia="宋体" w:cs="Times New Roman"/>
                      <w:kern w:val="2"/>
                      <w:sz w:val="21"/>
                      <w:szCs w:val="21"/>
                      <w:lang w:val="en-US" w:eastAsia="zh-CN" w:bidi="ar-SA"/>
                    </w:rPr>
                  </w:pPr>
                  <w:r>
                    <w:rPr>
                      <w:rFonts w:hint="eastAsia"/>
                      <w:lang w:val="en-US" w:eastAsia="zh-CN"/>
                    </w:rPr>
                    <w:t>30</w:t>
                  </w:r>
                </w:p>
              </w:tc>
              <w:tc>
                <w:tcPr>
                  <w:tcW w:w="1080" w:type="dxa"/>
                  <w:shd w:val="clear" w:color="auto" w:fill="auto"/>
                  <w:noWrap w:val="0"/>
                  <w:vAlign w:val="center"/>
                </w:tcPr>
                <w:p>
                  <w:pPr>
                    <w:pStyle w:val="75"/>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117</w:t>
                  </w:r>
                </w:p>
              </w:tc>
              <w:tc>
                <w:tcPr>
                  <w:tcW w:w="529"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default"/>
                    </w:rPr>
                    <w:t>超标</w:t>
                  </w:r>
                </w:p>
              </w:tc>
            </w:tr>
            <w:bookmarkEnd w:id="3"/>
          </w:tbl>
          <w:p>
            <w:pPr>
              <w:pStyle w:val="49"/>
              <w:bidi w:val="0"/>
              <w:rPr>
                <w:rFonts w:hint="default"/>
                <w:lang w:val="en-US"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年平均浓度超过《环境空气质量标准》（GB3095-2026）过渡阶段的二级标准要求，SO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1"/>
              <w:bidi w:val="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9"/>
              <w:bidi w:val="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地表水环境》（HJ2.3-2018），本项目地表水评价等级为三级B，无需开展地表水环境现状调查</w:t>
            </w:r>
            <w:r>
              <w:rPr>
                <w:rFonts w:hint="eastAsia"/>
                <w:lang w:val="en-US" w:eastAsia="zh-CN"/>
              </w:rPr>
              <w:t>。</w:t>
            </w:r>
          </w:p>
          <w:p>
            <w:pPr>
              <w:pStyle w:val="51"/>
              <w:bidi w:val="0"/>
              <w:rPr>
                <w:rFonts w:hint="default"/>
              </w:rPr>
            </w:pPr>
            <w:r>
              <w:rPr>
                <w:rFonts w:hint="eastAsia"/>
                <w:lang w:val="en-US" w:eastAsia="zh-CN"/>
              </w:rPr>
              <w:t>4.</w:t>
            </w:r>
            <w:r>
              <w:rPr>
                <w:rFonts w:hint="default"/>
                <w:highlight w:val="none"/>
              </w:rPr>
              <w:t>声环境质量现状</w:t>
            </w:r>
          </w:p>
          <w:p>
            <w:pPr>
              <w:pStyle w:val="49"/>
              <w:bidi w:val="0"/>
              <w:rPr>
                <w:rFonts w:hint="default"/>
              </w:rPr>
            </w:pPr>
            <w:r>
              <w:rPr>
                <w:rFonts w:hint="default"/>
              </w:rPr>
              <w:t>根据《建设项目环境影响报告表编制技术指南（</w:t>
            </w:r>
            <w:r>
              <w:rPr>
                <w:rFonts w:hint="default"/>
                <w:lang w:val="en-US" w:eastAsia="zh-CN"/>
              </w:rPr>
              <w:t>生态</w:t>
            </w:r>
            <w:r>
              <w:rPr>
                <w:rFonts w:hint="default"/>
              </w:rPr>
              <w:t>影响类）（试行）》</w:t>
            </w:r>
            <w:r>
              <w:rPr>
                <w:rFonts w:hint="default"/>
                <w:lang w:val="en-US" w:eastAsia="zh-CN"/>
              </w:rPr>
              <w:t>参照</w:t>
            </w:r>
            <w:r>
              <w:rPr>
                <w:rFonts w:hint="default"/>
              </w:rPr>
              <w:t>《建设项目环境影响报告表编制技术指南（污染影响类）（试行）》，</w:t>
            </w:r>
            <w:r>
              <w:rPr>
                <w:rFonts w:hint="default"/>
                <w:lang w:val="en-US" w:eastAsia="zh-CN"/>
              </w:rPr>
              <w:t>本项目探矿区</w:t>
            </w:r>
            <w:r>
              <w:rPr>
                <w:rFonts w:hint="default"/>
              </w:rPr>
              <w:t>外周边50米范围内不存在声环境保护目标的建设项目，不需要监测声环境质量现状并评价达标情况</w:t>
            </w:r>
            <w:r>
              <w:rPr>
                <w:rFonts w:hint="eastAsia"/>
                <w:lang w:val="en-US" w:eastAsia="zh-CN"/>
              </w:rPr>
              <w:t>。</w:t>
            </w:r>
          </w:p>
          <w:p>
            <w:pPr>
              <w:pStyle w:val="51"/>
              <w:bidi w:val="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eastAsia" w:cs="Times New Roman"/>
                <w:sz w:val="24"/>
                <w:highlight w:val="none"/>
                <w:lang w:val="en-US" w:eastAsia="zh-CN"/>
              </w:rPr>
              <w:t>Ⅳ类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1"/>
              <w:bidi w:val="0"/>
              <w:rPr>
                <w:rFonts w:hint="default"/>
                <w:lang w:val="en-US" w:eastAsia="zh-CN"/>
              </w:rPr>
            </w:pPr>
            <w:r>
              <w:rPr>
                <w:rFonts w:hint="eastAsia"/>
                <w:lang w:val="en-US" w:eastAsia="zh-CN"/>
              </w:rPr>
              <w:t>6.土壤环境质量现状</w:t>
            </w:r>
          </w:p>
          <w:p>
            <w:pPr>
              <w:pStyle w:val="49"/>
              <w:bidi w:val="0"/>
              <w:rPr>
                <w:rFonts w:hint="default"/>
                <w:vertAlign w:val="superscript"/>
                <w:lang w:val="en-US" w:eastAsia="zh-CN"/>
              </w:rPr>
            </w:pPr>
            <w:r>
              <w:rPr>
                <w:rFonts w:hint="default"/>
                <w:lang w:eastAsia="zh-CN"/>
              </w:rPr>
              <w:t>根据《环境影响评价技术导则 土壤环境</w:t>
            </w:r>
            <w:r>
              <w:rPr>
                <w:rFonts w:hint="eastAsia"/>
                <w:lang w:eastAsia="zh-CN"/>
              </w:rPr>
              <w:t>（</w:t>
            </w:r>
            <w:r>
              <w:rPr>
                <w:rFonts w:hint="eastAsia"/>
                <w:lang w:val="en-US" w:eastAsia="zh-CN"/>
              </w:rPr>
              <w:t>试行</w:t>
            </w:r>
            <w:r>
              <w:rPr>
                <w:rFonts w:hint="eastAsia"/>
                <w:lang w:eastAsia="zh-CN"/>
              </w:rPr>
              <w:t>）</w:t>
            </w:r>
            <w:r>
              <w:rPr>
                <w:rFonts w:hint="default"/>
                <w:lang w:eastAsia="zh-CN"/>
              </w:rPr>
              <w:t>》（HJ964-2018），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eastAsia"/>
                <w:lang w:eastAsia="zh-CN"/>
              </w:rPr>
              <w:t>Ⅳ类</w:t>
            </w:r>
            <w:r>
              <w:rPr>
                <w:rFonts w:hint="default"/>
                <w:lang w:eastAsia="zh-CN"/>
              </w:rPr>
              <w:t>项目，可不开展土壤</w:t>
            </w:r>
            <w:r>
              <w:rPr>
                <w:rFonts w:hint="eastAsia"/>
                <w:lang w:val="en-US" w:eastAsia="zh-CN"/>
              </w:rPr>
              <w:t>现状调查</w:t>
            </w:r>
            <w:r>
              <w:rPr>
                <w:rFonts w:hint="default"/>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bCs/>
                <w:szCs w:val="21"/>
              </w:rPr>
              <w:t>与项目有关的原有环境污染和生态破坏问题</w:t>
            </w:r>
          </w:p>
        </w:tc>
        <w:tc>
          <w:tcPr>
            <w:tcW w:w="8139" w:type="dxa"/>
            <w:noWrap w:val="0"/>
            <w:vAlign w:val="center"/>
          </w:tcPr>
          <w:p>
            <w:pPr>
              <w:adjustRightInd w:val="0"/>
              <w:snapToGrid w:val="0"/>
              <w:ind w:firstLine="480" w:firstLineChars="200"/>
              <w:jc w:val="center"/>
              <w:rPr>
                <w:rFonts w:hint="eastAsia"/>
                <w:lang w:val="en-US" w:eastAsia="zh-CN"/>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生态环境保护目标</w:t>
            </w:r>
          </w:p>
        </w:tc>
        <w:tc>
          <w:tcPr>
            <w:tcW w:w="8139" w:type="dxa"/>
            <w:noWrap w:val="0"/>
            <w:vAlign w:val="center"/>
          </w:tcPr>
          <w:p>
            <w:pPr>
              <w:pStyle w:val="49"/>
              <w:bidi w:val="0"/>
              <w:rPr>
                <w:rFonts w:hint="default" w:ascii="Times New Roman" w:hAnsi="Times New Roman" w:eastAsia="宋体" w:cs="Times New Roman"/>
                <w:highlight w:val="none"/>
                <w:lang w:val="en-US" w:eastAsia="zh-CN"/>
              </w:rPr>
            </w:pPr>
            <w:r>
              <w:rPr>
                <w:rFonts w:hint="eastAsia"/>
                <w:lang w:val="en-US" w:eastAsia="zh-CN"/>
              </w:rPr>
              <w:t>勘探区位于焉耆回族自治县西南264°方向，直线距离30千米。根据《环境影响评价技术导则 生态影响》（HJ19-2022）第6章评价等级及评价范围的判定规则，本项目不在该章节a）、b）、c）、d）、e）、f）款规定的评价范畴内，故生态影响评价等级定为三级，评价范围为项目占地范围内，项目占地范围内及沿线不涉及自然保护区、风景名胜区、不占基本农田、不涉及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eastAsia" w:ascii="宋体" w:hAnsi="宋体" w:cs="宋体"/>
                <w:kern w:val="0"/>
                <w:szCs w:val="21"/>
              </w:rPr>
            </w:pPr>
            <w:r>
              <w:rPr>
                <w:rFonts w:hint="eastAsia" w:ascii="宋体" w:hAnsi="宋体" w:eastAsia="宋体" w:cs="宋体"/>
                <w:kern w:val="0"/>
                <w:szCs w:val="21"/>
              </w:rPr>
              <w:t>评价标准</w:t>
            </w:r>
          </w:p>
        </w:tc>
        <w:tc>
          <w:tcPr>
            <w:tcW w:w="8139" w:type="dxa"/>
            <w:noWrap w:val="0"/>
            <w:vAlign w:val="center"/>
          </w:tcPr>
          <w:p>
            <w:pPr>
              <w:pStyle w:val="51"/>
              <w:bidi w:val="0"/>
              <w:rPr>
                <w:rFonts w:hint="default"/>
                <w:lang w:val="en-US" w:eastAsia="zh-CN"/>
              </w:rPr>
            </w:pPr>
            <w:r>
              <w:rPr>
                <w:rFonts w:hint="default"/>
                <w:lang w:val="en-US" w:eastAsia="zh-CN"/>
              </w:rPr>
              <w:t>1.环境质量标准</w:t>
            </w:r>
          </w:p>
          <w:p>
            <w:pPr>
              <w:pStyle w:val="49"/>
              <w:bidi w:val="0"/>
              <w:rPr>
                <w:rFonts w:hint="default"/>
                <w:lang w:val="en-US" w:eastAsia="zh-CN"/>
              </w:rPr>
            </w:pPr>
            <w:r>
              <w:rPr>
                <w:rFonts w:hint="default"/>
                <w:lang w:val="en-US" w:eastAsia="zh-CN"/>
              </w:rPr>
              <w:t>（1）环境空气</w:t>
            </w:r>
          </w:p>
          <w:p>
            <w:pPr>
              <w:pStyle w:val="49"/>
              <w:bidi w:val="0"/>
              <w:rPr>
                <w:rFonts w:hint="default"/>
                <w:lang w:val="en-US" w:eastAsia="zh-CN"/>
              </w:rPr>
            </w:pPr>
            <w:r>
              <w:rPr>
                <w:rFonts w:hint="default"/>
                <w:lang w:val="en-US" w:eastAsia="zh-CN"/>
              </w:rPr>
              <w:t>环境空气质量执行《环境空气质量标准》（GB3095-2026）过渡阶段的二级标准。</w:t>
            </w:r>
          </w:p>
          <w:p>
            <w:pPr>
              <w:pStyle w:val="49"/>
              <w:bidi w:val="0"/>
              <w:rPr>
                <w:rFonts w:hint="default"/>
                <w:lang w:val="en-US" w:eastAsia="zh-CN"/>
              </w:rPr>
            </w:pPr>
            <w:r>
              <w:rPr>
                <w:rFonts w:hint="default"/>
                <w:lang w:val="en-US" w:eastAsia="zh-CN"/>
              </w:rPr>
              <w:t>（2）</w:t>
            </w:r>
            <w:r>
              <w:rPr>
                <w:rFonts w:hint="default"/>
                <w:highlight w:val="none"/>
                <w:lang w:val="en-US" w:eastAsia="zh-CN"/>
              </w:rPr>
              <w:t>声环境</w:t>
            </w:r>
          </w:p>
          <w:p>
            <w:pPr>
              <w:pStyle w:val="49"/>
              <w:bidi w:val="0"/>
              <w:rPr>
                <w:rFonts w:hint="default"/>
                <w:lang w:val="en-US" w:eastAsia="zh-CN"/>
              </w:rPr>
            </w:pPr>
            <w:r>
              <w:rPr>
                <w:rFonts w:hint="default"/>
                <w:lang w:val="en-US" w:eastAsia="zh-CN"/>
              </w:rPr>
              <w:t>该项目所在地声环境质量执行《声环境质量标准》（GB3096-2008）</w:t>
            </w:r>
            <w:r>
              <w:rPr>
                <w:rFonts w:hint="eastAsia"/>
                <w:lang w:val="en-US" w:eastAsia="zh-CN"/>
              </w:rPr>
              <w:t>2</w:t>
            </w:r>
            <w:r>
              <w:rPr>
                <w:rFonts w:hint="default"/>
                <w:lang w:val="en-US" w:eastAsia="zh-CN"/>
              </w:rPr>
              <w:t>类标准，即昼间≤</w:t>
            </w:r>
            <w:r>
              <w:rPr>
                <w:rFonts w:hint="eastAsia"/>
                <w:lang w:val="en-US" w:eastAsia="zh-CN"/>
              </w:rPr>
              <w:t>60</w:t>
            </w:r>
            <w:r>
              <w:rPr>
                <w:rFonts w:hint="default"/>
                <w:lang w:val="en-US" w:eastAsia="zh-CN"/>
              </w:rPr>
              <w:t>dB（A），夜间≤</w:t>
            </w:r>
            <w:r>
              <w:rPr>
                <w:rFonts w:hint="eastAsia"/>
                <w:lang w:val="en-US" w:eastAsia="zh-CN"/>
              </w:rPr>
              <w:t>50</w:t>
            </w:r>
            <w:r>
              <w:rPr>
                <w:rFonts w:hint="default"/>
                <w:lang w:val="en-US" w:eastAsia="zh-CN"/>
              </w:rPr>
              <w:t>dB（A）。</w:t>
            </w:r>
          </w:p>
          <w:p>
            <w:pPr>
              <w:pStyle w:val="51"/>
              <w:bidi w:val="0"/>
              <w:rPr>
                <w:rFonts w:hint="default"/>
                <w:lang w:val="en-US" w:eastAsia="zh-CN"/>
              </w:rPr>
            </w:pPr>
            <w:r>
              <w:rPr>
                <w:rFonts w:hint="eastAsia"/>
                <w:lang w:val="en-US" w:eastAsia="zh-CN"/>
              </w:rPr>
              <w:t>2.</w:t>
            </w:r>
            <w:r>
              <w:rPr>
                <w:rFonts w:hint="default"/>
                <w:lang w:val="en-US" w:eastAsia="zh-CN"/>
              </w:rPr>
              <w:t>污染物排放标准</w:t>
            </w:r>
          </w:p>
          <w:p>
            <w:pPr>
              <w:pStyle w:val="49"/>
              <w:bidi w:val="0"/>
              <w:rPr>
                <w:rFonts w:hint="eastAsia"/>
                <w:lang w:val="en-US" w:eastAsia="zh-CN"/>
              </w:rPr>
            </w:pPr>
            <w:r>
              <w:rPr>
                <w:rFonts w:hint="eastAsia"/>
                <w:lang w:val="en-US" w:eastAsia="zh-CN"/>
              </w:rPr>
              <w:t>（1）大气污染物排放标准</w:t>
            </w:r>
          </w:p>
          <w:p>
            <w:pPr>
              <w:pStyle w:val="49"/>
              <w:bidi w:val="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3"/>
              <w:bidi w:val="0"/>
              <w:rPr>
                <w:rFonts w:hint="default"/>
                <w:lang w:val="en-US" w:eastAsia="zh-CN"/>
              </w:rPr>
            </w:pPr>
            <w:r>
              <w:rPr>
                <w:rFonts w:hint="default"/>
                <w:lang w:val="en-US" w:eastAsia="zh-CN"/>
              </w:rPr>
              <w:t>表3-</w:t>
            </w:r>
            <w:r>
              <w:rPr>
                <w:rFonts w:hint="eastAsia"/>
                <w:lang w:val="en-US" w:eastAsia="zh-CN"/>
              </w:rPr>
              <w:t>6</w:t>
            </w:r>
            <w:r>
              <w:rPr>
                <w:rFonts w:hint="default"/>
                <w:lang w:val="en-US" w:eastAsia="zh-CN"/>
              </w:rPr>
              <w:t xml:space="preserve">    施工期无组织废气执行标准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1847"/>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9"/>
                    <w:bidi w:val="0"/>
                    <w:rPr>
                      <w:rFonts w:hint="default"/>
                      <w:lang w:val="en-US" w:eastAsia="zh-CN"/>
                    </w:rPr>
                  </w:pPr>
                  <w:r>
                    <w:rPr>
                      <w:rFonts w:hint="default"/>
                      <w:lang w:val="en-US" w:eastAsia="zh-CN"/>
                    </w:rPr>
                    <w:t>污染物</w:t>
                  </w:r>
                </w:p>
              </w:tc>
              <w:tc>
                <w:tcPr>
                  <w:tcW w:w="1167" w:type="pct"/>
                  <w:noWrap w:val="0"/>
                  <w:vAlign w:val="center"/>
                </w:tcPr>
                <w:p>
                  <w:pPr>
                    <w:pStyle w:val="59"/>
                    <w:bidi w:val="0"/>
                    <w:rPr>
                      <w:rFonts w:hint="default"/>
                      <w:lang w:val="en-US" w:eastAsia="zh-CN"/>
                    </w:rPr>
                  </w:pPr>
                  <w:r>
                    <w:rPr>
                      <w:rFonts w:hint="default"/>
                      <w:lang w:val="en-US" w:eastAsia="zh-CN"/>
                    </w:rPr>
                    <w:t>限值</w:t>
                  </w:r>
                </w:p>
              </w:tc>
              <w:tc>
                <w:tcPr>
                  <w:tcW w:w="2167" w:type="pct"/>
                  <w:noWrap w:val="0"/>
                  <w:vAlign w:val="center"/>
                </w:tcPr>
                <w:p>
                  <w:pPr>
                    <w:pStyle w:val="59"/>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9"/>
                    <w:bidi w:val="0"/>
                    <w:rPr>
                      <w:rFonts w:hint="default"/>
                      <w:lang w:val="en-US" w:eastAsia="zh-CN"/>
                    </w:rPr>
                  </w:pPr>
                  <w:r>
                    <w:rPr>
                      <w:rFonts w:hint="default"/>
                      <w:lang w:val="en-US" w:eastAsia="zh-CN"/>
                    </w:rPr>
                    <w:t>颗粒物</w:t>
                  </w:r>
                </w:p>
              </w:tc>
              <w:tc>
                <w:tcPr>
                  <w:tcW w:w="1167" w:type="pct"/>
                  <w:noWrap w:val="0"/>
                  <w:vAlign w:val="center"/>
                </w:tcPr>
                <w:p>
                  <w:pPr>
                    <w:pStyle w:val="59"/>
                    <w:bidi w:val="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9"/>
                    <w:bidi w:val="0"/>
                    <w:rPr>
                      <w:rFonts w:hint="default"/>
                      <w:lang w:val="en-US" w:eastAsia="zh-CN"/>
                    </w:rPr>
                  </w:pPr>
                  <w:r>
                    <w:rPr>
                      <w:rFonts w:hint="default"/>
                      <w:lang w:val="en-US" w:eastAsia="zh-CN"/>
                    </w:rPr>
                    <w:t>《大气污染物综合排放标准》（GB16297-1996）中表2</w:t>
                  </w:r>
                </w:p>
              </w:tc>
            </w:tr>
          </w:tbl>
          <w:p>
            <w:pPr>
              <w:pStyle w:val="49"/>
              <w:bidi w:val="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3"/>
              <w:bidi w:val="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29"/>
              <w:gridCol w:w="1364"/>
              <w:gridCol w:w="1133"/>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9"/>
                    <w:bidi w:val="0"/>
                    <w:rPr>
                      <w:rFonts w:hint="default"/>
                      <w:lang w:val="en-US" w:eastAsia="zh-CN"/>
                    </w:rPr>
                  </w:pPr>
                  <w:r>
                    <w:rPr>
                      <w:rFonts w:hint="eastAsia"/>
                      <w:lang w:val="en-US" w:eastAsia="zh-CN"/>
                    </w:rPr>
                    <w:t>工序</w:t>
                  </w:r>
                </w:p>
              </w:tc>
              <w:tc>
                <w:tcPr>
                  <w:tcW w:w="966" w:type="pct"/>
                  <w:noWrap w:val="0"/>
                  <w:vAlign w:val="center"/>
                </w:tcPr>
                <w:p>
                  <w:pPr>
                    <w:pStyle w:val="59"/>
                    <w:bidi w:val="0"/>
                    <w:rPr>
                      <w:rFonts w:hint="default"/>
                      <w:lang w:val="en-US" w:eastAsia="zh-CN"/>
                    </w:rPr>
                  </w:pPr>
                  <w:r>
                    <w:rPr>
                      <w:rFonts w:hint="default"/>
                      <w:lang w:val="en-US" w:eastAsia="zh-CN"/>
                    </w:rPr>
                    <w:t>污染物</w:t>
                  </w:r>
                </w:p>
              </w:tc>
              <w:tc>
                <w:tcPr>
                  <w:tcW w:w="862" w:type="pct"/>
                  <w:noWrap w:val="0"/>
                  <w:vAlign w:val="center"/>
                </w:tcPr>
                <w:p>
                  <w:pPr>
                    <w:pStyle w:val="59"/>
                    <w:bidi w:val="0"/>
                    <w:rPr>
                      <w:rFonts w:hint="default"/>
                      <w:lang w:val="en-US" w:eastAsia="zh-CN"/>
                    </w:rPr>
                  </w:pPr>
                  <w:r>
                    <w:rPr>
                      <w:rFonts w:hint="default"/>
                      <w:lang w:val="en-US" w:eastAsia="zh-CN"/>
                    </w:rPr>
                    <w:t>限值</w:t>
                  </w:r>
                </w:p>
              </w:tc>
              <w:tc>
                <w:tcPr>
                  <w:tcW w:w="716" w:type="pct"/>
                  <w:noWrap w:val="0"/>
                  <w:vAlign w:val="center"/>
                </w:tcPr>
                <w:p>
                  <w:pPr>
                    <w:pStyle w:val="59"/>
                    <w:bidi w:val="0"/>
                    <w:rPr>
                      <w:rFonts w:hint="default"/>
                      <w:lang w:val="en-US" w:eastAsia="zh-CN"/>
                    </w:rPr>
                  </w:pPr>
                  <w:r>
                    <w:rPr>
                      <w:rFonts w:hint="eastAsia"/>
                      <w:lang w:val="en-US" w:eastAsia="zh-CN"/>
                    </w:rPr>
                    <w:t>单位</w:t>
                  </w:r>
                </w:p>
              </w:tc>
              <w:tc>
                <w:tcPr>
                  <w:tcW w:w="1924" w:type="pct"/>
                  <w:noWrap w:val="0"/>
                  <w:vAlign w:val="center"/>
                </w:tcPr>
                <w:p>
                  <w:pPr>
                    <w:pStyle w:val="59"/>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9"/>
                    <w:bidi w:val="0"/>
                    <w:rPr>
                      <w:rFonts w:hint="default"/>
                      <w:lang w:val="en-US" w:eastAsia="zh-CN"/>
                    </w:rPr>
                  </w:pPr>
                  <w:r>
                    <w:rPr>
                      <w:rFonts w:hint="eastAsia"/>
                      <w:lang w:val="en-US" w:eastAsia="zh-CN"/>
                    </w:rPr>
                    <w:t>勘探</w:t>
                  </w:r>
                </w:p>
              </w:tc>
              <w:tc>
                <w:tcPr>
                  <w:tcW w:w="966" w:type="pct"/>
                  <w:noWrap w:val="0"/>
                  <w:vAlign w:val="center"/>
                </w:tcPr>
                <w:p>
                  <w:pPr>
                    <w:pStyle w:val="59"/>
                    <w:bidi w:val="0"/>
                    <w:rPr>
                      <w:rFonts w:hint="default"/>
                      <w:lang w:val="en-US" w:eastAsia="zh-CN"/>
                    </w:rPr>
                  </w:pPr>
                  <w:r>
                    <w:rPr>
                      <w:rFonts w:hint="default"/>
                      <w:lang w:val="en-US" w:eastAsia="zh-CN"/>
                    </w:rPr>
                    <w:t>颗粒物</w:t>
                  </w:r>
                </w:p>
              </w:tc>
              <w:tc>
                <w:tcPr>
                  <w:tcW w:w="862" w:type="pct"/>
                  <w:noWrap w:val="0"/>
                  <w:vAlign w:val="center"/>
                </w:tcPr>
                <w:p>
                  <w:pPr>
                    <w:pStyle w:val="59"/>
                    <w:bidi w:val="0"/>
                    <w:rPr>
                      <w:rFonts w:hint="default"/>
                      <w:lang w:val="en-US" w:eastAsia="zh-CN"/>
                    </w:rPr>
                  </w:pPr>
                  <w:r>
                    <w:rPr>
                      <w:rFonts w:hint="default"/>
                      <w:lang w:val="en-US" w:eastAsia="zh-CN"/>
                    </w:rPr>
                    <w:t>1</w:t>
                  </w:r>
                </w:p>
              </w:tc>
              <w:tc>
                <w:tcPr>
                  <w:tcW w:w="716" w:type="pct"/>
                  <w:noWrap w:val="0"/>
                  <w:vAlign w:val="center"/>
                </w:tcPr>
                <w:p>
                  <w:pPr>
                    <w:pStyle w:val="59"/>
                    <w:bidi w:val="0"/>
                    <w:rPr>
                      <w:rFonts w:hint="default"/>
                      <w:lang w:val="en-US" w:eastAsia="zh-CN"/>
                    </w:rPr>
                  </w:pPr>
                  <w:r>
                    <w:rPr>
                      <w:rFonts w:hint="default"/>
                      <w:lang w:val="en-US" w:eastAsia="zh-CN"/>
                    </w:rPr>
                    <w:t>mg/m</w:t>
                  </w:r>
                  <w:r>
                    <w:rPr>
                      <w:rFonts w:hint="default"/>
                      <w:vertAlign w:val="superscript"/>
                      <w:lang w:val="en-US" w:eastAsia="zh-CN"/>
                    </w:rPr>
                    <w:t>3</w:t>
                  </w:r>
                </w:p>
              </w:tc>
              <w:tc>
                <w:tcPr>
                  <w:tcW w:w="1924" w:type="pct"/>
                  <w:noWrap w:val="0"/>
                  <w:vAlign w:val="center"/>
                </w:tcPr>
                <w:p>
                  <w:pPr>
                    <w:pStyle w:val="59"/>
                    <w:bidi w:val="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9"/>
                    <w:bidi w:val="0"/>
                    <w:rPr>
                      <w:rFonts w:hint="default"/>
                      <w:lang w:val="en-US" w:eastAsia="zh-CN"/>
                    </w:rPr>
                  </w:pPr>
                  <w:r>
                    <w:rPr>
                      <w:rFonts w:hint="eastAsia"/>
                      <w:lang w:val="en-US" w:eastAsia="zh-CN"/>
                    </w:rPr>
                    <w:t>非道路移动机械烟气</w:t>
                  </w:r>
                </w:p>
              </w:tc>
              <w:tc>
                <w:tcPr>
                  <w:tcW w:w="966" w:type="pct"/>
                  <w:noWrap w:val="0"/>
                  <w:vAlign w:val="center"/>
                </w:tcPr>
                <w:p>
                  <w:pPr>
                    <w:pStyle w:val="59"/>
                    <w:bidi w:val="0"/>
                    <w:rPr>
                      <w:rFonts w:hint="default"/>
                      <w:lang w:val="en-US" w:eastAsia="zh-CN"/>
                    </w:rPr>
                  </w:pPr>
                  <w:r>
                    <w:rPr>
                      <w:rFonts w:hint="eastAsia"/>
                    </w:rPr>
                    <w:t>CO</w:t>
                  </w:r>
                </w:p>
              </w:tc>
              <w:tc>
                <w:tcPr>
                  <w:tcW w:w="862" w:type="pct"/>
                  <w:noWrap w:val="0"/>
                  <w:vAlign w:val="center"/>
                </w:tcPr>
                <w:p>
                  <w:pPr>
                    <w:pStyle w:val="59"/>
                    <w:bidi w:val="0"/>
                    <w:rPr>
                      <w:rFonts w:hint="default"/>
                      <w:lang w:val="en-US" w:eastAsia="zh-CN"/>
                    </w:rPr>
                  </w:pPr>
                  <w:r>
                    <w:rPr>
                      <w:rFonts w:hint="eastAsia"/>
                    </w:rPr>
                    <w:t>3.5</w:t>
                  </w:r>
                </w:p>
              </w:tc>
              <w:tc>
                <w:tcPr>
                  <w:tcW w:w="716" w:type="pct"/>
                  <w:vMerge w:val="restart"/>
                  <w:noWrap w:val="0"/>
                  <w:vAlign w:val="center"/>
                </w:tcPr>
                <w:p>
                  <w:pPr>
                    <w:pStyle w:val="59"/>
                    <w:bidi w:val="0"/>
                    <w:rPr>
                      <w:rFonts w:hint="default"/>
                      <w:lang w:val="en-US" w:eastAsia="zh-CN"/>
                    </w:rPr>
                  </w:pPr>
                  <w:r>
                    <w:rPr>
                      <w:rFonts w:hint="eastAsia"/>
                    </w:rPr>
                    <w:t>g/kWh</w:t>
                  </w:r>
                </w:p>
              </w:tc>
              <w:tc>
                <w:tcPr>
                  <w:tcW w:w="1924" w:type="pct"/>
                  <w:vMerge w:val="restart"/>
                  <w:noWrap w:val="0"/>
                  <w:vAlign w:val="center"/>
                </w:tcPr>
                <w:p>
                  <w:pPr>
                    <w:pStyle w:val="59"/>
                    <w:bidi w:val="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59"/>
                    <w:bidi w:val="0"/>
                    <w:rPr>
                      <w:rFonts w:hint="eastAsia"/>
                      <w:lang w:val="en-US" w:eastAsia="zh-CN"/>
                    </w:rPr>
                  </w:pPr>
                </w:p>
              </w:tc>
              <w:tc>
                <w:tcPr>
                  <w:tcW w:w="966" w:type="pct"/>
                  <w:noWrap w:val="0"/>
                  <w:vAlign w:val="center"/>
                </w:tcPr>
                <w:p>
                  <w:pPr>
                    <w:pStyle w:val="59"/>
                    <w:bidi w:val="0"/>
                    <w:rPr>
                      <w:rFonts w:hint="default"/>
                      <w:lang w:val="en-US" w:eastAsia="zh-CN"/>
                    </w:rPr>
                  </w:pPr>
                  <w:r>
                    <w:rPr>
                      <w:rFonts w:hint="eastAsia"/>
                    </w:rPr>
                    <w:t>HC</w:t>
                  </w:r>
                </w:p>
              </w:tc>
              <w:tc>
                <w:tcPr>
                  <w:tcW w:w="862" w:type="pct"/>
                  <w:noWrap w:val="0"/>
                  <w:vAlign w:val="center"/>
                </w:tcPr>
                <w:p>
                  <w:pPr>
                    <w:pStyle w:val="59"/>
                    <w:bidi w:val="0"/>
                    <w:rPr>
                      <w:rFonts w:hint="default"/>
                      <w:lang w:val="en-US" w:eastAsia="zh-CN"/>
                    </w:rPr>
                  </w:pPr>
                  <w:r>
                    <w:rPr>
                      <w:rFonts w:hint="eastAsia"/>
                    </w:rPr>
                    <w:t>--</w:t>
                  </w:r>
                </w:p>
              </w:tc>
              <w:tc>
                <w:tcPr>
                  <w:tcW w:w="716" w:type="pct"/>
                  <w:vMerge w:val="continue"/>
                  <w:noWrap w:val="0"/>
                  <w:vAlign w:val="center"/>
                </w:tcPr>
                <w:p>
                  <w:pPr>
                    <w:pStyle w:val="59"/>
                    <w:bidi w:val="0"/>
                    <w:rPr>
                      <w:rFonts w:hint="eastAsia"/>
                      <w:lang w:val="en-US" w:eastAsia="zh-CN"/>
                    </w:rPr>
                  </w:pPr>
                </w:p>
              </w:tc>
              <w:tc>
                <w:tcPr>
                  <w:tcW w:w="1924" w:type="pct"/>
                  <w:vMerge w:val="continue"/>
                  <w:noWrap w:val="0"/>
                  <w:vAlign w:val="center"/>
                </w:tcPr>
                <w:p>
                  <w:pPr>
                    <w:pStyle w:val="59"/>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59"/>
                    <w:bidi w:val="0"/>
                    <w:rPr>
                      <w:rFonts w:hint="eastAsia"/>
                      <w:lang w:val="en-US" w:eastAsia="zh-CN"/>
                    </w:rPr>
                  </w:pPr>
                </w:p>
              </w:tc>
              <w:tc>
                <w:tcPr>
                  <w:tcW w:w="966" w:type="pct"/>
                  <w:noWrap w:val="0"/>
                  <w:vAlign w:val="center"/>
                </w:tcPr>
                <w:p>
                  <w:pPr>
                    <w:pStyle w:val="59"/>
                    <w:bidi w:val="0"/>
                    <w:rPr>
                      <w:rFonts w:hint="default"/>
                      <w:lang w:val="en-US" w:eastAsia="zh-CN"/>
                    </w:rPr>
                  </w:pPr>
                  <w:r>
                    <w:rPr>
                      <w:rFonts w:hint="eastAsia"/>
                    </w:rPr>
                    <w:t>NO</w:t>
                  </w:r>
                  <w:r>
                    <w:rPr>
                      <w:rFonts w:hint="eastAsia"/>
                      <w:vertAlign w:val="subscript"/>
                    </w:rPr>
                    <w:t>X</w:t>
                  </w:r>
                </w:p>
              </w:tc>
              <w:tc>
                <w:tcPr>
                  <w:tcW w:w="862" w:type="pct"/>
                  <w:noWrap w:val="0"/>
                  <w:vAlign w:val="center"/>
                </w:tcPr>
                <w:p>
                  <w:pPr>
                    <w:pStyle w:val="59"/>
                    <w:bidi w:val="0"/>
                    <w:rPr>
                      <w:rFonts w:hint="default"/>
                      <w:lang w:val="en-US" w:eastAsia="zh-CN"/>
                    </w:rPr>
                  </w:pPr>
                  <w:r>
                    <w:rPr>
                      <w:rFonts w:hint="eastAsia"/>
                    </w:rPr>
                    <w:t>--</w:t>
                  </w:r>
                </w:p>
              </w:tc>
              <w:tc>
                <w:tcPr>
                  <w:tcW w:w="716" w:type="pct"/>
                  <w:vMerge w:val="continue"/>
                  <w:noWrap w:val="0"/>
                  <w:vAlign w:val="center"/>
                </w:tcPr>
                <w:p>
                  <w:pPr>
                    <w:pStyle w:val="59"/>
                    <w:bidi w:val="0"/>
                    <w:rPr>
                      <w:rFonts w:hint="eastAsia"/>
                      <w:lang w:val="en-US" w:eastAsia="zh-CN"/>
                    </w:rPr>
                  </w:pPr>
                </w:p>
              </w:tc>
              <w:tc>
                <w:tcPr>
                  <w:tcW w:w="1924" w:type="pct"/>
                  <w:vMerge w:val="continue"/>
                  <w:noWrap w:val="0"/>
                  <w:vAlign w:val="center"/>
                </w:tcPr>
                <w:p>
                  <w:pPr>
                    <w:pStyle w:val="59"/>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530" w:type="pct"/>
                  <w:vMerge w:val="continue"/>
                  <w:noWrap w:val="0"/>
                  <w:vAlign w:val="center"/>
                </w:tcPr>
                <w:p>
                  <w:pPr>
                    <w:pStyle w:val="59"/>
                    <w:bidi w:val="0"/>
                    <w:rPr>
                      <w:rFonts w:hint="eastAsia"/>
                      <w:lang w:val="en-US" w:eastAsia="zh-CN"/>
                    </w:rPr>
                  </w:pPr>
                </w:p>
              </w:tc>
              <w:tc>
                <w:tcPr>
                  <w:tcW w:w="966" w:type="pct"/>
                  <w:noWrap w:val="0"/>
                  <w:vAlign w:val="center"/>
                </w:tcPr>
                <w:p>
                  <w:pPr>
                    <w:pStyle w:val="59"/>
                    <w:bidi w:val="0"/>
                    <w:rPr>
                      <w:rFonts w:hint="eastAsia"/>
                    </w:rPr>
                  </w:pPr>
                  <w:r>
                    <w:rPr>
                      <w:rFonts w:hint="eastAsia"/>
                    </w:rPr>
                    <w:t>HC+NO</w:t>
                  </w:r>
                  <w:r>
                    <w:rPr>
                      <w:rFonts w:hint="eastAsia"/>
                      <w:vertAlign w:val="subscript"/>
                    </w:rPr>
                    <w:t>X</w:t>
                  </w:r>
                </w:p>
              </w:tc>
              <w:tc>
                <w:tcPr>
                  <w:tcW w:w="862" w:type="pct"/>
                  <w:noWrap w:val="0"/>
                  <w:vAlign w:val="center"/>
                </w:tcPr>
                <w:p>
                  <w:pPr>
                    <w:pStyle w:val="59"/>
                    <w:bidi w:val="0"/>
                    <w:rPr>
                      <w:rFonts w:hint="eastAsia"/>
                      <w:lang w:val="en-US" w:eastAsia="zh-CN"/>
                    </w:rPr>
                  </w:pPr>
                  <w:r>
                    <w:rPr>
                      <w:rFonts w:hint="eastAsia"/>
                    </w:rPr>
                    <w:t>6.4</w:t>
                  </w:r>
                </w:p>
              </w:tc>
              <w:tc>
                <w:tcPr>
                  <w:tcW w:w="716" w:type="pct"/>
                  <w:vMerge w:val="continue"/>
                  <w:noWrap w:val="0"/>
                  <w:vAlign w:val="center"/>
                </w:tcPr>
                <w:p>
                  <w:pPr>
                    <w:pStyle w:val="59"/>
                    <w:bidi w:val="0"/>
                    <w:rPr>
                      <w:rFonts w:hint="eastAsia"/>
                      <w:lang w:val="en-US" w:eastAsia="zh-CN"/>
                    </w:rPr>
                  </w:pPr>
                </w:p>
              </w:tc>
              <w:tc>
                <w:tcPr>
                  <w:tcW w:w="1924" w:type="pct"/>
                  <w:vMerge w:val="continue"/>
                  <w:noWrap w:val="0"/>
                  <w:vAlign w:val="center"/>
                </w:tcPr>
                <w:p>
                  <w:pPr>
                    <w:pStyle w:val="59"/>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pct"/>
                  <w:vMerge w:val="continue"/>
                  <w:noWrap w:val="0"/>
                  <w:vAlign w:val="center"/>
                </w:tcPr>
                <w:p>
                  <w:pPr>
                    <w:pStyle w:val="59"/>
                    <w:bidi w:val="0"/>
                    <w:rPr>
                      <w:rFonts w:hint="eastAsia"/>
                      <w:lang w:val="en-US" w:eastAsia="zh-CN"/>
                    </w:rPr>
                  </w:pPr>
                </w:p>
              </w:tc>
              <w:tc>
                <w:tcPr>
                  <w:tcW w:w="966" w:type="pct"/>
                  <w:noWrap w:val="0"/>
                  <w:vAlign w:val="center"/>
                </w:tcPr>
                <w:p>
                  <w:pPr>
                    <w:pStyle w:val="59"/>
                    <w:bidi w:val="0"/>
                    <w:rPr>
                      <w:rFonts w:hint="eastAsia"/>
                    </w:rPr>
                  </w:pPr>
                  <w:r>
                    <w:rPr>
                      <w:rFonts w:hint="eastAsia"/>
                    </w:rPr>
                    <w:t>PM</w:t>
                  </w:r>
                </w:p>
              </w:tc>
              <w:tc>
                <w:tcPr>
                  <w:tcW w:w="862" w:type="pct"/>
                  <w:noWrap w:val="0"/>
                  <w:vAlign w:val="center"/>
                </w:tcPr>
                <w:p>
                  <w:pPr>
                    <w:pStyle w:val="59"/>
                    <w:bidi w:val="0"/>
                    <w:rPr>
                      <w:rFonts w:hint="eastAsia"/>
                      <w:lang w:val="en-US" w:eastAsia="zh-CN"/>
                    </w:rPr>
                  </w:pPr>
                  <w:r>
                    <w:rPr>
                      <w:rFonts w:hint="eastAsia"/>
                    </w:rPr>
                    <w:t>0.20</w:t>
                  </w:r>
                </w:p>
              </w:tc>
              <w:tc>
                <w:tcPr>
                  <w:tcW w:w="716" w:type="pct"/>
                  <w:vMerge w:val="continue"/>
                  <w:noWrap w:val="0"/>
                  <w:vAlign w:val="center"/>
                </w:tcPr>
                <w:p>
                  <w:pPr>
                    <w:pStyle w:val="59"/>
                    <w:bidi w:val="0"/>
                    <w:rPr>
                      <w:rFonts w:hint="eastAsia"/>
                      <w:lang w:val="en-US" w:eastAsia="zh-CN"/>
                    </w:rPr>
                  </w:pPr>
                </w:p>
              </w:tc>
              <w:tc>
                <w:tcPr>
                  <w:tcW w:w="1924" w:type="pct"/>
                  <w:vMerge w:val="continue"/>
                  <w:noWrap w:val="0"/>
                  <w:vAlign w:val="center"/>
                </w:tcPr>
                <w:p>
                  <w:pPr>
                    <w:pStyle w:val="59"/>
                    <w:bidi w:val="0"/>
                    <w:rPr>
                      <w:rFonts w:hint="default"/>
                      <w:lang w:val="en-US" w:eastAsia="zh-CN"/>
                    </w:rPr>
                  </w:pPr>
                </w:p>
              </w:tc>
            </w:tr>
          </w:tbl>
          <w:p>
            <w:pPr>
              <w:pStyle w:val="49"/>
              <w:bidi w:val="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9"/>
              <w:bidi w:val="0"/>
              <w:rPr>
                <w:rFonts w:hint="default"/>
                <w:lang w:val="en-US" w:eastAsia="zh-CN"/>
              </w:rPr>
            </w:pPr>
            <w:r>
              <w:rPr>
                <w:rFonts w:hint="eastAsia"/>
                <w:lang w:val="en-US" w:eastAsia="zh-CN"/>
              </w:rPr>
              <w:t>（2）</w:t>
            </w:r>
            <w:r>
              <w:rPr>
                <w:rFonts w:hint="default"/>
                <w:lang w:val="en-US" w:eastAsia="zh-CN"/>
              </w:rPr>
              <w:t>噪声排放标准</w:t>
            </w:r>
          </w:p>
          <w:p>
            <w:pPr>
              <w:pStyle w:val="49"/>
              <w:bidi w:val="0"/>
              <w:rPr>
                <w:rFonts w:hint="default"/>
                <w:lang w:val="en-US" w:eastAsia="zh-CN"/>
              </w:rPr>
            </w:pPr>
            <w:r>
              <w:rPr>
                <w:rFonts w:hint="eastAsia"/>
                <w:lang w:val="en-US" w:eastAsia="zh-CN"/>
              </w:rPr>
              <w:t>勘探期噪声排放限值执行《建筑施工噪声排放标准》（GB12523-2025）。</w:t>
            </w:r>
          </w:p>
          <w:p>
            <w:pPr>
              <w:pStyle w:val="49"/>
              <w:bidi w:val="0"/>
              <w:rPr>
                <w:rFonts w:hint="eastAsia"/>
                <w:lang w:val="en-US" w:eastAsia="zh-CN"/>
              </w:rPr>
            </w:pPr>
            <w:r>
              <w:rPr>
                <w:rFonts w:hint="eastAsia"/>
                <w:lang w:val="en-US" w:eastAsia="zh-CN"/>
              </w:rPr>
              <w:t>（3）固体废弃物</w:t>
            </w:r>
          </w:p>
          <w:p>
            <w:pPr>
              <w:pStyle w:val="49"/>
              <w:bidi w:val="0"/>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17" w:hRule="atLeast"/>
          <w:jc w:val="center"/>
        </w:trPr>
        <w:tc>
          <w:tcPr>
            <w:tcW w:w="664" w:type="dxa"/>
            <w:noWrap w:val="0"/>
            <w:vAlign w:val="center"/>
          </w:tcPr>
          <w:p>
            <w:pPr>
              <w:adjustRightInd w:val="0"/>
              <w:snapToGrid w:val="0"/>
              <w:jc w:val="center"/>
              <w:rPr>
                <w:rFonts w:hint="eastAsia" w:ascii="宋体" w:hAnsi="宋体" w:eastAsia="宋体" w:cs="宋体"/>
                <w:kern w:val="0"/>
                <w:szCs w:val="21"/>
              </w:rPr>
            </w:pPr>
            <w:r>
              <w:rPr>
                <w:rFonts w:hint="eastAsia" w:ascii="宋体" w:hAnsi="宋体" w:cs="宋体"/>
                <w:kern w:val="0"/>
                <w:szCs w:val="21"/>
              </w:rPr>
              <w:t>其他</w:t>
            </w:r>
          </w:p>
        </w:tc>
        <w:tc>
          <w:tcPr>
            <w:tcW w:w="8139" w:type="dxa"/>
            <w:noWrap w:val="0"/>
            <w:vAlign w:val="center"/>
          </w:tcPr>
          <w:p>
            <w:pPr>
              <w:pStyle w:val="49"/>
              <w:bidi w:val="0"/>
              <w:ind w:left="0" w:leftChars="0" w:right="0" w:rightChars="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2"/>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4"/>
        <w:tblW w:w="82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77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28" w:hRule="atLeast"/>
          <w:jc w:val="center"/>
        </w:trPr>
        <w:tc>
          <w:tcPr>
            <w:tcW w:w="597" w:type="dxa"/>
            <w:noWrap w:val="0"/>
            <w:tcMar>
              <w:left w:w="28" w:type="dxa"/>
              <w:right w:w="28" w:type="dxa"/>
            </w:tcMar>
            <w:vAlign w:val="center"/>
          </w:tcPr>
          <w:p>
            <w:pPr>
              <w:pStyle w:val="22"/>
              <w:adjustRightInd w:val="0"/>
              <w:snapToGrid w:val="0"/>
              <w:spacing w:before="0" w:beforeAutospacing="0" w:after="0" w:afterAutospacing="0"/>
              <w:jc w:val="center"/>
              <w:rPr>
                <w:rFonts w:cs="宋体"/>
                <w:bCs/>
                <w:kern w:val="2"/>
                <w:sz w:val="21"/>
                <w:szCs w:val="21"/>
              </w:rPr>
            </w:pPr>
            <w:bookmarkStart w:id="4" w:name="_Hlk49796138"/>
            <w:r>
              <w:rPr>
                <w:rFonts w:hint="eastAsia" w:cs="宋体"/>
                <w:bCs/>
                <w:spacing w:val="10"/>
                <w:kern w:val="2"/>
                <w:sz w:val="21"/>
                <w:szCs w:val="21"/>
              </w:rPr>
              <w:t>施工期生态环境影响分析</w:t>
            </w:r>
            <w:bookmarkEnd w:id="4"/>
          </w:p>
        </w:tc>
        <w:tc>
          <w:tcPr>
            <w:tcW w:w="7699" w:type="dxa"/>
            <w:noWrap w:val="0"/>
            <w:vAlign w:val="top"/>
          </w:tcPr>
          <w:p>
            <w:pPr>
              <w:pStyle w:val="49"/>
              <w:bidi w:val="0"/>
              <w:rPr>
                <w:rFonts w:hint="default"/>
                <w:shd w:val="clear" w:color="auto" w:fill="auto"/>
                <w:lang w:val="en-US" w:eastAsia="zh-CN"/>
              </w:rPr>
            </w:pPr>
            <w:r>
              <w:rPr>
                <w:rFonts w:hint="default"/>
                <w:shd w:val="clear" w:color="auto" w:fill="auto"/>
                <w:lang w:val="en-US" w:eastAsia="zh-CN"/>
              </w:rPr>
              <w:t>本项目属矿产资源地质勘查工程，仅开展野外勘查作业，不规划建设永久性、临时性建（构）筑物及配套附属设施，全程无土建开挖、构筑物搭建等施工工序，故本项目不设常规建设项目施工期。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2"/>
              <w:adjustRightInd w:val="0"/>
              <w:snapToGrid w:val="0"/>
              <w:spacing w:before="0" w:beforeAutospacing="0" w:after="0" w:afterAutospacing="0"/>
              <w:jc w:val="center"/>
              <w:rPr>
                <w:rFonts w:hint="eastAsia" w:ascii="宋体" w:hAnsi="宋体" w:eastAsia="宋体" w:cs="宋体"/>
                <w:bCs/>
                <w:kern w:val="2"/>
                <w:sz w:val="21"/>
                <w:szCs w:val="21"/>
                <w:lang w:val="en-US" w:eastAsia="zh-CN" w:bidi="ar-SA"/>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7699" w:type="dxa"/>
            <w:shd w:val="clear" w:color="auto" w:fill="auto"/>
            <w:noWrap w:val="0"/>
            <w:vAlign w:val="top"/>
          </w:tcPr>
          <w:p>
            <w:pPr>
              <w:widowControl w:val="0"/>
              <w:bidi w:val="0"/>
              <w:adjustRightInd w:val="0"/>
              <w:snapToGrid w:val="0"/>
              <w:spacing w:line="520" w:lineRule="exact"/>
              <w:jc w:val="left"/>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1.生态影响分析</w:t>
            </w:r>
          </w:p>
          <w:p>
            <w:pPr>
              <w:widowControl w:val="0"/>
              <w:bidi w:val="0"/>
              <w:adjustRightInd w:val="0"/>
              <w:snapToGrid w:val="0"/>
              <w:spacing w:line="520" w:lineRule="exact"/>
              <w:jc w:val="left"/>
              <w:rPr>
                <w:rFonts w:hint="eastAsia" w:ascii="Times New Roman" w:hAnsi="Times New Roman" w:eastAsia="宋体" w:cs="宋体"/>
                <w:b/>
                <w:kern w:val="0"/>
                <w:sz w:val="24"/>
                <w:szCs w:val="24"/>
                <w:highlight w:val="none"/>
                <w:lang w:val="en-US" w:eastAsia="zh-CN" w:bidi="ar-SA"/>
              </w:rPr>
            </w:pPr>
            <w:r>
              <w:rPr>
                <w:rFonts w:hint="eastAsia" w:ascii="Times New Roman" w:hAnsi="Times New Roman" w:eastAsia="宋体" w:cs="宋体"/>
                <w:b/>
                <w:kern w:val="0"/>
                <w:sz w:val="24"/>
                <w:szCs w:val="24"/>
                <w:highlight w:val="none"/>
                <w:lang w:val="en-US" w:eastAsia="zh-CN" w:bidi="ar-SA"/>
              </w:rPr>
              <w:t>1.1占地影响</w:t>
            </w:r>
          </w:p>
          <w:p>
            <w:pPr>
              <w:keepNext w:val="0"/>
              <w:keepLines w:val="0"/>
              <w:pageBreakBefore w:val="0"/>
              <w:widowControl w:val="0"/>
              <w:kinsoku/>
              <w:wordWrap w:val="0"/>
              <w:overflowPunct/>
              <w:topLinePunct w:val="0"/>
              <w:autoSpaceDE/>
              <w:autoSpaceDN/>
              <w:bidi w:val="0"/>
              <w:adjustRightInd w:val="0"/>
              <w:snapToGrid w:val="0"/>
              <w:spacing w:line="520" w:lineRule="exact"/>
              <w:ind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探矿区占地为勘探场地</w:t>
            </w:r>
            <w:r>
              <w:rPr>
                <w:rFonts w:hint="eastAsia" w:cs="宋体"/>
                <w:kern w:val="0"/>
                <w:sz w:val="24"/>
                <w:szCs w:val="24"/>
                <w:lang w:val="en-US" w:eastAsia="zh-CN" w:bidi="ar-SA"/>
              </w:rPr>
              <w:t>、</w:t>
            </w:r>
            <w:r>
              <w:rPr>
                <w:rFonts w:hint="eastAsia" w:ascii="Times New Roman" w:hAnsi="Times New Roman" w:eastAsia="宋体" w:cs="宋体"/>
                <w:kern w:val="0"/>
                <w:sz w:val="24"/>
                <w:szCs w:val="24"/>
                <w:lang w:val="en-US" w:eastAsia="zh-CN" w:bidi="ar-SA"/>
              </w:rPr>
              <w:t>临时堆渣场</w:t>
            </w:r>
            <w:r>
              <w:rPr>
                <w:rFonts w:hint="eastAsia" w:cs="宋体"/>
                <w:kern w:val="0"/>
                <w:sz w:val="24"/>
                <w:szCs w:val="24"/>
                <w:lang w:val="en-US" w:eastAsia="zh-CN" w:bidi="ar-SA"/>
              </w:rPr>
              <w:t>和设备贮存区</w:t>
            </w: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共计14628m</w:t>
            </w:r>
            <w:r>
              <w:rPr>
                <w:rFonts w:hint="eastAsia" w:cs="宋体"/>
                <w:kern w:val="0"/>
                <w:sz w:val="24"/>
                <w:szCs w:val="24"/>
                <w:vertAlign w:val="superscript"/>
                <w:lang w:val="en-US" w:eastAsia="zh-CN" w:bidi="ar-SA"/>
              </w:rPr>
              <w:t>2</w:t>
            </w:r>
            <w:r>
              <w:rPr>
                <w:rFonts w:hint="eastAsia" w:cs="宋体"/>
                <w:kern w:val="0"/>
                <w:sz w:val="24"/>
                <w:szCs w:val="24"/>
                <w:lang w:val="en-US" w:eastAsia="zh-CN" w:bidi="ar-SA"/>
              </w:rPr>
              <w:t>，</w:t>
            </w:r>
            <w:r>
              <w:rPr>
                <w:rFonts w:hint="eastAsia" w:ascii="Times New Roman" w:hAnsi="Times New Roman" w:eastAsia="宋体" w:cs="宋体"/>
                <w:kern w:val="0"/>
                <w:sz w:val="24"/>
                <w:szCs w:val="24"/>
                <w:lang w:val="en-US" w:eastAsia="zh-CN" w:bidi="ar-SA"/>
              </w:rPr>
              <w:t>均为临时占地。勘探场地和临时堆渣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widowControl w:val="0"/>
              <w:bidi w:val="0"/>
              <w:adjustRightInd w:val="0"/>
              <w:snapToGrid w:val="0"/>
              <w:spacing w:line="520" w:lineRule="exact"/>
              <w:jc w:val="left"/>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1.2土壤环境的影响</w:t>
            </w:r>
          </w:p>
          <w:p>
            <w:pPr>
              <w:pStyle w:val="49"/>
              <w:numPr>
                <w:ilvl w:val="0"/>
                <w:numId w:val="0"/>
              </w:numPr>
              <w:bidi w:val="0"/>
              <w:ind w:left="-60" w:leftChars="0" w:firstLine="480" w:firstLineChars="200"/>
              <w:rPr>
                <w:rFonts w:hint="eastAsia" w:cs="宋体"/>
                <w:kern w:val="0"/>
                <w:sz w:val="24"/>
                <w:szCs w:val="24"/>
                <w:lang w:val="en-US" w:eastAsia="zh-CN" w:bidi="ar-SA"/>
              </w:rPr>
            </w:pPr>
            <w:r>
              <w:rPr>
                <w:rFonts w:hint="eastAsia" w:cs="宋体"/>
                <w:kern w:val="0"/>
                <w:sz w:val="24"/>
                <w:szCs w:val="24"/>
                <w:lang w:val="en-US" w:eastAsia="zh-CN" w:bidi="ar-SA"/>
              </w:rPr>
              <w:t>（1）槽探施工影响</w:t>
            </w:r>
          </w:p>
          <w:p>
            <w:pPr>
              <w:pStyle w:val="49"/>
              <w:numPr>
                <w:ilvl w:val="0"/>
                <w:numId w:val="0"/>
              </w:numPr>
              <w:bidi w:val="0"/>
              <w:ind w:left="-60" w:leftChars="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本项目槽探施工扰动面积8000m²。探槽开挖过程将直接剥离、扰动原有表层土壤，造成原有土层结构紊乱、土壤团粒结构破坏，降低土壤保水保肥能力，对区域现有耐旱草本植被根系生长环境造成一定扰动，局部地表抗风蚀能力暂时下降。槽探工程影响范围集中、扰动周期短，施工结束后及时回填平整，土壤结构可逐步自然恢复。</w:t>
            </w:r>
          </w:p>
          <w:p>
            <w:pPr>
              <w:pStyle w:val="49"/>
              <w:numPr>
                <w:ilvl w:val="0"/>
                <w:numId w:val="0"/>
              </w:numPr>
              <w:bidi w:val="0"/>
              <w:ind w:left="-60" w:leftChars="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（2）钻探施工影响</w:t>
            </w:r>
          </w:p>
          <w:p>
            <w:pPr>
              <w:pStyle w:val="49"/>
              <w:numPr>
                <w:ilvl w:val="0"/>
                <w:numId w:val="0"/>
              </w:numPr>
              <w:bidi w:val="0"/>
              <w:ind w:left="-60" w:leftChars="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本项目钻探作业布设于槽探扰动坡面范围内，不新增占地。钻探施工过程中机具碾压、钻孔开挖及泥浆布设将局部扰动原有土壤及浅层地质结构，造成区域粘土层、亚粘土层及砾砂层结构紊乱，破坏原有地层纵向、横向分布结构。项目配套设置泥浆沉淀池总占地面积28m²，仅为点状局部扰动，影响范围极小。整体钻探施工对土壤环境的扰动程度有限，且均为暂时性可逆影响。</w:t>
            </w:r>
          </w:p>
          <w:p>
            <w:pPr>
              <w:pStyle w:val="49"/>
              <w:numPr>
                <w:ilvl w:val="0"/>
                <w:numId w:val="0"/>
              </w:numPr>
              <w:bidi w:val="0"/>
              <w:ind w:left="-60" w:leftChars="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（3）临时土石方堆放区影响</w:t>
            </w:r>
          </w:p>
          <w:p>
            <w:pPr>
              <w:pStyle w:val="49"/>
              <w:numPr>
                <w:ilvl w:val="0"/>
                <w:numId w:val="0"/>
              </w:numPr>
              <w:bidi w:val="0"/>
              <w:ind w:left="-60" w:leftChars="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本项目不设置固定永久性堆渣场，勘探弃土、弃渣就近临时堆置于探坑周边空地，临时堆渣扰动面积约6500m²。土石方堆存期间，堆体自重及表层压实作用会造成下部土壤板结，降低土壤通透性与渗透性，不利于后期植被自然恢复。施工期结束后，通过渣土平整、迹地清理、表层松土等生态恢复措施，可有效缓解土壤压实影响，恢复地表立地条件。</w:t>
            </w:r>
          </w:p>
          <w:p>
            <w:pPr>
              <w:pStyle w:val="49"/>
              <w:numPr>
                <w:ilvl w:val="0"/>
                <w:numId w:val="0"/>
              </w:numPr>
              <w:bidi w:val="0"/>
              <w:ind w:left="-60" w:leftChars="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（4）设备贮存区影响</w:t>
            </w:r>
          </w:p>
          <w:p>
            <w:pPr>
              <w:pStyle w:val="49"/>
              <w:numPr>
                <w:ilvl w:val="0"/>
                <w:numId w:val="0"/>
              </w:numPr>
              <w:bidi w:val="0"/>
              <w:ind w:left="-60" w:leftChars="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项目区内设置1处设备贮存区，占地面积100m²，主要用于施工设备、材料临时堆放。区域占地规模小、扰动强度低，仅存在轻微机械碾压及地表压实影响，不产生大面积土壤结构破坏，对区域土壤及生态环境影响轻微</w:t>
            </w:r>
            <w:r>
              <w:rPr>
                <w:rFonts w:hint="eastAsia"/>
                <w:lang w:val="en-US" w:eastAsia="zh-CN"/>
              </w:rPr>
              <w:t>。</w:t>
            </w:r>
          </w:p>
          <w:p>
            <w:pPr>
              <w:pStyle w:val="51"/>
              <w:bidi w:val="0"/>
              <w:rPr>
                <w:rFonts w:hint="eastAsia"/>
                <w:lang w:val="en-US" w:eastAsia="zh-CN"/>
              </w:rPr>
            </w:pPr>
            <w:r>
              <w:rPr>
                <w:rFonts w:hint="eastAsia"/>
                <w:lang w:val="en-US" w:eastAsia="zh-CN"/>
              </w:rPr>
              <w:t>1.3动植物的影响</w:t>
            </w:r>
          </w:p>
          <w:p>
            <w:pPr>
              <w:pStyle w:val="49"/>
              <w:bidi w:val="0"/>
              <w:rPr>
                <w:rFonts w:hint="eastAsia"/>
                <w:lang w:val="en-US" w:eastAsia="zh-CN"/>
              </w:rPr>
            </w:pPr>
            <w:r>
              <w:rPr>
                <w:rFonts w:hint="default" w:ascii="Times New Roman" w:hAnsi="Times New Roman" w:cs="Times New Roman"/>
                <w:color w:val="auto"/>
                <w:lang w:val="en-US" w:eastAsia="zh-CN"/>
              </w:rPr>
              <w:t>本项目占地性质属于临时占地，探矿区范围</w:t>
            </w:r>
            <w:r>
              <w:rPr>
                <w:rFonts w:hint="eastAsia" w:cs="Times New Roman"/>
                <w:color w:val="auto"/>
                <w:lang w:val="en-US" w:eastAsia="zh-CN"/>
              </w:rPr>
              <w:t>植被覆盖类型为裸地</w:t>
            </w:r>
            <w:r>
              <w:rPr>
                <w:rFonts w:hint="default" w:ascii="Times New Roman" w:hAnsi="Times New Roman" w:cs="Times New Roman"/>
                <w:color w:val="auto"/>
                <w:lang w:val="en-US" w:eastAsia="zh-CN"/>
              </w:rPr>
              <w:t>，</w:t>
            </w:r>
            <w:r>
              <w:rPr>
                <w:rFonts w:hint="eastAsia" w:cs="Times New Roman"/>
                <w:color w:val="auto"/>
                <w:lang w:val="en-US" w:eastAsia="zh-CN"/>
              </w:rPr>
              <w:t>植被覆盖度极低，</w:t>
            </w:r>
            <w:r>
              <w:rPr>
                <w:rFonts w:hint="default" w:ascii="Times New Roman" w:hAnsi="Times New Roman" w:cs="Times New Roman"/>
                <w:color w:val="auto"/>
                <w:lang w:val="en-US" w:eastAsia="zh-CN"/>
              </w:rPr>
              <w:t>主要植物为</w:t>
            </w:r>
            <w:r>
              <w:rPr>
                <w:rFonts w:hint="eastAsia" w:cs="Times New Roman"/>
                <w:color w:val="auto"/>
                <w:highlight w:val="none"/>
                <w:lang w:val="en-US" w:eastAsia="zh-CN"/>
              </w:rPr>
              <w:t>镰芒针茅和罗布麻</w:t>
            </w:r>
            <w:r>
              <w:rPr>
                <w:rFonts w:hint="default" w:ascii="Times New Roman" w:hAnsi="Times New Roman" w:cs="Times New Roman"/>
                <w:color w:val="auto"/>
                <w:lang w:val="en-US" w:eastAsia="zh-CN"/>
              </w:rPr>
              <w:t>。勘探过程中的车辆行驶、设备安装等活动会</w:t>
            </w:r>
            <w:r>
              <w:rPr>
                <w:rFonts w:hint="default" w:ascii="Times New Roman" w:hAnsi="Times New Roman" w:eastAsia="宋体" w:cs="Times New Roman"/>
                <w:color w:val="auto"/>
                <w:lang w:val="en-US" w:eastAsia="zh-CN"/>
              </w:rPr>
              <w:t>直接碾压、铲除植被，</w:t>
            </w:r>
            <w:r>
              <w:rPr>
                <w:rFonts w:hint="eastAsia" w:ascii="Times New Roman" w:hAnsi="Times New Roman" w:eastAsia="宋体" w:cs="Times New Roman"/>
                <w:color w:val="auto"/>
                <w:lang w:val="en-US" w:eastAsia="zh-CN"/>
              </w:rPr>
              <w:t>槽探作业开展前，均需对表土进行清理，以消除植被、浮土及其他地表障碍物对作业的干扰。表土清理过程不可避免地会对这些植被造成直接损毁，地表植被因机械铲除或表土掩埋而死亡，导致植被群落结构遭受破坏，对地表植被的影响较大。</w:t>
            </w:r>
          </w:p>
          <w:p>
            <w:pPr>
              <w:pStyle w:val="49"/>
              <w:bidi w:val="0"/>
              <w:rPr>
                <w:rFonts w:hint="default" w:ascii="Times New Roman" w:hAnsi="Times New Roman" w:eastAsia="宋体" w:cs="Times New Roman"/>
                <w:color w:val="auto"/>
                <w:lang w:val="en-US" w:eastAsia="zh-CN"/>
              </w:rPr>
            </w:pPr>
            <w:r>
              <w:rPr>
                <w:rFonts w:hint="eastAsia"/>
                <w:highlight w:val="none"/>
                <w:lang w:val="en-US" w:eastAsia="zh-CN"/>
              </w:rPr>
              <w:t>从生物损失量</w:t>
            </w:r>
            <w:r>
              <w:rPr>
                <w:rFonts w:hint="eastAsia"/>
                <w:lang w:val="en-US" w:eastAsia="zh-CN"/>
              </w:rPr>
              <w:t>分析：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扰动用地14628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0.569t。在勘探结束后，利用之前收集的表土对临时占用的土地进行覆土。对勘探场地进行回填以及迹地清理平整，区域生态将逐步恢复。</w:t>
            </w:r>
          </w:p>
          <w:p>
            <w:pPr>
              <w:pStyle w:val="49"/>
              <w:bidi w:val="0"/>
              <w:rPr>
                <w:rFonts w:hint="default"/>
              </w:rPr>
            </w:pPr>
            <w:r>
              <w:rPr>
                <w:rFonts w:hint="default" w:ascii="Times New Roman" w:hAnsi="Times New Roman" w:eastAsia="宋体" w:cs="Times New Roman"/>
                <w:color w:val="auto"/>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w:t>
            </w:r>
            <w:r>
              <w:rPr>
                <w:rFonts w:hint="eastAsia" w:ascii="Times New Roman" w:hAnsi="Times New Roman" w:eastAsia="宋体" w:cs="Times New Roman"/>
                <w:color w:val="auto"/>
                <w:lang w:val="en-US" w:eastAsia="zh-CN"/>
              </w:rPr>
              <w:t>和钻探</w:t>
            </w:r>
            <w:r>
              <w:rPr>
                <w:rFonts w:hint="default" w:ascii="Times New Roman" w:hAnsi="Times New Roman" w:eastAsia="宋体" w:cs="Times New Roman"/>
                <w:color w:val="auto"/>
                <w:lang w:val="en-US" w:eastAsia="zh-CN"/>
              </w:rPr>
              <w:t>过程中以及机械设备的轰鸣声会极大地改变野生动物的行为模式。许多动物对环境变化极为敏感，施工区域周边原本活动的野生动物，会因</w:t>
            </w:r>
            <w:r>
              <w:rPr>
                <w:rFonts w:hint="eastAsia" w:ascii="Times New Roman" w:hAnsi="Times New Roman" w:eastAsia="宋体" w:cs="Times New Roman"/>
                <w:color w:val="auto"/>
                <w:lang w:val="en-US" w:eastAsia="zh-CN"/>
              </w:rPr>
              <w:t>勘探</w:t>
            </w:r>
            <w:r>
              <w:rPr>
                <w:rFonts w:hint="default" w:ascii="Times New Roman" w:hAnsi="Times New Roman" w:eastAsia="宋体" w:cs="Times New Roman"/>
                <w:color w:val="auto"/>
                <w:lang w:val="en-US" w:eastAsia="zh-CN"/>
              </w:rPr>
              <w:t>作业产生的震动和</w:t>
            </w:r>
            <w:r>
              <w:rPr>
                <w:rFonts w:hint="eastAsia" w:ascii="Times New Roman" w:hAnsi="Times New Roman" w:eastAsia="宋体" w:cs="Times New Roman"/>
                <w:color w:val="auto"/>
                <w:lang w:val="en-US" w:eastAsia="zh-CN"/>
              </w:rPr>
              <w:t>噪声</w:t>
            </w:r>
            <w:r>
              <w:rPr>
                <w:rFonts w:hint="default" w:ascii="Times New Roman" w:hAnsi="Times New Roman" w:eastAsia="宋体" w:cs="Times New Roman"/>
                <w:color w:val="auto"/>
                <w:lang w:val="en-US" w:eastAsia="zh-CN"/>
              </w:rPr>
              <w:t>，而选择主动避开该区域。</w:t>
            </w:r>
          </w:p>
          <w:p>
            <w:pPr>
              <w:pStyle w:val="51"/>
              <w:bidi w:val="0"/>
              <w:rPr>
                <w:rFonts w:hint="default"/>
              </w:rPr>
            </w:pPr>
            <w:r>
              <w:rPr>
                <w:rFonts w:hint="eastAsia"/>
                <w:lang w:val="en-US" w:eastAsia="zh-CN"/>
              </w:rPr>
              <w:t>1.4</w:t>
            </w:r>
            <w:r>
              <w:rPr>
                <w:rFonts w:hint="default"/>
              </w:rPr>
              <w:t>自然景观影响</w:t>
            </w:r>
          </w:p>
          <w:p>
            <w:pPr>
              <w:pStyle w:val="49"/>
              <w:bidi w:val="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49"/>
              <w:keepNext w:val="0"/>
              <w:keepLines w:val="0"/>
              <w:pageBreakBefore w:val="0"/>
              <w:widowControl w:val="0"/>
              <w:kinsoku/>
              <w:wordWrap w:val="0"/>
              <w:overflowPunct/>
              <w:topLinePunct w:val="0"/>
              <w:autoSpaceDE/>
              <w:autoSpaceDN/>
              <w:bidi w:val="0"/>
              <w:adjustRightInd w:val="0"/>
              <w:snapToGrid w:val="0"/>
              <w:ind w:firstLine="0" w:firstLineChars="0"/>
              <w:jc w:val="both"/>
              <w:textAlignment w:val="auto"/>
              <w:rPr>
                <w:rStyle w:val="52"/>
                <w:rFonts w:hint="default"/>
                <w:lang w:val="en-US" w:eastAsia="zh-CN"/>
              </w:rPr>
            </w:pPr>
            <w:r>
              <w:rPr>
                <w:rStyle w:val="52"/>
                <w:rFonts w:hint="eastAsia"/>
                <w:lang w:val="en-US" w:eastAsia="zh-CN"/>
              </w:rPr>
              <w:t>1.5土地沙化的影响</w:t>
            </w:r>
          </w:p>
          <w:p>
            <w:pPr>
              <w:pStyle w:val="49"/>
              <w:bidi w:val="0"/>
              <w:rPr>
                <w:rFonts w:hint="default"/>
                <w:lang w:val="en-US" w:eastAsia="zh-CN"/>
              </w:rPr>
            </w:pPr>
            <w:r>
              <w:rPr>
                <w:rFonts w:hint="default"/>
                <w:lang w:val="en-US" w:eastAsia="zh-CN"/>
              </w:rPr>
              <w:t>矿山勘查时，各类机械设备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；槽探等勘查活动产生大量堆土，在风力作用下，细小颗粒被吹扬，增加空气中沙尘含量，同时周边土壤被侵蚀，导致土地沙化范围扩大。</w:t>
            </w:r>
          </w:p>
          <w:p>
            <w:pPr>
              <w:pStyle w:val="51"/>
              <w:bidi w:val="0"/>
              <w:rPr>
                <w:rFonts w:hint="eastAsia"/>
                <w:lang w:val="en-US" w:eastAsia="zh-CN"/>
              </w:rPr>
            </w:pPr>
            <w:r>
              <w:rPr>
                <w:rFonts w:hint="eastAsia"/>
                <w:lang w:val="en-US" w:eastAsia="zh-CN"/>
              </w:rPr>
              <w:t>1.6水土流失的影响</w:t>
            </w:r>
          </w:p>
          <w:p>
            <w:pPr>
              <w:pStyle w:val="49"/>
              <w:bidi w:val="0"/>
              <w:rPr>
                <w:rFonts w:hint="default"/>
                <w:lang w:val="en-US" w:eastAsia="zh-CN"/>
              </w:rPr>
            </w:pPr>
            <w:r>
              <w:rPr>
                <w:rFonts w:hint="eastAsia"/>
                <w:lang w:val="en-US" w:eastAsia="zh-CN"/>
              </w:rPr>
              <w:t>项目勘查</w:t>
            </w:r>
            <w:r>
              <w:rPr>
                <w:rFonts w:hint="eastAsia"/>
              </w:rPr>
              <w:t>过程中，</w:t>
            </w:r>
            <w:r>
              <w:rPr>
                <w:rFonts w:hint="eastAsia"/>
                <w:lang w:eastAsia="zh-CN"/>
              </w:rPr>
              <w:t>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1"/>
              <w:bidi w:val="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1"/>
              <w:bidi w:val="0"/>
              <w:rPr>
                <w:rFonts w:hint="eastAsia"/>
              </w:rPr>
            </w:pPr>
            <w:r>
              <w:rPr>
                <w:rFonts w:hint="eastAsia"/>
                <w:lang w:val="en-US" w:eastAsia="zh-CN"/>
              </w:rPr>
              <w:t>2.1勘探过程中产生的</w:t>
            </w:r>
            <w:r>
              <w:rPr>
                <w:rFonts w:hint="eastAsia"/>
              </w:rPr>
              <w:t>扬尘</w:t>
            </w:r>
          </w:p>
          <w:p>
            <w:pPr>
              <w:pStyle w:val="49"/>
              <w:bidi w:val="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9"/>
              <w:bidi w:val="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1"/>
              <w:bidi w:val="0"/>
              <w:rPr>
                <w:rFonts w:hint="eastAsia"/>
                <w:lang w:val="en-US" w:eastAsia="zh-CN"/>
              </w:rPr>
            </w:pPr>
            <w:r>
              <w:rPr>
                <w:rFonts w:hint="eastAsia"/>
                <w:lang w:val="en-US" w:eastAsia="zh-CN"/>
              </w:rPr>
              <w:t>2.2燃油废气</w:t>
            </w:r>
          </w:p>
          <w:p>
            <w:pPr>
              <w:pStyle w:val="49"/>
              <w:bidi w:val="0"/>
            </w:pPr>
            <w:r>
              <w:rPr>
                <w:rFonts w:hint="eastAsia"/>
                <w:lang w:val="en-US" w:eastAsia="zh-CN"/>
              </w:rPr>
              <w:t>施工燃油设备主要为勘探机械与运输车辆，尾气对作业点、临时道路沿线大气产生短暂影响。运输车辆尾气为线源排放，勘探机械、柴油发电机尾气为分散点源排放。项目区戈壁地形开阔、通风条件好，污染物扩散稀释速度快；加之尾气间歇性排放、勘探施工周期短，尾气对区域空气质量整体影响较小。柴油发电机为施工设备供电，燃油燃烧产生尾气。</w:t>
            </w:r>
          </w:p>
          <w:p>
            <w:pPr>
              <w:pStyle w:val="49"/>
              <w:bidi w:val="0"/>
              <w:rPr>
                <w:rFonts w:hint="eastAsia"/>
                <w:lang w:val="en-US" w:eastAsia="zh-CN"/>
              </w:rPr>
            </w:pPr>
            <w:r>
              <w:rPr>
                <w:rFonts w:hint="eastAsia"/>
                <w:lang w:val="en-US" w:eastAsia="zh-CN"/>
              </w:rPr>
              <w:t>探矿期内使用柴油约15t，参考</w:t>
            </w:r>
            <w:r>
              <w:rPr>
                <w:rFonts w:hint="eastAsia"/>
              </w:rPr>
              <w:t>《非道路移动源大气污染物排放清单编制技术指南（试行）》</w:t>
            </w:r>
            <w:r>
              <w:rPr>
                <w:rFonts w:hint="eastAsia"/>
                <w:lang w:val="en-US" w:eastAsia="zh-CN"/>
              </w:rPr>
              <w:t>中</w:t>
            </w:r>
            <w:r>
              <w:rPr>
                <w:rFonts w:hint="eastAsia"/>
              </w:rPr>
              <w:t>柴油发电机组</w:t>
            </w:r>
            <w:r>
              <w:rPr>
                <w:rFonts w:hint="eastAsia"/>
                <w:lang w:val="en-US" w:eastAsia="zh-CN"/>
              </w:rPr>
              <w:t>给出的排放系数：颗粒物2.09g/kg，HC 3.39g/kg，NOx 32.79g/kg，CO 10.72g/kg。</w:t>
            </w:r>
          </w:p>
          <w:p>
            <w:pPr>
              <w:pStyle w:val="49"/>
              <w:bidi w:val="0"/>
              <w:rPr>
                <w:rFonts w:hint="eastAsia"/>
                <w:lang w:val="en-US" w:eastAsia="zh-CN"/>
              </w:rPr>
            </w:pPr>
            <w:r>
              <w:rPr>
                <w:rFonts w:hint="eastAsia"/>
                <w:lang w:val="en-US" w:eastAsia="zh-CN"/>
              </w:rPr>
              <w:t>指南明确SO</w:t>
            </w:r>
            <w:r>
              <w:rPr>
                <w:rFonts w:hint="eastAsia"/>
                <w:vertAlign w:val="subscript"/>
                <w:lang w:val="en-US" w:eastAsia="zh-CN"/>
              </w:rPr>
              <w:t>2</w:t>
            </w:r>
            <w:r>
              <w:rPr>
                <w:rFonts w:hint="eastAsia"/>
                <w:lang w:val="en-US" w:eastAsia="zh-CN"/>
              </w:rPr>
              <w:t>不采用固定因子，统一执行物料衡算法，配套《排放源统计调查产排污核算方法和系数手册》计算：</w:t>
            </w:r>
          </w:p>
          <w:p>
            <w:pPr>
              <w:pStyle w:val="49"/>
              <w:bidi w:val="0"/>
              <w:rPr>
                <w:rFonts w:hint="eastAsia"/>
                <w:lang w:val="en-US" w:eastAsia="zh-CN"/>
              </w:rPr>
            </w:pPr>
            <w:r>
              <w:rPr>
                <w:rFonts w:hint="eastAsia"/>
                <w:lang w:val="en-US" w:eastAsia="zh-CN"/>
              </w:rPr>
              <w:t>E(SO</w:t>
            </w:r>
            <w:r>
              <w:rPr>
                <w:rFonts w:hint="eastAsia"/>
                <w:vertAlign w:val="subscript"/>
                <w:lang w:val="en-US" w:eastAsia="zh-CN"/>
              </w:rPr>
              <w:t>2</w:t>
            </w:r>
            <w:r>
              <w:rPr>
                <w:rFonts w:hint="eastAsia"/>
                <w:vertAlign w:val="baseline"/>
                <w:lang w:val="en-US" w:eastAsia="zh-CN"/>
              </w:rPr>
              <w:t>)</w:t>
            </w:r>
            <w:r>
              <w:rPr>
                <w:rFonts w:hint="eastAsia"/>
                <w:lang w:val="en-US" w:eastAsia="zh-CN"/>
              </w:rPr>
              <w:t>=2×燃油消耗量×柴油硫质量分数</w:t>
            </w:r>
          </w:p>
          <w:p>
            <w:pPr>
              <w:pStyle w:val="49"/>
              <w:bidi w:val="0"/>
              <w:rPr>
                <w:rFonts w:hint="eastAsia"/>
                <w:lang w:val="en-US" w:eastAsia="zh-CN"/>
              </w:rPr>
            </w:pPr>
            <w:r>
              <w:rPr>
                <w:rFonts w:hint="eastAsia"/>
                <w:lang w:val="en-US" w:eastAsia="zh-CN"/>
              </w:rPr>
              <w:t>探矿现场国VI柴油取硫分S=0.001%，15t柴油SO</w:t>
            </w:r>
            <w:r>
              <w:rPr>
                <w:rFonts w:hint="eastAsia"/>
                <w:vertAlign w:val="subscript"/>
                <w:lang w:val="en-US" w:eastAsia="zh-CN"/>
              </w:rPr>
              <w:t>2</w:t>
            </w:r>
            <w:r>
              <w:rPr>
                <w:rFonts w:hint="eastAsia"/>
                <w:lang w:val="en-US" w:eastAsia="zh-CN"/>
              </w:rPr>
              <w:t>产生量=0.3kg。</w:t>
            </w:r>
          </w:p>
          <w:p>
            <w:pPr>
              <w:pStyle w:val="49"/>
              <w:bidi w:val="0"/>
              <w:rPr>
                <w:rFonts w:hint="eastAsia"/>
              </w:rPr>
            </w:pPr>
            <w:r>
              <w:t>柴油燃烧排放有害气体量详见</w:t>
            </w:r>
            <w:r>
              <w:rPr>
                <w:rFonts w:hint="eastAsia"/>
              </w:rPr>
              <w:t>表</w:t>
            </w:r>
            <w:r>
              <w:rPr>
                <w:rFonts w:hint="eastAsia"/>
                <w:lang w:val="en-US" w:eastAsia="zh-CN"/>
              </w:rPr>
              <w:t>4-3</w:t>
            </w:r>
            <w:r>
              <w:t>。</w:t>
            </w:r>
          </w:p>
          <w:p>
            <w:pPr>
              <w:pStyle w:val="53"/>
              <w:bidi w:val="0"/>
              <w:rPr>
                <w:rFonts w:hint="eastAsia"/>
              </w:rPr>
            </w:pPr>
            <w:r>
              <w:rPr>
                <w:rFonts w:hint="eastAsia"/>
              </w:rPr>
              <w:t>表</w:t>
            </w:r>
            <w:r>
              <w:rPr>
                <w:rFonts w:hint="eastAsia"/>
                <w:lang w:val="en-US" w:eastAsia="zh-CN"/>
              </w:rPr>
              <w:t xml:space="preserve">4-3    </w:t>
            </w:r>
            <w:r>
              <w:rPr>
                <w:rFonts w:hint="eastAsia"/>
              </w:rPr>
              <w:t>柴油排放的有</w:t>
            </w:r>
            <w:r>
              <w:rPr>
                <w:rFonts w:hint="eastAsia"/>
                <w:highlight w:val="none"/>
              </w:rPr>
              <w:t>害物质表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7"/>
              <w:gridCol w:w="1270"/>
              <w:gridCol w:w="1164"/>
              <w:gridCol w:w="1234"/>
              <w:gridCol w:w="1234"/>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06" w:type="pct"/>
                  <w:noWrap w:val="0"/>
                  <w:vAlign w:val="center"/>
                </w:tcPr>
                <w:p>
                  <w:pPr>
                    <w:pStyle w:val="59"/>
                    <w:bidi w:val="0"/>
                  </w:pPr>
                  <w:r>
                    <w:t>有害物质</w:t>
                  </w:r>
                </w:p>
              </w:tc>
              <w:tc>
                <w:tcPr>
                  <w:tcW w:w="848" w:type="pct"/>
                  <w:noWrap w:val="0"/>
                  <w:vAlign w:val="center"/>
                </w:tcPr>
                <w:p>
                  <w:pPr>
                    <w:pStyle w:val="59"/>
                    <w:bidi w:val="0"/>
                  </w:pPr>
                  <w:r>
                    <w:rPr>
                      <w:rFonts w:hint="eastAsia"/>
                      <w:lang w:val="en-US" w:eastAsia="zh-CN"/>
                    </w:rPr>
                    <w:t>颗粒物</w:t>
                  </w:r>
                </w:p>
              </w:tc>
              <w:tc>
                <w:tcPr>
                  <w:tcW w:w="777" w:type="pct"/>
                  <w:noWrap w:val="0"/>
                  <w:vAlign w:val="center"/>
                </w:tcPr>
                <w:p>
                  <w:pPr>
                    <w:pStyle w:val="59"/>
                    <w:bidi w:val="0"/>
                    <w:rPr>
                      <w:rFonts w:hint="eastAsia" w:eastAsia="宋体"/>
                      <w:lang w:val="en-US" w:eastAsia="zh-CN"/>
                    </w:rPr>
                  </w:pPr>
                  <w:r>
                    <w:rPr>
                      <w:rFonts w:hint="eastAsia" w:eastAsia="宋体"/>
                      <w:lang w:val="en-US" w:eastAsia="zh-CN"/>
                    </w:rPr>
                    <w:t>HC</w:t>
                  </w:r>
                </w:p>
              </w:tc>
              <w:tc>
                <w:tcPr>
                  <w:tcW w:w="824" w:type="pct"/>
                  <w:noWrap w:val="0"/>
                  <w:vAlign w:val="center"/>
                </w:tcPr>
                <w:p>
                  <w:pPr>
                    <w:pStyle w:val="59"/>
                    <w:bidi w:val="0"/>
                    <w:rPr>
                      <w:rFonts w:hint="eastAsia" w:eastAsia="宋体"/>
                      <w:lang w:eastAsia="zh-CN"/>
                    </w:rPr>
                  </w:pPr>
                  <w:r>
                    <w:rPr>
                      <w:rFonts w:hint="eastAsia" w:eastAsia="宋体"/>
                      <w:lang w:val="en-US" w:eastAsia="zh-CN"/>
                    </w:rPr>
                    <w:t>NOx</w:t>
                  </w:r>
                </w:p>
              </w:tc>
              <w:tc>
                <w:tcPr>
                  <w:tcW w:w="824" w:type="pct"/>
                  <w:noWrap w:val="0"/>
                  <w:vAlign w:val="center"/>
                </w:tcPr>
                <w:p>
                  <w:pPr>
                    <w:pStyle w:val="59"/>
                    <w:bidi w:val="0"/>
                    <w:rPr>
                      <w:rFonts w:hint="eastAsia"/>
                      <w:lang w:val="en-US" w:eastAsia="zh-CN"/>
                    </w:rPr>
                  </w:pPr>
                  <w:r>
                    <w:rPr>
                      <w:rFonts w:hint="eastAsia"/>
                      <w:lang w:val="en-US" w:eastAsia="zh-CN"/>
                    </w:rPr>
                    <w:t>CO</w:t>
                  </w:r>
                </w:p>
              </w:tc>
              <w:tc>
                <w:tcPr>
                  <w:tcW w:w="718" w:type="pct"/>
                  <w:noWrap w:val="0"/>
                  <w:vAlign w:val="center"/>
                </w:tcPr>
                <w:p>
                  <w:pPr>
                    <w:pStyle w:val="59"/>
                    <w:bidi w:val="0"/>
                    <w:rPr>
                      <w:rFonts w:hint="eastAsia"/>
                      <w:lang w:val="en-US" w:eastAsia="zh-CN"/>
                    </w:rPr>
                  </w:pPr>
                  <w:r>
                    <w:rPr>
                      <w:rFonts w:hint="eastAsia"/>
                      <w:lang w:val="en-US" w:eastAsia="zh-CN"/>
                    </w:rPr>
                    <w:t>SO</w:t>
                  </w:r>
                  <w:r>
                    <w:rPr>
                      <w:rFonts w:hint="eastAsia"/>
                      <w:vertAlign w:val="sub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06" w:type="pct"/>
                  <w:noWrap w:val="0"/>
                  <w:vAlign w:val="center"/>
                </w:tcPr>
                <w:p>
                  <w:pPr>
                    <w:pStyle w:val="59"/>
                    <w:bidi w:val="0"/>
                  </w:pPr>
                  <w:r>
                    <w:t>排放量（</w:t>
                  </w:r>
                  <w:r>
                    <w:rPr>
                      <w:rFonts w:hint="eastAsia"/>
                      <w:lang w:val="en-US" w:eastAsia="zh-CN"/>
                    </w:rPr>
                    <w:t>g/kg</w:t>
                  </w:r>
                  <w:r>
                    <w:t>）</w:t>
                  </w:r>
                </w:p>
              </w:tc>
              <w:tc>
                <w:tcPr>
                  <w:tcW w:w="848" w:type="pct"/>
                  <w:noWrap w:val="0"/>
                  <w:vAlign w:val="center"/>
                </w:tcPr>
                <w:p>
                  <w:pPr>
                    <w:pStyle w:val="59"/>
                    <w:bidi w:val="0"/>
                    <w:rPr>
                      <w:rFonts w:hint="default"/>
                      <w:lang w:val="en-US" w:eastAsia="zh-CN"/>
                    </w:rPr>
                  </w:pPr>
                  <w:r>
                    <w:rPr>
                      <w:rFonts w:hint="eastAsia"/>
                      <w:lang w:val="en-US" w:eastAsia="zh-CN"/>
                    </w:rPr>
                    <w:t>2.09</w:t>
                  </w:r>
                </w:p>
              </w:tc>
              <w:tc>
                <w:tcPr>
                  <w:tcW w:w="777" w:type="pct"/>
                  <w:noWrap w:val="0"/>
                  <w:vAlign w:val="center"/>
                </w:tcPr>
                <w:p>
                  <w:pPr>
                    <w:pStyle w:val="59"/>
                    <w:bidi w:val="0"/>
                    <w:rPr>
                      <w:rFonts w:hint="default"/>
                      <w:lang w:val="en-US" w:eastAsia="zh-CN"/>
                    </w:rPr>
                  </w:pPr>
                  <w:r>
                    <w:rPr>
                      <w:rFonts w:hint="eastAsia"/>
                      <w:lang w:val="en-US" w:eastAsia="zh-CN"/>
                    </w:rPr>
                    <w:t>3.39</w:t>
                  </w:r>
                </w:p>
              </w:tc>
              <w:tc>
                <w:tcPr>
                  <w:tcW w:w="824" w:type="pct"/>
                  <w:noWrap w:val="0"/>
                  <w:vAlign w:val="center"/>
                </w:tcPr>
                <w:p>
                  <w:pPr>
                    <w:pStyle w:val="59"/>
                    <w:bidi w:val="0"/>
                    <w:rPr>
                      <w:rFonts w:hint="default"/>
                      <w:lang w:val="en-US" w:eastAsia="zh-CN"/>
                    </w:rPr>
                  </w:pPr>
                  <w:r>
                    <w:rPr>
                      <w:rFonts w:hint="eastAsia"/>
                      <w:lang w:val="en-US" w:eastAsia="zh-CN"/>
                    </w:rPr>
                    <w:t>32.79</w:t>
                  </w:r>
                </w:p>
              </w:tc>
              <w:tc>
                <w:tcPr>
                  <w:tcW w:w="824" w:type="pct"/>
                  <w:noWrap w:val="0"/>
                  <w:vAlign w:val="center"/>
                </w:tcPr>
                <w:p>
                  <w:pPr>
                    <w:pStyle w:val="59"/>
                    <w:bidi w:val="0"/>
                    <w:rPr>
                      <w:rFonts w:hint="default"/>
                      <w:lang w:val="en-US" w:eastAsia="zh-CN"/>
                    </w:rPr>
                  </w:pPr>
                  <w:r>
                    <w:rPr>
                      <w:rFonts w:hint="eastAsia"/>
                      <w:lang w:val="en-US" w:eastAsia="zh-CN"/>
                    </w:rPr>
                    <w:t>10.72</w:t>
                  </w:r>
                </w:p>
              </w:tc>
              <w:tc>
                <w:tcPr>
                  <w:tcW w:w="718" w:type="pct"/>
                  <w:noWrap w:val="0"/>
                  <w:vAlign w:val="center"/>
                </w:tcPr>
                <w:p>
                  <w:pPr>
                    <w:pStyle w:val="59"/>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006" w:type="pct"/>
                  <w:noWrap w:val="0"/>
                  <w:vAlign w:val="center"/>
                </w:tcPr>
                <w:p>
                  <w:pPr>
                    <w:pStyle w:val="55"/>
                    <w:bidi w:val="0"/>
                    <w:rPr>
                      <w:rFonts w:hint="eastAsia"/>
                    </w:rPr>
                  </w:pPr>
                  <w:r>
                    <w:rPr>
                      <w:rFonts w:hint="eastAsia"/>
                    </w:rPr>
                    <w:t>探矿期内</w:t>
                  </w:r>
                  <w:r>
                    <w:t>（kg）</w:t>
                  </w:r>
                </w:p>
              </w:tc>
              <w:tc>
                <w:tcPr>
                  <w:tcW w:w="1270" w:type="dxa"/>
                  <w:noWrap w:val="0"/>
                  <w:vAlign w:val="center"/>
                </w:tcPr>
                <w:p>
                  <w:pPr>
                    <w:pStyle w:val="59"/>
                    <w:bidi w:val="0"/>
                    <w:rPr>
                      <w:rFonts w:hint="default"/>
                      <w:lang w:val="en-US" w:eastAsia="zh-CN"/>
                    </w:rPr>
                  </w:pPr>
                  <w:r>
                    <w:rPr>
                      <w:rFonts w:hint="eastAsia"/>
                      <w:lang w:val="en-US" w:eastAsia="zh-CN"/>
                    </w:rPr>
                    <w:t>31.35</w:t>
                  </w:r>
                </w:p>
              </w:tc>
              <w:tc>
                <w:tcPr>
                  <w:tcW w:w="1164" w:type="dxa"/>
                  <w:noWrap w:val="0"/>
                  <w:vAlign w:val="center"/>
                </w:tcPr>
                <w:p>
                  <w:pPr>
                    <w:pStyle w:val="59"/>
                    <w:bidi w:val="0"/>
                    <w:rPr>
                      <w:rFonts w:hint="default"/>
                      <w:lang w:val="en-US" w:eastAsia="zh-CN"/>
                    </w:rPr>
                  </w:pPr>
                  <w:r>
                    <w:rPr>
                      <w:rFonts w:hint="eastAsia"/>
                      <w:lang w:val="en-US" w:eastAsia="zh-CN"/>
                    </w:rPr>
                    <w:t>50.85</w:t>
                  </w:r>
                </w:p>
              </w:tc>
              <w:tc>
                <w:tcPr>
                  <w:tcW w:w="1234" w:type="dxa"/>
                  <w:noWrap w:val="0"/>
                  <w:vAlign w:val="center"/>
                </w:tcPr>
                <w:p>
                  <w:pPr>
                    <w:pStyle w:val="59"/>
                    <w:bidi w:val="0"/>
                    <w:rPr>
                      <w:rFonts w:hint="default"/>
                      <w:lang w:val="en-US" w:eastAsia="zh-CN"/>
                    </w:rPr>
                  </w:pPr>
                  <w:r>
                    <w:rPr>
                      <w:rFonts w:hint="eastAsia"/>
                      <w:lang w:val="en-US" w:eastAsia="zh-CN"/>
                    </w:rPr>
                    <w:t>491.85</w:t>
                  </w:r>
                </w:p>
              </w:tc>
              <w:tc>
                <w:tcPr>
                  <w:tcW w:w="1234" w:type="dxa"/>
                  <w:noWrap w:val="0"/>
                  <w:vAlign w:val="center"/>
                </w:tcPr>
                <w:p>
                  <w:pPr>
                    <w:pStyle w:val="59"/>
                    <w:bidi w:val="0"/>
                    <w:rPr>
                      <w:rFonts w:hint="default"/>
                      <w:lang w:val="en-US" w:eastAsia="zh-CN"/>
                    </w:rPr>
                  </w:pPr>
                  <w:r>
                    <w:rPr>
                      <w:rFonts w:hint="eastAsia"/>
                      <w:lang w:val="en-US" w:eastAsia="zh-CN"/>
                    </w:rPr>
                    <w:t>160.8</w:t>
                  </w:r>
                </w:p>
              </w:tc>
              <w:tc>
                <w:tcPr>
                  <w:tcW w:w="718" w:type="pct"/>
                  <w:noWrap w:val="0"/>
                  <w:vAlign w:val="center"/>
                </w:tcPr>
                <w:p>
                  <w:pPr>
                    <w:pStyle w:val="59"/>
                    <w:bidi w:val="0"/>
                    <w:rPr>
                      <w:rFonts w:hint="default"/>
                      <w:lang w:val="en-US" w:eastAsia="zh-CN"/>
                    </w:rPr>
                  </w:pPr>
                  <w:r>
                    <w:rPr>
                      <w:rFonts w:hint="eastAsia"/>
                      <w:lang w:val="en-US" w:eastAsia="zh-CN"/>
                    </w:rPr>
                    <w:t>0.3</w:t>
                  </w:r>
                </w:p>
              </w:tc>
            </w:tr>
          </w:tbl>
          <w:p>
            <w:pPr>
              <w:pStyle w:val="51"/>
              <w:bidi w:val="0"/>
              <w:rPr>
                <w:rFonts w:hint="default"/>
                <w:lang w:val="en-US" w:eastAsia="zh-CN"/>
              </w:rPr>
            </w:pPr>
            <w:r>
              <w:rPr>
                <w:rFonts w:hint="eastAsia"/>
                <w:lang w:val="en-US" w:eastAsia="zh-CN"/>
              </w:rPr>
              <w:t>3.废水环境影响分析</w:t>
            </w:r>
          </w:p>
          <w:p>
            <w:pPr>
              <w:pStyle w:val="49"/>
              <w:bidi w:val="0"/>
              <w:rPr>
                <w:rFonts w:hint="eastAsia"/>
              </w:rPr>
            </w:pPr>
            <w:r>
              <w:rPr>
                <w:rFonts w:hint="eastAsia"/>
              </w:rPr>
              <w:t>（1）生活污水</w:t>
            </w:r>
          </w:p>
          <w:p>
            <w:pPr>
              <w:pStyle w:val="49"/>
              <w:bidi w:val="0"/>
              <w:rPr>
                <w:rFonts w:hint="default" w:ascii="Times New Roman" w:hAnsi="Times New Roman" w:eastAsia="宋体" w:cs="宋体"/>
                <w:shd w:val="clear" w:color="auto" w:fill="auto"/>
                <w:lang w:val="en-US" w:eastAsia="zh-CN"/>
              </w:rPr>
            </w:pPr>
            <w:r>
              <w:rPr>
                <w:rFonts w:hint="eastAsia"/>
                <w:lang w:val="en-US" w:eastAsia="zh-CN"/>
              </w:rPr>
              <w:t>工作人员日常生活产生的污水全部依托租住房屋配套的污水收集处理系统统一处置，项目区内无生活污水排放</w:t>
            </w:r>
            <w:r>
              <w:rPr>
                <w:rFonts w:hint="eastAsia" w:ascii="Times New Roman" w:hAnsi="Times New Roman" w:eastAsia="宋体" w:cs="宋体"/>
                <w:shd w:val="clear" w:color="auto" w:fill="auto"/>
                <w:lang w:val="en-US" w:eastAsia="zh-CN"/>
              </w:rPr>
              <w:t>。</w:t>
            </w:r>
          </w:p>
          <w:p>
            <w:pPr>
              <w:pStyle w:val="49"/>
              <w:bidi w:val="0"/>
              <w:rPr>
                <w:rFonts w:hint="eastAsia"/>
                <w:lang w:val="en-US" w:eastAsia="zh-CN"/>
              </w:rPr>
            </w:pPr>
            <w:r>
              <w:rPr>
                <w:rFonts w:hint="eastAsia"/>
                <w:lang w:eastAsia="zh-CN"/>
              </w:rPr>
              <w:t>（</w:t>
            </w:r>
            <w:r>
              <w:rPr>
                <w:rFonts w:hint="eastAsia"/>
                <w:lang w:val="en-US" w:eastAsia="zh-CN"/>
              </w:rPr>
              <w:t>2）钻井设备冲洗水</w:t>
            </w:r>
          </w:p>
          <w:p>
            <w:pPr>
              <w:pStyle w:val="49"/>
              <w:bidi w:val="0"/>
              <w:rPr>
                <w:rFonts w:hint="eastAsia"/>
                <w:lang w:val="en-US" w:eastAsia="zh-CN"/>
              </w:rPr>
            </w:pPr>
            <w:r>
              <w:rPr>
                <w:rFonts w:hint="eastAsia"/>
                <w:lang w:val="en-US" w:eastAsia="zh-CN"/>
              </w:rPr>
              <w:t>项目钻探过程中使用的钻井设备需清洗，设备冲洗水经沉淀池处理后洒水降尘。</w:t>
            </w:r>
          </w:p>
          <w:p>
            <w:pPr>
              <w:pStyle w:val="49"/>
              <w:numPr>
                <w:ilvl w:val="0"/>
                <w:numId w:val="0"/>
              </w:numPr>
              <w:bidi w:val="0"/>
              <w:ind w:left="0" w:leftChars="0" w:firstLine="480" w:firstLineChars="200"/>
              <w:rPr>
                <w:rFonts w:hint="eastAsia"/>
                <w:highlight w:val="none"/>
                <w:lang w:val="en-US" w:eastAsia="zh-CN"/>
              </w:rPr>
            </w:pPr>
            <w:r>
              <w:rPr>
                <w:rFonts w:hint="eastAsia" w:ascii="Times New Roman" w:hAnsi="Times New Roman" w:eastAsia="宋体" w:cs="宋体"/>
                <w:kern w:val="0"/>
                <w:sz w:val="24"/>
                <w:szCs w:val="24"/>
                <w:highlight w:val="none"/>
                <w:lang w:val="en-US" w:eastAsia="zh-CN" w:bidi="ar-SA"/>
              </w:rPr>
              <w:t>（3）</w:t>
            </w:r>
            <w:r>
              <w:rPr>
                <w:rFonts w:hint="eastAsia"/>
                <w:highlight w:val="none"/>
                <w:lang w:val="en-US" w:eastAsia="zh-CN"/>
              </w:rPr>
              <w:t>泥浆废水</w:t>
            </w:r>
          </w:p>
          <w:p>
            <w:pPr>
              <w:pStyle w:val="49"/>
              <w:bidi w:val="0"/>
              <w:rPr>
                <w:rFonts w:hint="default"/>
                <w:lang w:val="en-US" w:eastAsia="zh-CN"/>
              </w:rPr>
            </w:pPr>
            <w:r>
              <w:rPr>
                <w:rFonts w:hint="eastAsia"/>
                <w:lang w:val="en-US" w:eastAsia="zh-CN"/>
              </w:rPr>
              <w:t>泥浆废水经防渗沉淀池处理后回用于钻孔泥浆配制，循环使用，不外排。</w:t>
            </w:r>
          </w:p>
          <w:p>
            <w:pPr>
              <w:pStyle w:val="51"/>
              <w:bidi w:val="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9"/>
              <w:bidi w:val="0"/>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76</w:t>
            </w:r>
            <w:r>
              <w:rPr>
                <w:rFonts w:hint="eastAsia"/>
              </w:rPr>
              <w:t>~</w:t>
            </w:r>
            <w:r>
              <w:rPr>
                <w:rFonts w:hint="eastAsia"/>
                <w:lang w:val="en-US" w:eastAsia="zh-CN"/>
              </w:rPr>
              <w:t>87</w:t>
            </w:r>
            <w:r>
              <w:t>dB</w:t>
            </w:r>
            <w:r>
              <w:rPr>
                <w:rFonts w:hint="eastAsia"/>
                <w:lang w:eastAsia="zh-CN"/>
              </w:rPr>
              <w:t>（</w:t>
            </w:r>
            <w:r>
              <w:t>A</w:t>
            </w:r>
            <w:r>
              <w:rPr>
                <w:rFonts w:hint="eastAsia"/>
                <w:lang w:eastAsia="zh-CN"/>
              </w:rPr>
              <w:t>）</w:t>
            </w:r>
            <w:r>
              <w:rPr>
                <w:rFonts w:hint="eastAsia"/>
              </w:rPr>
              <w:t>，特点为暂时的短期间歇性行为，无规律性。</w:t>
            </w:r>
          </w:p>
          <w:p>
            <w:pPr>
              <w:pStyle w:val="49"/>
              <w:bidi w:val="0"/>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9"/>
              <w:bidi w:val="0"/>
            </w:pPr>
            <w:r>
              <w:rPr>
                <w:rFonts w:hint="eastAsia"/>
                <w:lang w:val="en-US" w:eastAsia="zh-CN"/>
              </w:rPr>
              <w:t>勘探</w:t>
            </w:r>
            <w:r>
              <w:rPr>
                <w:rFonts w:hint="eastAsia"/>
              </w:rPr>
              <w:t>期施工噪声可近似视为点声源处理，其衰减模式如下：</w:t>
            </w:r>
          </w:p>
          <w:p>
            <w:pPr>
              <w:pStyle w:val="49"/>
              <w:bidi w:val="0"/>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9"/>
              <w:bidi w:val="0"/>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9"/>
              <w:bidi w:val="0"/>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9"/>
              <w:bidi w:val="0"/>
              <w:ind w:firstLine="1200" w:firstLineChars="500"/>
            </w:pPr>
            <w:r>
              <w:rPr>
                <w:rFonts w:hint="eastAsia"/>
              </w:rPr>
              <w:t>ro——Lpo噪声的测点距离（1m），m；</w:t>
            </w:r>
          </w:p>
          <w:p>
            <w:pPr>
              <w:pStyle w:val="49"/>
              <w:bidi w:val="0"/>
              <w:ind w:firstLine="1200" w:firstLineChars="500"/>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9"/>
              <w:bidi w:val="0"/>
            </w:pPr>
            <w:r>
              <w:rPr>
                <w:rFonts w:hint="eastAsia"/>
                <w:lang w:val="en-US" w:eastAsia="zh-CN"/>
              </w:rPr>
              <w:t>勘探</w:t>
            </w:r>
            <w:r>
              <w:rPr>
                <w:rFonts w:hint="eastAsia"/>
              </w:rPr>
              <w:t>期主要噪声源为施工机械。</w:t>
            </w:r>
          </w:p>
          <w:p>
            <w:pPr>
              <w:pStyle w:val="49"/>
              <w:bidi w:val="0"/>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9"/>
              <w:bidi w:val="0"/>
            </w:pPr>
            <w:r>
              <w:rPr>
                <w:rFonts w:hint="eastAsia"/>
              </w:rPr>
              <w:t>①预测结果</w:t>
            </w:r>
          </w:p>
          <w:p>
            <w:pPr>
              <w:pStyle w:val="49"/>
              <w:bidi w:val="0"/>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4-4</w:t>
            </w:r>
            <w:r>
              <w:rPr>
                <w:rFonts w:hint="eastAsia"/>
              </w:rPr>
              <w:t>所示。</w:t>
            </w:r>
          </w:p>
          <w:p>
            <w:pPr>
              <w:pStyle w:val="53"/>
              <w:bidi w:val="0"/>
              <w:rPr>
                <w:highlight w:val="none"/>
              </w:rPr>
            </w:pPr>
            <w:r>
              <w:rPr>
                <w:rFonts w:hint="default"/>
                <w:highlight w:val="none"/>
              </w:rPr>
              <w:t>表</w:t>
            </w:r>
            <w:r>
              <w:rPr>
                <w:rFonts w:hint="default"/>
                <w:highlight w:val="none"/>
                <w:lang w:val="en-US" w:eastAsia="zh-CN"/>
              </w:rPr>
              <w:t>4-</w:t>
            </w:r>
            <w:r>
              <w:rPr>
                <w:rFonts w:hint="eastAsia"/>
                <w:highlight w:val="none"/>
                <w:lang w:val="en-US" w:eastAsia="zh-CN"/>
              </w:rPr>
              <w:t>4</w:t>
            </w:r>
            <w:r>
              <w:rPr>
                <w:rFonts w:hint="default"/>
                <w:highlight w:val="none"/>
              </w:rPr>
              <w:t xml:space="preserve">  </w:t>
            </w:r>
            <w:r>
              <w:rPr>
                <w:rFonts w:hint="eastAsia"/>
                <w:highlight w:val="none"/>
                <w:lang w:val="en-US" w:eastAsia="zh-CN"/>
              </w:rPr>
              <w:t xml:space="preserve"> </w:t>
            </w:r>
            <w:r>
              <w:rPr>
                <w:rFonts w:hint="default"/>
                <w:highlight w:val="none"/>
              </w:rPr>
              <w:t xml:space="preserve"> 项目主要</w:t>
            </w:r>
            <w:r>
              <w:rPr>
                <w:rFonts w:hint="eastAsia"/>
                <w:highlight w:val="none"/>
              </w:rPr>
              <w:t>机械在不同距离处的噪声预测值</w:t>
            </w:r>
          </w:p>
          <w:tbl>
            <w:tblPr>
              <w:tblStyle w:val="24"/>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426"/>
              <w:gridCol w:w="514"/>
              <w:gridCol w:w="598"/>
              <w:gridCol w:w="619"/>
              <w:gridCol w:w="677"/>
              <w:gridCol w:w="743"/>
              <w:gridCol w:w="695"/>
              <w:gridCol w:w="577"/>
              <w:gridCol w:w="643"/>
              <w:gridCol w:w="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75" w:type="pct"/>
                  <w:vMerge w:val="restart"/>
                  <w:noWrap w:val="0"/>
                  <w:vAlign w:val="center"/>
                </w:tcPr>
                <w:p>
                  <w:pPr>
                    <w:pStyle w:val="55"/>
                    <w:bidi w:val="0"/>
                    <w:rPr>
                      <w:rFonts w:hint="default"/>
                    </w:rPr>
                  </w:pPr>
                  <w:r>
                    <w:rPr>
                      <w:rFonts w:hint="default"/>
                    </w:rPr>
                    <w:t>机械类型</w:t>
                  </w:r>
                </w:p>
              </w:tc>
              <w:tc>
                <w:tcPr>
                  <w:tcW w:w="4124" w:type="pct"/>
                  <w:gridSpan w:val="10"/>
                  <w:noWrap w:val="0"/>
                  <w:vAlign w:val="center"/>
                </w:tcPr>
                <w:p>
                  <w:pPr>
                    <w:pStyle w:val="55"/>
                    <w:bidi w:val="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75" w:type="pct"/>
                  <w:vMerge w:val="continue"/>
                  <w:noWrap w:val="0"/>
                  <w:vAlign w:val="center"/>
                </w:tcPr>
                <w:p>
                  <w:pPr>
                    <w:pStyle w:val="55"/>
                    <w:rPr>
                      <w:rFonts w:hint="default"/>
                    </w:rPr>
                  </w:pPr>
                </w:p>
              </w:tc>
              <w:tc>
                <w:tcPr>
                  <w:tcW w:w="285" w:type="pct"/>
                  <w:noWrap w:val="0"/>
                  <w:vAlign w:val="center"/>
                </w:tcPr>
                <w:p>
                  <w:pPr>
                    <w:pStyle w:val="55"/>
                    <w:rPr>
                      <w:rFonts w:hint="default"/>
                    </w:rPr>
                  </w:pPr>
                  <w:r>
                    <w:rPr>
                      <w:rFonts w:hint="default"/>
                    </w:rPr>
                    <w:t>5m</w:t>
                  </w:r>
                </w:p>
              </w:tc>
              <w:tc>
                <w:tcPr>
                  <w:tcW w:w="343" w:type="pct"/>
                  <w:noWrap w:val="0"/>
                  <w:vAlign w:val="center"/>
                </w:tcPr>
                <w:p>
                  <w:pPr>
                    <w:pStyle w:val="55"/>
                    <w:rPr>
                      <w:rFonts w:hint="default"/>
                    </w:rPr>
                  </w:pPr>
                  <w:r>
                    <w:rPr>
                      <w:rFonts w:hint="default"/>
                    </w:rPr>
                    <w:t>10m</w:t>
                  </w:r>
                </w:p>
              </w:tc>
              <w:tc>
                <w:tcPr>
                  <w:tcW w:w="399" w:type="pct"/>
                  <w:noWrap w:val="0"/>
                  <w:vAlign w:val="center"/>
                </w:tcPr>
                <w:p>
                  <w:pPr>
                    <w:pStyle w:val="55"/>
                    <w:rPr>
                      <w:rFonts w:hint="default"/>
                    </w:rPr>
                  </w:pPr>
                  <w:r>
                    <w:rPr>
                      <w:rFonts w:hint="default"/>
                    </w:rPr>
                    <w:t>20m</w:t>
                  </w:r>
                </w:p>
              </w:tc>
              <w:tc>
                <w:tcPr>
                  <w:tcW w:w="413" w:type="pct"/>
                  <w:noWrap w:val="0"/>
                  <w:vAlign w:val="center"/>
                </w:tcPr>
                <w:p>
                  <w:pPr>
                    <w:pStyle w:val="55"/>
                    <w:rPr>
                      <w:rFonts w:hint="default"/>
                    </w:rPr>
                  </w:pPr>
                  <w:r>
                    <w:rPr>
                      <w:rFonts w:hint="default"/>
                    </w:rPr>
                    <w:t>50m</w:t>
                  </w:r>
                </w:p>
              </w:tc>
              <w:tc>
                <w:tcPr>
                  <w:tcW w:w="452" w:type="pct"/>
                  <w:noWrap w:val="0"/>
                  <w:vAlign w:val="center"/>
                </w:tcPr>
                <w:p>
                  <w:pPr>
                    <w:pStyle w:val="55"/>
                    <w:rPr>
                      <w:rFonts w:hint="default"/>
                    </w:rPr>
                  </w:pPr>
                  <w:r>
                    <w:rPr>
                      <w:rFonts w:hint="default"/>
                    </w:rPr>
                    <w:t>60m</w:t>
                  </w:r>
                </w:p>
              </w:tc>
              <w:tc>
                <w:tcPr>
                  <w:tcW w:w="496" w:type="pct"/>
                  <w:noWrap w:val="0"/>
                  <w:vAlign w:val="center"/>
                </w:tcPr>
                <w:p>
                  <w:pPr>
                    <w:pStyle w:val="55"/>
                    <w:rPr>
                      <w:rFonts w:hint="default"/>
                    </w:rPr>
                  </w:pPr>
                  <w:r>
                    <w:rPr>
                      <w:rFonts w:hint="default"/>
                    </w:rPr>
                    <w:t>100m</w:t>
                  </w:r>
                </w:p>
              </w:tc>
              <w:tc>
                <w:tcPr>
                  <w:tcW w:w="464" w:type="pct"/>
                  <w:noWrap w:val="0"/>
                  <w:vAlign w:val="center"/>
                </w:tcPr>
                <w:p>
                  <w:pPr>
                    <w:pStyle w:val="55"/>
                    <w:rPr>
                      <w:rFonts w:hint="default"/>
                    </w:rPr>
                  </w:pPr>
                  <w:r>
                    <w:rPr>
                      <w:rFonts w:hint="default"/>
                    </w:rPr>
                    <w:t>150m</w:t>
                  </w:r>
                </w:p>
              </w:tc>
              <w:tc>
                <w:tcPr>
                  <w:tcW w:w="385" w:type="pct"/>
                  <w:noWrap w:val="0"/>
                  <w:vAlign w:val="center"/>
                </w:tcPr>
                <w:p>
                  <w:pPr>
                    <w:pStyle w:val="55"/>
                    <w:rPr>
                      <w:rFonts w:hint="default"/>
                    </w:rPr>
                  </w:pPr>
                  <w:r>
                    <w:rPr>
                      <w:rFonts w:hint="default"/>
                    </w:rPr>
                    <w:t>200m</w:t>
                  </w:r>
                </w:p>
              </w:tc>
              <w:tc>
                <w:tcPr>
                  <w:tcW w:w="429" w:type="pct"/>
                  <w:noWrap w:val="0"/>
                  <w:vAlign w:val="center"/>
                </w:tcPr>
                <w:p>
                  <w:pPr>
                    <w:pStyle w:val="55"/>
                    <w:rPr>
                      <w:rFonts w:hint="default"/>
                    </w:rPr>
                  </w:pPr>
                  <w:r>
                    <w:rPr>
                      <w:rFonts w:hint="default"/>
                    </w:rPr>
                    <w:t>300m</w:t>
                  </w:r>
                </w:p>
              </w:tc>
              <w:tc>
                <w:tcPr>
                  <w:tcW w:w="456" w:type="pct"/>
                  <w:noWrap w:val="0"/>
                  <w:vAlign w:val="center"/>
                </w:tcPr>
                <w:p>
                  <w:pPr>
                    <w:pStyle w:val="55"/>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875" w:type="pct"/>
                  <w:noWrap w:val="0"/>
                  <w:vAlign w:val="center"/>
                </w:tcPr>
                <w:p>
                  <w:pPr>
                    <w:pStyle w:val="55"/>
                    <w:bidi w:val="0"/>
                    <w:rPr>
                      <w:rFonts w:hint="default"/>
                      <w:lang w:val="en-US" w:eastAsia="zh-CN"/>
                    </w:rPr>
                  </w:pPr>
                  <w:r>
                    <w:rPr>
                      <w:rFonts w:hint="eastAsia"/>
                      <w:lang w:val="en-US" w:eastAsia="zh-CN"/>
                    </w:rPr>
                    <w:t>运输车辆</w:t>
                  </w:r>
                </w:p>
              </w:tc>
              <w:tc>
                <w:tcPr>
                  <w:tcW w:w="285" w:type="pct"/>
                  <w:noWrap w:val="0"/>
                  <w:vAlign w:val="center"/>
                </w:tcPr>
                <w:p>
                  <w:pPr>
                    <w:pStyle w:val="55"/>
                    <w:bidi w:val="0"/>
                    <w:rPr>
                      <w:rFonts w:hint="default"/>
                    </w:rPr>
                  </w:pPr>
                  <w:r>
                    <w:rPr>
                      <w:rFonts w:hint="default"/>
                    </w:rPr>
                    <w:t>80</w:t>
                  </w:r>
                </w:p>
              </w:tc>
              <w:tc>
                <w:tcPr>
                  <w:tcW w:w="343" w:type="pct"/>
                  <w:noWrap w:val="0"/>
                  <w:vAlign w:val="center"/>
                </w:tcPr>
                <w:p>
                  <w:pPr>
                    <w:pStyle w:val="55"/>
                    <w:bidi w:val="0"/>
                    <w:rPr>
                      <w:rFonts w:hint="default"/>
                    </w:rPr>
                  </w:pPr>
                  <w:r>
                    <w:rPr>
                      <w:rFonts w:hint="default"/>
                    </w:rPr>
                    <w:t>74</w:t>
                  </w:r>
                </w:p>
              </w:tc>
              <w:tc>
                <w:tcPr>
                  <w:tcW w:w="399" w:type="pct"/>
                  <w:noWrap w:val="0"/>
                  <w:vAlign w:val="center"/>
                </w:tcPr>
                <w:p>
                  <w:pPr>
                    <w:pStyle w:val="55"/>
                    <w:bidi w:val="0"/>
                    <w:rPr>
                      <w:rFonts w:hint="default"/>
                    </w:rPr>
                  </w:pPr>
                  <w:r>
                    <w:rPr>
                      <w:rFonts w:hint="default"/>
                    </w:rPr>
                    <w:t>68</w:t>
                  </w:r>
                </w:p>
              </w:tc>
              <w:tc>
                <w:tcPr>
                  <w:tcW w:w="413" w:type="pct"/>
                  <w:noWrap w:val="0"/>
                  <w:vAlign w:val="center"/>
                </w:tcPr>
                <w:p>
                  <w:pPr>
                    <w:pStyle w:val="55"/>
                    <w:bidi w:val="0"/>
                    <w:rPr>
                      <w:rFonts w:hint="default"/>
                    </w:rPr>
                  </w:pPr>
                  <w:r>
                    <w:rPr>
                      <w:rFonts w:hint="default"/>
                    </w:rPr>
                    <w:t>60</w:t>
                  </w:r>
                </w:p>
              </w:tc>
              <w:tc>
                <w:tcPr>
                  <w:tcW w:w="452" w:type="pct"/>
                  <w:noWrap w:val="0"/>
                  <w:vAlign w:val="center"/>
                </w:tcPr>
                <w:p>
                  <w:pPr>
                    <w:pStyle w:val="55"/>
                    <w:bidi w:val="0"/>
                    <w:rPr>
                      <w:rFonts w:hint="default"/>
                    </w:rPr>
                  </w:pPr>
                  <w:r>
                    <w:rPr>
                      <w:rFonts w:hint="default"/>
                    </w:rPr>
                    <w:t>58.4</w:t>
                  </w:r>
                </w:p>
              </w:tc>
              <w:tc>
                <w:tcPr>
                  <w:tcW w:w="496" w:type="pct"/>
                  <w:noWrap w:val="0"/>
                  <w:vAlign w:val="center"/>
                </w:tcPr>
                <w:p>
                  <w:pPr>
                    <w:pStyle w:val="55"/>
                    <w:bidi w:val="0"/>
                    <w:rPr>
                      <w:rFonts w:hint="default"/>
                    </w:rPr>
                  </w:pPr>
                  <w:r>
                    <w:rPr>
                      <w:rFonts w:hint="default"/>
                    </w:rPr>
                    <w:t>54</w:t>
                  </w:r>
                </w:p>
              </w:tc>
              <w:tc>
                <w:tcPr>
                  <w:tcW w:w="464" w:type="pct"/>
                  <w:noWrap w:val="0"/>
                  <w:vAlign w:val="center"/>
                </w:tcPr>
                <w:p>
                  <w:pPr>
                    <w:pStyle w:val="55"/>
                    <w:bidi w:val="0"/>
                    <w:rPr>
                      <w:rFonts w:hint="default"/>
                    </w:rPr>
                  </w:pPr>
                  <w:r>
                    <w:rPr>
                      <w:rFonts w:hint="default"/>
                    </w:rPr>
                    <w:t>50.5</w:t>
                  </w:r>
                </w:p>
              </w:tc>
              <w:tc>
                <w:tcPr>
                  <w:tcW w:w="385" w:type="pct"/>
                  <w:noWrap w:val="0"/>
                  <w:vAlign w:val="center"/>
                </w:tcPr>
                <w:p>
                  <w:pPr>
                    <w:pStyle w:val="55"/>
                    <w:bidi w:val="0"/>
                    <w:rPr>
                      <w:rFonts w:hint="default"/>
                    </w:rPr>
                  </w:pPr>
                  <w:r>
                    <w:rPr>
                      <w:rFonts w:hint="default"/>
                    </w:rPr>
                    <w:t>48</w:t>
                  </w:r>
                </w:p>
              </w:tc>
              <w:tc>
                <w:tcPr>
                  <w:tcW w:w="429" w:type="pct"/>
                  <w:noWrap w:val="0"/>
                  <w:vAlign w:val="center"/>
                </w:tcPr>
                <w:p>
                  <w:pPr>
                    <w:pStyle w:val="55"/>
                    <w:bidi w:val="0"/>
                    <w:rPr>
                      <w:rFonts w:hint="default" w:eastAsia="宋体"/>
                      <w:lang w:val="en-US" w:eastAsia="zh-CN"/>
                    </w:rPr>
                  </w:pPr>
                  <w:r>
                    <w:rPr>
                      <w:rFonts w:hint="eastAsia"/>
                      <w:lang w:val="en-US" w:eastAsia="zh-CN"/>
                    </w:rPr>
                    <w:t>44.4</w:t>
                  </w:r>
                </w:p>
              </w:tc>
              <w:tc>
                <w:tcPr>
                  <w:tcW w:w="456" w:type="pct"/>
                  <w:noWrap w:val="0"/>
                  <w:vAlign w:val="center"/>
                </w:tcPr>
                <w:p>
                  <w:pPr>
                    <w:pStyle w:val="55"/>
                    <w:bidi w:val="0"/>
                    <w:rPr>
                      <w:rFonts w:hint="default" w:eastAsia="宋体"/>
                      <w:lang w:val="en-US" w:eastAsia="zh-CN"/>
                    </w:rPr>
                  </w:pPr>
                  <w:r>
                    <w:rPr>
                      <w:rFonts w:hint="eastAsia"/>
                      <w:lang w:val="en-US" w:eastAsia="zh-CN"/>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875" w:type="pct"/>
                  <w:noWrap w:val="0"/>
                  <w:vAlign w:val="center"/>
                </w:tcPr>
                <w:p>
                  <w:pPr>
                    <w:pStyle w:val="55"/>
                    <w:bidi w:val="0"/>
                    <w:rPr>
                      <w:rFonts w:hint="default" w:eastAsia="宋体"/>
                      <w:lang w:val="en-US" w:eastAsia="zh-CN"/>
                    </w:rPr>
                  </w:pPr>
                  <w:r>
                    <w:rPr>
                      <w:rFonts w:hint="eastAsia"/>
                      <w:lang w:val="en-US" w:eastAsia="zh-CN"/>
                    </w:rPr>
                    <w:t>凿岩机</w:t>
                  </w:r>
                </w:p>
              </w:tc>
              <w:tc>
                <w:tcPr>
                  <w:tcW w:w="285"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8</w:t>
                  </w:r>
                  <w:r>
                    <w:rPr>
                      <w:rFonts w:hint="eastAsia"/>
                      <w:lang w:val="en-US" w:eastAsia="zh-CN"/>
                    </w:rPr>
                    <w:t>3</w:t>
                  </w:r>
                </w:p>
              </w:tc>
              <w:tc>
                <w:tcPr>
                  <w:tcW w:w="343"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7</w:t>
                  </w:r>
                  <w:r>
                    <w:rPr>
                      <w:rFonts w:hint="eastAsia"/>
                      <w:lang w:val="en-US" w:eastAsia="zh-CN"/>
                    </w:rPr>
                    <w:t>7</w:t>
                  </w:r>
                </w:p>
              </w:tc>
              <w:tc>
                <w:tcPr>
                  <w:tcW w:w="399"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eastAsia"/>
                      <w:lang w:val="en-US" w:eastAsia="zh-CN"/>
                    </w:rPr>
                    <w:t>70</w:t>
                  </w:r>
                </w:p>
              </w:tc>
              <w:tc>
                <w:tcPr>
                  <w:tcW w:w="413"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eastAsia"/>
                      <w:lang w:val="en-US" w:eastAsia="zh-CN"/>
                    </w:rPr>
                    <w:t>63</w:t>
                  </w:r>
                </w:p>
              </w:tc>
              <w:tc>
                <w:tcPr>
                  <w:tcW w:w="452"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eastAsia"/>
                      <w:lang w:val="en-US" w:eastAsia="zh-CN"/>
                    </w:rPr>
                    <w:t>61</w:t>
                  </w:r>
                  <w:r>
                    <w:rPr>
                      <w:rFonts w:hint="default"/>
                    </w:rPr>
                    <w:t>.4</w:t>
                  </w:r>
                </w:p>
              </w:tc>
              <w:tc>
                <w:tcPr>
                  <w:tcW w:w="496"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w:t>
                  </w:r>
                  <w:r>
                    <w:rPr>
                      <w:rFonts w:hint="eastAsia"/>
                      <w:lang w:val="en-US" w:eastAsia="zh-CN"/>
                    </w:rPr>
                    <w:t>7</w:t>
                  </w:r>
                </w:p>
              </w:tc>
              <w:tc>
                <w:tcPr>
                  <w:tcW w:w="464"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w:t>
                  </w:r>
                  <w:r>
                    <w:rPr>
                      <w:rFonts w:hint="eastAsia"/>
                      <w:lang w:val="en-US" w:eastAsia="zh-CN"/>
                    </w:rPr>
                    <w:t>3</w:t>
                  </w:r>
                  <w:r>
                    <w:rPr>
                      <w:rFonts w:hint="default"/>
                    </w:rPr>
                    <w:t>.5</w:t>
                  </w:r>
                </w:p>
              </w:tc>
              <w:tc>
                <w:tcPr>
                  <w:tcW w:w="385"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eastAsia"/>
                      <w:lang w:val="en-US" w:eastAsia="zh-CN"/>
                    </w:rPr>
                    <w:t>51</w:t>
                  </w:r>
                </w:p>
              </w:tc>
              <w:tc>
                <w:tcPr>
                  <w:tcW w:w="429" w:type="pct"/>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default"/>
                    </w:rPr>
                    <w:t>4</w:t>
                  </w:r>
                  <w:r>
                    <w:rPr>
                      <w:rFonts w:hint="eastAsia"/>
                      <w:lang w:val="en-US" w:eastAsia="zh-CN"/>
                    </w:rPr>
                    <w:t>7</w:t>
                  </w:r>
                  <w:r>
                    <w:rPr>
                      <w:rFonts w:hint="default"/>
                    </w:rPr>
                    <w:t>.4</w:t>
                  </w:r>
                </w:p>
              </w:tc>
              <w:tc>
                <w:tcPr>
                  <w:tcW w:w="456" w:type="pct"/>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default"/>
                    </w:rPr>
                    <w:t>4</w:t>
                  </w:r>
                  <w:r>
                    <w:rPr>
                      <w:rFonts w:hint="eastAsia"/>
                      <w:lang w:val="en-US" w:eastAsia="zh-CN"/>
                    </w:rPr>
                    <w:t>4</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875" w:type="pct"/>
                  <w:noWrap w:val="0"/>
                  <w:vAlign w:val="center"/>
                </w:tcPr>
                <w:p>
                  <w:pPr>
                    <w:pStyle w:val="55"/>
                    <w:bidi w:val="0"/>
                    <w:rPr>
                      <w:rFonts w:hint="default"/>
                      <w:lang w:val="en-US" w:eastAsia="zh-CN"/>
                    </w:rPr>
                  </w:pPr>
                  <w:r>
                    <w:rPr>
                      <w:rFonts w:hint="eastAsia"/>
                      <w:lang w:val="en-US" w:eastAsia="zh-CN"/>
                    </w:rPr>
                    <w:t>岩芯切割机</w:t>
                  </w:r>
                </w:p>
              </w:tc>
              <w:tc>
                <w:tcPr>
                  <w:tcW w:w="285"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85</w:t>
                  </w:r>
                </w:p>
              </w:tc>
              <w:tc>
                <w:tcPr>
                  <w:tcW w:w="343"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79</w:t>
                  </w:r>
                </w:p>
              </w:tc>
              <w:tc>
                <w:tcPr>
                  <w:tcW w:w="399"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73</w:t>
                  </w:r>
                </w:p>
              </w:tc>
              <w:tc>
                <w:tcPr>
                  <w:tcW w:w="413"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65</w:t>
                  </w:r>
                </w:p>
              </w:tc>
              <w:tc>
                <w:tcPr>
                  <w:tcW w:w="452"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63.4</w:t>
                  </w:r>
                </w:p>
              </w:tc>
              <w:tc>
                <w:tcPr>
                  <w:tcW w:w="496"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59</w:t>
                  </w:r>
                </w:p>
              </w:tc>
              <w:tc>
                <w:tcPr>
                  <w:tcW w:w="464"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55.5</w:t>
                  </w:r>
                </w:p>
              </w:tc>
              <w:tc>
                <w:tcPr>
                  <w:tcW w:w="385"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53</w:t>
                  </w:r>
                </w:p>
              </w:tc>
              <w:tc>
                <w:tcPr>
                  <w:tcW w:w="429" w:type="pct"/>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default"/>
                    </w:rPr>
                    <w:t>49.4</w:t>
                  </w:r>
                </w:p>
              </w:tc>
              <w:tc>
                <w:tcPr>
                  <w:tcW w:w="456" w:type="pct"/>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default"/>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875" w:type="pct"/>
                  <w:noWrap w:val="0"/>
                  <w:vAlign w:val="center"/>
                </w:tcPr>
                <w:p>
                  <w:pPr>
                    <w:pStyle w:val="55"/>
                    <w:bidi w:val="0"/>
                    <w:rPr>
                      <w:rFonts w:hint="default"/>
                      <w:lang w:val="en-US" w:eastAsia="zh-CN"/>
                    </w:rPr>
                  </w:pPr>
                  <w:r>
                    <w:rPr>
                      <w:rFonts w:hint="eastAsia"/>
                      <w:lang w:val="en-US" w:eastAsia="zh-CN"/>
                    </w:rPr>
                    <w:t>挖掘机</w:t>
                  </w:r>
                </w:p>
              </w:tc>
              <w:tc>
                <w:tcPr>
                  <w:tcW w:w="285"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81</w:t>
                  </w:r>
                </w:p>
              </w:tc>
              <w:tc>
                <w:tcPr>
                  <w:tcW w:w="343"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75</w:t>
                  </w:r>
                </w:p>
              </w:tc>
              <w:tc>
                <w:tcPr>
                  <w:tcW w:w="399"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69</w:t>
                  </w:r>
                </w:p>
              </w:tc>
              <w:tc>
                <w:tcPr>
                  <w:tcW w:w="413"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61</w:t>
                  </w:r>
                </w:p>
              </w:tc>
              <w:tc>
                <w:tcPr>
                  <w:tcW w:w="452"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59.4</w:t>
                  </w:r>
                </w:p>
              </w:tc>
              <w:tc>
                <w:tcPr>
                  <w:tcW w:w="496"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55</w:t>
                  </w:r>
                </w:p>
              </w:tc>
              <w:tc>
                <w:tcPr>
                  <w:tcW w:w="464"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51.5</w:t>
                  </w:r>
                </w:p>
              </w:tc>
              <w:tc>
                <w:tcPr>
                  <w:tcW w:w="385" w:type="pct"/>
                  <w:noWrap w:val="0"/>
                  <w:vAlign w:val="center"/>
                </w:tcPr>
                <w:p>
                  <w:pPr>
                    <w:pStyle w:val="59"/>
                    <w:keepNext w:val="0"/>
                    <w:keepLines w:val="0"/>
                    <w:suppressLineNumbers w:val="0"/>
                    <w:bidi w:val="0"/>
                    <w:spacing w:before="0" w:beforeAutospacing="0" w:after="0" w:afterAutospacing="0"/>
                    <w:ind w:left="0" w:leftChars="0" w:right="0" w:rightChars="0"/>
                    <w:rPr>
                      <w:rFonts w:hint="default"/>
                    </w:rPr>
                  </w:pPr>
                  <w:r>
                    <w:rPr>
                      <w:rFonts w:hint="default"/>
                    </w:rPr>
                    <w:t>49</w:t>
                  </w:r>
                </w:p>
              </w:tc>
              <w:tc>
                <w:tcPr>
                  <w:tcW w:w="429" w:type="pct"/>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default"/>
                    </w:rPr>
                    <w:t>45.4</w:t>
                  </w:r>
                </w:p>
              </w:tc>
              <w:tc>
                <w:tcPr>
                  <w:tcW w:w="456" w:type="pct"/>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default"/>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75" w:type="pct"/>
                  <w:shd w:val="clear" w:color="auto" w:fill="auto"/>
                  <w:noWrap w:val="0"/>
                  <w:vAlign w:val="center"/>
                </w:tcPr>
                <w:p>
                  <w:pPr>
                    <w:pStyle w:val="55"/>
                    <w:bidi w:val="0"/>
                    <w:rPr>
                      <w:rFonts w:hint="eastAsia" w:ascii="Times New Roman" w:hAnsi="Times New Roman" w:eastAsia="宋体" w:cs="宋体"/>
                      <w:color w:val="000000"/>
                      <w:kern w:val="0"/>
                      <w:sz w:val="21"/>
                      <w:szCs w:val="21"/>
                      <w:lang w:val="en-US" w:eastAsia="zh-CN" w:bidi="ar-SA"/>
                    </w:rPr>
                  </w:pPr>
                  <w:r>
                    <w:rPr>
                      <w:rFonts w:hint="eastAsia"/>
                      <w:lang w:val="en-US" w:eastAsia="zh-CN"/>
                    </w:rPr>
                    <w:t>钻机</w:t>
                  </w:r>
                </w:p>
              </w:tc>
              <w:tc>
                <w:tcPr>
                  <w:tcW w:w="285"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default"/>
                    </w:rPr>
                    <w:t>8</w:t>
                  </w:r>
                  <w:r>
                    <w:rPr>
                      <w:rFonts w:hint="eastAsia"/>
                      <w:lang w:val="en-US" w:eastAsia="zh-CN"/>
                    </w:rPr>
                    <w:t>2</w:t>
                  </w:r>
                </w:p>
              </w:tc>
              <w:tc>
                <w:tcPr>
                  <w:tcW w:w="343"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76</w:t>
                  </w:r>
                </w:p>
              </w:tc>
              <w:tc>
                <w:tcPr>
                  <w:tcW w:w="399"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70</w:t>
                  </w:r>
                </w:p>
              </w:tc>
              <w:tc>
                <w:tcPr>
                  <w:tcW w:w="413"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62</w:t>
                  </w:r>
                </w:p>
              </w:tc>
              <w:tc>
                <w:tcPr>
                  <w:tcW w:w="452"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60.4</w:t>
                  </w:r>
                </w:p>
              </w:tc>
              <w:tc>
                <w:tcPr>
                  <w:tcW w:w="496"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56</w:t>
                  </w:r>
                </w:p>
              </w:tc>
              <w:tc>
                <w:tcPr>
                  <w:tcW w:w="464"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52.5</w:t>
                  </w:r>
                </w:p>
              </w:tc>
              <w:tc>
                <w:tcPr>
                  <w:tcW w:w="385"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50</w:t>
                  </w:r>
                </w:p>
              </w:tc>
              <w:tc>
                <w:tcPr>
                  <w:tcW w:w="429"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46.4</w:t>
                  </w:r>
                </w:p>
              </w:tc>
              <w:tc>
                <w:tcPr>
                  <w:tcW w:w="456" w:type="pct"/>
                  <w:shd w:val="clear" w:color="auto" w:fill="auto"/>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eastAsia"/>
                      <w:lang w:val="en-US" w:eastAsia="zh-CN"/>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75" w:type="pct"/>
                  <w:shd w:val="clear" w:color="auto" w:fill="auto"/>
                  <w:noWrap w:val="0"/>
                  <w:vAlign w:val="center"/>
                </w:tcPr>
                <w:p>
                  <w:pPr>
                    <w:pStyle w:val="55"/>
                    <w:bidi w:val="0"/>
                    <w:rPr>
                      <w:rFonts w:hint="eastAsia" w:ascii="Times New Roman" w:hAnsi="Times New Roman" w:eastAsia="宋体" w:cs="宋体"/>
                      <w:color w:val="000000"/>
                      <w:kern w:val="0"/>
                      <w:sz w:val="21"/>
                      <w:szCs w:val="21"/>
                      <w:lang w:val="en-US" w:eastAsia="zh-CN" w:bidi="ar-SA"/>
                    </w:rPr>
                  </w:pPr>
                  <w:r>
                    <w:rPr>
                      <w:rFonts w:hint="eastAsia"/>
                      <w:lang w:val="en-US" w:eastAsia="zh-CN"/>
                    </w:rPr>
                    <w:t>刻槽取样机</w:t>
                  </w:r>
                </w:p>
              </w:tc>
              <w:tc>
                <w:tcPr>
                  <w:tcW w:w="285"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宋体"/>
                      <w:color w:val="000000"/>
                      <w:kern w:val="0"/>
                      <w:sz w:val="21"/>
                      <w:szCs w:val="21"/>
                      <w:lang w:val="en-US" w:eastAsia="zh-CN" w:bidi="ar-SA"/>
                    </w:rPr>
                  </w:pPr>
                  <w:r>
                    <w:rPr>
                      <w:rFonts w:hint="eastAsia" w:cs="Times New Roman" w:eastAsiaTheme="minorEastAsia"/>
                      <w:sz w:val="21"/>
                      <w:szCs w:val="21"/>
                      <w:highlight w:val="none"/>
                      <w:lang w:val="en-US" w:eastAsia="zh-CN"/>
                    </w:rPr>
                    <w:t>87</w:t>
                  </w:r>
                </w:p>
              </w:tc>
              <w:tc>
                <w:tcPr>
                  <w:tcW w:w="343"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highlight w:val="none"/>
                      <w:lang w:val="en-US" w:eastAsia="zh-CN"/>
                    </w:rPr>
                    <w:t>82</w:t>
                  </w:r>
                </w:p>
              </w:tc>
              <w:tc>
                <w:tcPr>
                  <w:tcW w:w="399"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highlight w:val="none"/>
                      <w:lang w:val="en-US" w:eastAsia="zh-CN"/>
                    </w:rPr>
                    <w:t>76</w:t>
                  </w:r>
                </w:p>
              </w:tc>
              <w:tc>
                <w:tcPr>
                  <w:tcW w:w="413"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68</w:t>
                  </w:r>
                </w:p>
              </w:tc>
              <w:tc>
                <w:tcPr>
                  <w:tcW w:w="452"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66.4</w:t>
                  </w:r>
                </w:p>
              </w:tc>
              <w:tc>
                <w:tcPr>
                  <w:tcW w:w="496"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62</w:t>
                  </w:r>
                </w:p>
              </w:tc>
              <w:tc>
                <w:tcPr>
                  <w:tcW w:w="464"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58.5</w:t>
                  </w:r>
                </w:p>
              </w:tc>
              <w:tc>
                <w:tcPr>
                  <w:tcW w:w="385"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56</w:t>
                  </w:r>
                </w:p>
              </w:tc>
              <w:tc>
                <w:tcPr>
                  <w:tcW w:w="429"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51.4</w:t>
                  </w:r>
                </w:p>
              </w:tc>
              <w:tc>
                <w:tcPr>
                  <w:tcW w:w="456" w:type="pct"/>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宋体"/>
                      <w:color w:val="000000"/>
                      <w:kern w:val="0"/>
                      <w:sz w:val="21"/>
                      <w:szCs w:val="21"/>
                      <w:lang w:val="en-US" w:eastAsia="zh-CN" w:bidi="ar-SA"/>
                    </w:rPr>
                  </w:pPr>
                  <w:r>
                    <w:rPr>
                      <w:rFonts w:hint="eastAsia" w:cs="Times New Roman" w:eastAsiaTheme="minorEastAsia"/>
                      <w:sz w:val="21"/>
                      <w:szCs w:val="21"/>
                      <w:lang w:val="en-US" w:eastAsia="zh-CN"/>
                    </w:rPr>
                    <w:t>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75" w:type="pct"/>
                  <w:shd w:val="clear" w:color="auto" w:fill="auto"/>
                  <w:noWrap w:val="0"/>
                  <w:vAlign w:val="center"/>
                </w:tcPr>
                <w:p>
                  <w:pPr>
                    <w:pStyle w:val="55"/>
                    <w:bidi w:val="0"/>
                    <w:rPr>
                      <w:rFonts w:hint="eastAsia" w:ascii="Times New Roman" w:hAnsi="Times New Roman" w:eastAsia="宋体" w:cs="宋体"/>
                      <w:color w:val="000000"/>
                      <w:kern w:val="0"/>
                      <w:sz w:val="21"/>
                      <w:szCs w:val="21"/>
                      <w:lang w:val="en-US" w:eastAsia="zh-CN" w:bidi="ar-SA"/>
                    </w:rPr>
                  </w:pPr>
                  <w:r>
                    <w:rPr>
                      <w:rFonts w:hint="eastAsia"/>
                      <w:lang w:val="en-US" w:eastAsia="zh-CN"/>
                    </w:rPr>
                    <w:t>柴油发电机</w:t>
                  </w:r>
                </w:p>
              </w:tc>
              <w:tc>
                <w:tcPr>
                  <w:tcW w:w="285" w:type="pct"/>
                  <w:shd w:val="clear" w:color="auto" w:fill="auto"/>
                  <w:noWrap w:val="0"/>
                  <w:vAlign w:val="center"/>
                </w:tcPr>
                <w:p>
                  <w:pPr>
                    <w:pStyle w:val="55"/>
                    <w:bidi w:val="0"/>
                    <w:rPr>
                      <w:rFonts w:hint="default" w:ascii="Times New Roman" w:hAnsi="Times New Roman" w:eastAsia="宋体" w:cs="宋体"/>
                      <w:color w:val="000000"/>
                      <w:kern w:val="0"/>
                      <w:sz w:val="21"/>
                      <w:szCs w:val="21"/>
                      <w:lang w:val="en-US" w:eastAsia="zh-CN" w:bidi="ar-SA"/>
                    </w:rPr>
                  </w:pPr>
                  <w:r>
                    <w:rPr>
                      <w:rFonts w:hint="eastAsia"/>
                      <w:lang w:val="en-US" w:eastAsia="zh-CN"/>
                    </w:rPr>
                    <w:t>76</w:t>
                  </w:r>
                </w:p>
              </w:tc>
              <w:tc>
                <w:tcPr>
                  <w:tcW w:w="343" w:type="pct"/>
                  <w:shd w:val="clear" w:color="auto" w:fill="auto"/>
                  <w:noWrap w:val="0"/>
                  <w:vAlign w:val="center"/>
                </w:tcPr>
                <w:p>
                  <w:pPr>
                    <w:pStyle w:val="55"/>
                    <w:bidi w:val="0"/>
                    <w:rPr>
                      <w:rFonts w:hint="eastAsia" w:ascii="Times New Roman" w:hAnsi="Times New Roman" w:eastAsia="宋体" w:cs="宋体"/>
                      <w:color w:val="000000"/>
                      <w:kern w:val="0"/>
                      <w:sz w:val="21"/>
                      <w:szCs w:val="21"/>
                      <w:lang w:val="en-US" w:eastAsia="zh-CN" w:bidi="ar-SA"/>
                    </w:rPr>
                  </w:pPr>
                  <w:r>
                    <w:rPr>
                      <w:rFonts w:hint="eastAsia"/>
                      <w:lang w:val="en-US" w:eastAsia="zh-CN"/>
                    </w:rPr>
                    <w:t>70</w:t>
                  </w:r>
                </w:p>
              </w:tc>
              <w:tc>
                <w:tcPr>
                  <w:tcW w:w="399" w:type="pct"/>
                  <w:shd w:val="clear" w:color="auto" w:fill="auto"/>
                  <w:noWrap w:val="0"/>
                  <w:vAlign w:val="center"/>
                </w:tcPr>
                <w:p>
                  <w:pPr>
                    <w:pStyle w:val="55"/>
                    <w:bidi w:val="0"/>
                    <w:rPr>
                      <w:rFonts w:hint="eastAsia" w:ascii="Times New Roman" w:hAnsi="Times New Roman" w:eastAsia="宋体" w:cs="宋体"/>
                      <w:color w:val="000000"/>
                      <w:kern w:val="0"/>
                      <w:sz w:val="21"/>
                      <w:szCs w:val="21"/>
                      <w:lang w:val="en-US" w:eastAsia="zh-CN" w:bidi="ar-SA"/>
                    </w:rPr>
                  </w:pPr>
                  <w:r>
                    <w:rPr>
                      <w:rFonts w:hint="eastAsia"/>
                      <w:lang w:val="en-US" w:eastAsia="zh-CN"/>
                    </w:rPr>
                    <w:t>64</w:t>
                  </w:r>
                </w:p>
              </w:tc>
              <w:tc>
                <w:tcPr>
                  <w:tcW w:w="413"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56</w:t>
                  </w:r>
                </w:p>
              </w:tc>
              <w:tc>
                <w:tcPr>
                  <w:tcW w:w="452"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54.4</w:t>
                  </w:r>
                </w:p>
              </w:tc>
              <w:tc>
                <w:tcPr>
                  <w:tcW w:w="496"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50</w:t>
                  </w:r>
                </w:p>
              </w:tc>
              <w:tc>
                <w:tcPr>
                  <w:tcW w:w="464"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46.5</w:t>
                  </w:r>
                </w:p>
              </w:tc>
              <w:tc>
                <w:tcPr>
                  <w:tcW w:w="385"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44</w:t>
                  </w:r>
                </w:p>
              </w:tc>
              <w:tc>
                <w:tcPr>
                  <w:tcW w:w="429"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40.4</w:t>
                  </w:r>
                </w:p>
              </w:tc>
              <w:tc>
                <w:tcPr>
                  <w:tcW w:w="456" w:type="pct"/>
                  <w:shd w:val="clear" w:color="auto" w:fill="auto"/>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37.9</w:t>
                  </w:r>
                </w:p>
              </w:tc>
            </w:tr>
          </w:tbl>
          <w:p>
            <w:pPr>
              <w:pStyle w:val="49"/>
              <w:bidi w:val="0"/>
              <w:rPr>
                <w:rFonts w:hint="default"/>
              </w:rPr>
            </w:pPr>
            <w:r>
              <w:rPr>
                <w:rFonts w:hint="default"/>
              </w:rPr>
              <w:t>本项目夜间不进行</w:t>
            </w:r>
            <w:r>
              <w:rPr>
                <w:rFonts w:hint="eastAsia"/>
                <w:lang w:val="en-US" w:eastAsia="zh-CN"/>
              </w:rPr>
              <w:t>工作</w:t>
            </w:r>
            <w:r>
              <w:rPr>
                <w:rFonts w:hint="default"/>
              </w:rPr>
              <w:t>，单台施工机械在50米范围外的噪声值均符合《</w:t>
            </w:r>
            <w:r>
              <w:rPr>
                <w:rFonts w:hint="default"/>
                <w:lang w:eastAsia="zh-CN"/>
              </w:rPr>
              <w:t>建筑施工噪声排放标准</w:t>
            </w:r>
            <w:r>
              <w:rPr>
                <w:rFonts w:hint="default"/>
              </w:rPr>
              <w:t>》（GB12523－2025）</w:t>
            </w:r>
            <w:r>
              <w:rPr>
                <w:rFonts w:hint="default"/>
                <w:lang w:val="en-US" w:eastAsia="zh-CN"/>
              </w:rPr>
              <w:t>中施工噪声要求，昼间限值为70dB(A)</w:t>
            </w:r>
            <w:r>
              <w:rPr>
                <w:rFonts w:hint="default"/>
              </w:rPr>
              <w:t>。</w:t>
            </w:r>
          </w:p>
          <w:p>
            <w:pPr>
              <w:pStyle w:val="51"/>
              <w:bidi w:val="0"/>
              <w:rPr>
                <w:rFonts w:hint="default"/>
                <w:lang w:val="en-US" w:eastAsia="zh-CN"/>
              </w:rPr>
            </w:pPr>
            <w:r>
              <w:rPr>
                <w:rFonts w:hint="eastAsia"/>
                <w:lang w:val="en-US" w:eastAsia="zh-CN"/>
              </w:rPr>
              <w:t>5.</w:t>
            </w:r>
            <w:r>
              <w:t>固体废物</w:t>
            </w:r>
            <w:r>
              <w:rPr>
                <w:rFonts w:hint="eastAsia"/>
                <w:lang w:val="en-US" w:eastAsia="zh-CN"/>
              </w:rPr>
              <w:t>环境影响分析</w:t>
            </w:r>
          </w:p>
          <w:p>
            <w:pPr>
              <w:pStyle w:val="49"/>
              <w:bidi w:val="0"/>
              <w:rPr>
                <w:rFonts w:hint="default" w:eastAsia="宋体"/>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生活垃圾</w:t>
            </w:r>
          </w:p>
          <w:p>
            <w:pPr>
              <w:pStyle w:val="49"/>
              <w:bidi w:val="0"/>
              <w:rPr>
                <w:rFonts w:hint="eastAsia"/>
              </w:rPr>
            </w:pPr>
            <w:r>
              <w:rPr>
                <w:rFonts w:hint="eastAsia"/>
                <w:lang w:val="en-US" w:eastAsia="zh-CN"/>
              </w:rPr>
              <w:t>野外勘查工作人员统一在塔什店镇住宿、就餐，每日早晚往返勘查现场，不在勘查区域搭设临时营地、不在野外做饭、不驻留过夜。生活垃圾配置带盖密封分类收集桶，每日统一转运至城镇环卫部门收集处理。</w:t>
            </w:r>
          </w:p>
          <w:p>
            <w:pPr>
              <w:pStyle w:val="49"/>
              <w:bidi w:val="0"/>
              <w:rPr>
                <w:rFonts w:hint="eastAsia" w:eastAsia="宋体"/>
                <w:lang w:val="en-US" w:eastAsia="zh-CN"/>
              </w:rPr>
            </w:pPr>
            <w:r>
              <w:rPr>
                <w:rFonts w:hint="eastAsia"/>
              </w:rPr>
              <w:t>（</w:t>
            </w:r>
            <w:r>
              <w:rPr>
                <w:rFonts w:hint="eastAsia"/>
                <w:lang w:val="en-US" w:eastAsia="zh-CN"/>
              </w:rPr>
              <w:t>2</w:t>
            </w:r>
            <w:r>
              <w:rPr>
                <w:rFonts w:hint="eastAsia"/>
              </w:rPr>
              <w:t>）</w:t>
            </w:r>
            <w:r>
              <w:rPr>
                <w:rFonts w:hint="eastAsia"/>
                <w:lang w:val="en-US" w:eastAsia="zh-CN"/>
              </w:rPr>
              <w:t>土石方</w:t>
            </w:r>
          </w:p>
          <w:p>
            <w:pPr>
              <w:pStyle w:val="49"/>
              <w:bidi w:val="0"/>
              <w:rPr>
                <w:rFonts w:hint="eastAsia"/>
              </w:rPr>
            </w:pPr>
            <w:r>
              <w:rPr>
                <w:rFonts w:hint="eastAsia"/>
              </w:rPr>
              <w:t>根据工程分析，</w:t>
            </w:r>
            <w:r>
              <w:rPr>
                <w:rFonts w:hint="eastAsia"/>
                <w:lang w:val="en-US" w:eastAsia="zh-CN"/>
              </w:rPr>
              <w:t>本项目</w:t>
            </w:r>
            <w:r>
              <w:rPr>
                <w:rFonts w:hint="eastAsia"/>
              </w:rPr>
              <w:t>勘探期</w:t>
            </w:r>
            <w:r>
              <w:rPr>
                <w:rFonts w:hint="eastAsia"/>
                <w:lang w:val="en-US" w:eastAsia="zh-CN"/>
              </w:rPr>
              <w:t>的</w:t>
            </w:r>
            <w:r>
              <w:rPr>
                <w:rFonts w:hint="eastAsia"/>
              </w:rPr>
              <w:t>土石方主要</w:t>
            </w:r>
            <w:r>
              <w:rPr>
                <w:rFonts w:hint="eastAsia"/>
                <w:lang w:val="en-US" w:eastAsia="zh-CN"/>
              </w:rPr>
              <w:t>是槽探</w:t>
            </w:r>
            <w:r>
              <w:rPr>
                <w:rFonts w:hint="eastAsia"/>
              </w:rPr>
              <w:t>产生的，勘探期开挖土石方临时堆放至</w:t>
            </w:r>
            <w:r>
              <w:rPr>
                <w:rFonts w:hint="eastAsia"/>
                <w:lang w:val="en-US" w:eastAsia="zh-CN"/>
              </w:rPr>
              <w:t>探坑</w:t>
            </w:r>
            <w:r>
              <w:rPr>
                <w:rFonts w:hint="eastAsia"/>
                <w:highlight w:val="none"/>
                <w:lang w:val="en-US" w:eastAsia="zh-CN"/>
              </w:rPr>
              <w:t>一侧</w:t>
            </w:r>
            <w:r>
              <w:rPr>
                <w:rFonts w:hint="eastAsia"/>
              </w:rPr>
              <w:t>，并用</w:t>
            </w:r>
            <w:r>
              <w:rPr>
                <w:rFonts w:hint="eastAsia"/>
                <w:lang w:val="en-US" w:eastAsia="zh-CN"/>
              </w:rPr>
              <w:t>彩条布苫盖</w:t>
            </w:r>
            <w:r>
              <w:rPr>
                <w:rFonts w:hint="eastAsia"/>
              </w:rPr>
              <w:t>，待工程结束后土石方全部回填于原位并进行平整，防止水土流失，无弃土产生，对周边环境影响较小。</w:t>
            </w:r>
          </w:p>
          <w:p>
            <w:pPr>
              <w:pStyle w:val="49"/>
              <w:bidi w:val="0"/>
              <w:rPr>
                <w:rFonts w:hint="default"/>
                <w:lang w:val="en-US" w:eastAsia="zh-CN"/>
              </w:rPr>
            </w:pPr>
            <w:r>
              <w:rPr>
                <w:rFonts w:hint="eastAsia"/>
                <w:lang w:val="en-US" w:eastAsia="zh-CN"/>
              </w:rPr>
              <w:t>（3）泥浆、岩屑及沉淀池沉渣</w:t>
            </w:r>
          </w:p>
          <w:p>
            <w:pPr>
              <w:pStyle w:val="49"/>
              <w:bidi w:val="0"/>
              <w:rPr>
                <w:rFonts w:hint="default"/>
                <w:lang w:val="en-US" w:eastAsia="zh-CN"/>
              </w:rPr>
            </w:pPr>
            <w:r>
              <w:rPr>
                <w:rFonts w:hint="eastAsia"/>
                <w:lang w:val="en-US" w:eastAsia="zh-CN"/>
              </w:rPr>
              <w:t>①岩屑</w:t>
            </w:r>
          </w:p>
          <w:p>
            <w:pPr>
              <w:pStyle w:val="49"/>
              <w:bidi w:val="0"/>
              <w:rPr>
                <w:rFonts w:hint="eastAsia"/>
              </w:rPr>
            </w:pPr>
            <w:r>
              <w:rPr>
                <w:rFonts w:hint="eastAsia"/>
                <w:lang w:val="en-US" w:eastAsia="zh-CN"/>
              </w:rPr>
              <w:t>钻探总工作量为10600m，钻探开孔直径为91mm，配备Φ68mm岩心管，岩屑产生量为30.43m³</w:t>
            </w:r>
            <w:r>
              <w:rPr>
                <w:rFonts w:hint="eastAsia"/>
              </w:rPr>
              <w:t>。</w:t>
            </w:r>
            <w:r>
              <w:rPr>
                <w:rFonts w:hint="eastAsia"/>
                <w:lang w:val="en-US" w:eastAsia="zh-CN"/>
              </w:rPr>
              <w:t>每个钻孔完毕后，岩屑用于回填钻孔。</w:t>
            </w:r>
          </w:p>
          <w:p>
            <w:pPr>
              <w:pStyle w:val="49"/>
              <w:numPr>
                <w:ilvl w:val="0"/>
                <w:numId w:val="0"/>
              </w:numPr>
              <w:bidi w:val="0"/>
              <w:ind w:left="-60" w:leftChars="0" w:firstLine="480" w:firstLineChars="200"/>
              <w:rPr>
                <w:rFonts w:hint="default"/>
                <w:lang w:val="en-US" w:eastAsia="zh-CN"/>
              </w:rPr>
            </w:pPr>
            <w:r>
              <w:rPr>
                <w:rFonts w:hint="eastAsia"/>
                <w:lang w:val="en-US" w:eastAsia="zh-CN"/>
              </w:rPr>
              <w:t>②泥浆</w:t>
            </w:r>
          </w:p>
          <w:p>
            <w:pPr>
              <w:pStyle w:val="49"/>
              <w:numPr>
                <w:ilvl w:val="0"/>
                <w:numId w:val="0"/>
              </w:numPr>
              <w:bidi w:val="0"/>
              <w:ind w:left="-60" w:leftChars="0" w:firstLine="480" w:firstLineChars="200"/>
              <w:rPr>
                <w:rFonts w:hint="eastAsia"/>
                <w:lang w:val="en-US" w:eastAsia="zh-CN"/>
              </w:rPr>
            </w:pPr>
            <w:r>
              <w:rPr>
                <w:rFonts w:hint="eastAsia"/>
                <w:lang w:val="en-US" w:eastAsia="zh-CN"/>
              </w:rPr>
              <w:t>本项目勘探期产生固体泥浆废物约为40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循环使用，勘探结束后进行固化，固化后交由一般固废处置单位统一处理。</w:t>
            </w:r>
          </w:p>
          <w:p>
            <w:pPr>
              <w:pStyle w:val="49"/>
              <w:bidi w:val="0"/>
              <w:jc w:val="both"/>
              <w:rPr>
                <w:rFonts w:hint="default"/>
                <w:lang w:val="en-US" w:eastAsia="zh-CN"/>
              </w:rPr>
            </w:pPr>
            <w:r>
              <w:rPr>
                <w:rFonts w:hint="eastAsia"/>
                <w:lang w:val="en-US" w:eastAsia="zh-CN"/>
              </w:rPr>
              <w:t>③沉淀池沉渣</w:t>
            </w:r>
          </w:p>
          <w:p>
            <w:pPr>
              <w:pStyle w:val="49"/>
              <w:bidi w:val="0"/>
              <w:ind w:firstLine="480" w:firstLineChars="200"/>
              <w:rPr>
                <w:rFonts w:hint="default"/>
                <w:lang w:val="en-US" w:eastAsia="zh-CN"/>
              </w:rPr>
            </w:pPr>
            <w:r>
              <w:rPr>
                <w:rFonts w:hint="eastAsia"/>
                <w:lang w:val="en-US" w:eastAsia="zh-CN"/>
              </w:rPr>
              <w:t>本项目沉淀池沉渣主要为泥土，泥土本身不含毒性物质，故本项目沉淀池沉渣交由一般固废处置单位统一处理。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2"/>
              <w:adjustRightInd w:val="0"/>
              <w:snapToGrid w:val="0"/>
              <w:spacing w:before="0" w:beforeAutospacing="0" w:after="0" w:afterAutospacing="0"/>
              <w:jc w:val="center"/>
              <w:rPr>
                <w:rFonts w:hint="eastAsia" w:ascii="宋体" w:hAnsi="宋体" w:eastAsia="宋体" w:cs="宋体"/>
                <w:bCs/>
                <w:kern w:val="2"/>
                <w:sz w:val="21"/>
                <w:szCs w:val="21"/>
                <w:lang w:val="en-US" w:eastAsia="zh-CN" w:bidi="ar-SA"/>
              </w:rPr>
            </w:pPr>
            <w:r>
              <w:rPr>
                <w:rFonts w:hint="eastAsia" w:cs="宋体"/>
                <w:bCs/>
                <w:kern w:val="2"/>
                <w:sz w:val="21"/>
                <w:szCs w:val="21"/>
              </w:rPr>
              <w:t>选址选线环境合理性分析</w:t>
            </w:r>
          </w:p>
        </w:tc>
        <w:tc>
          <w:tcPr>
            <w:tcW w:w="7699" w:type="dxa"/>
            <w:shd w:val="clear" w:color="auto" w:fill="auto"/>
            <w:noWrap w:val="0"/>
            <w:vAlign w:val="top"/>
          </w:tcPr>
          <w:p>
            <w:pPr>
              <w:pStyle w:val="49"/>
              <w:bidi w:val="0"/>
            </w:pPr>
            <w:r>
              <w:rPr>
                <w:rFonts w:hint="default" w:ascii="Times New Roman" w:hAnsi="Times New Roman" w:cs="Times New Roman"/>
                <w:highlight w:val="none"/>
                <w:lang w:val="en-US" w:eastAsia="zh-CN"/>
              </w:rPr>
              <w:t>勘探区位于</w:t>
            </w:r>
            <w:r>
              <w:rPr>
                <w:rFonts w:hint="eastAsia" w:cs="Times New Roman"/>
                <w:highlight w:val="none"/>
                <w:lang w:val="en-US" w:eastAsia="zh-CN"/>
              </w:rPr>
              <w:t>焉耆回族自治县西南264°</w:t>
            </w:r>
            <w:r>
              <w:rPr>
                <w:rFonts w:hint="default" w:ascii="Times New Roman" w:hAnsi="Times New Roman" w:cs="Times New Roman"/>
                <w:highlight w:val="none"/>
                <w:lang w:val="en-US" w:eastAsia="zh-CN"/>
              </w:rPr>
              <w:t>方向，直线距离</w:t>
            </w:r>
            <w:r>
              <w:rPr>
                <w:rFonts w:hint="eastAsia" w:cs="Times New Roman"/>
                <w:highlight w:val="none"/>
                <w:lang w:val="en-US" w:eastAsia="zh-CN"/>
              </w:rPr>
              <w:t>县城</w:t>
            </w:r>
            <w:r>
              <w:rPr>
                <w:rFonts w:hint="default" w:ascii="Times New Roman" w:hAnsi="Times New Roman" w:cs="Times New Roman"/>
                <w:highlight w:val="none"/>
                <w:lang w:val="en-US" w:eastAsia="zh-CN"/>
              </w:rPr>
              <w:t>102千米，中心点坐标（CGCS2000坐标系）：东经86°12′44.707″，北纬41°56′45.883″。工作区面积</w:t>
            </w:r>
            <w:r>
              <w:rPr>
                <w:rFonts w:hint="eastAsia" w:cs="Times New Roman"/>
                <w:highlight w:val="none"/>
                <w:lang w:val="en-US" w:eastAsia="zh-CN"/>
              </w:rPr>
              <w:t>8.39</w:t>
            </w:r>
            <w:r>
              <w:rPr>
                <w:rFonts w:hint="default" w:ascii="Times New Roman" w:hAnsi="Times New Roman" w:cs="Times New Roman"/>
                <w:highlight w:val="none"/>
                <w:lang w:val="en-US" w:eastAsia="zh-CN"/>
              </w:rPr>
              <w:t>平方千米</w:t>
            </w:r>
            <w:r>
              <w:rPr>
                <w:rFonts w:hint="default" w:ascii="Times New Roman" w:hAnsi="Times New Roman" w:cs="Times New Roman"/>
                <w:lang w:val="en-US" w:eastAsia="zh-CN"/>
              </w:rPr>
              <w:t>，行政区划隶属于</w:t>
            </w:r>
            <w:r>
              <w:rPr>
                <w:rFonts w:hint="eastAsia" w:cs="Times New Roman"/>
                <w:lang w:val="en-US" w:eastAsia="zh-CN"/>
              </w:rPr>
              <w:t>焉耆回族自治县</w:t>
            </w:r>
            <w:r>
              <w:rPr>
                <w:rFonts w:hint="default" w:ascii="Times New Roman" w:hAnsi="Times New Roman" w:cs="Times New Roman"/>
                <w:lang w:val="en-US" w:eastAsia="zh-CN"/>
              </w:rPr>
              <w:t>管辖</w:t>
            </w:r>
            <w:r>
              <w:rPr>
                <w:rFonts w:hint="eastAsia"/>
              </w:rPr>
              <w:t>。项目区及周围区域环境关系较单纯，无重要保护文物、风景名胜区、水源保护地、生态敏感点等明显的环境制约因子</w:t>
            </w:r>
            <w:r>
              <w:rPr>
                <w:rFonts w:hint="eastAsia"/>
                <w:lang w:eastAsia="zh-CN"/>
              </w:rPr>
              <w:t>。</w:t>
            </w:r>
          </w:p>
          <w:p>
            <w:pPr>
              <w:pStyle w:val="49"/>
              <w:bidi w:val="0"/>
              <w:rPr>
                <w:rFonts w:hint="default"/>
              </w:rPr>
            </w:pPr>
            <w:r>
              <w:rPr>
                <w:rFonts w:hint="default"/>
              </w:rPr>
              <w:t>根据《产业结构调整指导目录（20</w:t>
            </w:r>
            <w:r>
              <w:rPr>
                <w:rFonts w:hint="eastAsia"/>
                <w:lang w:val="en-US" w:eastAsia="zh-CN"/>
              </w:rPr>
              <w:t>24</w:t>
            </w:r>
            <w:r>
              <w:rPr>
                <w:rFonts w:hint="default"/>
              </w:rPr>
              <w:t>年本）》，</w:t>
            </w:r>
            <w:r>
              <w:rPr>
                <w:rFonts w:hint="default"/>
                <w:lang w:val="en-US" w:eastAsia="zh-CN"/>
              </w:rPr>
              <w:t>本项目属于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项目不属于高污染、高能耗行业；项目已取得该区域的探矿权，</w:t>
            </w:r>
            <w:r>
              <w:rPr>
                <w:rFonts w:hint="eastAsia"/>
                <w:lang w:val="en-US" w:eastAsia="zh-CN"/>
              </w:rPr>
              <w:t>探矿</w:t>
            </w:r>
            <w:r>
              <w:rPr>
                <w:rFonts w:hint="default"/>
                <w:lang w:val="en-US" w:eastAsia="zh-CN"/>
              </w:rPr>
              <w:t>证号</w:t>
            </w:r>
            <w:r>
              <w:rPr>
                <w:rFonts w:hint="default"/>
                <w:highlight w:val="none"/>
                <w:lang w:val="en-US" w:eastAsia="zh-CN"/>
              </w:rPr>
              <w:t>：</w:t>
            </w:r>
            <w:r>
              <w:rPr>
                <w:rFonts w:hint="eastAsia"/>
                <w:highlight w:val="none"/>
                <w:lang w:val="en-US" w:eastAsia="zh-CN"/>
              </w:rPr>
              <w:t>T6500002008123010021160。</w:t>
            </w:r>
            <w:r>
              <w:rPr>
                <w:rFonts w:hint="eastAsia"/>
                <w:lang w:val="en-US" w:eastAsia="zh-CN"/>
              </w:rPr>
              <w:t>所以本项目</w:t>
            </w:r>
            <w:r>
              <w:rPr>
                <w:rFonts w:hint="default"/>
                <w:lang w:val="en-US" w:eastAsia="zh-CN"/>
              </w:rPr>
              <w:t>符合产业政策和环境准入要求。</w:t>
            </w:r>
          </w:p>
          <w:p>
            <w:pPr>
              <w:pStyle w:val="49"/>
              <w:bidi w:val="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为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w:t>
            </w:r>
            <w:r>
              <w:rPr>
                <w:rFonts w:hint="eastAsia"/>
                <w:highlight w:val="none"/>
                <w:lang w:val="en-US" w:eastAsia="zh-CN"/>
              </w:rPr>
              <w:t>项目</w:t>
            </w:r>
            <w:r>
              <w:rPr>
                <w:rFonts w:hint="default"/>
                <w:highlight w:val="none"/>
              </w:rPr>
              <w:t>主要针对</w:t>
            </w:r>
            <w:r>
              <w:rPr>
                <w:rFonts w:hint="eastAsia"/>
                <w:highlight w:val="none"/>
                <w:lang w:val="en-US" w:eastAsia="zh-CN"/>
              </w:rPr>
              <w:t>铜多金属矿</w:t>
            </w:r>
            <w:r>
              <w:rPr>
                <w:rFonts w:hint="default"/>
                <w:highlight w:val="none"/>
              </w:rPr>
              <w:t>进行勘查</w:t>
            </w:r>
            <w:r>
              <w:rPr>
                <w:rFonts w:hint="eastAsia"/>
                <w:highlight w:val="none"/>
                <w:lang w:eastAsia="zh-CN"/>
              </w:rPr>
              <w:t>，</w:t>
            </w:r>
            <w:r>
              <w:rPr>
                <w:rFonts w:hint="eastAsia"/>
                <w:highlight w:val="none"/>
                <w:lang w:val="en-US" w:eastAsia="zh-CN"/>
              </w:rPr>
              <w:t>不属于限制、禁止</w:t>
            </w:r>
            <w:r>
              <w:rPr>
                <w:rFonts w:hint="eastAsia"/>
                <w:lang w:val="en-US" w:eastAsia="zh-CN"/>
              </w:rPr>
              <w:t>开采矿种，符合《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9"/>
              <w:bidi w:val="0"/>
              <w:rPr>
                <w:rFonts w:hint="default"/>
                <w:lang w:val="en-US" w:eastAsia="zh-CN"/>
              </w:rPr>
            </w:pPr>
            <w:r>
              <w:rPr>
                <w:rFonts w:hint="default"/>
                <w:highlight w:val="none"/>
                <w:lang w:val="en-US" w:eastAsia="zh-CN"/>
              </w:rPr>
              <w:t>项目开发过程中须加强水土保持工作，控制人为活动造成新的水土流失。勘探区采用了边开挖、边回填、边复垦的勘探方式，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9"/>
              <w:bidi w:val="0"/>
              <w:rPr>
                <w:rFonts w:hint="default"/>
                <w:lang w:eastAsia="zh-CN"/>
              </w:rPr>
            </w:pPr>
            <w:r>
              <w:rPr>
                <w:rFonts w:hint="eastAsia"/>
                <w:lang w:val="en-US" w:eastAsia="zh-CN"/>
              </w:rPr>
              <w:t>综上</w:t>
            </w:r>
            <w:r>
              <w:rPr>
                <w:rFonts w:hint="default"/>
                <w:lang w:eastAsia="zh-CN"/>
              </w:rPr>
              <w:t>，本项目选址合理。</w:t>
            </w:r>
          </w:p>
          <w:p>
            <w:pPr>
              <w:pStyle w:val="49"/>
              <w:bidi w:val="0"/>
              <w:rPr>
                <w:rFonts w:hint="default"/>
                <w:lang w:eastAsia="zh-CN"/>
              </w:rPr>
            </w:pPr>
          </w:p>
          <w:p>
            <w:pPr>
              <w:pStyle w:val="49"/>
              <w:bidi w:val="0"/>
              <w:rPr>
                <w:rFonts w:hint="default"/>
                <w:lang w:eastAsia="zh-CN"/>
              </w:rPr>
            </w:pPr>
          </w:p>
          <w:p>
            <w:pPr>
              <w:pStyle w:val="49"/>
              <w:bidi w:val="0"/>
              <w:rPr>
                <w:rFonts w:hint="default"/>
                <w:lang w:eastAsia="zh-CN"/>
              </w:rPr>
            </w:pPr>
          </w:p>
          <w:p>
            <w:pPr>
              <w:pStyle w:val="49"/>
              <w:bidi w:val="0"/>
              <w:rPr>
                <w:rFonts w:hint="default"/>
                <w:lang w:eastAsia="zh-CN"/>
              </w:rPr>
            </w:pPr>
          </w:p>
          <w:p>
            <w:pPr>
              <w:pStyle w:val="49"/>
              <w:bidi w:val="0"/>
              <w:rPr>
                <w:rFonts w:hint="default"/>
                <w:lang w:eastAsia="zh-CN"/>
              </w:rPr>
            </w:pPr>
          </w:p>
          <w:p>
            <w:pPr>
              <w:pStyle w:val="49"/>
              <w:bidi w:val="0"/>
              <w:rPr>
                <w:rFonts w:hint="default"/>
                <w:lang w:eastAsia="zh-CN"/>
              </w:rPr>
            </w:pPr>
          </w:p>
          <w:p>
            <w:pPr>
              <w:pStyle w:val="49"/>
              <w:bidi w:val="0"/>
              <w:rPr>
                <w:rFonts w:hint="eastAsia"/>
                <w:lang w:val="en-US" w:eastAsia="zh-CN"/>
              </w:rPr>
            </w:pPr>
          </w:p>
        </w:tc>
      </w:tr>
    </w:tbl>
    <w:p>
      <w:pPr>
        <w:pStyle w:val="22"/>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2"/>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4"/>
        <w:tblW w:w="83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7"/>
        <w:gridCol w:w="77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524" w:hRule="atLeast"/>
          <w:jc w:val="center"/>
        </w:trPr>
        <w:tc>
          <w:tcPr>
            <w:tcW w:w="567" w:type="dxa"/>
            <w:noWrap w:val="0"/>
            <w:tcMar>
              <w:left w:w="28" w:type="dxa"/>
              <w:right w:w="28" w:type="dxa"/>
            </w:tcMar>
            <w:vAlign w:val="center"/>
          </w:tcPr>
          <w:p>
            <w:pPr>
              <w:adjustRightInd w:val="0"/>
              <w:snapToGrid w:val="0"/>
              <w:jc w:val="center"/>
              <w:rPr>
                <w:rFonts w:ascii="宋体" w:hAnsi="宋体"/>
                <w:bCs/>
                <w:szCs w:val="21"/>
              </w:rPr>
            </w:pPr>
            <w:r>
              <w:rPr>
                <w:rFonts w:hint="eastAsia" w:ascii="宋体" w:hAnsi="宋体" w:cs="宋体"/>
                <w:bCs/>
                <w:spacing w:val="10"/>
                <w:szCs w:val="21"/>
              </w:rPr>
              <w:t>施工期生态环境保护措施</w:t>
            </w:r>
          </w:p>
        </w:tc>
        <w:tc>
          <w:tcPr>
            <w:tcW w:w="7746" w:type="dxa"/>
            <w:noWrap w:val="0"/>
            <w:vAlign w:val="center"/>
          </w:tcPr>
          <w:p>
            <w:pPr>
              <w:pStyle w:val="49"/>
              <w:numPr>
                <w:ilvl w:val="0"/>
                <w:numId w:val="0"/>
              </w:numPr>
              <w:bidi w:val="0"/>
              <w:ind w:firstLine="480" w:firstLineChars="200"/>
              <w:rPr>
                <w:rFonts w:hint="default"/>
                <w:shd w:val="clear" w:color="auto" w:fill="auto"/>
                <w:lang w:val="en-US" w:eastAsia="zh-CN"/>
              </w:rPr>
            </w:pPr>
            <w:r>
              <w:rPr>
                <w:rFonts w:hint="default"/>
                <w:shd w:val="clear" w:color="auto" w:fill="auto"/>
                <w:lang w:val="en-US" w:eastAsia="zh-CN"/>
              </w:rPr>
              <w:t>本项目无施工期，因此不需要进行施工期生态环境保护措施。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62" w:hRule="atLeast"/>
          <w:jc w:val="center"/>
        </w:trPr>
        <w:tc>
          <w:tcPr>
            <w:tcW w:w="567" w:type="dxa"/>
            <w:noWrap w:val="0"/>
            <w:tcMar>
              <w:left w:w="28" w:type="dxa"/>
              <w:right w:w="28" w:type="dxa"/>
            </w:tcMar>
            <w:vAlign w:val="center"/>
          </w:tcPr>
          <w:p>
            <w:pPr>
              <w:adjustRightInd w:val="0"/>
              <w:snapToGrid w:val="0"/>
              <w:jc w:val="center"/>
              <w:rPr>
                <w:rFonts w:ascii="宋体" w:hAnsi="宋体" w:cs="宋体"/>
                <w:bCs/>
                <w:spacing w:val="10"/>
                <w:szCs w:val="21"/>
              </w:rPr>
            </w:pPr>
            <w:r>
              <w:rPr>
                <w:rFonts w:hint="eastAsia" w:ascii="宋体" w:hAnsi="宋体" w:cs="宋体"/>
                <w:bCs/>
                <w:spacing w:val="10"/>
                <w:szCs w:val="21"/>
                <w:lang w:eastAsia="zh-CN"/>
              </w:rPr>
              <w:t>勘探期</w:t>
            </w:r>
            <w:r>
              <w:rPr>
                <w:rFonts w:hint="eastAsia" w:ascii="宋体" w:hAnsi="宋体" w:cs="宋体"/>
                <w:bCs/>
                <w:spacing w:val="10"/>
                <w:szCs w:val="21"/>
              </w:rPr>
              <w:t>生态环境保护措施</w:t>
            </w:r>
          </w:p>
        </w:tc>
        <w:tc>
          <w:tcPr>
            <w:tcW w:w="7746" w:type="dxa"/>
            <w:noWrap w:val="0"/>
            <w:vAlign w:val="center"/>
          </w:tcPr>
          <w:p>
            <w:pPr>
              <w:pStyle w:val="51"/>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ascii="Times New Roman" w:hAnsi="Times New Roman" w:eastAsia="宋体" w:cs="Times New Roman"/>
                <w:b/>
                <w:bCs/>
                <w:kern w:val="2"/>
                <w:szCs w:val="24"/>
                <w:lang w:val="en-US" w:eastAsia="zh-CN" w:bidi="ar-SA"/>
              </w:rPr>
              <w:t>1</w:t>
            </w:r>
            <w:r>
              <w:rPr>
                <w:rFonts w:hint="eastAsia"/>
                <w:lang w:val="en-US" w:eastAsia="zh-CN"/>
              </w:rPr>
              <w:t>.生态环境影响保护措施</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1.1</w:t>
            </w:r>
            <w:r>
              <w:rPr>
                <w:rFonts w:hint="eastAsia"/>
                <w:lang w:eastAsia="zh-CN"/>
              </w:rPr>
              <w:t>陆生生物</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）植物植被</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eastAsia="zh-CN"/>
              </w:rPr>
              <w:t>工作区地质</w:t>
            </w:r>
            <w:r>
              <w:rPr>
                <w:rFonts w:hint="eastAsia"/>
                <w:lang w:val="en-US" w:eastAsia="zh-CN"/>
              </w:rPr>
              <w:t>活动主要为槽探和钻探</w:t>
            </w:r>
            <w:r>
              <w:rPr>
                <w:rFonts w:hint="eastAsia"/>
                <w:lang w:eastAsia="zh-CN"/>
              </w:rPr>
              <w:t>，</w:t>
            </w:r>
            <w:r>
              <w:rPr>
                <w:rFonts w:hint="eastAsia"/>
                <w:lang w:val="en-US" w:eastAsia="zh-CN"/>
              </w:rPr>
              <w:t>运营</w:t>
            </w:r>
            <w:r>
              <w:rPr>
                <w:rFonts w:hint="eastAsia"/>
                <w:lang w:eastAsia="zh-CN"/>
              </w:rPr>
              <w:t>过程中会对原有土地造成一定程度破坏。本次工程施工场地的布置将临时改变占地区土地利用状况，同样对一些植被造成损坏。</w:t>
            </w:r>
            <w:r>
              <w:rPr>
                <w:rFonts w:hint="default"/>
              </w:rPr>
              <w:t>根据现场调查了解，矿区内自然植物类型单一，种类、数量均较少，以</w:t>
            </w:r>
            <w:r>
              <w:rPr>
                <w:rFonts w:hint="default"/>
                <w:highlight w:val="none"/>
              </w:rPr>
              <w:t>草本</w:t>
            </w:r>
            <w:r>
              <w:rPr>
                <w:rFonts w:hint="default"/>
              </w:rPr>
              <w:t>植物为主，每年5～7月在该区域生长。评价区内未发现国家重点保护野生植物。由于</w:t>
            </w:r>
            <w:r>
              <w:rPr>
                <w:rFonts w:hint="eastAsia"/>
                <w:lang w:val="en-US" w:eastAsia="zh-CN"/>
              </w:rPr>
              <w:t>探矿工程施工</w:t>
            </w:r>
            <w:r>
              <w:rPr>
                <w:rFonts w:hint="default"/>
              </w:rPr>
              <w:t>，破坏了原有的植被和地貌景观，不可避免地要对地表植被造成破坏。</w:t>
            </w:r>
            <w:r>
              <w:rPr>
                <w:rFonts w:hint="default"/>
                <w:lang w:val="en-US" w:eastAsia="zh-CN"/>
              </w:rPr>
              <w:t>勘探期间应采取以下措施：</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①</w:t>
            </w:r>
            <w:r>
              <w:rPr>
                <w:rFonts w:hint="default"/>
              </w:rPr>
              <w:t>本评价要求建设单位</w:t>
            </w:r>
            <w:r>
              <w:rPr>
                <w:rFonts w:hint="eastAsia"/>
                <w:lang w:val="en-US" w:eastAsia="zh-CN"/>
              </w:rPr>
              <w:t>综合考虑地形、地质与植被分布，合理规划施工场地等设施的布局，避免不必要的土地占用。优先选择植被覆盖度更低、生态敏感度相对较低的区域作为临时用地。</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②尽量采用对植被破坏较小的施工工艺和设备，如使用小型、轻型设备，减少重型机械的碾压。在搬运设备和材料时，避免拖拽，防止对植被造成额外的损伤。</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③</w:t>
            </w:r>
            <w:r>
              <w:rPr>
                <w:rFonts w:hint="default"/>
              </w:rPr>
              <w:t>在</w:t>
            </w:r>
            <w:r>
              <w:rPr>
                <w:rFonts w:hint="eastAsia"/>
                <w:lang w:val="en-US" w:eastAsia="zh-CN"/>
              </w:rPr>
              <w:t>勘探结束后</w:t>
            </w:r>
            <w:r>
              <w:rPr>
                <w:rFonts w:hint="default"/>
              </w:rPr>
              <w:t>，</w:t>
            </w:r>
            <w:r>
              <w:rPr>
                <w:rFonts w:hint="eastAsia"/>
                <w:lang w:val="en-US" w:eastAsia="zh-CN"/>
              </w:rPr>
              <w:t>及时开展植被恢复工作，利用之前收集的表土对临时占用的土地进行覆土。</w:t>
            </w:r>
            <w:r>
              <w:rPr>
                <w:rFonts w:hint="default"/>
              </w:rPr>
              <w:t>对</w:t>
            </w:r>
            <w:r>
              <w:rPr>
                <w:rFonts w:hint="eastAsia"/>
                <w:lang w:val="en-US" w:eastAsia="zh-CN"/>
              </w:rPr>
              <w:t>勘探场地进行回填、</w:t>
            </w:r>
            <w:r>
              <w:rPr>
                <w:rFonts w:hint="default"/>
              </w:rPr>
              <w:t>进行迹地清理平整，项目营运过程中形成的裸露地表经过一段时间后可逐渐恢复原有的生态环境，区域内生态环境能够得到改善。</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④</w:t>
            </w:r>
            <w:r>
              <w:rPr>
                <w:rFonts w:hint="eastAsia"/>
              </w:rPr>
              <w:t>勘探过程中应注意</w:t>
            </w:r>
            <w:r>
              <w:rPr>
                <w:rFonts w:hint="eastAsia"/>
                <w:lang w:eastAsia="zh-CN"/>
              </w:rPr>
              <w:t>避让</w:t>
            </w:r>
            <w:r>
              <w:rPr>
                <w:rFonts w:hint="eastAsia"/>
              </w:rPr>
              <w:t>保护植物，不因项目建设对其生境造成破坏影响。</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陆生</w:t>
            </w:r>
            <w:r>
              <w:rPr>
                <w:rFonts w:hint="eastAsia"/>
                <w:lang w:eastAsia="zh-CN"/>
              </w:rPr>
              <w:t>动物</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lang w:val="en-US"/>
              </w:rPr>
            </w:pPr>
            <w:r>
              <w:rPr>
                <w:rFonts w:hint="eastAsia"/>
                <w:lang w:eastAsia="zh-CN"/>
              </w:rPr>
              <w:t>经现场踏勘和资料分析，本项目</w:t>
            </w:r>
            <w:r>
              <w:rPr>
                <w:rFonts w:hint="eastAsia"/>
                <w:lang w:val="en-US" w:eastAsia="zh-CN"/>
              </w:rPr>
              <w:t>可能涉及小型野生动物的栖息地</w:t>
            </w:r>
            <w:r>
              <w:rPr>
                <w:rFonts w:hint="eastAsia"/>
                <w:lang w:eastAsia="zh-CN"/>
              </w:rPr>
              <w:t>，</w:t>
            </w:r>
            <w:r>
              <w:rPr>
                <w:rFonts w:hint="eastAsia"/>
                <w:lang w:val="en-US" w:eastAsia="zh-CN"/>
              </w:rPr>
              <w:t>槽探开挖</w:t>
            </w:r>
            <w:r>
              <w:rPr>
                <w:rFonts w:hint="default"/>
                <w:lang w:val="en-US" w:eastAsia="zh-CN"/>
              </w:rPr>
              <w:t>及</w:t>
            </w:r>
            <w:r>
              <w:rPr>
                <w:rFonts w:hint="eastAsia"/>
                <w:lang w:val="en-US" w:eastAsia="zh-CN"/>
              </w:rPr>
              <w:t>施工</w:t>
            </w:r>
            <w:r>
              <w:rPr>
                <w:rFonts w:hint="default"/>
              </w:rPr>
              <w:t>作业</w:t>
            </w:r>
            <w:r>
              <w:rPr>
                <w:rFonts w:hint="eastAsia"/>
                <w:lang w:val="en-US" w:eastAsia="zh-CN"/>
              </w:rPr>
              <w:t>破坏地形地貌</w:t>
            </w:r>
            <w:r>
              <w:rPr>
                <w:rFonts w:hint="default"/>
              </w:rPr>
              <w:t>的同时，也破坏了原有生态环</w:t>
            </w:r>
            <w:r>
              <w:rPr>
                <w:rFonts w:hint="eastAsia"/>
                <w:lang w:eastAsia="zh-CN"/>
              </w:rPr>
              <w:t>境和</w:t>
            </w:r>
            <w:r>
              <w:rPr>
                <w:rFonts w:hint="default"/>
              </w:rPr>
              <w:t>小型野生动物的栖息环境，加上开采机械噪声及人员活动产生的影响，</w:t>
            </w:r>
            <w:r>
              <w:rPr>
                <w:rFonts w:hint="eastAsia"/>
                <w:lang w:val="en-US" w:eastAsia="zh-CN"/>
              </w:rPr>
              <w:t>会</w:t>
            </w:r>
            <w:r>
              <w:rPr>
                <w:rFonts w:hint="default"/>
              </w:rPr>
              <w:t>对周围动物的生活造成干扰，使它们的生活受到威胁而迁徙，远离开采地周围。</w:t>
            </w:r>
            <w:r>
              <w:rPr>
                <w:rFonts w:hint="default"/>
                <w:lang w:val="en-US" w:eastAsia="zh-CN"/>
              </w:rPr>
              <w:t>勘探期</w:t>
            </w:r>
            <w:r>
              <w:rPr>
                <w:rFonts w:hint="eastAsia"/>
                <w:lang w:val="en-US" w:eastAsia="zh-CN"/>
              </w:rPr>
              <w:t>间应采取以下措施：</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①勘探期间应</w:t>
            </w:r>
            <w:r>
              <w:rPr>
                <w:rFonts w:hint="eastAsia"/>
                <w:lang w:eastAsia="zh-CN"/>
              </w:rPr>
              <w:t>严格规划行驶道路，尽可能减少对野生动物的扰动，</w:t>
            </w:r>
            <w:r>
              <w:rPr>
                <w:rFonts w:hint="eastAsia"/>
                <w:lang w:val="en-US" w:eastAsia="zh-CN"/>
              </w:rPr>
              <w:t>尽量</w:t>
            </w:r>
            <w:r>
              <w:rPr>
                <w:rFonts w:hint="eastAsia"/>
                <w:lang w:eastAsia="zh-CN"/>
              </w:rPr>
              <w:t>使用当地已有道路、牧道、不开辟新路线。对确需碾压地段，</w:t>
            </w:r>
            <w:r>
              <w:rPr>
                <w:rFonts w:hint="eastAsia"/>
                <w:lang w:val="en-US" w:eastAsia="zh-CN"/>
              </w:rPr>
              <w:t>及时</w:t>
            </w:r>
            <w:r>
              <w:rPr>
                <w:rFonts w:hint="eastAsia"/>
                <w:lang w:eastAsia="zh-CN"/>
              </w:rPr>
              <w:t>进行</w:t>
            </w:r>
            <w:r>
              <w:rPr>
                <w:rFonts w:hint="eastAsia"/>
                <w:lang w:val="en-US" w:eastAsia="zh-CN"/>
              </w:rPr>
              <w:t>迹地</w:t>
            </w:r>
            <w:r>
              <w:rPr>
                <w:rFonts w:hint="eastAsia"/>
                <w:lang w:eastAsia="zh-CN"/>
              </w:rPr>
              <w:t>的恢复治理，行驶时避让野生动物，不追逐，不惊吓。</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②</w:t>
            </w:r>
            <w:r>
              <w:rPr>
                <w:rFonts w:hint="default"/>
              </w:rPr>
              <w:t>根据调查，大部分野生动物都是夜间出没，因此</w:t>
            </w:r>
            <w:r>
              <w:rPr>
                <w:rFonts w:hint="default"/>
                <w:lang w:val="en-US" w:eastAsia="zh-CN"/>
              </w:rPr>
              <w:t>建设</w:t>
            </w:r>
            <w:r>
              <w:rPr>
                <w:rFonts w:hint="default"/>
              </w:rPr>
              <w:t>单位应该加强</w:t>
            </w:r>
            <w:r>
              <w:rPr>
                <w:rFonts w:hint="default"/>
                <w:lang w:val="en-US" w:eastAsia="zh-CN"/>
              </w:rPr>
              <w:t>开采</w:t>
            </w:r>
            <w:r>
              <w:rPr>
                <w:rFonts w:hint="default"/>
              </w:rPr>
              <w:t>管理，在</w:t>
            </w:r>
            <w:r>
              <w:rPr>
                <w:rFonts w:hint="eastAsia"/>
                <w:lang w:val="en-US" w:eastAsia="zh-CN"/>
              </w:rPr>
              <w:t>勘探</w:t>
            </w:r>
            <w:r>
              <w:rPr>
                <w:rFonts w:hint="default"/>
              </w:rPr>
              <w:t>过程中应尽量安排在白天，避免夜间</w:t>
            </w:r>
            <w:r>
              <w:rPr>
                <w:rFonts w:hint="default"/>
                <w:lang w:val="en-US" w:eastAsia="zh-CN"/>
              </w:rPr>
              <w:t>开采</w:t>
            </w:r>
            <w:r>
              <w:rPr>
                <w:rFonts w:hint="default"/>
              </w:rPr>
              <w:t>对野生动物的影响。</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③</w:t>
            </w:r>
            <w:r>
              <w:rPr>
                <w:rFonts w:hint="default"/>
                <w:lang w:val="en-US" w:eastAsia="zh-CN"/>
              </w:rPr>
              <w:t>加强员工对野生动物的保护意识，禁止捕捉野生动物，避免在野生动物的繁殖期、育幼期等敏感时期进行高强度作业</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eastAsia="zh-CN"/>
              </w:rPr>
              <w:t>，</w:t>
            </w:r>
            <w:r>
              <w:rPr>
                <w:rFonts w:hint="default"/>
                <w:lang w:val="en-US" w:eastAsia="zh-CN"/>
              </w:rPr>
              <w:t>避免惊吓野生动物。</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lang w:val="en-US" w:eastAsia="zh-CN"/>
              </w:rPr>
              <w:t>项目</w:t>
            </w:r>
            <w:r>
              <w:rPr>
                <w:rFonts w:hint="default"/>
              </w:rPr>
              <w:t>分布的小型野生动物为当地常见类型，由于当地人为活动、车辆行驶频繁，这些动物已经对人为活动有一定的适应能力，因此，项目开采不会造成该区域某一物种消失，对这些动物的生存影响较小。</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1.2土壤环境</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焉耆回族自治县</w:t>
            </w:r>
            <w:r>
              <w:t>地处焉耆山间断陷盆地，全境覆盖50～60m厚第四纪冲洪积沉积物，成土母质以砂壤、砾质冲洪积物为主。全县共划分潮土、灌耕土、棕漠土、草甸土、盐土、风沙土、沼泽土7大类土壤</w:t>
            </w:r>
            <w:r>
              <w:rPr>
                <w:rFonts w:hint="eastAsia"/>
                <w:lang w:eastAsia="zh-CN"/>
              </w:rPr>
              <w:t>。工程施工过程中的土方开挖、回填、机械碾压</w:t>
            </w:r>
            <w:r>
              <w:rPr>
                <w:rFonts w:hint="eastAsia"/>
                <w:lang w:val="en-US" w:eastAsia="zh-CN"/>
              </w:rPr>
              <w:t>等活动</w:t>
            </w:r>
            <w:r>
              <w:rPr>
                <w:rFonts w:hint="eastAsia"/>
                <w:lang w:eastAsia="zh-CN"/>
              </w:rPr>
              <w:t>会破坏原有土层结构，引发土壤板结问题，进一步加剧局部区域次生盐渍化程度。</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勘探期</w:t>
            </w:r>
            <w:r>
              <w:rPr>
                <w:rFonts w:hint="default"/>
                <w:lang w:val="en-US" w:eastAsia="zh-CN"/>
              </w:rPr>
              <w:t>应严格控制施工区域，尽可能缩小施工范围，减少开挖量和生态破</w:t>
            </w:r>
            <w:r>
              <w:rPr>
                <w:rFonts w:hint="eastAsia"/>
                <w:lang w:val="en-US" w:eastAsia="zh-CN"/>
              </w:rPr>
              <w:t>坏</w:t>
            </w:r>
            <w:r>
              <w:rPr>
                <w:rFonts w:hint="default"/>
                <w:lang w:val="en-US" w:eastAsia="zh-CN"/>
              </w:rPr>
              <w:t>面积，从而减少开挖和恢复面积；优化土石方平衡，减少水土流失。加强施工期机械、车辆行驶路线的管理，划定明确的施工作业范围和行驶路线，严禁越界施工和偏离施工便道进行无监管活动</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val="en-US" w:eastAsia="zh-CN"/>
              </w:rPr>
              <w:t>。项目施工开挖、机械碾压、土石方堆存会扰动土层结构，造成土壤板结，加剧局部次生盐渍化。</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1.3自然</w:t>
            </w:r>
            <w:r>
              <w:t>景观</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rPr>
              <w:t>项目已制定具体的复垦方案，预留了复垦保障资金，采取边</w:t>
            </w:r>
            <w:r>
              <w:rPr>
                <w:rFonts w:hint="eastAsia"/>
                <w:lang w:val="en-US" w:eastAsia="zh-CN"/>
              </w:rPr>
              <w:t>开挖</w:t>
            </w:r>
            <w:r>
              <w:rPr>
                <w:rFonts w:hint="default"/>
              </w:rPr>
              <w:t>边恢复</w:t>
            </w:r>
            <w:r>
              <w:rPr>
                <w:rFonts w:hint="eastAsia"/>
                <w:lang w:val="en-US" w:eastAsia="zh-CN"/>
              </w:rPr>
              <w:t>开挖</w:t>
            </w:r>
            <w:r>
              <w:rPr>
                <w:rFonts w:hint="default"/>
              </w:rPr>
              <w:t>迹地的方法，</w:t>
            </w:r>
            <w:r>
              <w:rPr>
                <w:rFonts w:hint="eastAsia"/>
                <w:lang w:val="en-US" w:eastAsia="zh-CN"/>
              </w:rPr>
              <w:t>对施工迹地</w:t>
            </w:r>
            <w:r>
              <w:rPr>
                <w:rFonts w:hint="default"/>
              </w:rPr>
              <w:t>进行恢复，</w:t>
            </w:r>
            <w:r>
              <w:rPr>
                <w:rFonts w:hint="eastAsia"/>
                <w:lang w:val="en-US" w:eastAsia="zh-CN"/>
              </w:rPr>
              <w:t>确保项目区占地区域基本恢复到探矿前地貌。</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①尽量避开雨季作业，探坑需要及时进行场地清理、回填并进行植被恢复。</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③随着工程结束，探坑将逐步回填、平整，使其与周围地貌基本一致。</w:t>
            </w:r>
          </w:p>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1.4</w:t>
            </w:r>
            <w:r>
              <w:rPr>
                <w:rFonts w:hint="eastAsia"/>
              </w:rPr>
              <w:t>水土流失</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本项目</w:t>
            </w:r>
            <w:r>
              <w:rPr>
                <w:rFonts w:hint="default"/>
              </w:rPr>
              <w:t>位于</w:t>
            </w:r>
            <w:r>
              <w:rPr>
                <w:rFonts w:hint="eastAsia"/>
                <w:lang w:eastAsia="zh-CN"/>
              </w:rPr>
              <w:t>焉耆回族自治县</w:t>
            </w:r>
            <w:r>
              <w:rPr>
                <w:rFonts w:hint="eastAsia"/>
                <w:lang w:val="en-US" w:eastAsia="zh-CN"/>
              </w:rPr>
              <w:t>西南264°方向，直线距离县城102千米</w:t>
            </w:r>
            <w:r>
              <w:rPr>
                <w:rFonts w:hint="default"/>
              </w:rPr>
              <w:t>，项目区的水土流失</w:t>
            </w:r>
            <w:r>
              <w:rPr>
                <w:rFonts w:hint="eastAsia"/>
                <w:lang w:eastAsia="zh-CN"/>
              </w:rPr>
              <w:t>以</w:t>
            </w:r>
            <w:r>
              <w:rPr>
                <w:rFonts w:hint="eastAsia"/>
                <w:lang w:val="en-US" w:eastAsia="zh-CN"/>
              </w:rPr>
              <w:t>风力</w:t>
            </w:r>
            <w:r>
              <w:rPr>
                <w:rFonts w:hint="eastAsia"/>
                <w:lang w:eastAsia="zh-CN"/>
              </w:rPr>
              <w:t>侵蚀为主。勘探区</w:t>
            </w:r>
            <w:r>
              <w:rPr>
                <w:rFonts w:hint="default"/>
              </w:rPr>
              <w:t>采用了边</w:t>
            </w:r>
            <w:r>
              <w:rPr>
                <w:rFonts w:hint="eastAsia"/>
                <w:lang w:eastAsia="zh-CN"/>
              </w:rPr>
              <w:t>开挖</w:t>
            </w:r>
            <w:r>
              <w:rPr>
                <w:rFonts w:hint="default"/>
              </w:rPr>
              <w:t>、边回填、边复垦的</w:t>
            </w:r>
            <w:r>
              <w:rPr>
                <w:rFonts w:hint="eastAsia"/>
                <w:lang w:eastAsia="zh-CN"/>
              </w:rPr>
              <w:t>勘探</w:t>
            </w:r>
            <w:r>
              <w:rPr>
                <w:rFonts w:hint="default"/>
              </w:rPr>
              <w:t>方式，符合《新疆维吾尔自治区水土保持规划（2018</w:t>
            </w:r>
            <w:r>
              <w:rPr>
                <w:rFonts w:hint="eastAsia"/>
                <w:lang w:eastAsia="zh-CN"/>
              </w:rPr>
              <w:t>—</w:t>
            </w:r>
            <w:r>
              <w:rPr>
                <w:rFonts w:hint="default"/>
              </w:rPr>
              <w:t>2030年）》的相关要求。</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本项目运营过程中由于</w:t>
            </w:r>
            <w:r>
              <w:rPr>
                <w:rFonts w:hint="eastAsia"/>
                <w:lang w:eastAsia="zh-CN"/>
              </w:rPr>
              <w:t>勘探</w:t>
            </w:r>
            <w:r>
              <w:rPr>
                <w:rFonts w:hint="eastAsia"/>
              </w:rPr>
              <w:t>活动破坏了地表植被，从而使路面、坡面土壤裸露，在</w:t>
            </w:r>
            <w:r>
              <w:rPr>
                <w:rFonts w:hint="eastAsia"/>
                <w:lang w:val="en-US" w:eastAsia="zh-CN"/>
              </w:rPr>
              <w:t>风力</w:t>
            </w:r>
            <w:r>
              <w:rPr>
                <w:rFonts w:hint="eastAsia"/>
              </w:rPr>
              <w:t>侵蚀的作用下，不可避免地造成一定的水土流失。为减小水土流失的影响，评价要求企业采取以下措施：</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①堆土表面采用彩条布苫盖，减少降雨和风力对弃渣的侵蚀。</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lang w:val="en-US" w:eastAsia="zh-CN"/>
              </w:rPr>
              <w:t>②</w:t>
            </w:r>
            <w:r>
              <w:rPr>
                <w:rFonts w:hint="eastAsia"/>
              </w:rPr>
              <w:t>加强管理，大风天气、雨季不得作业</w:t>
            </w:r>
            <w:r>
              <w:rPr>
                <w:rFonts w:hint="eastAsia"/>
                <w:lang w:eastAsia="zh-CN"/>
              </w:rPr>
              <w:t>。</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default"/>
                <w:lang w:eastAsia="zh-CN"/>
              </w:rPr>
              <w:t>③</w:t>
            </w:r>
            <w:r>
              <w:rPr>
                <w:rFonts w:hint="eastAsia"/>
                <w:lang w:eastAsia="zh-CN"/>
              </w:rPr>
              <w:t>勘探完成</w:t>
            </w:r>
            <w:r>
              <w:rPr>
                <w:rFonts w:hint="eastAsia"/>
              </w:rPr>
              <w:t>后，将</w:t>
            </w:r>
            <w:r>
              <w:rPr>
                <w:rFonts w:hint="eastAsia"/>
                <w:lang w:eastAsia="zh-CN"/>
              </w:rPr>
              <w:t>勘探区</w:t>
            </w:r>
            <w:r>
              <w:rPr>
                <w:rFonts w:hint="eastAsia"/>
              </w:rPr>
              <w:t>土地进行复垦</w:t>
            </w:r>
            <w:r>
              <w:rPr>
                <w:rFonts w:hint="eastAsia"/>
                <w:lang w:eastAsia="zh-CN"/>
              </w:rPr>
              <w:t>，对探坑</w:t>
            </w:r>
            <w:r>
              <w:rPr>
                <w:rFonts w:hint="eastAsia"/>
              </w:rPr>
              <w:t>周边进行表层回填和迹地覆土恢复，及时对周围生态植被进行修复，增加区域防冲和固土能力，减小水土流失的影响。</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本项目在采取以上相关的水土保持措施后，可使采区内水土得以有效保持，不会对生态环境造成较大的影响。</w:t>
            </w:r>
          </w:p>
          <w:p>
            <w:pPr>
              <w:pStyle w:val="49"/>
              <w:keepNext w:val="0"/>
              <w:keepLines w:val="0"/>
              <w:pageBreakBefore w:val="0"/>
              <w:widowControl w:val="0"/>
              <w:kinsoku/>
              <w:wordWrap w:val="0"/>
              <w:overflowPunct/>
              <w:topLinePunct w:val="0"/>
              <w:autoSpaceDE/>
              <w:autoSpaceDN/>
              <w:bidi w:val="0"/>
              <w:adjustRightInd w:val="0"/>
              <w:snapToGrid w:val="0"/>
              <w:ind w:firstLine="0" w:firstLineChars="0"/>
              <w:textAlignment w:val="auto"/>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1.5</w:t>
            </w:r>
            <w:r>
              <w:rPr>
                <w:rFonts w:hint="eastAsia" w:cs="宋体"/>
                <w:b/>
                <w:kern w:val="0"/>
                <w:sz w:val="24"/>
                <w:szCs w:val="24"/>
                <w:lang w:val="en-US" w:eastAsia="zh-CN" w:bidi="ar-SA"/>
              </w:rPr>
              <w:t>土地沙化</w:t>
            </w:r>
          </w:p>
          <w:p>
            <w:pPr>
              <w:pStyle w:val="49"/>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default"/>
                <w:lang w:val="en-US" w:eastAsia="zh-CN"/>
              </w:rPr>
              <w:t>矿山勘查时，各类机械设备的活动</w:t>
            </w:r>
            <w:r>
              <w:rPr>
                <w:rFonts w:hint="eastAsia"/>
                <w:lang w:val="en-US" w:eastAsia="zh-CN"/>
              </w:rPr>
              <w:t>会</w:t>
            </w:r>
            <w:r>
              <w:rPr>
                <w:rFonts w:hint="default"/>
                <w:lang w:val="en-US" w:eastAsia="zh-CN"/>
              </w:rPr>
              <w:t>破坏地表植被</w:t>
            </w:r>
            <w:r>
              <w:rPr>
                <w:rFonts w:hint="eastAsia"/>
                <w:lang w:val="en-US" w:eastAsia="zh-CN"/>
              </w:rPr>
              <w:t>，使其</w:t>
            </w:r>
            <w:r>
              <w:rPr>
                <w:rFonts w:hint="default"/>
                <w:lang w:val="en-US" w:eastAsia="zh-CN"/>
              </w:rPr>
              <w:t>失去植被的固沙作用，</w:t>
            </w:r>
            <w:r>
              <w:rPr>
                <w:rFonts w:hint="eastAsia"/>
                <w:lang w:val="en-US" w:eastAsia="zh-CN"/>
              </w:rPr>
              <w:t>加快</w:t>
            </w:r>
            <w:r>
              <w:rPr>
                <w:rFonts w:hint="default"/>
                <w:lang w:val="en-US" w:eastAsia="zh-CN"/>
              </w:rPr>
              <w:t>土地沙化进程；机械碾压使土壤结构遭到破坏，进一步削弱了土壤的抗风蚀能力；勘查活动产生</w:t>
            </w:r>
            <w:r>
              <w:rPr>
                <w:rFonts w:hint="eastAsia"/>
                <w:lang w:val="en-US" w:eastAsia="zh-CN"/>
              </w:rPr>
              <w:t>的堆土</w:t>
            </w:r>
            <w:r>
              <w:rPr>
                <w:rFonts w:hint="default"/>
                <w:lang w:val="en-US" w:eastAsia="zh-CN"/>
              </w:rPr>
              <w:t>，</w:t>
            </w:r>
            <w:r>
              <w:rPr>
                <w:rFonts w:hint="eastAsia"/>
                <w:lang w:val="en-US" w:eastAsia="zh-CN"/>
              </w:rPr>
              <w:t>会</w:t>
            </w:r>
            <w:r>
              <w:rPr>
                <w:rFonts w:hint="default"/>
                <w:lang w:val="en-US" w:eastAsia="zh-CN"/>
              </w:rPr>
              <w:t>增加空气中沙尘含量，同时周边土壤被侵蚀，导致土地沙化范围扩大。</w:t>
            </w:r>
            <w:r>
              <w:rPr>
                <w:rFonts w:hint="eastAsia"/>
                <w:lang w:val="en-US" w:eastAsia="zh-CN"/>
              </w:rPr>
              <w:t>在勘查期采取以下防沙治沙措施：</w:t>
            </w:r>
          </w:p>
          <w:p>
            <w:pPr>
              <w:pStyle w:val="49"/>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①</w:t>
            </w:r>
            <w:r>
              <w:rPr>
                <w:rFonts w:hint="default"/>
                <w:lang w:val="en-US" w:eastAsia="zh-CN"/>
              </w:rPr>
              <w:t>在探槽</w:t>
            </w:r>
            <w:r>
              <w:rPr>
                <w:rFonts w:hint="eastAsia"/>
                <w:lang w:val="en-US" w:eastAsia="zh-CN"/>
              </w:rPr>
              <w:t>附近</w:t>
            </w:r>
            <w:r>
              <w:rPr>
                <w:rFonts w:hint="default"/>
                <w:lang w:val="en-US" w:eastAsia="zh-CN"/>
              </w:rPr>
              <w:t>设置临时堆场，</w:t>
            </w:r>
            <w:r>
              <w:rPr>
                <w:rFonts w:hint="eastAsia"/>
                <w:lang w:val="en-US" w:eastAsia="zh-CN"/>
              </w:rPr>
              <w:t>堆土</w:t>
            </w:r>
            <w:r>
              <w:rPr>
                <w:rFonts w:hint="default"/>
                <w:lang w:val="en-US" w:eastAsia="zh-CN"/>
              </w:rPr>
              <w:t>采用</w:t>
            </w:r>
            <w:r>
              <w:rPr>
                <w:rFonts w:hint="eastAsia"/>
                <w:lang w:val="en-US" w:eastAsia="zh-CN"/>
              </w:rPr>
              <w:t>彩条布</w:t>
            </w:r>
            <w:r>
              <w:rPr>
                <w:rFonts w:hint="default"/>
                <w:lang w:val="en-US" w:eastAsia="zh-CN"/>
              </w:rPr>
              <w:t>苫盖</w:t>
            </w:r>
            <w:r>
              <w:rPr>
                <w:rFonts w:hint="eastAsia"/>
                <w:lang w:val="en-US" w:eastAsia="zh-CN"/>
              </w:rPr>
              <w:t>，减少风蚀。</w:t>
            </w:r>
          </w:p>
          <w:p>
            <w:pPr>
              <w:pStyle w:val="49"/>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②在作业区域与周边植被之间设置隔离带，防止机械设备和人员误闯入造成植被破坏。</w:t>
            </w:r>
          </w:p>
          <w:p>
            <w:pPr>
              <w:pStyle w:val="49"/>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eastAsia="宋体" w:cs="宋体"/>
                <w:b/>
                <w:kern w:val="0"/>
                <w:sz w:val="24"/>
                <w:szCs w:val="24"/>
                <w:lang w:val="en-US" w:eastAsia="zh-CN" w:bidi="ar-SA"/>
              </w:rPr>
            </w:pPr>
            <w:r>
              <w:rPr>
                <w:rFonts w:hint="eastAsia"/>
                <w:lang w:val="en-US" w:eastAsia="zh-CN"/>
              </w:rPr>
              <w:t>③</w:t>
            </w:r>
            <w:r>
              <w:rPr>
                <w:rFonts w:hint="default"/>
                <w:lang w:val="en-US" w:eastAsia="zh-CN"/>
              </w:rPr>
              <w:t>合理规划作业范围，在勘</w:t>
            </w:r>
            <w:r>
              <w:rPr>
                <w:rFonts w:hint="eastAsia"/>
                <w:lang w:val="en-US" w:eastAsia="zh-CN"/>
              </w:rPr>
              <w:t>查</w:t>
            </w:r>
            <w:r>
              <w:rPr>
                <w:rFonts w:hint="default"/>
                <w:lang w:val="en-US" w:eastAsia="zh-CN"/>
              </w:rPr>
              <w:t>结束后及时开展植被恢复工作。</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2.勘探完成时的生态环境保护及恢复措施</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lang w:val="en-US" w:eastAsia="zh-CN"/>
              </w:rPr>
              <w:t>根据《矿山生态环境保护与恢复治理技术规范(试行)》(HJ 651-2013)和《裸露坡面植被恢复技术规范》（GB/T 38360-2019）可知，探矿完成时的保护措施及恢复如下</w:t>
            </w:r>
            <w:r>
              <w:rPr>
                <w:rFonts w:hint="eastAsia"/>
                <w:lang w:val="en-US" w:eastAsia="zh-CN"/>
              </w:rPr>
              <w:t>。</w:t>
            </w:r>
          </w:p>
          <w:p>
            <w:pPr>
              <w:pStyle w:val="49"/>
              <w:keepNext w:val="0"/>
              <w:keepLines w:val="0"/>
              <w:pageBreakBefore w:val="0"/>
              <w:widowControl w:val="0"/>
              <w:numPr>
                <w:ilvl w:val="0"/>
                <w:numId w:val="1"/>
              </w:numPr>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探矿活动结束后，应根据景观相似原则，对探矿活动造成的土壤、植被和地表景观破坏进行恢复。</w:t>
            </w:r>
          </w:p>
          <w:p>
            <w:pPr>
              <w:pStyle w:val="49"/>
              <w:keepNext w:val="0"/>
              <w:keepLines w:val="0"/>
              <w:pageBreakBefore w:val="0"/>
              <w:widowControl w:val="0"/>
              <w:numPr>
                <w:ilvl w:val="0"/>
                <w:numId w:val="1"/>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对于探槽或钻孔应予回填封闭，并恢复其原有生态功能。</w:t>
            </w:r>
          </w:p>
          <w:p>
            <w:pPr>
              <w:pStyle w:val="49"/>
              <w:keepNext w:val="0"/>
              <w:keepLines w:val="0"/>
              <w:pageBreakBefore w:val="0"/>
              <w:widowControl w:val="0"/>
              <w:numPr>
                <w:ilvl w:val="0"/>
                <w:numId w:val="1"/>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不再使用的沉淀池等各项建筑和基础设施应按照以下要求全部拆除。</w:t>
            </w:r>
          </w:p>
          <w:p>
            <w:pPr>
              <w:pStyle w:val="49"/>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①分类收集：将拆除产生的建筑垃圾、生活垃圾、危险废物等分类收集。</w:t>
            </w:r>
          </w:p>
          <w:p>
            <w:pPr>
              <w:pStyle w:val="49"/>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②合规处置：建筑垃圾可回收部分送回收站，不可回收的运至指定消纳场；生活垃圾每日随车带回交环卫部门收集处理。</w:t>
            </w:r>
          </w:p>
          <w:p>
            <w:pPr>
              <w:pStyle w:val="49"/>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③拆除作业易产生扬尘，定期洒水降尘，干燥天气增加频次，保持地面湿润。</w:t>
            </w:r>
          </w:p>
          <w:p>
            <w:pPr>
              <w:pStyle w:val="49"/>
              <w:keepNext w:val="0"/>
              <w:keepLines w:val="0"/>
              <w:pageBreakBefore w:val="0"/>
              <w:widowControl w:val="0"/>
              <w:numPr>
                <w:ilvl w:val="0"/>
                <w:numId w:val="1"/>
              </w:numPr>
              <w:kinsoku/>
              <w:overflowPunct/>
              <w:topLinePunct w:val="0"/>
              <w:autoSpaceDE/>
              <w:autoSpaceDN/>
              <w:bidi w:val="0"/>
              <w:adjustRightInd w:val="0"/>
              <w:snapToGrid w:val="0"/>
              <w:textAlignment w:val="auto"/>
              <w:rPr>
                <w:rFonts w:hint="default"/>
                <w:lang w:val="en-US" w:eastAsia="zh-CN"/>
              </w:rPr>
            </w:pPr>
            <w:r>
              <w:rPr>
                <w:rFonts w:hint="default"/>
                <w:lang w:val="en-US" w:eastAsia="zh-CN"/>
              </w:rPr>
              <w:t>施工结束后土地应及时平整恢复，定期检查已回填恢复的探槽，尽可能恢复植被原貌</w:t>
            </w:r>
            <w:r>
              <w:rPr>
                <w:rFonts w:hint="eastAsia"/>
                <w:lang w:val="en-US" w:eastAsia="zh-CN"/>
              </w:rPr>
              <w:t>。</w:t>
            </w:r>
          </w:p>
          <w:p>
            <w:pPr>
              <w:pStyle w:val="49"/>
              <w:keepNext w:val="0"/>
              <w:keepLines w:val="0"/>
              <w:pageBreakBefore w:val="0"/>
              <w:widowControl w:val="0"/>
              <w:numPr>
                <w:ilvl w:val="0"/>
                <w:numId w:val="1"/>
              </w:numPr>
              <w:kinsoku/>
              <w:overflowPunct/>
              <w:topLinePunct w:val="0"/>
              <w:autoSpaceDE/>
              <w:autoSpaceDN/>
              <w:bidi w:val="0"/>
              <w:adjustRightInd w:val="0"/>
              <w:snapToGrid w:val="0"/>
              <w:textAlignment w:val="auto"/>
              <w:rPr>
                <w:rFonts w:hint="default"/>
                <w:lang w:val="en-US" w:eastAsia="zh-CN"/>
              </w:rPr>
            </w:pPr>
            <w:r>
              <w:rPr>
                <w:rFonts w:hint="default"/>
                <w:lang w:val="en-US" w:eastAsia="zh-CN"/>
              </w:rPr>
              <w:t>勘探完成后，将勘探区土地进行复垦，对探坑周边进行表层回填和迹地覆土恢复，及时对周围生态植被进行修复，</w:t>
            </w:r>
            <w:r>
              <w:rPr>
                <w:rFonts w:hint="eastAsia"/>
                <w:lang w:val="en-US" w:eastAsia="zh-CN"/>
              </w:rPr>
              <w:t>减少</w:t>
            </w:r>
            <w:r>
              <w:rPr>
                <w:rFonts w:hint="default"/>
                <w:lang w:val="en-US" w:eastAsia="zh-CN"/>
              </w:rPr>
              <w:t>水土流失的影响。</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3.大气环境保护措施</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3.1开挖扬尘</w:t>
            </w:r>
          </w:p>
          <w:p>
            <w:pPr>
              <w:pStyle w:val="49"/>
              <w:keepNext w:val="0"/>
              <w:keepLines w:val="0"/>
              <w:pageBreakBefore w:val="0"/>
              <w:widowControl w:val="0"/>
              <w:kinsoku/>
              <w:overflowPunct/>
              <w:topLinePunct w:val="0"/>
              <w:autoSpaceDE/>
              <w:autoSpaceDN/>
              <w:bidi w:val="0"/>
              <w:adjustRightInd w:val="0"/>
              <w:snapToGrid w:val="0"/>
              <w:textAlignment w:val="auto"/>
            </w:pPr>
            <w:r>
              <w:t>施工过程中扬尘污染对该点及周围环境</w:t>
            </w:r>
            <w:r>
              <w:rPr>
                <w:rFonts w:hint="eastAsia"/>
              </w:rPr>
              <w:t>产生一定的不利影响</w:t>
            </w:r>
            <w:r>
              <w:t>。为避免扬尘污染</w:t>
            </w:r>
            <w:r>
              <w:rPr>
                <w:rFonts w:hint="eastAsia"/>
              </w:rPr>
              <w:t>施工</w:t>
            </w:r>
            <w:r>
              <w:t>场地，拟提出以下防治措施</w:t>
            </w:r>
            <w:r>
              <w:rPr>
                <w:rFonts w:hint="eastAsia"/>
              </w:rPr>
              <w:t>：</w:t>
            </w:r>
          </w:p>
          <w:p>
            <w:pPr>
              <w:pStyle w:val="49"/>
              <w:keepNext w:val="0"/>
              <w:keepLines w:val="0"/>
              <w:pageBreakBefore w:val="0"/>
              <w:widowControl w:val="0"/>
              <w:kinsoku/>
              <w:overflowPunct/>
              <w:topLinePunct w:val="0"/>
              <w:autoSpaceDE/>
              <w:autoSpaceDN/>
              <w:bidi w:val="0"/>
              <w:adjustRightInd w:val="0"/>
              <w:snapToGrid w:val="0"/>
              <w:textAlignment w:val="auto"/>
            </w:pPr>
            <w:r>
              <w:t>（1）施工前须制定控制工地扬尘方案，施工期间接受相关部门的监督检查，执行施工场地的相关规定，采取有效防尘措施。</w:t>
            </w:r>
          </w:p>
          <w:p>
            <w:pPr>
              <w:pStyle w:val="49"/>
              <w:keepNext w:val="0"/>
              <w:keepLines w:val="0"/>
              <w:pageBreakBefore w:val="0"/>
              <w:widowControl w:val="0"/>
              <w:kinsoku/>
              <w:overflowPunct/>
              <w:topLinePunct w:val="0"/>
              <w:autoSpaceDE/>
              <w:autoSpaceDN/>
              <w:bidi w:val="0"/>
              <w:adjustRightInd w:val="0"/>
              <w:snapToGrid w:val="0"/>
              <w:textAlignment w:val="auto"/>
            </w:pPr>
            <w:r>
              <w:t>（</w:t>
            </w:r>
            <w:r>
              <w:rPr>
                <w:rFonts w:hint="eastAsia"/>
              </w:rPr>
              <w:t>2</w:t>
            </w:r>
            <w:r>
              <w:t>）施工现场合理布局，对施工道路常洒水，对易扬尘物料加盖苫布。</w:t>
            </w:r>
          </w:p>
          <w:p>
            <w:pPr>
              <w:pStyle w:val="49"/>
              <w:keepNext w:val="0"/>
              <w:keepLines w:val="0"/>
              <w:pageBreakBefore w:val="0"/>
              <w:widowControl w:val="0"/>
              <w:kinsoku/>
              <w:overflowPunct/>
              <w:topLinePunct w:val="0"/>
              <w:autoSpaceDE/>
              <w:autoSpaceDN/>
              <w:bidi w:val="0"/>
              <w:adjustRightInd w:val="0"/>
              <w:snapToGrid w:val="0"/>
              <w:textAlignment w:val="auto"/>
            </w:pPr>
            <w:r>
              <w:t>（</w:t>
            </w:r>
            <w:r>
              <w:rPr>
                <w:rFonts w:hint="eastAsia"/>
              </w:rPr>
              <w:t>3</w:t>
            </w:r>
            <w:r>
              <w:t>）为进一步降低施工扬尘，要定期对路面和施工场</w:t>
            </w:r>
            <w:r>
              <w:rPr>
                <w:rFonts w:hint="eastAsia"/>
              </w:rPr>
              <w:t>地</w:t>
            </w:r>
            <w:r>
              <w:t>洒水，保持下垫面和空气湿润，减少起尘量，洒水频率视天气情况调整。</w:t>
            </w:r>
          </w:p>
          <w:p>
            <w:pPr>
              <w:pStyle w:val="49"/>
              <w:keepNext w:val="0"/>
              <w:keepLines w:val="0"/>
              <w:pageBreakBefore w:val="0"/>
              <w:widowControl w:val="0"/>
              <w:kinsoku/>
              <w:overflowPunct/>
              <w:topLinePunct w:val="0"/>
              <w:autoSpaceDE/>
              <w:autoSpaceDN/>
              <w:bidi w:val="0"/>
              <w:adjustRightInd w:val="0"/>
              <w:snapToGrid w:val="0"/>
              <w:textAlignment w:val="auto"/>
            </w:pPr>
            <w:r>
              <w:t>（</w:t>
            </w:r>
            <w:r>
              <w:rPr>
                <w:rFonts w:hint="eastAsia"/>
              </w:rPr>
              <w:t>4</w:t>
            </w:r>
            <w:r>
              <w:t>）4级以上大风天气，不得进行土方回填、转运以及其他可能产生扬尘污染的施工，并对施工场地做好遮掩工作。</w:t>
            </w:r>
          </w:p>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3.2</w:t>
            </w:r>
            <w:r>
              <w:rPr>
                <w:rFonts w:hint="eastAsia"/>
              </w:rPr>
              <w:t>燃油</w:t>
            </w:r>
            <w:r>
              <w:t>废气</w:t>
            </w:r>
          </w:p>
          <w:p>
            <w:pPr>
              <w:pStyle w:val="49"/>
              <w:keepNext w:val="0"/>
              <w:keepLines w:val="0"/>
              <w:pageBreakBefore w:val="0"/>
              <w:widowControl w:val="0"/>
              <w:kinsoku/>
              <w:overflowPunct/>
              <w:topLinePunct w:val="0"/>
              <w:autoSpaceDE/>
              <w:autoSpaceDN/>
              <w:bidi w:val="0"/>
              <w:adjustRightInd w:val="0"/>
              <w:snapToGrid w:val="0"/>
              <w:textAlignment w:val="auto"/>
            </w:pPr>
            <w: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9"/>
              <w:keepNext w:val="0"/>
              <w:keepLines w:val="0"/>
              <w:pageBreakBefore w:val="0"/>
              <w:widowControl w:val="0"/>
              <w:kinsoku/>
              <w:overflowPunct/>
              <w:topLinePunct w:val="0"/>
              <w:autoSpaceDE/>
              <w:autoSpaceDN/>
              <w:bidi w:val="0"/>
              <w:adjustRightInd w:val="0"/>
              <w:snapToGrid w:val="0"/>
              <w:textAlignment w:val="auto"/>
            </w:pPr>
            <w:r>
              <w:t>（1）使用合格的施工与运输车辆，保证汽车尾气达到国家规定的排放标准要求。</w:t>
            </w:r>
          </w:p>
          <w:p>
            <w:pPr>
              <w:pStyle w:val="49"/>
              <w:keepNext w:val="0"/>
              <w:keepLines w:val="0"/>
              <w:pageBreakBefore w:val="0"/>
              <w:widowControl w:val="0"/>
              <w:kinsoku/>
              <w:overflowPunct/>
              <w:topLinePunct w:val="0"/>
              <w:autoSpaceDE/>
              <w:autoSpaceDN/>
              <w:bidi w:val="0"/>
              <w:adjustRightInd w:val="0"/>
              <w:snapToGrid w:val="0"/>
              <w:textAlignment w:val="auto"/>
            </w:pPr>
            <w:r>
              <w:t>（2）选用工艺先进、技术含量高的作业机械。</w:t>
            </w:r>
          </w:p>
          <w:p>
            <w:pPr>
              <w:pStyle w:val="49"/>
              <w:keepNext w:val="0"/>
              <w:keepLines w:val="0"/>
              <w:pageBreakBefore w:val="0"/>
              <w:widowControl w:val="0"/>
              <w:kinsoku/>
              <w:overflowPunct/>
              <w:topLinePunct w:val="0"/>
              <w:autoSpaceDE/>
              <w:autoSpaceDN/>
              <w:bidi w:val="0"/>
              <w:adjustRightInd w:val="0"/>
              <w:snapToGrid w:val="0"/>
              <w:textAlignment w:val="auto"/>
            </w:pPr>
            <w:r>
              <w:t>（3）尽量避免施工机械同时运行，停止使用机械时尽可能怠速运转或熄火，避免猛踩油门增加燃油废气中有害物质的排放。</w:t>
            </w:r>
          </w:p>
          <w:p>
            <w:pPr>
              <w:pStyle w:val="51"/>
              <w:keepNext w:val="0"/>
              <w:keepLines w:val="0"/>
              <w:pageBreakBefore w:val="0"/>
              <w:widowControl w:val="0"/>
              <w:kinsoku/>
              <w:overflowPunct/>
              <w:topLinePunct w:val="0"/>
              <w:autoSpaceDE/>
              <w:autoSpaceDN/>
              <w:bidi w:val="0"/>
              <w:adjustRightInd w:val="0"/>
              <w:snapToGrid w:val="0"/>
              <w:textAlignment w:val="auto"/>
              <w:rPr>
                <w:highlight w:val="none"/>
              </w:rPr>
            </w:pPr>
            <w:r>
              <w:rPr>
                <w:rFonts w:hint="eastAsia"/>
                <w:highlight w:val="none"/>
                <w:lang w:val="en-US" w:eastAsia="zh-CN"/>
              </w:rPr>
              <w:t>4.</w:t>
            </w:r>
            <w:r>
              <w:rPr>
                <w:highlight w:val="none"/>
              </w:rPr>
              <w:t>水环境</w:t>
            </w:r>
            <w:r>
              <w:rPr>
                <w:rFonts w:hint="eastAsia"/>
                <w:highlight w:val="none"/>
                <w:lang w:val="en-US" w:eastAsia="zh-CN"/>
              </w:rPr>
              <w:t>保护</w:t>
            </w:r>
            <w:r>
              <w:rPr>
                <w:highlight w:val="none"/>
              </w:rPr>
              <w:t>措施</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（1）生活污水</w:t>
            </w:r>
          </w:p>
          <w:p>
            <w:pPr>
              <w:pStyle w:val="49"/>
              <w:bidi w:val="0"/>
            </w:pPr>
            <w:r>
              <w:rPr>
                <w:rFonts w:hint="eastAsia"/>
                <w:lang w:val="en-US" w:eastAsia="zh-CN"/>
              </w:rPr>
              <w:t>工作人员日常生活产生的污水全部依托租住房屋配套的污水收集处理系统统一处置，项目区内无生活污水排放。</w:t>
            </w:r>
          </w:p>
          <w:p>
            <w:pPr>
              <w:pStyle w:val="49"/>
              <w:bidi w:val="0"/>
              <w:rPr>
                <w:rFonts w:hint="eastAsia"/>
                <w:lang w:val="en-US" w:eastAsia="zh-CN"/>
              </w:rPr>
            </w:pPr>
            <w:r>
              <w:rPr>
                <w:rFonts w:hint="eastAsia"/>
                <w:lang w:val="en-US" w:eastAsia="zh-CN"/>
              </w:rPr>
              <w:t>（2）钻井设备冲洗水</w:t>
            </w:r>
          </w:p>
          <w:p>
            <w:pPr>
              <w:pStyle w:val="49"/>
              <w:bidi w:val="0"/>
              <w:rPr>
                <w:rFonts w:hint="eastAsia"/>
                <w:lang w:val="en-US" w:eastAsia="zh-CN"/>
              </w:rPr>
            </w:pPr>
            <w:r>
              <w:rPr>
                <w:rFonts w:hint="eastAsia"/>
                <w:lang w:val="en-US" w:eastAsia="zh-CN"/>
              </w:rPr>
              <w:t>项目钻探过程中使用的钻井设备需清洗，设备冲洗水经沉淀后洒水降尘。</w:t>
            </w:r>
          </w:p>
          <w:p>
            <w:pPr>
              <w:pStyle w:val="49"/>
              <w:bidi w:val="0"/>
              <w:rPr>
                <w:rFonts w:hint="eastAsia"/>
                <w:lang w:val="en-US" w:eastAsia="zh-CN"/>
              </w:rPr>
            </w:pPr>
            <w:r>
              <w:rPr>
                <w:rFonts w:hint="eastAsia"/>
                <w:lang w:val="en-US" w:eastAsia="zh-CN"/>
              </w:rPr>
              <w:t>（3）泥浆废水</w:t>
            </w:r>
          </w:p>
          <w:p>
            <w:pPr>
              <w:pStyle w:val="49"/>
              <w:bidi w:val="0"/>
              <w:rPr>
                <w:rFonts w:hint="default"/>
                <w:lang w:val="en-US" w:eastAsia="zh-CN"/>
              </w:rPr>
            </w:pPr>
            <w:r>
              <w:rPr>
                <w:rFonts w:hint="eastAsia"/>
                <w:lang w:val="en-US" w:eastAsia="zh-CN"/>
              </w:rPr>
              <w:t>泥浆废水经防渗沉淀池处理后回用于钻孔泥浆配制，循环使用，不外排。</w:t>
            </w:r>
          </w:p>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5.声环境保护</w:t>
            </w:r>
            <w:r>
              <w:t>措施</w:t>
            </w:r>
          </w:p>
          <w:p>
            <w:pPr>
              <w:pStyle w:val="49"/>
              <w:keepNext w:val="0"/>
              <w:keepLines w:val="0"/>
              <w:pageBreakBefore w:val="0"/>
              <w:widowControl w:val="0"/>
              <w:kinsoku/>
              <w:overflowPunct/>
              <w:topLinePunct w:val="0"/>
              <w:autoSpaceDE/>
              <w:autoSpaceDN/>
              <w:bidi w:val="0"/>
              <w:adjustRightInd w:val="0"/>
              <w:snapToGrid w:val="0"/>
              <w:textAlignment w:val="auto"/>
            </w:pPr>
            <w:r>
              <w:t>本次探矿工作槽探以人工作业为主，辅以机械施工。</w:t>
            </w:r>
            <w:r>
              <w:rPr>
                <w:rFonts w:hint="eastAsia"/>
              </w:rPr>
              <w:t>探矿</w:t>
            </w:r>
            <w:r>
              <w:t>活动相对集中，噪声源相对固定。经类比调查，</w:t>
            </w:r>
            <w:r>
              <w:rPr>
                <w:rFonts w:hint="eastAsia"/>
              </w:rPr>
              <w:t>探矿</w:t>
            </w:r>
            <w:r>
              <w:t>期间声强范围在</w:t>
            </w:r>
            <w:r>
              <w:rPr>
                <w:rFonts w:hint="eastAsia"/>
                <w:lang w:val="en-US" w:eastAsia="zh-CN"/>
              </w:rPr>
              <w:t>76~87dB（A）</w:t>
            </w:r>
            <w:r>
              <w:t>之间。</w:t>
            </w:r>
          </w:p>
          <w:p>
            <w:pPr>
              <w:pStyle w:val="49"/>
              <w:keepNext w:val="0"/>
              <w:keepLines w:val="0"/>
              <w:pageBreakBefore w:val="0"/>
              <w:widowControl w:val="0"/>
              <w:kinsoku/>
              <w:overflowPunct/>
              <w:topLinePunct w:val="0"/>
              <w:autoSpaceDE/>
              <w:autoSpaceDN/>
              <w:bidi w:val="0"/>
              <w:adjustRightInd w:val="0"/>
              <w:snapToGrid w:val="0"/>
              <w:textAlignment w:val="auto"/>
            </w:pPr>
            <w:r>
              <w:t>为减少</w:t>
            </w:r>
            <w:r>
              <w:rPr>
                <w:rFonts w:hint="eastAsia"/>
              </w:rPr>
              <w:t>本项目施工期间</w:t>
            </w:r>
            <w:r>
              <w:t>噪声对周边环境的影响拟采取以下防治措施：</w:t>
            </w:r>
          </w:p>
          <w:p>
            <w:pPr>
              <w:pStyle w:val="49"/>
              <w:keepNext w:val="0"/>
              <w:keepLines w:val="0"/>
              <w:pageBreakBefore w:val="0"/>
              <w:widowControl w:val="0"/>
              <w:kinsoku/>
              <w:overflowPunct/>
              <w:topLinePunct w:val="0"/>
              <w:autoSpaceDE/>
              <w:autoSpaceDN/>
              <w:bidi w:val="0"/>
              <w:adjustRightInd w:val="0"/>
              <w:snapToGrid w:val="0"/>
              <w:textAlignment w:val="auto"/>
            </w:pPr>
            <w:r>
              <w:t>（1）合理安排施工时段：制定施工计划时，应尽可能避免大量噪声设备同时使用。应尽量安排在白天施工。</w:t>
            </w:r>
          </w:p>
          <w:p>
            <w:pPr>
              <w:pStyle w:val="49"/>
              <w:keepNext w:val="0"/>
              <w:keepLines w:val="0"/>
              <w:pageBreakBefore w:val="0"/>
              <w:widowControl w:val="0"/>
              <w:kinsoku/>
              <w:overflowPunct/>
              <w:topLinePunct w:val="0"/>
              <w:autoSpaceDE/>
              <w:autoSpaceDN/>
              <w:bidi w:val="0"/>
              <w:adjustRightInd w:val="0"/>
              <w:snapToGrid w:val="0"/>
              <w:textAlignment w:val="auto"/>
            </w:pPr>
            <w:r>
              <w:t>（2）合理布局施工场地：避免在同一地点安排大量动力机械设备，以免局部声级过高。</w:t>
            </w:r>
          </w:p>
          <w:p>
            <w:pPr>
              <w:pStyle w:val="49"/>
              <w:keepNext w:val="0"/>
              <w:keepLines w:val="0"/>
              <w:pageBreakBefore w:val="0"/>
              <w:widowControl w:val="0"/>
              <w:kinsoku/>
              <w:overflowPunct/>
              <w:topLinePunct w:val="0"/>
              <w:autoSpaceDE/>
              <w:autoSpaceDN/>
              <w:bidi w:val="0"/>
              <w:adjustRightInd w:val="0"/>
              <w:snapToGrid w:val="0"/>
              <w:textAlignment w:val="auto"/>
            </w:pPr>
            <w:r>
              <w:t>（</w:t>
            </w:r>
            <w:r>
              <w:rPr>
                <w:rFonts w:hint="eastAsia"/>
              </w:rPr>
              <w:t>3</w:t>
            </w:r>
            <w:r>
              <w:t>）降低人为噪声影响：按操作规范操作机械设备过程中减少碰撞噪声，在装卸</w:t>
            </w:r>
            <w:r>
              <w:rPr>
                <w:rFonts w:hint="eastAsia"/>
                <w:lang w:val="en-US" w:eastAsia="zh-CN"/>
              </w:rPr>
              <w:t>过</w:t>
            </w:r>
            <w:r>
              <w:t>程中，禁止野蛮作业，减少作业噪声。</w:t>
            </w:r>
          </w:p>
          <w:p>
            <w:pPr>
              <w:pStyle w:val="49"/>
              <w:keepNext w:val="0"/>
              <w:keepLines w:val="0"/>
              <w:pageBreakBefore w:val="0"/>
              <w:widowControl w:val="0"/>
              <w:kinsoku/>
              <w:overflowPunct/>
              <w:topLinePunct w:val="0"/>
              <w:autoSpaceDE/>
              <w:autoSpaceDN/>
              <w:bidi w:val="0"/>
              <w:adjustRightInd w:val="0"/>
              <w:snapToGrid w:val="0"/>
              <w:textAlignment w:val="auto"/>
            </w:pPr>
            <w:r>
              <w:t>（</w:t>
            </w:r>
            <w:r>
              <w:rPr>
                <w:rFonts w:hint="eastAsia"/>
              </w:rPr>
              <w:t>4</w:t>
            </w:r>
            <w:r>
              <w:t>）管理措施：建设方应对施工单位提出明确的噪声环境要求，要求施工单位制定科学、合理的施工方案和严格的生产管理制度。</w:t>
            </w:r>
          </w:p>
          <w:p>
            <w:pPr>
              <w:pStyle w:val="49"/>
              <w:keepNext w:val="0"/>
              <w:keepLines w:val="0"/>
              <w:pageBreakBefore w:val="0"/>
              <w:widowControl w:val="0"/>
              <w:kinsoku/>
              <w:overflowPunct/>
              <w:topLinePunct w:val="0"/>
              <w:autoSpaceDE/>
              <w:autoSpaceDN/>
              <w:bidi w:val="0"/>
              <w:adjustRightInd w:val="0"/>
              <w:snapToGrid w:val="0"/>
              <w:textAlignment w:val="auto"/>
            </w:pPr>
            <w:r>
              <w:t>（</w:t>
            </w:r>
            <w:r>
              <w:rPr>
                <w:rFonts w:hint="eastAsia"/>
              </w:rPr>
              <w:t>5</w:t>
            </w:r>
            <w:r>
              <w:t>）加强对设备的维护、养护，闲置设备应立即关闭。尽可能采用外加工材料，减少现场加工的工作量。</w:t>
            </w:r>
          </w:p>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6.</w:t>
            </w:r>
            <w:r>
              <w:t>固体废物污染防治措施</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t>（1）</w:t>
            </w:r>
            <w:r>
              <w:rPr>
                <w:rFonts w:hint="eastAsia"/>
                <w:lang w:val="en-US" w:eastAsia="zh-CN"/>
              </w:rPr>
              <w:t>开挖临时堆土</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宋体"/>
                <w:lang w:eastAsia="zh-CN"/>
              </w:rPr>
            </w:pPr>
            <w:r>
              <w:rPr>
                <w:rFonts w:hint="eastAsia"/>
              </w:rPr>
              <w:t>主要为槽探开挖产生</w:t>
            </w:r>
            <w:r>
              <w:rPr>
                <w:rFonts w:hint="eastAsia"/>
                <w:lang w:val="en-US" w:eastAsia="zh-CN"/>
              </w:rPr>
              <w:t>的</w:t>
            </w:r>
            <w:r>
              <w:rPr>
                <w:rFonts w:hint="eastAsia"/>
              </w:rPr>
              <w:t>土石方，属于一般固废。对临时堆土坡脚进行防护、表面夯实处理并设置相应的挡渣墙。勘探期内严禁将开挖土石方堆放在山间冲沟内，阻塞冲沟，确保冲沟的通畅性。开挖的土石方在勘探期结束后全部回填至开挖迹地，开挖临时堆土的环境影响较小</w:t>
            </w:r>
            <w:r>
              <w:rPr>
                <w:rFonts w:hint="eastAsia" w:cs="宋体"/>
                <w:lang w:eastAsia="zh-CN"/>
              </w:rPr>
              <w:t>。</w:t>
            </w:r>
          </w:p>
          <w:p>
            <w:pPr>
              <w:pStyle w:val="49"/>
              <w:keepNext w:val="0"/>
              <w:keepLines w:val="0"/>
              <w:pageBreakBefore w:val="0"/>
              <w:widowControl w:val="0"/>
              <w:numPr>
                <w:ilvl w:val="0"/>
                <w:numId w:val="2"/>
              </w:numPr>
              <w:kinsoku/>
              <w:overflowPunct/>
              <w:topLinePunct w:val="0"/>
              <w:autoSpaceDE/>
              <w:autoSpaceDN/>
              <w:bidi w:val="0"/>
              <w:adjustRightInd w:val="0"/>
              <w:snapToGrid w:val="0"/>
              <w:ind w:left="0" w:leftChars="0" w:firstLine="480" w:firstLineChars="200"/>
              <w:textAlignment w:val="auto"/>
              <w:rPr>
                <w:rFonts w:hint="eastAsia" w:cs="宋体"/>
                <w:lang w:val="en-US" w:eastAsia="zh-CN"/>
              </w:rPr>
            </w:pPr>
            <w:r>
              <w:rPr>
                <w:rFonts w:hint="eastAsia" w:cs="宋体"/>
                <w:lang w:val="en-US" w:eastAsia="zh-CN"/>
              </w:rPr>
              <w:t>钻井泥浆、岩屑、沉淀池沉渣</w:t>
            </w:r>
          </w:p>
          <w:p>
            <w:pPr>
              <w:pStyle w:val="49"/>
              <w:bidi w:val="0"/>
              <w:rPr>
                <w:rFonts w:hint="default"/>
                <w:lang w:val="en-US" w:eastAsia="zh-CN"/>
              </w:rPr>
            </w:pPr>
            <w:r>
              <w:rPr>
                <w:rFonts w:hint="default"/>
                <w:lang w:val="en-US" w:eastAsia="zh-CN"/>
              </w:rPr>
              <w:t>本项目使用的泥浆为水基钻井泥浆，以膨润土、辅料粘土作为基础配浆材料，加入各种有机和无机材料形成的多种成分和相态共存的悬浮液。本项目采用的泥浆材料及处理剂具备无毒无害、可自然降解性能，不含易燃、易爆、有毒物质，循环使用，固化后交由一般固废处置单位统一处理。岩屑用于</w:t>
            </w:r>
            <w:r>
              <w:rPr>
                <w:rFonts w:hint="eastAsia"/>
                <w:lang w:val="en-US" w:eastAsia="zh-CN"/>
              </w:rPr>
              <w:t>钻孔</w:t>
            </w:r>
            <w:r>
              <w:rPr>
                <w:rFonts w:hint="default"/>
                <w:lang w:val="en-US" w:eastAsia="zh-CN"/>
              </w:rPr>
              <w:t>回填。沉淀池沉渣交由一般固废处置单位统一处理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（3）生活垃圾</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shd w:val="clear" w:color="auto" w:fill="auto"/>
                <w:lang w:eastAsia="zh-CN"/>
              </w:rPr>
            </w:pPr>
            <w:r>
              <w:rPr>
                <w:rFonts w:hint="default" w:ascii="Times New Roman" w:hAnsi="Times New Roman" w:eastAsia="宋体" w:cs="宋体"/>
                <w:lang w:val="en-US" w:eastAsia="zh-CN"/>
              </w:rPr>
              <w:t>野外勘查工作人员统一在塔什店镇住宿、就餐，每日早晚往返勘查现场，不在勘查区域搭设临时营地、不在野外做饭、不驻留过夜。生活垃圾配置带盖密封分类收集桶，每日统一转运至城镇环卫部门收集处理</w:t>
            </w:r>
            <w:r>
              <w:rPr>
                <w:rFonts w:hint="eastAsia"/>
                <w:shd w:val="clear" w:color="auto" w:fill="auto"/>
                <w:lang w:eastAsia="zh-CN"/>
              </w:rPr>
              <w:t>。</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t>采取以上防治措施后，探矿工作产生的固体废物对环境影响较小。</w:t>
            </w:r>
            <w:r>
              <w:rPr>
                <w:rFonts w:hint="eastAsia"/>
              </w:rPr>
              <w:t>固废</w:t>
            </w:r>
            <w:r>
              <w:t>产生明细</w:t>
            </w:r>
            <w:r>
              <w:rPr>
                <w:rFonts w:hint="eastAsia"/>
                <w:lang w:eastAsia="zh-CN"/>
              </w:rPr>
              <w:t>见表</w:t>
            </w:r>
            <w:r>
              <w:rPr>
                <w:rFonts w:hint="eastAsia"/>
                <w:lang w:val="en-US" w:eastAsia="zh-CN"/>
              </w:rPr>
              <w:t>5-1。</w:t>
            </w:r>
          </w:p>
          <w:p>
            <w:pPr>
              <w:pStyle w:val="57"/>
              <w:keepNext w:val="0"/>
              <w:keepLines w:val="0"/>
              <w:pageBreakBefore w:val="0"/>
              <w:widowControl w:val="0"/>
              <w:kinsoku/>
              <w:overflowPunct/>
              <w:topLinePunct w:val="0"/>
              <w:autoSpaceDE/>
              <w:autoSpaceDN/>
              <w:bidi w:val="0"/>
              <w:adjustRightInd w:val="0"/>
              <w:snapToGrid w:val="0"/>
              <w:textAlignment w:val="auto"/>
              <w:rPr>
                <w:rFonts w:hint="eastAsia"/>
                <w:highlight w:val="green"/>
              </w:rPr>
            </w:pPr>
            <w:r>
              <w:rPr>
                <w:rFonts w:hint="eastAsia"/>
                <w:lang w:val="en-US" w:eastAsia="zh-CN"/>
              </w:rPr>
              <w:t xml:space="preserve">表5-1  </w:t>
            </w:r>
            <w:r>
              <w:rPr>
                <w:rFonts w:hint="eastAsia"/>
                <w:highlight w:val="none"/>
                <w:lang w:val="en-US" w:eastAsia="zh-CN"/>
              </w:rPr>
              <w:t xml:space="preserve">  项目固体废物产生情况明细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867"/>
              <w:gridCol w:w="861"/>
              <w:gridCol w:w="1016"/>
              <w:gridCol w:w="1165"/>
              <w:gridCol w:w="785"/>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废物属性</w:t>
                  </w:r>
                </w:p>
              </w:tc>
              <w:tc>
                <w:tcPr>
                  <w:tcW w:w="57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名称</w:t>
                  </w:r>
                </w:p>
              </w:tc>
              <w:tc>
                <w:tcPr>
                  <w:tcW w:w="57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废物类别</w:t>
                  </w:r>
                </w:p>
              </w:tc>
              <w:tc>
                <w:tcPr>
                  <w:tcW w:w="67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废物代码</w:t>
                  </w:r>
                </w:p>
              </w:tc>
              <w:tc>
                <w:tcPr>
                  <w:tcW w:w="774"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产生量（探矿期）</w:t>
                  </w:r>
                </w:p>
              </w:tc>
              <w:tc>
                <w:tcPr>
                  <w:tcW w:w="52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危险特性</w:t>
                  </w:r>
                </w:p>
              </w:tc>
              <w:tc>
                <w:tcPr>
                  <w:tcW w:w="138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Merge w:val="restar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一般固废</w:t>
                  </w:r>
                </w:p>
              </w:tc>
              <w:tc>
                <w:tcPr>
                  <w:tcW w:w="57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开挖土石</w:t>
                  </w:r>
                </w:p>
              </w:tc>
              <w:tc>
                <w:tcPr>
                  <w:tcW w:w="572" w:type="pct"/>
                  <w:vMerge w:val="restar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SW59</w:t>
                  </w:r>
                </w:p>
              </w:tc>
              <w:tc>
                <w:tcPr>
                  <w:tcW w:w="675" w:type="pct"/>
                  <w:vMerge w:val="restar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900-099-S59</w:t>
                  </w:r>
                </w:p>
              </w:tc>
              <w:tc>
                <w:tcPr>
                  <w:tcW w:w="774"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highlight w:val="none"/>
                      <w:lang w:val="en-US" w:eastAsia="zh-CN"/>
                    </w:rPr>
                    <w:t>6000</w:t>
                  </w:r>
                  <w:r>
                    <w:rPr>
                      <w:rFonts w:hint="default"/>
                      <w:highlight w:val="none"/>
                      <w:lang w:eastAsia="zh-CN"/>
                    </w:rPr>
                    <w:t>m</w:t>
                  </w:r>
                  <w:r>
                    <w:rPr>
                      <w:rFonts w:hint="default"/>
                      <w:highlight w:val="none"/>
                      <w:vertAlign w:val="superscript"/>
                      <w:lang w:eastAsia="zh-CN"/>
                    </w:rPr>
                    <w:t>3</w:t>
                  </w:r>
                </w:p>
              </w:tc>
              <w:tc>
                <w:tcPr>
                  <w:tcW w:w="52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w:t>
                  </w:r>
                </w:p>
              </w:tc>
              <w:tc>
                <w:tcPr>
                  <w:tcW w:w="138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Merge w:val="continue"/>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noWrap w:val="0"/>
                  <w:vAlign w:val="center"/>
                </w:tcPr>
                <w:p>
                  <w:pPr>
                    <w:pStyle w:val="59"/>
                    <w:bidi w:val="0"/>
                    <w:rPr>
                      <w:rFonts w:hint="eastAsia"/>
                      <w:lang w:val="en-US" w:eastAsia="zh-CN"/>
                    </w:rPr>
                  </w:pPr>
                  <w:r>
                    <w:rPr>
                      <w:rFonts w:hint="eastAsia"/>
                      <w:lang w:val="en-US" w:eastAsia="zh-CN"/>
                    </w:rPr>
                    <w:t>岩屑</w:t>
                  </w:r>
                </w:p>
              </w:tc>
              <w:tc>
                <w:tcPr>
                  <w:tcW w:w="572" w:type="pct"/>
                  <w:vMerge w:val="continue"/>
                  <w:noWrap w:val="0"/>
                  <w:vAlign w:val="center"/>
                </w:tcPr>
                <w:p>
                  <w:pPr>
                    <w:pStyle w:val="59"/>
                    <w:bidi w:val="0"/>
                    <w:rPr>
                      <w:rFonts w:hint="eastAsia"/>
                      <w:lang w:val="en-US" w:eastAsia="zh-CN"/>
                    </w:rPr>
                  </w:pPr>
                </w:p>
              </w:tc>
              <w:tc>
                <w:tcPr>
                  <w:tcW w:w="675" w:type="pct"/>
                  <w:vMerge w:val="continue"/>
                  <w:noWrap w:val="0"/>
                  <w:vAlign w:val="center"/>
                </w:tcPr>
                <w:p>
                  <w:pPr>
                    <w:pStyle w:val="59"/>
                    <w:bidi w:val="0"/>
                    <w:rPr>
                      <w:rFonts w:hint="eastAsia"/>
                      <w:lang w:val="en-US" w:eastAsia="zh-CN"/>
                    </w:rPr>
                  </w:pPr>
                </w:p>
              </w:tc>
              <w:tc>
                <w:tcPr>
                  <w:tcW w:w="774" w:type="pct"/>
                  <w:noWrap w:val="0"/>
                  <w:vAlign w:val="center"/>
                </w:tcPr>
                <w:p>
                  <w:pPr>
                    <w:pStyle w:val="59"/>
                    <w:bidi w:val="0"/>
                    <w:rPr>
                      <w:rFonts w:hint="eastAsia"/>
                      <w:highlight w:val="none"/>
                      <w:lang w:val="en-US" w:eastAsia="zh-CN"/>
                    </w:rPr>
                  </w:pPr>
                  <w:r>
                    <w:rPr>
                      <w:rFonts w:hint="eastAsia"/>
                      <w:lang w:val="en-US" w:eastAsia="zh-CN"/>
                    </w:rPr>
                    <w:t>30.43m</w:t>
                  </w:r>
                  <w:r>
                    <w:rPr>
                      <w:rFonts w:hint="eastAsia"/>
                      <w:vertAlign w:val="superscript"/>
                      <w:lang w:val="en-US" w:eastAsia="zh-CN"/>
                    </w:rPr>
                    <w:t>3</w:t>
                  </w:r>
                </w:p>
              </w:tc>
              <w:tc>
                <w:tcPr>
                  <w:tcW w:w="522" w:type="pct"/>
                  <w:noWrap w:val="0"/>
                  <w:vAlign w:val="center"/>
                </w:tcPr>
                <w:p>
                  <w:pPr>
                    <w:pStyle w:val="59"/>
                    <w:bidi w:val="0"/>
                    <w:rPr>
                      <w:rFonts w:hint="default"/>
                      <w:lang w:val="en-US" w:eastAsia="zh-CN"/>
                    </w:rPr>
                  </w:pPr>
                  <w:r>
                    <w:rPr>
                      <w:rFonts w:hint="eastAsia"/>
                      <w:lang w:val="en-US" w:eastAsia="zh-CN"/>
                    </w:rPr>
                    <w:t>/</w:t>
                  </w:r>
                </w:p>
              </w:tc>
              <w:tc>
                <w:tcPr>
                  <w:tcW w:w="1382" w:type="pct"/>
                  <w:noWrap w:val="0"/>
                  <w:vAlign w:val="center"/>
                </w:tcPr>
                <w:p>
                  <w:pPr>
                    <w:pStyle w:val="59"/>
                    <w:bidi w:val="0"/>
                    <w:rPr>
                      <w:rFonts w:hint="default"/>
                      <w:lang w:val="en-US" w:eastAsia="zh-CN"/>
                    </w:rPr>
                  </w:pPr>
                  <w:r>
                    <w:rPr>
                      <w:rFonts w:hint="eastAsia"/>
                      <w:lang w:val="en-US" w:eastAsia="zh-CN"/>
                    </w:rPr>
                    <w:t>钻孔回填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Merge w:val="continue"/>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shd w:val="clear" w:color="auto" w:fill="auto"/>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沉淀池沉渣</w:t>
                  </w:r>
                </w:p>
              </w:tc>
              <w:tc>
                <w:tcPr>
                  <w:tcW w:w="572" w:type="pct"/>
                  <w:vMerge w:val="continue"/>
                  <w:shd w:val="clear" w:color="auto" w:fill="auto"/>
                  <w:noWrap w:val="0"/>
                  <w:vAlign w:val="center"/>
                </w:tcPr>
                <w:p>
                  <w:pPr>
                    <w:pStyle w:val="59"/>
                    <w:bidi w:val="0"/>
                    <w:rPr>
                      <w:rFonts w:hint="eastAsia" w:ascii="Times New Roman" w:hAnsi="Times New Roman" w:eastAsia="宋体" w:cs="Times New Roman"/>
                      <w:kern w:val="2"/>
                      <w:sz w:val="21"/>
                      <w:szCs w:val="21"/>
                      <w:lang w:val="en-US" w:eastAsia="zh-CN" w:bidi="ar-SA"/>
                    </w:rPr>
                  </w:pPr>
                </w:p>
              </w:tc>
              <w:tc>
                <w:tcPr>
                  <w:tcW w:w="675" w:type="pct"/>
                  <w:vMerge w:val="continue"/>
                  <w:shd w:val="clear" w:color="auto" w:fill="auto"/>
                  <w:noWrap w:val="0"/>
                  <w:vAlign w:val="center"/>
                </w:tcPr>
                <w:p>
                  <w:pPr>
                    <w:pStyle w:val="59"/>
                    <w:bidi w:val="0"/>
                    <w:rPr>
                      <w:rFonts w:hint="eastAsia" w:ascii="Times New Roman" w:hAnsi="Times New Roman" w:eastAsia="宋体" w:cs="Times New Roman"/>
                      <w:kern w:val="2"/>
                      <w:sz w:val="21"/>
                      <w:szCs w:val="21"/>
                      <w:lang w:val="en-US" w:eastAsia="zh-CN" w:bidi="ar-SA"/>
                    </w:rPr>
                  </w:pPr>
                </w:p>
              </w:tc>
              <w:tc>
                <w:tcPr>
                  <w:tcW w:w="774" w:type="pct"/>
                  <w:shd w:val="clear" w:color="auto" w:fill="auto"/>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0.2t</w:t>
                  </w:r>
                </w:p>
              </w:tc>
              <w:tc>
                <w:tcPr>
                  <w:tcW w:w="522" w:type="pct"/>
                  <w:shd w:val="clear" w:color="auto" w:fill="auto"/>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382" w:type="pct"/>
                  <w:shd w:val="clear" w:color="auto" w:fill="auto"/>
                  <w:noWrap w:val="0"/>
                  <w:vAlign w:val="center"/>
                </w:tcPr>
                <w:p>
                  <w:pPr>
                    <w:pStyle w:val="59"/>
                    <w:keepNext w:val="0"/>
                    <w:keepLines w:val="0"/>
                    <w:pageBreakBefore w:val="0"/>
                    <w:widowControl w:val="0"/>
                    <w:kinsoku/>
                    <w:overflowPunct/>
                    <w:topLinePunct w:val="0"/>
                    <w:autoSpaceDE/>
                    <w:autoSpaceDN/>
                    <w:bidi w:val="0"/>
                    <w:adjustRightInd w:val="0"/>
                    <w:snapToGrid w:val="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Merge w:val="continue"/>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noWrap w:val="0"/>
                  <w:vAlign w:val="center"/>
                </w:tcPr>
                <w:p>
                  <w:pPr>
                    <w:pStyle w:val="59"/>
                    <w:bidi w:val="0"/>
                    <w:rPr>
                      <w:rFonts w:hint="eastAsia"/>
                      <w:lang w:val="en-US" w:eastAsia="zh-CN"/>
                    </w:rPr>
                  </w:pPr>
                  <w:r>
                    <w:rPr>
                      <w:rFonts w:hint="eastAsia"/>
                      <w:lang w:val="en-US" w:eastAsia="zh-CN"/>
                    </w:rPr>
                    <w:t>钻井泥浆</w:t>
                  </w:r>
                </w:p>
              </w:tc>
              <w:tc>
                <w:tcPr>
                  <w:tcW w:w="572" w:type="pct"/>
                  <w:noWrap w:val="0"/>
                  <w:vAlign w:val="center"/>
                </w:tcPr>
                <w:p>
                  <w:pPr>
                    <w:pStyle w:val="59"/>
                    <w:bidi w:val="0"/>
                    <w:rPr>
                      <w:rFonts w:hint="default" w:ascii="Times New Roman" w:hAnsi="Times New Roman" w:eastAsia="宋体" w:cs="Times New Roman"/>
                      <w:kern w:val="2"/>
                      <w:sz w:val="21"/>
                      <w:szCs w:val="21"/>
                      <w:lang w:val="en-US" w:eastAsia="zh-CN" w:bidi="ar-SA"/>
                    </w:rPr>
                  </w:pPr>
                  <w:r>
                    <w:rPr>
                      <w:rFonts w:hint="default"/>
                      <w:lang w:val="en-US" w:eastAsia="zh-CN"/>
                    </w:rPr>
                    <w:t>SW7</w:t>
                  </w:r>
                  <w:r>
                    <w:rPr>
                      <w:rFonts w:hint="eastAsia"/>
                      <w:lang w:val="en-US" w:eastAsia="zh-CN"/>
                    </w:rPr>
                    <w:t>1</w:t>
                  </w:r>
                </w:p>
              </w:tc>
              <w:tc>
                <w:tcPr>
                  <w:tcW w:w="675" w:type="pct"/>
                  <w:noWrap w:val="0"/>
                  <w:vAlign w:val="center"/>
                </w:tcPr>
                <w:p>
                  <w:pPr>
                    <w:pStyle w:val="59"/>
                    <w:bidi w:val="0"/>
                    <w:rPr>
                      <w:rFonts w:hint="eastAsia" w:cs="Times New Roman"/>
                      <w:kern w:val="2"/>
                      <w:sz w:val="21"/>
                      <w:szCs w:val="21"/>
                      <w:lang w:val="en-US" w:eastAsia="zh-CN" w:bidi="ar-SA"/>
                    </w:rPr>
                  </w:pPr>
                  <w:r>
                    <w:rPr>
                      <w:rFonts w:hint="default"/>
                      <w:lang w:val="en-US" w:eastAsia="zh-CN"/>
                    </w:rPr>
                    <w:t>900-001-S7</w:t>
                  </w:r>
                  <w:r>
                    <w:rPr>
                      <w:rFonts w:hint="eastAsia"/>
                      <w:lang w:val="en-US" w:eastAsia="zh-CN"/>
                    </w:rPr>
                    <w:t>1</w:t>
                  </w:r>
                </w:p>
              </w:tc>
              <w:tc>
                <w:tcPr>
                  <w:tcW w:w="774" w:type="pct"/>
                  <w:noWrap w:val="0"/>
                  <w:vAlign w:val="center"/>
                </w:tcPr>
                <w:p>
                  <w:pPr>
                    <w:pStyle w:val="59"/>
                    <w:bidi w:val="0"/>
                    <w:rPr>
                      <w:rFonts w:hint="eastAsia"/>
                      <w:lang w:val="en-US" w:eastAsia="zh-CN"/>
                    </w:rPr>
                  </w:pPr>
                  <w:r>
                    <w:rPr>
                      <w:rFonts w:hint="eastAsia"/>
                      <w:lang w:val="en-US" w:eastAsia="zh-CN"/>
                    </w:rPr>
                    <w:t>40t</w:t>
                  </w:r>
                </w:p>
              </w:tc>
              <w:tc>
                <w:tcPr>
                  <w:tcW w:w="522" w:type="pct"/>
                  <w:noWrap w:val="0"/>
                  <w:vAlign w:val="center"/>
                </w:tcPr>
                <w:p>
                  <w:pPr>
                    <w:pStyle w:val="59"/>
                    <w:bidi w:val="0"/>
                    <w:rPr>
                      <w:rFonts w:hint="eastAsia"/>
                      <w:lang w:val="en-US" w:eastAsia="zh-CN"/>
                    </w:rPr>
                  </w:pPr>
                  <w:r>
                    <w:rPr>
                      <w:rFonts w:hint="eastAsia"/>
                      <w:lang w:val="en-US" w:eastAsia="zh-CN"/>
                    </w:rPr>
                    <w:t>/</w:t>
                  </w:r>
                </w:p>
              </w:tc>
              <w:tc>
                <w:tcPr>
                  <w:tcW w:w="1382" w:type="pct"/>
                  <w:noWrap w:val="0"/>
                  <w:vAlign w:val="center"/>
                </w:tcPr>
                <w:p>
                  <w:pPr>
                    <w:pStyle w:val="59"/>
                    <w:bidi w:val="0"/>
                    <w:rPr>
                      <w:rFonts w:hint="eastAsia"/>
                      <w:lang w:val="en-US" w:eastAsia="zh-CN"/>
                    </w:rPr>
                  </w:pPr>
                  <w:r>
                    <w:rPr>
                      <w:rFonts w:hint="eastAsia"/>
                      <w:lang w:val="en-US" w:eastAsia="zh-CN"/>
                    </w:rPr>
                    <w:t>泥浆固化后交由一般固废处置单位统一处理</w:t>
                  </w:r>
                </w:p>
              </w:tc>
            </w:tr>
          </w:tbl>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7.</w:t>
            </w:r>
            <w:r>
              <w:rPr>
                <w:rFonts w:hint="eastAsia"/>
              </w:rPr>
              <w:t>环境风险分析</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7.1</w:t>
            </w:r>
            <w:r>
              <w:rPr>
                <w:rFonts w:hint="eastAsia"/>
              </w:rPr>
              <w:t>风险识别</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kern w:val="0"/>
                <w:sz w:val="24"/>
                <w:szCs w:val="24"/>
              </w:rPr>
            </w:pPr>
            <w:r>
              <w:rPr>
                <w:rStyle w:val="50"/>
                <w:rFonts w:hint="eastAsia"/>
              </w:rPr>
              <w:t>环境风险是指突发性事故造成的重大环境污染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eastAsia"/>
                <w:kern w:val="0"/>
                <w:sz w:val="24"/>
                <w:szCs w:val="24"/>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项目区不设有柴油存放区，柴油发电机油箱可储存21kg柴油，柴油属于风险物质，</w:t>
            </w:r>
            <w:r>
              <w:rPr>
                <w:rFonts w:hint="eastAsia" w:ascii="Times New Roman" w:hAnsi="Times New Roman" w:eastAsia="宋体" w:cs="Times New Roman"/>
                <w:bCs/>
                <w:kern w:val="0"/>
                <w:sz w:val="24"/>
                <w:szCs w:val="24"/>
                <w:lang w:eastAsia="zh-CN"/>
              </w:rPr>
              <w:t>项目柴油消耗设备为凿岩机、钻机</w:t>
            </w:r>
            <w:r>
              <w:rPr>
                <w:rFonts w:hint="eastAsia" w:cs="Times New Roman"/>
                <w:bCs/>
                <w:kern w:val="0"/>
                <w:sz w:val="24"/>
                <w:szCs w:val="24"/>
                <w:lang w:val="en-US" w:eastAsia="zh-CN"/>
              </w:rPr>
              <w:t>等</w:t>
            </w:r>
            <w:r>
              <w:rPr>
                <w:rFonts w:hint="eastAsia" w:ascii="Times New Roman" w:hAnsi="Times New Roman" w:eastAsia="宋体" w:cs="Times New Roman"/>
                <w:bCs/>
                <w:kern w:val="0"/>
                <w:sz w:val="24"/>
                <w:szCs w:val="24"/>
                <w:lang w:eastAsia="zh-CN"/>
              </w:rPr>
              <w:t>，两类工程分段错峰施工，单段施工周期</w:t>
            </w:r>
            <w:r>
              <w:rPr>
                <w:rFonts w:hint="eastAsia" w:cs="Times New Roman"/>
                <w:bCs/>
                <w:kern w:val="0"/>
                <w:sz w:val="24"/>
                <w:szCs w:val="24"/>
                <w:lang w:val="en-US" w:eastAsia="zh-CN"/>
              </w:rPr>
              <w:t>10</w:t>
            </w:r>
            <w:r>
              <w:rPr>
                <w:rFonts w:hint="eastAsia" w:ascii="Times New Roman" w:hAnsi="Times New Roman" w:eastAsia="宋体" w:cs="Times New Roman"/>
                <w:bCs/>
                <w:kern w:val="0"/>
                <w:sz w:val="24"/>
                <w:szCs w:val="24"/>
                <w:lang w:eastAsia="zh-CN"/>
              </w:rPr>
              <w:t>～</w:t>
            </w:r>
            <w:r>
              <w:rPr>
                <w:rFonts w:hint="eastAsia" w:cs="Times New Roman"/>
                <w:bCs/>
                <w:kern w:val="0"/>
                <w:sz w:val="24"/>
                <w:szCs w:val="24"/>
                <w:lang w:val="en-US" w:eastAsia="zh-CN"/>
              </w:rPr>
              <w:t>20</w:t>
            </w:r>
            <w:r>
              <w:rPr>
                <w:rFonts w:hint="eastAsia" w:ascii="Times New Roman" w:hAnsi="Times New Roman" w:eastAsia="宋体" w:cs="Times New Roman"/>
                <w:bCs/>
                <w:kern w:val="0"/>
                <w:sz w:val="24"/>
                <w:szCs w:val="24"/>
                <w:lang w:eastAsia="zh-CN"/>
              </w:rPr>
              <w:t>天，工序完工后机械设备统一下山保养，不在勘查现场长期滞留。施工油料采用随车便携转运方式，现场无大量燃油长期囤积，且不设置固定式柴油储存区，仅依靠柴油发电机自带油箱临时存油。</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危险物质及分布情况见下表。</w:t>
            </w:r>
          </w:p>
          <w:p>
            <w:pPr>
              <w:pStyle w:val="53"/>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表5-2    危险物质及分布情况</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995"/>
              <w:gridCol w:w="1297"/>
              <w:gridCol w:w="123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3"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危险物质</w:t>
                  </w:r>
                </w:p>
              </w:tc>
              <w:tc>
                <w:tcPr>
                  <w:tcW w:w="132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最大储存量（t）</w:t>
                  </w:r>
                </w:p>
              </w:tc>
              <w:tc>
                <w:tcPr>
                  <w:tcW w:w="86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储存方式</w:t>
                  </w:r>
                </w:p>
              </w:tc>
              <w:tc>
                <w:tcPr>
                  <w:tcW w:w="82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临界量（t）</w:t>
                  </w:r>
                </w:p>
              </w:tc>
              <w:tc>
                <w:tcPr>
                  <w:tcW w:w="9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w:t>
                  </w:r>
                </w:p>
              </w:tc>
              <w:tc>
                <w:tcPr>
                  <w:tcW w:w="132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0.021</w:t>
                  </w:r>
                </w:p>
              </w:tc>
              <w:tc>
                <w:tcPr>
                  <w:tcW w:w="862"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柴油发电机油箱</w:t>
                  </w:r>
                </w:p>
              </w:tc>
              <w:tc>
                <w:tcPr>
                  <w:tcW w:w="82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2500</w:t>
                  </w:r>
                </w:p>
              </w:tc>
              <w:tc>
                <w:tcPr>
                  <w:tcW w:w="9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8.4×10</w:t>
                  </w:r>
                  <w:r>
                    <w:rPr>
                      <w:rFonts w:hint="eastAsia"/>
                      <w:vertAlign w:val="superscript"/>
                      <w:lang w:val="en-US" w:eastAsia="zh-CN"/>
                    </w:rPr>
                    <w:t>-6</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本项目危险物质理化性质见下表。</w:t>
            </w:r>
          </w:p>
          <w:p>
            <w:pPr>
              <w:pStyle w:val="57"/>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 xml:space="preserve">表5-3    </w:t>
            </w:r>
            <w:r>
              <w:rPr>
                <w:rFonts w:hint="eastAsia"/>
              </w:rPr>
              <w:t>物质危险性分析</w:t>
            </w:r>
          </w:p>
          <w:tbl>
            <w:tblPr>
              <w:tblStyle w:val="2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71"/>
              <w:gridCol w:w="1543"/>
              <w:gridCol w:w="507"/>
              <w:gridCol w:w="4054"/>
              <w:gridCol w:w="8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物质名称</w:t>
                  </w:r>
                </w:p>
              </w:tc>
              <w:tc>
                <w:tcPr>
                  <w:tcW w:w="1025" w:type="pct"/>
                  <w:noWrap w:val="0"/>
                  <w:tcMar>
                    <w:left w:w="6" w:type="dxa"/>
                    <w:right w:w="6" w:type="dxa"/>
                  </w:tcMar>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理化性质</w:t>
                  </w:r>
                </w:p>
              </w:tc>
              <w:tc>
                <w:tcPr>
                  <w:tcW w:w="337" w:type="pct"/>
                  <w:noWrap w:val="0"/>
                  <w:tcMar>
                    <w:left w:w="6" w:type="dxa"/>
                    <w:right w:w="6" w:type="dxa"/>
                  </w:tcMar>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物质类型</w:t>
                  </w:r>
                </w:p>
              </w:tc>
              <w:tc>
                <w:tcPr>
                  <w:tcW w:w="2693" w:type="pct"/>
                  <w:noWrap w:val="0"/>
                  <w:tcMar>
                    <w:left w:w="6" w:type="dxa"/>
                    <w:right w:w="6" w:type="dxa"/>
                  </w:tcMar>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危险性描述</w:t>
                  </w:r>
                </w:p>
              </w:tc>
              <w:tc>
                <w:tcPr>
                  <w:tcW w:w="564" w:type="pct"/>
                  <w:noWrap w:val="0"/>
                  <w:tcMar>
                    <w:left w:w="6" w:type="dxa"/>
                    <w:right w:w="6" w:type="dxa"/>
                  </w:tcMar>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w:t>
                  </w:r>
                </w:p>
              </w:tc>
              <w:tc>
                <w:tcPr>
                  <w:tcW w:w="1025" w:type="pct"/>
                  <w:noWrap w:val="0"/>
                  <w:tcMar>
                    <w:left w:w="6" w:type="dxa"/>
                    <w:right w:w="6" w:type="dxa"/>
                  </w:tcMar>
                  <w:vAlign w:val="center"/>
                </w:tcPr>
                <w:p>
                  <w:pPr>
                    <w:pStyle w:val="59"/>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常温下为稍有粘性的棕色的液体，相对密度（水=1）：0.845，闪点：56℃，引燃温度：257℃。</w:t>
                  </w:r>
                </w:p>
              </w:tc>
              <w:tc>
                <w:tcPr>
                  <w:tcW w:w="337" w:type="pct"/>
                  <w:noWrap w:val="0"/>
                  <w:tcMar>
                    <w:left w:w="6" w:type="dxa"/>
                    <w:right w:w="6" w:type="dxa"/>
                  </w:tcMar>
                  <w:vAlign w:val="center"/>
                </w:tcPr>
                <w:p>
                  <w:pPr>
                    <w:pStyle w:val="59"/>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易燃液体</w:t>
                  </w:r>
                </w:p>
              </w:tc>
              <w:tc>
                <w:tcPr>
                  <w:tcW w:w="2693" w:type="pct"/>
                  <w:noWrap w:val="0"/>
                  <w:tcMar>
                    <w:left w:w="6" w:type="dxa"/>
                    <w:right w:w="6" w:type="dxa"/>
                  </w:tcMar>
                  <w:vAlign w:val="center"/>
                </w:tcPr>
                <w:p>
                  <w:pPr>
                    <w:pStyle w:val="59"/>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9"/>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柴油发电机液体燃料，用于整个勘查过程</w:t>
                  </w:r>
                </w:p>
              </w:tc>
            </w:tr>
          </w:tbl>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7.2环境风险潜势与评价等级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（1）环境风险潜势划分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7"/>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bCs/>
                <w:kern w:val="0"/>
                <w:szCs w:val="24"/>
              </w:rPr>
            </w:pPr>
            <w:r>
              <w:rPr>
                <w:rFonts w:hint="eastAsia"/>
              </w:rPr>
              <w:t>表</w:t>
            </w:r>
            <w:r>
              <w:rPr>
                <w:rFonts w:hint="eastAsia"/>
                <w:lang w:val="en-US" w:eastAsia="zh-CN"/>
              </w:rPr>
              <w:t>5-4</w:t>
            </w:r>
            <w:r>
              <w:rPr>
                <w:rFonts w:hint="eastAsia"/>
              </w:rPr>
              <w:t xml:space="preserve">  </w:t>
            </w:r>
            <w:r>
              <w:rPr>
                <w:rFonts w:hint="eastAsia"/>
                <w:lang w:val="en-US" w:eastAsia="zh-CN"/>
              </w:rPr>
              <w:t xml:space="preserve"> </w:t>
            </w:r>
            <w:r>
              <w:rPr>
                <w:rFonts w:hint="eastAsia"/>
              </w:rPr>
              <w:t xml:space="preserve"> 建设项目环境风险潜势划分</w:t>
            </w:r>
          </w:p>
          <w:tbl>
            <w:tblPr>
              <w:tblStyle w:val="6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4" w:type="dxa"/>
                <w:left w:w="108" w:type="dxa"/>
                <w:bottom w:w="0" w:type="dxa"/>
                <w:right w:w="2" w:type="dxa"/>
              </w:tblCellMar>
            </w:tblPr>
            <w:tblGrid>
              <w:gridCol w:w="2046"/>
              <w:gridCol w:w="1365"/>
              <w:gridCol w:w="1352"/>
              <w:gridCol w:w="135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vMerge w:val="restar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环境敏感程度（E）</w:t>
                  </w:r>
                </w:p>
              </w:tc>
              <w:tc>
                <w:tcPr>
                  <w:tcW w:w="3638" w:type="pct"/>
                  <w:gridSpan w:val="4"/>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p>
              </w:tc>
              <w:tc>
                <w:tcPr>
                  <w:tcW w:w="908"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极高危害（P1）</w:t>
                  </w:r>
                </w:p>
              </w:tc>
              <w:tc>
                <w:tcPr>
                  <w:tcW w:w="899"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高度危害（P2）</w:t>
                  </w:r>
                </w:p>
              </w:tc>
              <w:tc>
                <w:tcPr>
                  <w:tcW w:w="90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中度危害（P3）</w:t>
                  </w:r>
                </w:p>
              </w:tc>
              <w:tc>
                <w:tcPr>
                  <w:tcW w:w="93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环境高度敏感区（E1）</w:t>
                  </w:r>
                </w:p>
              </w:tc>
              <w:tc>
                <w:tcPr>
                  <w:tcW w:w="908"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899"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90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3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rPr>
                    <w:t>环境中度敏感区（E2</w:t>
                  </w:r>
                  <w:r>
                    <w:rPr>
                      <w:rFonts w:hint="eastAsia"/>
                      <w:lang w:eastAsia="zh-CN"/>
                    </w:rPr>
                    <w:t>）</w:t>
                  </w:r>
                </w:p>
              </w:tc>
              <w:tc>
                <w:tcPr>
                  <w:tcW w:w="908"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899"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0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3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环境低度敏感区（E3）</w:t>
                  </w:r>
                </w:p>
              </w:tc>
              <w:tc>
                <w:tcPr>
                  <w:tcW w:w="908"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899"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0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Ⅱ</w:t>
                  </w:r>
                </w:p>
              </w:tc>
              <w:tc>
                <w:tcPr>
                  <w:tcW w:w="930"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注：Ⅳ+为极高环境风险</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w:t>
            </w:r>
            <w:r>
              <w:rPr>
                <w:rFonts w:hint="eastAsia" w:ascii="Times New Roman" w:hAnsi="Times New Roman" w:eastAsia="宋体" w:cs="Times New Roman"/>
                <w:bCs/>
                <w:kern w:val="0"/>
                <w:sz w:val="24"/>
                <w:szCs w:val="24"/>
                <w:lang w:eastAsia="zh-CN"/>
              </w:rPr>
              <w:t>柴油为</w:t>
            </w:r>
            <w:r>
              <w:rPr>
                <w:rFonts w:hint="eastAsia" w:ascii="Times New Roman" w:hAnsi="Times New Roman" w:eastAsia="宋体" w:cs="Times New Roman"/>
                <w:bCs/>
                <w:kern w:val="0"/>
                <w:sz w:val="24"/>
                <w:szCs w:val="24"/>
              </w:rPr>
              <w:t>风险物质，Q值</w:t>
            </w:r>
            <w:r>
              <w:rPr>
                <w:rFonts w:hint="eastAsia" w:ascii="Times New Roman" w:hAnsi="Times New Roman" w:eastAsia="宋体" w:cs="Times New Roman"/>
                <w:bCs/>
                <w:kern w:val="0"/>
                <w:sz w:val="24"/>
                <w:szCs w:val="24"/>
                <w:lang w:eastAsia="zh-CN"/>
              </w:rPr>
              <w:t>小于</w:t>
            </w:r>
            <w:r>
              <w:rPr>
                <w:rFonts w:hint="eastAsia" w:ascii="Times New Roman" w:hAnsi="Times New Roman" w:eastAsia="宋体" w:cs="Times New Roman"/>
                <w:bCs/>
                <w:kern w:val="0"/>
                <w:sz w:val="24"/>
                <w:szCs w:val="24"/>
                <w:lang w:val="en-US" w:eastAsia="zh-CN"/>
              </w:rPr>
              <w:t>1</w:t>
            </w:r>
            <w:r>
              <w:rPr>
                <w:rFonts w:hint="eastAsia" w:ascii="Times New Roman" w:hAnsi="Times New Roman" w:eastAsia="宋体" w:cs="Times New Roman"/>
                <w:bCs/>
                <w:kern w:val="0"/>
                <w:sz w:val="24"/>
                <w:szCs w:val="24"/>
              </w:rPr>
              <w:t>，风险潜势为I。</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rPr>
              <w:t>可开展简单分析。具体</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lang w:eastAsia="zh-CN"/>
              </w:rPr>
              <w:t>。</w:t>
            </w:r>
          </w:p>
          <w:p>
            <w:pPr>
              <w:pStyle w:val="53"/>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表</w:t>
            </w:r>
            <w:r>
              <w:rPr>
                <w:rFonts w:hint="eastAsia"/>
                <w:lang w:val="en-US" w:eastAsia="zh-CN"/>
              </w:rPr>
              <w:t>5-5</w:t>
            </w:r>
            <w:r>
              <w:rPr>
                <w:rFonts w:hint="eastAsia"/>
              </w:rPr>
              <w:t xml:space="preserve">  </w:t>
            </w:r>
            <w:r>
              <w:rPr>
                <w:rFonts w:hint="eastAsia"/>
                <w:lang w:val="en-US" w:eastAsia="zh-CN"/>
              </w:rPr>
              <w:t xml:space="preserve"> </w:t>
            </w:r>
            <w:r>
              <w:rPr>
                <w:rFonts w:hint="eastAsia"/>
              </w:rPr>
              <w:t xml:space="preserve"> 评价工作等级划分</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1502"/>
              <w:gridCol w:w="1506"/>
              <w:gridCol w:w="150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环境风险潜势</w:t>
                  </w:r>
                </w:p>
              </w:tc>
              <w:tc>
                <w:tcPr>
                  <w:tcW w:w="999"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IV、IV+</w:t>
                  </w:r>
                </w:p>
              </w:tc>
              <w:tc>
                <w:tcPr>
                  <w:tcW w:w="1001"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III</w:t>
                  </w:r>
                </w:p>
              </w:tc>
              <w:tc>
                <w:tcPr>
                  <w:tcW w:w="1000"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II</w:t>
                  </w:r>
                </w:p>
              </w:tc>
              <w:tc>
                <w:tcPr>
                  <w:tcW w:w="1001"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99"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评价工作等级</w:t>
                  </w:r>
                </w:p>
              </w:tc>
              <w:tc>
                <w:tcPr>
                  <w:tcW w:w="999"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一</w:t>
                  </w:r>
                </w:p>
              </w:tc>
              <w:tc>
                <w:tcPr>
                  <w:tcW w:w="1001"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二</w:t>
                  </w:r>
                </w:p>
              </w:tc>
              <w:tc>
                <w:tcPr>
                  <w:tcW w:w="1000"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三</w:t>
                  </w:r>
                </w:p>
              </w:tc>
              <w:tc>
                <w:tcPr>
                  <w:tcW w:w="1001" w:type="pct"/>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*是相对于详细评价工作内容而言，在描述危险物质、环境影响途径、环境危害后果、风险防范措施等</w:t>
                  </w:r>
                  <w:r>
                    <w:rPr>
                      <w:rFonts w:hint="eastAsia"/>
                      <w:lang w:eastAsia="zh-CN"/>
                    </w:rPr>
                    <w:t>方</w:t>
                  </w:r>
                  <w:r>
                    <w:rPr>
                      <w:rFonts w:hint="eastAsia"/>
                    </w:rPr>
                    <w:t>面给出定性的说明。</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rPr>
              <w:t>本项目风险潜势为I，故本项目需进行简单分析。</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7.3</w:t>
            </w:r>
            <w:r>
              <w:rPr>
                <w:rFonts w:hint="eastAsia"/>
              </w:rPr>
              <w:t>风险防范措施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（1）柴油发电机安排专人管理，使用和存放时简单铺设防渗地膜。满足相应防日晒、防雨淋、防渗漏及其他环境污染防控要求。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（2）加强柴油管理，使用时远离火源。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（3）油品发生泄漏时，及时用吸油毡吸附并放置到密闭的容器中储存，防止接触火源引发火灾。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lang w:val="en-US" w:eastAsia="zh-CN"/>
              </w:rPr>
              <w:t>（4）制定事故应急救援方案，发生事故时，及时采取应急行动，保护工作人员及周边人员安全，并防止事故扩大，最大限度地减少事故损失</w:t>
            </w:r>
            <w:r>
              <w:rPr>
                <w:rFonts w:hint="eastAsia" w:ascii="Times New Roman" w:hAnsi="Times New Roman" w:eastAsia="宋体" w:cs="Times New Roman"/>
                <w:bCs/>
                <w:kern w:val="0"/>
                <w:sz w:val="24"/>
                <w:szCs w:val="24"/>
              </w:rPr>
              <w:t>。</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7.4</w:t>
            </w:r>
            <w:r>
              <w:rPr>
                <w:rFonts w:hint="eastAsia"/>
              </w:rPr>
              <w:t>环境风险评价结论</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本项目环境风险开展简单分析。具体内容</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rPr>
              <w:t>。</w:t>
            </w:r>
          </w:p>
          <w:p>
            <w:pPr>
              <w:pStyle w:val="53"/>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表</w:t>
            </w:r>
            <w:r>
              <w:rPr>
                <w:rFonts w:hint="eastAsia"/>
                <w:lang w:val="en-US" w:eastAsia="zh-CN"/>
              </w:rPr>
              <w:t>5-6</w:t>
            </w:r>
            <w:r>
              <w:rPr>
                <w:rFonts w:hint="eastAsia"/>
              </w:rPr>
              <w:t xml:space="preserve">   建设项目环境风险简单分析内容表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5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建设项目名称</w:t>
                  </w:r>
                </w:p>
              </w:tc>
              <w:tc>
                <w:tcPr>
                  <w:tcW w:w="368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新疆焉耆县红柳沟铜多金属矿勘探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建设地点</w:t>
                  </w:r>
                </w:p>
              </w:tc>
              <w:tc>
                <w:tcPr>
                  <w:tcW w:w="368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新疆维吾尔自治区巴音郭楞蒙古自治州</w:t>
                  </w:r>
                  <w:r>
                    <w:rPr>
                      <w:rFonts w:hint="eastAsia"/>
                      <w:lang w:val="en-US" w:eastAsia="zh-CN"/>
                    </w:rPr>
                    <w:t>焉耆回族自治县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地理坐标</w:t>
                  </w:r>
                </w:p>
              </w:tc>
              <w:tc>
                <w:tcPr>
                  <w:tcW w:w="368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项目中心坐标</w:t>
                  </w:r>
                  <w:r>
                    <w:rPr>
                      <w:rFonts w:hint="default" w:ascii="Times New Roman" w:hAnsi="Times New Roman" w:cs="Times New Roman"/>
                      <w:lang w:eastAsia="zh-CN"/>
                    </w:rPr>
                    <w:t>：</w:t>
                  </w:r>
                  <w:r>
                    <w:rPr>
                      <w:rFonts w:hint="default" w:ascii="Times New Roman" w:hAnsi="Times New Roman" w:cs="Times New Roman"/>
                      <w:lang w:val="en-US" w:eastAsia="zh-CN"/>
                    </w:rPr>
                    <w:t>E：86°12′44.707″，N：41°56′45.883″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31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主要危险物质及分布</w:t>
                  </w:r>
                </w:p>
              </w:tc>
              <w:tc>
                <w:tcPr>
                  <w:tcW w:w="368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eastAsia="zh-CN"/>
                    </w:rPr>
                    <w:t>柴油（</w:t>
                  </w:r>
                  <w:r>
                    <w:rPr>
                      <w:rFonts w:hint="eastAsia"/>
                      <w:lang w:val="en-US" w:eastAsia="zh-CN"/>
                    </w:rPr>
                    <w:t>柴油发电机油箱</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环境影响途径及危害后果（大气、地表水、地下水）</w:t>
                  </w:r>
                </w:p>
              </w:tc>
              <w:tc>
                <w:tcPr>
                  <w:tcW w:w="3685"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（1）</w:t>
                  </w:r>
                  <w:r>
                    <w:rPr>
                      <w:rFonts w:hint="eastAsia"/>
                      <w:lang w:eastAsia="zh-CN"/>
                    </w:rPr>
                    <w:t>勘探</w:t>
                  </w:r>
                  <w:r>
                    <w:rPr>
                      <w:rFonts w:hint="eastAsia"/>
                    </w:rPr>
                    <w:t>过程</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lang w:eastAsia="zh-CN"/>
                    </w:rPr>
                    <w:t>勘探</w:t>
                  </w:r>
                  <w:r>
                    <w:rPr>
                      <w:rFonts w:hint="eastAsia"/>
                    </w:rPr>
                    <w:t>过程引发自然地质灾害。</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eastAsia="zh-CN"/>
                    </w:rPr>
                    <w:t>（</w:t>
                  </w:r>
                  <w:r>
                    <w:rPr>
                      <w:rFonts w:hint="eastAsia"/>
                      <w:lang w:val="en-US" w:eastAsia="zh-CN"/>
                    </w:rPr>
                    <w:t>2）泄漏</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val="en-US" w:eastAsia="zh-CN"/>
                    </w:rPr>
                    <w:t>由于柴油泄漏，油品将通过包气带下渗进入潜水含水层，可能会使地下水受到污染。在大量油品泄漏、短时间内未回收的情况下，含油污水方可通过在土壤中的渗透，污染地下水。因此需要加强管理和监督，采取有效的防范措施，防止和减轻柴油泄漏造成的污染。</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w:t>
                  </w:r>
                  <w:r>
                    <w:rPr>
                      <w:rFonts w:hint="eastAsia"/>
                      <w:lang w:val="en-US" w:eastAsia="zh-CN"/>
                    </w:rPr>
                    <w:t>3</w:t>
                  </w:r>
                  <w:r>
                    <w:rPr>
                      <w:rFonts w:hint="eastAsia"/>
                    </w:rPr>
                    <w:t>）火灾</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火灾的危害主要来自三方面，一是火源</w:t>
                  </w:r>
                  <w:r>
                    <w:rPr>
                      <w:rFonts w:hint="eastAsia"/>
                      <w:lang w:eastAsia="zh-CN"/>
                    </w:rPr>
                    <w:t>失去</w:t>
                  </w:r>
                  <w:r>
                    <w:rPr>
                      <w:rFonts w:hint="eastAsia"/>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风险防范措施要求</w:t>
                  </w:r>
                </w:p>
              </w:tc>
              <w:tc>
                <w:tcPr>
                  <w:tcW w:w="3685"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（1）制定环境风险管理制度</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建设单位需制定《环境保护责任制》《安全环保风险管理制度》，可满足企业环境风险管理要求，但是制度需要在执行中检验其可操作性。</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（2）风险防控及应急措施</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为防止可能出现的风险事故，项目需在总图布局、工艺技术与自动控制、电气配置等方面采取风险防范措施，需制定应急处理及救援预案。</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（3）环境应急资源</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应按照制定的《安全环保风险管理制度》购置相应的环境风险应急资源，成立应急救援队伍。</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（4）环境风险演练和培训</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填表说明：</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根据本项目污染物特性，本项目应建立独立的环境风险应急预案，并</w:t>
                  </w:r>
                  <w:r>
                    <w:rPr>
                      <w:rFonts w:hint="eastAsia"/>
                      <w:lang w:eastAsia="zh-CN"/>
                    </w:rPr>
                    <w:t>报当</w:t>
                  </w:r>
                  <w:r>
                    <w:rPr>
                      <w:rFonts w:hint="eastAsia"/>
                    </w:rPr>
                    <w:t>地环境主管部门备案。</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sz w:val="24"/>
                <w:highlight w:val="none"/>
                <w:lang w:eastAsia="zh-CN"/>
              </w:rPr>
            </w:pPr>
            <w:r>
              <w:rPr>
                <w:rFonts w:hint="eastAsia" w:ascii="Times New Roman" w:hAnsi="Times New Roman" w:eastAsia="宋体" w:cs="Times New Roman"/>
                <w:bCs/>
                <w:kern w:val="0"/>
                <w:sz w:val="24"/>
                <w:szCs w:val="24"/>
              </w:rPr>
              <w:t>根据上述分析，本项目环境风险是可防控的。</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8.</w:t>
            </w:r>
            <w:r>
              <w:rPr>
                <w:rFonts w:hint="eastAsia"/>
                <w:lang w:eastAsia="zh-CN"/>
              </w:rPr>
              <w:t>勘</w:t>
            </w:r>
            <w:r>
              <w:rPr>
                <w:rFonts w:hint="eastAsia"/>
                <w:lang w:val="en-US" w:eastAsia="zh-CN"/>
              </w:rPr>
              <w:t>查</w:t>
            </w:r>
            <w:r>
              <w:rPr>
                <w:rFonts w:hint="eastAsia"/>
                <w:lang w:eastAsia="zh-CN"/>
              </w:rPr>
              <w:t>期环境影响综合结论</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9.</w:t>
            </w:r>
            <w:r>
              <w:rPr>
                <w:rFonts w:hint="eastAsia"/>
                <w:lang w:eastAsia="zh-CN"/>
              </w:rPr>
              <w:t>生态影响恢复措施的合理性和可行性分析</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由于本项目位于高海拔地区，生态环境较脆弱，应特别注重勘探区的生态恢复。探槽开挖的临时弃土就地堆放在探槽</w:t>
            </w:r>
            <w:r>
              <w:rPr>
                <w:rFonts w:hint="eastAsia"/>
                <w:lang w:val="en-US" w:eastAsia="zh-CN"/>
              </w:rPr>
              <w:t>一</w:t>
            </w:r>
            <w:r>
              <w:rPr>
                <w:rFonts w:hint="eastAsia"/>
                <w:lang w:eastAsia="zh-CN"/>
              </w:rPr>
              <w:t>侧，并用</w:t>
            </w:r>
            <w:r>
              <w:rPr>
                <w:rFonts w:hint="eastAsia"/>
                <w:lang w:val="en-US" w:eastAsia="zh-CN"/>
              </w:rPr>
              <w:t>彩条布苫盖</w:t>
            </w:r>
            <w:r>
              <w:rPr>
                <w:rFonts w:hint="eastAsia"/>
                <w:lang w:eastAsia="zh-CN"/>
              </w:rPr>
              <w:t>，工程完成后立即回填。合理进行探矿布置，精心组织，严格控制探矿活动范围。</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（1）经济可行性</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本项目生态恢复措施</w:t>
            </w:r>
            <w:r>
              <w:rPr>
                <w:rFonts w:hint="eastAsia"/>
                <w:lang w:val="en-US" w:eastAsia="zh-CN"/>
              </w:rPr>
              <w:t>主要为</w:t>
            </w:r>
            <w:r>
              <w:rPr>
                <w:rFonts w:hint="eastAsia"/>
                <w:lang w:eastAsia="zh-CN"/>
              </w:rPr>
              <w:t>工程措施，对临时堆土采用</w:t>
            </w:r>
            <w:r>
              <w:rPr>
                <w:rFonts w:hint="eastAsia"/>
                <w:lang w:val="en-US" w:eastAsia="zh-CN"/>
              </w:rPr>
              <w:t>彩条布苫盖</w:t>
            </w:r>
            <w:r>
              <w:rPr>
                <w:rFonts w:hint="eastAsia"/>
                <w:lang w:eastAsia="zh-CN"/>
              </w:rPr>
              <w:t>。工程完成后，对施工迹地和</w:t>
            </w:r>
            <w:r>
              <w:rPr>
                <w:rFonts w:hint="eastAsia"/>
                <w:lang w:val="en-US" w:eastAsia="zh-CN"/>
              </w:rPr>
              <w:t>临时堆土区进行土地平整，恢复原有地貌。</w:t>
            </w:r>
            <w:r>
              <w:rPr>
                <w:rFonts w:hint="eastAsia"/>
                <w:lang w:eastAsia="zh-CN"/>
              </w:rPr>
              <w:t>工程措施简单易行，所需设备材料价格合理。</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highlight w:val="none"/>
                <w:lang w:val="en-US" w:eastAsia="zh-CN"/>
              </w:rPr>
              <w:t>项目总投资为500万元，环保投资为15万元</w:t>
            </w:r>
            <w:r>
              <w:rPr>
                <w:rFonts w:hint="eastAsia"/>
                <w:highlight w:val="none"/>
                <w:lang w:eastAsia="zh-CN"/>
              </w:rPr>
              <w:t>，环保投资占总投资的</w:t>
            </w:r>
            <w:r>
              <w:rPr>
                <w:rFonts w:hint="eastAsia"/>
                <w:highlight w:val="none"/>
                <w:lang w:val="en-US" w:eastAsia="zh-CN"/>
              </w:rPr>
              <w:t>3%</w:t>
            </w:r>
            <w:r>
              <w:rPr>
                <w:rFonts w:hint="eastAsia"/>
                <w:highlight w:val="none"/>
                <w:lang w:eastAsia="zh-CN"/>
              </w:rPr>
              <w:t>。项目的</w:t>
            </w:r>
            <w:r>
              <w:rPr>
                <w:rFonts w:hint="eastAsia"/>
                <w:lang w:eastAsia="zh-CN"/>
              </w:rPr>
              <w:t>生态恢复措施投资额度在经济上是可接受的，能在一定经济基础上完成对生态环境最大程度上的恢复工作。因此，本项目生态恢复措施在经济上是可行的。</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（2）技术可行性</w:t>
            </w:r>
          </w:p>
          <w:p>
            <w:pPr>
              <w:pStyle w:val="49"/>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工程措施施工技术较简单，易操作，所需设备材料易取，对生态恢复的效果明显，</w:t>
            </w:r>
            <w:r>
              <w:rPr>
                <w:rFonts w:hint="eastAsia"/>
                <w:lang w:val="en-US" w:eastAsia="zh-CN"/>
              </w:rPr>
              <w:t>且</w:t>
            </w:r>
            <w:r>
              <w:rPr>
                <w:rFonts w:hint="eastAsia"/>
                <w:lang w:eastAsia="zh-CN"/>
              </w:rPr>
              <w:t>施工简单，</w:t>
            </w:r>
            <w:r>
              <w:rPr>
                <w:rFonts w:hint="eastAsia"/>
                <w:lang w:val="en-US" w:eastAsia="zh-CN"/>
              </w:rPr>
              <w:t>植被自然恢复后</w:t>
            </w:r>
            <w:r>
              <w:rPr>
                <w:rFonts w:hint="eastAsia"/>
                <w:lang w:eastAsia="zh-CN"/>
              </w:rPr>
              <w:t>对生态环境的恢复起到比较明显的效果。因此本项目生态恢复措施在技术上是可行的。</w:t>
            </w:r>
          </w:p>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w:t>
            </w:r>
            <w:r>
              <w:rPr>
                <w:rFonts w:hint="eastAsia"/>
              </w:rPr>
              <w:t>环境管理计划</w:t>
            </w:r>
          </w:p>
          <w:p>
            <w:pPr>
              <w:pStyle w:val="5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10.1</w:t>
            </w:r>
            <w:r>
              <w:rPr>
                <w:rFonts w:hint="eastAsia"/>
              </w:rPr>
              <w:t>环境管理职责</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w:t>
            </w:r>
            <w:r>
              <w:t>1</w:t>
            </w:r>
            <w:r>
              <w:rPr>
                <w:rFonts w:hint="eastAsia"/>
              </w:rPr>
              <w:t>）最高管理者的职责</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根据国家、自治区及地方各项环保政策、法规、标准制定环境方针；明确规定管理者代表的作用、职</w:t>
            </w:r>
            <w:r>
              <w:rPr>
                <w:rFonts w:hint="eastAsia"/>
                <w:lang w:eastAsia="zh-CN"/>
              </w:rPr>
              <w:t>责和</w:t>
            </w:r>
            <w:r>
              <w:rPr>
                <w:rFonts w:hint="eastAsia"/>
              </w:rPr>
              <w:t>权限，为环境管理工作提供包括人力、财力、技术等方面资源。</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w:t>
            </w:r>
            <w:r>
              <w:t>2</w:t>
            </w:r>
            <w:r>
              <w:rPr>
                <w:rFonts w:hint="eastAsia"/>
              </w:rPr>
              <w:t>）管理者代表的职责</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在环境管理事务中代表了最高管理者行使职权，监督环境管理体系的实施。其职责主要包括：</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①贯彻执行国家相关的法律法规，根据本企业实际，编制环境保护规划和实施细则，并组织实施，监督执行。</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②负责</w:t>
            </w:r>
            <w:r>
              <w:rPr>
                <w:rFonts w:hint="eastAsia"/>
                <w:lang w:val="en-US" w:eastAsia="zh-CN"/>
              </w:rPr>
              <w:t>勘探</w:t>
            </w:r>
            <w:r>
              <w:rPr>
                <w:rFonts w:hint="eastAsia"/>
              </w:rPr>
              <w:t>区环境统计工作，污染源建档，定期进行</w:t>
            </w:r>
            <w:r>
              <w:rPr>
                <w:rFonts w:hint="eastAsia"/>
                <w:lang w:eastAsia="zh-CN"/>
              </w:rPr>
              <w:t>“</w:t>
            </w:r>
            <w:r>
              <w:rPr>
                <w:rFonts w:hint="eastAsia"/>
              </w:rPr>
              <w:t>三废</w:t>
            </w:r>
            <w:r>
              <w:rPr>
                <w:rFonts w:hint="eastAsia"/>
                <w:lang w:eastAsia="zh-CN"/>
              </w:rPr>
              <w:t>”</w:t>
            </w:r>
            <w:r>
              <w:rPr>
                <w:rFonts w:hint="eastAsia"/>
              </w:rPr>
              <w:t>排放及噪声的监测，掌握厂内污染源</w:t>
            </w:r>
            <w:r>
              <w:rPr>
                <w:rFonts w:hint="eastAsia"/>
                <w:lang w:eastAsia="zh-CN"/>
              </w:rPr>
              <w:t>“</w:t>
            </w:r>
            <w:r>
              <w:rPr>
                <w:rFonts w:hint="eastAsia"/>
              </w:rPr>
              <w:t>三废</w:t>
            </w:r>
            <w:r>
              <w:rPr>
                <w:rFonts w:hint="eastAsia"/>
                <w:lang w:eastAsia="zh-CN"/>
              </w:rPr>
              <w:t>”</w:t>
            </w:r>
            <w:r>
              <w:rPr>
                <w:rFonts w:hint="eastAsia"/>
              </w:rPr>
              <w:t>排放动态，编制环境监测报告等，为环境管理和污染防治提供依据。</w:t>
            </w:r>
          </w:p>
          <w:p>
            <w:pPr>
              <w:pStyle w:val="49"/>
              <w:keepNext w:val="0"/>
              <w:keepLines w:val="0"/>
              <w:pageBreakBefore w:val="0"/>
              <w:widowControl w:val="0"/>
              <w:kinsoku/>
              <w:overflowPunct/>
              <w:topLinePunct w:val="0"/>
              <w:autoSpaceDE/>
              <w:autoSpaceDN/>
              <w:bidi w:val="0"/>
              <w:adjustRightInd w:val="0"/>
              <w:snapToGrid w:val="0"/>
              <w:textAlignment w:val="auto"/>
            </w:pPr>
            <w:r>
              <w:rPr>
                <w:rFonts w:hint="eastAsia"/>
              </w:rPr>
              <w:t>③制定切实可行的</w:t>
            </w:r>
            <w:r>
              <w:rPr>
                <w:rFonts w:hint="eastAsia"/>
                <w:lang w:eastAsia="zh-CN"/>
              </w:rPr>
              <w:t>“</w:t>
            </w:r>
            <w:r>
              <w:rPr>
                <w:rFonts w:hint="eastAsia"/>
              </w:rPr>
              <w:t>三废</w:t>
            </w:r>
            <w:r>
              <w:rPr>
                <w:rFonts w:hint="eastAsia"/>
                <w:lang w:eastAsia="zh-CN"/>
              </w:rPr>
              <w:t>”</w:t>
            </w:r>
            <w:r>
              <w:rPr>
                <w:rFonts w:hint="eastAsia"/>
              </w:rPr>
              <w:t>排放控制指标，环保治理设施运行考核指标，组织落实实施，定期进行考核。</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rPr>
              <w:t>④通过工程建设，不断提高治理设施的水平和可操作性。将在环境管理体系运行中所掌</w:t>
            </w:r>
            <w:r>
              <w:rPr>
                <w:rFonts w:hint="default"/>
              </w:rPr>
              <w:t>握的情况及时向最高管理者汇报，并提出建议。</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（3）全体员工职责</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全体员工应以对环境负责的态度和方式从事自己的工作，并在各自的岗位上承担有关环境责任。</w:t>
            </w:r>
          </w:p>
          <w:p>
            <w:pPr>
              <w:pStyle w:val="51"/>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10.2</w:t>
            </w:r>
            <w:r>
              <w:rPr>
                <w:rFonts w:hint="default"/>
              </w:rPr>
              <w:t>环境管理的目标</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本项目环境管理的目标应达到国家规定的水、气、声、渣等污染物排放标准，确保环境管理的持续改进。</w:t>
            </w:r>
          </w:p>
          <w:p>
            <w:pPr>
              <w:pStyle w:val="51"/>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10.3</w:t>
            </w:r>
            <w:r>
              <w:rPr>
                <w:rFonts w:hint="default"/>
              </w:rPr>
              <w:t>环境管理的主要内容</w:t>
            </w:r>
          </w:p>
          <w:p>
            <w:pPr>
              <w:pStyle w:val="4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本项目针对不同工作阶段，制定环境管理工作计划，项目建设管理工作计划见</w:t>
            </w:r>
            <w:r>
              <w:rPr>
                <w:rFonts w:hint="eastAsia"/>
                <w:lang w:val="en-US" w:eastAsia="zh-CN"/>
              </w:rPr>
              <w:t>下表</w:t>
            </w:r>
            <w:r>
              <w:rPr>
                <w:rFonts w:hint="default"/>
              </w:rPr>
              <w:t>。</w:t>
            </w:r>
          </w:p>
          <w:p>
            <w:pPr>
              <w:pStyle w:val="57"/>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 xml:space="preserve">表5-7    </w:t>
            </w:r>
            <w:r>
              <w:rPr>
                <w:rFonts w:hint="default"/>
              </w:rPr>
              <w:t>各阶段环境管理工作主要内容</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6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阶段</w:t>
                  </w:r>
                </w:p>
              </w:tc>
              <w:tc>
                <w:tcPr>
                  <w:tcW w:w="4233"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7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w:t>
                  </w:r>
                </w:p>
                <w:p>
                  <w:pPr>
                    <w:pStyle w:val="59"/>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机构职能</w:t>
                  </w:r>
                </w:p>
              </w:tc>
              <w:tc>
                <w:tcPr>
                  <w:tcW w:w="4233"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rPr>
                      <w:rFonts w:hint="default"/>
                    </w:rPr>
                  </w:pPr>
                  <w:r>
                    <w:rPr>
                      <w:rFonts w:hint="default"/>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pPr>
                  <w:r>
                    <w:rPr>
                      <w:rFonts w:hint="eastAsia"/>
                    </w:rPr>
                    <w:t>准备阶段</w:t>
                  </w:r>
                </w:p>
              </w:tc>
              <w:tc>
                <w:tcPr>
                  <w:tcW w:w="4233"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1</w:t>
                  </w:r>
                  <w:r>
                    <w:rPr>
                      <w:rFonts w:hint="eastAsia"/>
                    </w:rPr>
                    <w:t>）与项目可行性研究同期，委托</w:t>
                  </w:r>
                  <w:r>
                    <w:rPr>
                      <w:rFonts w:hint="eastAsia"/>
                      <w:lang w:val="en-US" w:eastAsia="zh-CN"/>
                    </w:rPr>
                    <w:t>具</w:t>
                  </w:r>
                  <w:r>
                    <w:rPr>
                      <w:rFonts w:hint="eastAsia"/>
                    </w:rPr>
                    <w:t>有建设项目环境影响评价资质的环评单位进行项目的环境影响评价工作；</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）积极配合可研和环评工作所需进行现场调研；</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）针对项目具体情况，制定本企业所必需的环境管理与监测制度；</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4</w:t>
                  </w:r>
                  <w:r>
                    <w:rPr>
                      <w:rFonts w:hint="eastAsia"/>
                    </w:rPr>
                    <w:t>）对</w:t>
                  </w:r>
                  <w:r>
                    <w:rPr>
                      <w:rFonts w:hint="eastAsia"/>
                      <w:lang w:val="en-US" w:eastAsia="zh-CN"/>
                    </w:rPr>
                    <w:t>聘用的员工</w:t>
                  </w:r>
                  <w:r>
                    <w:rPr>
                      <w:rFonts w:hint="eastAsia"/>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7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pPr>
                  <w:r>
                    <w:rPr>
                      <w:rFonts w:hint="eastAsia"/>
                    </w:rPr>
                    <w:t>施工阶段</w:t>
                  </w:r>
                </w:p>
              </w:tc>
              <w:tc>
                <w:tcPr>
                  <w:tcW w:w="4233"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（1）严格执行各项生产及环境管理制度；</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）按照环评报告</w:t>
                  </w:r>
                  <w:r>
                    <w:rPr>
                      <w:rFonts w:hint="eastAsia"/>
                      <w:lang w:val="en-US" w:eastAsia="zh-CN"/>
                    </w:rPr>
                    <w:t>表</w:t>
                  </w:r>
                  <w:r>
                    <w:rPr>
                      <w:rFonts w:hint="eastAsia"/>
                    </w:rPr>
                    <w:t>中提出的要求，制定建设项目施工措施实施计划表；</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）施工噪声与振动要符合有关噪声污染防治规定，不得</w:t>
                  </w:r>
                  <w:r>
                    <w:rPr>
                      <w:rFonts w:hint="eastAsia"/>
                      <w:lang w:val="en-US" w:eastAsia="zh-CN"/>
                    </w:rPr>
                    <w:t>影响区域声环境质量</w:t>
                  </w:r>
                  <w:r>
                    <w:rPr>
                      <w:rFonts w:hint="eastAsia"/>
                    </w:rPr>
                    <w:t>；</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4</w:t>
                  </w:r>
                  <w:r>
                    <w:rPr>
                      <w:rFonts w:hint="eastAsia"/>
                    </w:rPr>
                    <w:t>）建设项目竣工后，应督促施工单位及时恢复建设过程中受到破坏的环境</w:t>
                  </w:r>
                  <w:r>
                    <w:rPr>
                      <w:rFonts w:hint="eastAsia"/>
                      <w:lang w:eastAsia="zh-CN"/>
                    </w:rPr>
                    <w:t>；</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（5）重视群众监督作用，</w:t>
                  </w:r>
                  <w:r>
                    <w:rPr>
                      <w:rFonts w:hint="eastAsia"/>
                      <w:lang w:eastAsia="zh-CN"/>
                    </w:rPr>
                    <w:t>增强</w:t>
                  </w:r>
                  <w:r>
                    <w:rPr>
                      <w:rFonts w:hint="eastAsia"/>
                    </w:rPr>
                    <w:t>企业职工环保意识，鼓励职工及外部人员对生产状况提出意见，并通过积极吸收宝贵意见，提高企业环境管理水平；</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rPr>
                    <w:t>（6）积极配合</w:t>
                  </w:r>
                  <w:r>
                    <w:rPr>
                      <w:rFonts w:hint="eastAsia"/>
                      <w:lang w:val="en-US" w:eastAsia="zh-CN"/>
                    </w:rPr>
                    <w:t>生态环境主管部门</w:t>
                  </w:r>
                  <w:r>
                    <w:rPr>
                      <w:rFonts w:hint="eastAsia"/>
                    </w:rPr>
                    <w:t>的检查、验收。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pPr>
                  <w:r>
                    <w:rPr>
                      <w:rFonts w:hint="eastAsia"/>
                    </w:rPr>
                    <w:t>生产运</w:t>
                  </w:r>
                </w:p>
                <w:p>
                  <w:pPr>
                    <w:pStyle w:val="59"/>
                    <w:keepNext w:val="0"/>
                    <w:keepLines w:val="0"/>
                    <w:pageBreakBefore w:val="0"/>
                    <w:widowControl w:val="0"/>
                    <w:kinsoku/>
                    <w:overflowPunct/>
                    <w:topLinePunct w:val="0"/>
                    <w:autoSpaceDE/>
                    <w:autoSpaceDN/>
                    <w:bidi w:val="0"/>
                    <w:adjustRightInd w:val="0"/>
                    <w:snapToGrid w:val="0"/>
                    <w:textAlignment w:val="auto"/>
                  </w:pPr>
                  <w:r>
                    <w:rPr>
                      <w:rFonts w:hint="eastAsia"/>
                    </w:rPr>
                    <w:t>行阶段</w:t>
                  </w:r>
                </w:p>
              </w:tc>
              <w:tc>
                <w:tcPr>
                  <w:tcW w:w="4233"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rPr>
                      <w:rFonts w:hint="default"/>
                      <w:lang w:val="en-US" w:eastAsia="zh-CN"/>
                    </w:rPr>
                  </w:pP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pStyle w:val="59"/>
                    <w:keepNext w:val="0"/>
                    <w:keepLines w:val="0"/>
                    <w:pageBreakBefore w:val="0"/>
                    <w:widowControl w:val="0"/>
                    <w:kinsoku/>
                    <w:overflowPunct/>
                    <w:topLinePunct w:val="0"/>
                    <w:autoSpaceDE/>
                    <w:autoSpaceDN/>
                    <w:bidi w:val="0"/>
                    <w:adjustRightInd w:val="0"/>
                    <w:snapToGrid w:val="0"/>
                    <w:textAlignment w:val="auto"/>
                    <w:rPr>
                      <w:rFonts w:hint="default" w:eastAsia="宋体"/>
                      <w:lang w:val="en-US" w:eastAsia="zh-CN"/>
                    </w:rPr>
                  </w:pPr>
                  <w:r>
                    <w:rPr>
                      <w:rFonts w:hint="eastAsia"/>
                      <w:lang w:val="en-US" w:eastAsia="zh-CN"/>
                    </w:rPr>
                    <w:t>生态恢复阶段</w:t>
                  </w:r>
                </w:p>
              </w:tc>
              <w:tc>
                <w:tcPr>
                  <w:tcW w:w="4233" w:type="pct"/>
                  <w:noWrap w:val="0"/>
                  <w:vAlign w:val="center"/>
                </w:tcPr>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1</w:t>
                  </w:r>
                  <w:r>
                    <w:rPr>
                      <w:rFonts w:hint="eastAsia"/>
                    </w:rPr>
                    <w:t>）</w:t>
                  </w:r>
                  <w:r>
                    <w:rPr>
                      <w:rFonts w:hint="eastAsia"/>
                      <w:lang w:eastAsia="zh-CN"/>
                    </w:rPr>
                    <w:t>勘探工作完成后</w:t>
                  </w:r>
                  <w:r>
                    <w:rPr>
                      <w:rFonts w:hint="eastAsia"/>
                    </w:rPr>
                    <w:t>，应</w:t>
                  </w:r>
                  <w:r>
                    <w:rPr>
                      <w:rFonts w:hint="eastAsia"/>
                      <w:lang w:eastAsia="zh-CN"/>
                    </w:rPr>
                    <w:t>及时回填并恢复原有地貌</w:t>
                  </w:r>
                  <w:r>
                    <w:rPr>
                      <w:rFonts w:hint="eastAsia"/>
                    </w:rPr>
                    <w:t>，及时进行生态恢复</w:t>
                  </w:r>
                  <w:r>
                    <w:rPr>
                      <w:rFonts w:hint="eastAsia"/>
                      <w:lang w:eastAsia="zh-CN"/>
                    </w:rPr>
                    <w:t>；</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2</w:t>
                  </w:r>
                  <w:r>
                    <w:rPr>
                      <w:rFonts w:hint="eastAsia"/>
                    </w:rPr>
                    <w:t>）落实专项资金、加强监督管理</w:t>
                  </w:r>
                  <w:r>
                    <w:rPr>
                      <w:rFonts w:hint="eastAsia"/>
                      <w:lang w:eastAsia="zh-CN"/>
                    </w:rPr>
                    <w:t>；</w:t>
                  </w:r>
                </w:p>
                <w:p>
                  <w:pPr>
                    <w:pStyle w:val="59"/>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认真落实已编制的生态环境恢复治理方案，</w:t>
                  </w:r>
                  <w:r>
                    <w:rPr>
                      <w:rFonts w:hint="eastAsia"/>
                      <w:lang w:eastAsia="zh-CN"/>
                    </w:rPr>
                    <w:t>做好地质普查后</w:t>
                  </w:r>
                  <w:r>
                    <w:rPr>
                      <w:rFonts w:hint="eastAsia"/>
                    </w:rPr>
                    <w:t>环境整治及土地复垦等工作</w:t>
                  </w:r>
                  <w:r>
                    <w:rPr>
                      <w:rFonts w:hint="eastAsia"/>
                      <w:lang w:eastAsia="zh-CN"/>
                    </w:rPr>
                    <w:t>；</w:t>
                  </w:r>
                </w:p>
                <w:p>
                  <w:pPr>
                    <w:pStyle w:val="59"/>
                    <w:keepNext w:val="0"/>
                    <w:keepLines w:val="0"/>
                    <w:pageBreakBefore w:val="0"/>
                    <w:widowControl w:val="0"/>
                    <w:kinsoku/>
                    <w:overflowPunct/>
                    <w:topLinePunct w:val="0"/>
                    <w:autoSpaceDE/>
                    <w:autoSpaceDN/>
                    <w:bidi w:val="0"/>
                    <w:adjustRightInd w:val="0"/>
                    <w:snapToGrid w:val="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建立环保设施档案，主动接受</w:t>
                  </w:r>
                  <w:r>
                    <w:rPr>
                      <w:rFonts w:hint="eastAsia"/>
                      <w:lang w:val="en-US" w:eastAsia="zh-CN"/>
                    </w:rPr>
                    <w:t>生态环境主管部门</w:t>
                  </w:r>
                  <w:r>
                    <w:rPr>
                      <w:rFonts w:hint="eastAsia"/>
                    </w:rPr>
                    <w:t>监督，配合</w:t>
                  </w:r>
                  <w:r>
                    <w:rPr>
                      <w:rFonts w:hint="eastAsia"/>
                      <w:lang w:val="en-US" w:eastAsia="zh-CN"/>
                    </w:rPr>
                    <w:t>生态环境主管部门</w:t>
                  </w:r>
                  <w:r>
                    <w:rPr>
                      <w:rFonts w:hint="eastAsia"/>
                    </w:rPr>
                    <w:t>的检查、验收。</w:t>
                  </w:r>
                </w:p>
              </w:tc>
            </w:tr>
          </w:tbl>
          <w:p>
            <w:pPr>
              <w:pStyle w:val="51"/>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10.4环境监测</w:t>
            </w:r>
          </w:p>
          <w:p>
            <w:pPr>
              <w:pStyle w:val="49"/>
              <w:bidi w:val="0"/>
              <w:rPr>
                <w:rFonts w:hint="default"/>
                <w:lang w:val="en-US" w:eastAsia="zh-CN"/>
              </w:rPr>
            </w:pPr>
            <w:r>
              <w:rPr>
                <w:rFonts w:hint="default"/>
                <w:lang w:val="en-US" w:eastAsia="zh-CN"/>
              </w:rPr>
              <w:t>勘探期的环境监测主要是对作业场所的控制监测，主要监测对象有土壤、植被、作业废气、废水和噪声等。对作业场所的控制监测可视当地具体情况、当地环保部门要求等情况而定，诸如：在人群密集区施工可进行适当噪声监测，对事故监测可根据事故性质、事故影响的大小等，视具体情况监测气、土壤、水等；生态环境监测主要监测内容为项目建设所涉及的生态环境要素、生态环境问题、生态环保措施的落实情况。具体环境监</w:t>
            </w:r>
            <w:r>
              <w:rPr>
                <w:rFonts w:hint="eastAsia"/>
                <w:lang w:val="en-US" w:eastAsia="zh-CN"/>
              </w:rPr>
              <w:t>测</w:t>
            </w:r>
            <w:r>
              <w:rPr>
                <w:rFonts w:hint="default"/>
                <w:lang w:val="en-US" w:eastAsia="zh-CN"/>
              </w:rPr>
              <w:t>计划见下表。</w:t>
            </w:r>
          </w:p>
          <w:p>
            <w:pPr>
              <w:pStyle w:val="53"/>
              <w:bidi w:val="0"/>
              <w:rPr>
                <w:rFonts w:hint="default"/>
                <w:lang w:val="en-US" w:eastAsia="zh-CN"/>
              </w:rPr>
            </w:pPr>
            <w:r>
              <w:rPr>
                <w:rFonts w:hint="default"/>
                <w:lang w:val="en-US" w:eastAsia="zh-CN"/>
              </w:rPr>
              <w:t>表5-</w:t>
            </w:r>
            <w:r>
              <w:rPr>
                <w:rFonts w:hint="eastAsia"/>
                <w:lang w:val="en-US" w:eastAsia="zh-CN"/>
              </w:rPr>
              <w:t>8</w:t>
            </w:r>
            <w:r>
              <w:rPr>
                <w:rFonts w:hint="default"/>
                <w:lang w:val="en-US" w:eastAsia="zh-CN"/>
              </w:rPr>
              <w:t xml:space="preserve"> </w:t>
            </w:r>
            <w:r>
              <w:rPr>
                <w:rFonts w:hint="eastAsia"/>
                <w:lang w:val="en-US" w:eastAsia="zh-CN"/>
              </w:rPr>
              <w:t xml:space="preserve">  </w:t>
            </w:r>
            <w:r>
              <w:rPr>
                <w:rFonts w:hint="default"/>
                <w:lang w:val="en-US" w:eastAsia="zh-CN"/>
              </w:rPr>
              <w:t xml:space="preserve"> 环境监测计划</w:t>
            </w:r>
          </w:p>
          <w:tbl>
            <w:tblPr>
              <w:tblStyle w:val="2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387"/>
              <w:gridCol w:w="785"/>
              <w:gridCol w:w="639"/>
              <w:gridCol w:w="1054"/>
              <w:gridCol w:w="1388"/>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监测内容</w:t>
                  </w:r>
                </w:p>
              </w:tc>
              <w:tc>
                <w:tcPr>
                  <w:tcW w:w="138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监测指标</w:t>
                  </w:r>
                </w:p>
              </w:tc>
              <w:tc>
                <w:tcPr>
                  <w:tcW w:w="7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监测位置</w:t>
                  </w:r>
                </w:p>
              </w:tc>
              <w:tc>
                <w:tcPr>
                  <w:tcW w:w="6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工作方式</w:t>
                  </w:r>
                </w:p>
              </w:tc>
              <w:tc>
                <w:tcPr>
                  <w:tcW w:w="10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监测时间</w:t>
                  </w:r>
                </w:p>
              </w:tc>
              <w:tc>
                <w:tcPr>
                  <w:tcW w:w="138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监测频次</w:t>
                  </w:r>
                </w:p>
              </w:tc>
              <w:tc>
                <w:tcPr>
                  <w:tcW w:w="138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监测方法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固体废物</w:t>
                  </w:r>
                </w:p>
              </w:tc>
              <w:tc>
                <w:tcPr>
                  <w:tcW w:w="138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土石方</w:t>
                  </w:r>
                </w:p>
              </w:tc>
              <w:tc>
                <w:tcPr>
                  <w:tcW w:w="7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勘探场地</w:t>
                  </w:r>
                </w:p>
              </w:tc>
              <w:tc>
                <w:tcPr>
                  <w:tcW w:w="6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随机检查</w:t>
                  </w:r>
                </w:p>
              </w:tc>
              <w:tc>
                <w:tcPr>
                  <w:tcW w:w="10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勘探期间进行2次</w:t>
                  </w:r>
                </w:p>
              </w:tc>
              <w:tc>
                <w:tcPr>
                  <w:tcW w:w="138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探矿中期1次、勘查竣工前1次</w:t>
                  </w:r>
                </w:p>
              </w:tc>
              <w:tc>
                <w:tcPr>
                  <w:tcW w:w="138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追溯土石方清运台账、转运单据</w:t>
                  </w:r>
                  <w:r>
                    <w:rPr>
                      <w:rFonts w:hint="eastAsia" w:cs="Times New Roman"/>
                      <w:kern w:val="2"/>
                      <w:sz w:val="21"/>
                      <w:szCs w:val="21"/>
                      <w:lang w:val="en-US" w:eastAsia="zh-CN" w:bidi="ar-SA"/>
                    </w:rPr>
                    <w:t>；现场拍照留存台账与堆存现场资料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事故性检测</w:t>
                  </w:r>
                </w:p>
              </w:tc>
              <w:tc>
                <w:tcPr>
                  <w:tcW w:w="138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根据事故性质，影响大小，判断监测气、土、水等</w:t>
                  </w:r>
                </w:p>
              </w:tc>
              <w:tc>
                <w:tcPr>
                  <w:tcW w:w="7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事故发生地</w:t>
                  </w:r>
                </w:p>
              </w:tc>
              <w:tc>
                <w:tcPr>
                  <w:tcW w:w="6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现场检测</w:t>
                  </w:r>
                </w:p>
              </w:tc>
              <w:tc>
                <w:tcPr>
                  <w:tcW w:w="10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事故发生时</w:t>
                  </w:r>
                </w:p>
              </w:tc>
              <w:tc>
                <w:tcPr>
                  <w:tcW w:w="138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事故发生立即开展首次监测；处置期间每24h监测1次；污染消除后连续3天每日复测，指标达标终止</w:t>
                  </w:r>
                </w:p>
              </w:tc>
              <w:tc>
                <w:tcPr>
                  <w:tcW w:w="138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现场勘查划定污染扩散范围</w:t>
                  </w:r>
                  <w:r>
                    <w:rPr>
                      <w:rFonts w:hint="eastAsia" w:cs="Times New Roman"/>
                      <w:kern w:val="2"/>
                      <w:sz w:val="21"/>
                      <w:szCs w:val="21"/>
                      <w:lang w:val="en-US" w:eastAsia="zh-CN" w:bidi="ar-SA"/>
                    </w:rPr>
                    <w:t>；规范采集气、土样送实验室检测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勘查现场清理</w:t>
                  </w:r>
                </w:p>
              </w:tc>
              <w:tc>
                <w:tcPr>
                  <w:tcW w:w="138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勘探现场石、渣等</w:t>
                  </w:r>
                </w:p>
              </w:tc>
              <w:tc>
                <w:tcPr>
                  <w:tcW w:w="7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勘探区</w:t>
                  </w:r>
                </w:p>
              </w:tc>
              <w:tc>
                <w:tcPr>
                  <w:tcW w:w="6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随时检查</w:t>
                  </w:r>
                </w:p>
              </w:tc>
              <w:tc>
                <w:tcPr>
                  <w:tcW w:w="10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勘探结束后</w:t>
                  </w:r>
                </w:p>
              </w:tc>
              <w:tc>
                <w:tcPr>
                  <w:tcW w:w="138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清运完毕7日内完成全域核验</w:t>
                  </w:r>
                </w:p>
              </w:tc>
              <w:tc>
                <w:tcPr>
                  <w:tcW w:w="138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探槽进行抽样检查；对照施工前原始影像比对场地清理效果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临时占地</w:t>
                  </w:r>
                </w:p>
              </w:tc>
              <w:tc>
                <w:tcPr>
                  <w:tcW w:w="138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土层保护、施工结束后覆土回填，恢复至与原有地貌协调</w:t>
                  </w:r>
                </w:p>
              </w:tc>
              <w:tc>
                <w:tcPr>
                  <w:tcW w:w="7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临时用地</w:t>
                  </w:r>
                </w:p>
              </w:tc>
              <w:tc>
                <w:tcPr>
                  <w:tcW w:w="6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现场检查</w:t>
                  </w:r>
                </w:p>
              </w:tc>
              <w:tc>
                <w:tcPr>
                  <w:tcW w:w="10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施工结束、勘探结束后</w:t>
                  </w:r>
                </w:p>
              </w:tc>
              <w:tc>
                <w:tcPr>
                  <w:tcW w:w="138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覆土回填完成后核查1次</w:t>
                  </w:r>
                </w:p>
              </w:tc>
              <w:tc>
                <w:tcPr>
                  <w:tcW w:w="138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实测覆土厚度、场地平整度</w:t>
                  </w:r>
                  <w:r>
                    <w:rPr>
                      <w:rFonts w:hint="eastAsia" w:cs="Times New Roman"/>
                      <w:kern w:val="2"/>
                      <w:sz w:val="21"/>
                      <w:szCs w:val="21"/>
                      <w:lang w:val="en-US" w:eastAsia="zh-CN" w:bidi="ar-SA"/>
                    </w:rPr>
                    <w:t>；核查水土保持落实情况</w:t>
                  </w:r>
                </w:p>
              </w:tc>
            </w:tr>
          </w:tbl>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59" w:hRule="atLeast"/>
          <w:jc w:val="center"/>
        </w:trPr>
        <w:tc>
          <w:tcPr>
            <w:tcW w:w="567" w:type="dxa"/>
            <w:noWrap w:val="0"/>
            <w:vAlign w:val="center"/>
          </w:tcPr>
          <w:p>
            <w:pPr>
              <w:adjustRightInd w:val="0"/>
              <w:snapToGrid w:val="0"/>
              <w:jc w:val="center"/>
              <w:rPr>
                <w:rFonts w:ascii="宋体" w:hAnsi="宋体" w:cs="宋体"/>
                <w:bCs/>
                <w:spacing w:val="10"/>
                <w:szCs w:val="21"/>
              </w:rPr>
            </w:pPr>
            <w:r>
              <w:rPr>
                <w:rFonts w:hint="eastAsia" w:ascii="宋体" w:hAnsi="宋体"/>
                <w:bCs/>
                <w:szCs w:val="21"/>
              </w:rPr>
              <w:t>其他</w:t>
            </w:r>
          </w:p>
        </w:tc>
        <w:tc>
          <w:tcPr>
            <w:tcW w:w="7746" w:type="dxa"/>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rPr>
                <w:rFonts w:hint="eastAsia" w:ascii="宋体" w:hAnsi="宋体" w:eastAsia="宋体" w:cs="宋体"/>
                <w:bCs/>
                <w:spacing w:val="10"/>
                <w:szCs w:val="21"/>
                <w:lang w:val="en-US" w:eastAsia="zh-CN"/>
              </w:rPr>
            </w:pPr>
            <w:r>
              <w:rPr>
                <w:rFonts w:hint="eastAsia" w:ascii="宋体" w:hAnsi="宋体" w:cs="宋体"/>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567" w:type="dxa"/>
            <w:noWrap w:val="0"/>
            <w:vAlign w:val="center"/>
          </w:tcPr>
          <w:p>
            <w:pPr>
              <w:adjustRightInd w:val="0"/>
              <w:snapToGrid w:val="0"/>
              <w:jc w:val="center"/>
              <w:rPr>
                <w:rFonts w:ascii="宋体" w:hAnsi="宋体" w:cs="宋体"/>
                <w:bCs/>
                <w:spacing w:val="10"/>
                <w:szCs w:val="21"/>
              </w:rPr>
            </w:pPr>
            <w:r>
              <w:rPr>
                <w:rFonts w:hint="eastAsia" w:ascii="宋体" w:hAnsi="宋体"/>
                <w:bCs/>
                <w:szCs w:val="21"/>
              </w:rPr>
              <w:t>环保投资</w:t>
            </w:r>
          </w:p>
        </w:tc>
        <w:tc>
          <w:tcPr>
            <w:tcW w:w="7746" w:type="dxa"/>
            <w:noWrap w:val="0"/>
            <w:vAlign w:val="center"/>
          </w:tcPr>
          <w:p>
            <w:pPr>
              <w:pStyle w:val="49"/>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项目总投资为500</w:t>
            </w:r>
            <w:r>
              <w:rPr>
                <w:rFonts w:hint="eastAsia"/>
                <w:color w:val="auto"/>
                <w:highlight w:val="none"/>
                <w:lang w:val="en-US" w:eastAsia="zh-CN"/>
              </w:rPr>
              <w:t>万元，环保投资为15万元，占总投资的3%</w:t>
            </w:r>
            <w:r>
              <w:rPr>
                <w:rFonts w:hint="eastAsia"/>
                <w:color w:val="auto"/>
                <w:lang w:val="en-US" w:eastAsia="zh-CN"/>
              </w:rPr>
              <w:t>，具体环保投资见下表。</w:t>
            </w:r>
          </w:p>
          <w:p>
            <w:pPr>
              <w:pStyle w:val="53"/>
              <w:keepNext w:val="0"/>
              <w:keepLines w:val="0"/>
              <w:pageBreakBefore w:val="0"/>
              <w:widowControl w:val="0"/>
              <w:kinsoku/>
              <w:overflowPunct/>
              <w:topLinePunct w:val="0"/>
              <w:autoSpaceDE/>
              <w:autoSpaceDN/>
              <w:bidi w:val="0"/>
              <w:adjustRightInd w:val="0"/>
              <w:snapToGrid w:val="0"/>
              <w:textAlignment w:val="auto"/>
              <w:rPr>
                <w:rFonts w:hint="default"/>
                <w:color w:val="auto"/>
              </w:rPr>
            </w:pPr>
            <w:r>
              <w:rPr>
                <w:rFonts w:hint="eastAsia"/>
                <w:color w:val="auto"/>
                <w:lang w:val="en-US" w:eastAsia="zh-CN"/>
              </w:rPr>
              <w:t xml:space="preserve">表5-9    </w:t>
            </w:r>
            <w:r>
              <w:rPr>
                <w:rFonts w:hint="default"/>
                <w:color w:val="auto"/>
              </w:rPr>
              <w:t>环保设施（措施）及投资估算一览表</w:t>
            </w:r>
          </w:p>
          <w:tbl>
            <w:tblPr>
              <w:tblStyle w:val="24"/>
              <w:tblW w:w="499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764"/>
              <w:gridCol w:w="698"/>
              <w:gridCol w:w="1418"/>
              <w:gridCol w:w="4048"/>
              <w:gridCol w:w="58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noWrap w:val="0"/>
                  <w:vAlign w:val="center"/>
                </w:tcPr>
                <w:p>
                  <w:pPr>
                    <w:pStyle w:val="76"/>
                    <w:bidi w:val="0"/>
                    <w:rPr>
                      <w:rFonts w:hint="default"/>
                    </w:rPr>
                  </w:pPr>
                  <w:r>
                    <w:rPr>
                      <w:rFonts w:hint="default"/>
                    </w:rPr>
                    <w:t>工程类别</w:t>
                  </w:r>
                </w:p>
              </w:tc>
              <w:tc>
                <w:tcPr>
                  <w:tcW w:w="464" w:type="pct"/>
                  <w:noWrap w:val="0"/>
                  <w:vAlign w:val="center"/>
                </w:tcPr>
                <w:p>
                  <w:pPr>
                    <w:pStyle w:val="76"/>
                    <w:bidi w:val="0"/>
                    <w:rPr>
                      <w:rFonts w:hint="default"/>
                    </w:rPr>
                  </w:pPr>
                  <w:r>
                    <w:rPr>
                      <w:rFonts w:hint="default"/>
                    </w:rPr>
                    <w:t>污染类别</w:t>
                  </w:r>
                </w:p>
              </w:tc>
              <w:tc>
                <w:tcPr>
                  <w:tcW w:w="943" w:type="pct"/>
                  <w:noWrap w:val="0"/>
                  <w:vAlign w:val="center"/>
                </w:tcPr>
                <w:p>
                  <w:pPr>
                    <w:pStyle w:val="76"/>
                    <w:bidi w:val="0"/>
                    <w:rPr>
                      <w:rFonts w:hint="default"/>
                    </w:rPr>
                  </w:pPr>
                  <w:r>
                    <w:rPr>
                      <w:rFonts w:hint="default"/>
                    </w:rPr>
                    <w:t>污染源</w:t>
                  </w:r>
                </w:p>
              </w:tc>
              <w:tc>
                <w:tcPr>
                  <w:tcW w:w="2694" w:type="pct"/>
                  <w:noWrap w:val="0"/>
                  <w:vAlign w:val="center"/>
                </w:tcPr>
                <w:p>
                  <w:pPr>
                    <w:pStyle w:val="76"/>
                    <w:bidi w:val="0"/>
                    <w:rPr>
                      <w:rFonts w:hint="default"/>
                    </w:rPr>
                  </w:pPr>
                  <w:r>
                    <w:rPr>
                      <w:rFonts w:hint="default"/>
                    </w:rPr>
                    <w:t>环保设施</w:t>
                  </w:r>
                </w:p>
              </w:tc>
              <w:tc>
                <w:tcPr>
                  <w:tcW w:w="388" w:type="pct"/>
                  <w:noWrap w:val="0"/>
                  <w:vAlign w:val="center"/>
                </w:tcPr>
                <w:p>
                  <w:pPr>
                    <w:pStyle w:val="76"/>
                    <w:bidi w:val="0"/>
                    <w:rPr>
                      <w:rFonts w:hint="default"/>
                    </w:rPr>
                  </w:pPr>
                  <w:r>
                    <w:rPr>
                      <w:rFonts w:hint="default"/>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restart"/>
                  <w:noWrap w:val="0"/>
                  <w:vAlign w:val="center"/>
                </w:tcPr>
                <w:p>
                  <w:pPr>
                    <w:pStyle w:val="76"/>
                    <w:bidi w:val="0"/>
                    <w:rPr>
                      <w:rFonts w:hint="default"/>
                      <w:lang w:eastAsia="zh-CN"/>
                    </w:rPr>
                  </w:pPr>
                  <w:r>
                    <w:rPr>
                      <w:rFonts w:hint="default"/>
                      <w:lang w:eastAsia="zh-CN"/>
                    </w:rPr>
                    <w:t>探矿期</w:t>
                  </w:r>
                </w:p>
              </w:tc>
              <w:tc>
                <w:tcPr>
                  <w:tcW w:w="464" w:type="pct"/>
                  <w:vMerge w:val="restart"/>
                  <w:noWrap w:val="0"/>
                  <w:vAlign w:val="center"/>
                </w:tcPr>
                <w:p>
                  <w:pPr>
                    <w:pStyle w:val="76"/>
                    <w:bidi w:val="0"/>
                    <w:rPr>
                      <w:rFonts w:hint="default"/>
                    </w:rPr>
                  </w:pPr>
                  <w:r>
                    <w:rPr>
                      <w:rFonts w:hint="default"/>
                    </w:rPr>
                    <w:t>废气</w:t>
                  </w:r>
                </w:p>
              </w:tc>
              <w:tc>
                <w:tcPr>
                  <w:tcW w:w="943" w:type="pct"/>
                  <w:noWrap w:val="0"/>
                  <w:vAlign w:val="center"/>
                </w:tcPr>
                <w:p>
                  <w:pPr>
                    <w:pStyle w:val="76"/>
                    <w:bidi w:val="0"/>
                    <w:rPr>
                      <w:rFonts w:hint="default"/>
                      <w:lang w:eastAsia="zh-CN"/>
                    </w:rPr>
                  </w:pPr>
                  <w:r>
                    <w:rPr>
                      <w:rFonts w:hint="default"/>
                      <w:lang w:val="en-US" w:eastAsia="zh-CN"/>
                    </w:rPr>
                    <w:t>扬尘</w:t>
                  </w:r>
                </w:p>
              </w:tc>
              <w:tc>
                <w:tcPr>
                  <w:tcW w:w="2694" w:type="pct"/>
                  <w:noWrap w:val="0"/>
                  <w:vAlign w:val="center"/>
                </w:tcPr>
                <w:p>
                  <w:pPr>
                    <w:pStyle w:val="76"/>
                    <w:bidi w:val="0"/>
                    <w:rPr>
                      <w:rFonts w:hint="default"/>
                    </w:rPr>
                  </w:pPr>
                  <w:r>
                    <w:rPr>
                      <w:rFonts w:hint="default"/>
                      <w:lang w:val="en-US" w:eastAsia="zh-CN"/>
                    </w:rPr>
                    <w:t>彩条布苫盖</w:t>
                  </w:r>
                </w:p>
              </w:tc>
              <w:tc>
                <w:tcPr>
                  <w:tcW w:w="388" w:type="pct"/>
                  <w:noWrap w:val="0"/>
                  <w:vAlign w:val="center"/>
                </w:tcPr>
                <w:p>
                  <w:pPr>
                    <w:pStyle w:val="76"/>
                    <w:bidi w:val="0"/>
                    <w:rPr>
                      <w:rFonts w:hint="default"/>
                      <w:lang w:val="en-US" w:eastAsia="zh-CN"/>
                    </w:rPr>
                  </w:pPr>
                  <w:r>
                    <w:rPr>
                      <w:rFonts w:hint="eastAsia"/>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76"/>
                    <w:bidi w:val="0"/>
                    <w:rPr>
                      <w:rFonts w:hint="default"/>
                      <w:lang w:eastAsia="zh-CN"/>
                    </w:rPr>
                  </w:pPr>
                </w:p>
              </w:tc>
              <w:tc>
                <w:tcPr>
                  <w:tcW w:w="464" w:type="pct"/>
                  <w:vMerge w:val="continue"/>
                  <w:noWrap w:val="0"/>
                  <w:vAlign w:val="center"/>
                </w:tcPr>
                <w:p>
                  <w:pPr>
                    <w:pStyle w:val="76"/>
                    <w:bidi w:val="0"/>
                    <w:rPr>
                      <w:rFonts w:hint="default"/>
                    </w:rPr>
                  </w:pPr>
                </w:p>
              </w:tc>
              <w:tc>
                <w:tcPr>
                  <w:tcW w:w="943" w:type="pct"/>
                  <w:noWrap w:val="0"/>
                  <w:vAlign w:val="center"/>
                </w:tcPr>
                <w:p>
                  <w:pPr>
                    <w:pStyle w:val="76"/>
                    <w:bidi w:val="0"/>
                    <w:rPr>
                      <w:rFonts w:hint="default"/>
                    </w:rPr>
                  </w:pPr>
                  <w:r>
                    <w:rPr>
                      <w:rFonts w:hint="default"/>
                      <w:lang w:val="en-US" w:eastAsia="zh-CN"/>
                    </w:rPr>
                    <w:t>燃油废气</w:t>
                  </w:r>
                </w:p>
              </w:tc>
              <w:tc>
                <w:tcPr>
                  <w:tcW w:w="2694" w:type="pct"/>
                  <w:noWrap w:val="0"/>
                  <w:vAlign w:val="center"/>
                </w:tcPr>
                <w:p>
                  <w:pPr>
                    <w:pStyle w:val="76"/>
                    <w:bidi w:val="0"/>
                    <w:rPr>
                      <w:rFonts w:hint="default"/>
                    </w:rPr>
                  </w:pPr>
                  <w:r>
                    <w:rPr>
                      <w:rFonts w:hint="default"/>
                      <w:lang w:val="en-US" w:eastAsia="zh-CN"/>
                    </w:rPr>
                    <w:t>对柴油发电机及运输车辆定期维护保养，使用正品燃油，减少尾气排放</w:t>
                  </w:r>
                </w:p>
              </w:tc>
              <w:tc>
                <w:tcPr>
                  <w:tcW w:w="388" w:type="pct"/>
                  <w:noWrap w:val="0"/>
                  <w:vAlign w:val="center"/>
                </w:tcPr>
                <w:p>
                  <w:pPr>
                    <w:pStyle w:val="76"/>
                    <w:bidi w:val="0"/>
                    <w:rPr>
                      <w:rFonts w:hint="default"/>
                      <w:lang w:val="en-US" w:eastAsia="zh-CN"/>
                    </w:rPr>
                  </w:pPr>
                  <w:r>
                    <w:rPr>
                      <w:rFonts w:hint="eastAsia"/>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76"/>
                    <w:bidi w:val="0"/>
                    <w:rPr>
                      <w:rFonts w:hint="default"/>
                      <w:lang w:eastAsia="zh-CN"/>
                    </w:rPr>
                  </w:pPr>
                </w:p>
              </w:tc>
              <w:tc>
                <w:tcPr>
                  <w:tcW w:w="464" w:type="pct"/>
                  <w:noWrap w:val="0"/>
                  <w:vAlign w:val="center"/>
                </w:tcPr>
                <w:p>
                  <w:pPr>
                    <w:pStyle w:val="76"/>
                    <w:bidi w:val="0"/>
                    <w:rPr>
                      <w:rFonts w:hint="default"/>
                      <w:lang w:val="en-US" w:eastAsia="zh-CN"/>
                    </w:rPr>
                  </w:pPr>
                  <w:r>
                    <w:rPr>
                      <w:rFonts w:hint="default"/>
                      <w:lang w:val="en-US" w:eastAsia="zh-CN"/>
                    </w:rPr>
                    <w:t>噪声</w:t>
                  </w:r>
                </w:p>
              </w:tc>
              <w:tc>
                <w:tcPr>
                  <w:tcW w:w="943" w:type="pct"/>
                  <w:noWrap w:val="0"/>
                  <w:vAlign w:val="center"/>
                </w:tcPr>
                <w:p>
                  <w:pPr>
                    <w:pStyle w:val="76"/>
                    <w:bidi w:val="0"/>
                    <w:rPr>
                      <w:rFonts w:hint="default"/>
                    </w:rPr>
                  </w:pPr>
                  <w:r>
                    <w:rPr>
                      <w:rFonts w:hint="default"/>
                      <w:lang w:val="en-US" w:eastAsia="zh-CN"/>
                    </w:rPr>
                    <w:t>设备噪声</w:t>
                  </w:r>
                </w:p>
              </w:tc>
              <w:tc>
                <w:tcPr>
                  <w:tcW w:w="2694" w:type="pct"/>
                  <w:noWrap w:val="0"/>
                  <w:vAlign w:val="center"/>
                </w:tcPr>
                <w:p>
                  <w:pPr>
                    <w:pStyle w:val="76"/>
                    <w:bidi w:val="0"/>
                    <w:rPr>
                      <w:rFonts w:hint="default"/>
                    </w:rPr>
                  </w:pPr>
                  <w:r>
                    <w:rPr>
                      <w:rFonts w:hint="default"/>
                      <w:lang w:val="en-US" w:eastAsia="zh-CN"/>
                    </w:rPr>
                    <w:t>对连续接触高噪声源的操作人员，采取防护措施</w:t>
                  </w:r>
                </w:p>
              </w:tc>
              <w:tc>
                <w:tcPr>
                  <w:tcW w:w="388" w:type="pct"/>
                  <w:noWrap w:val="0"/>
                  <w:vAlign w:val="center"/>
                </w:tcPr>
                <w:p>
                  <w:pPr>
                    <w:pStyle w:val="76"/>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76"/>
                    <w:bidi w:val="0"/>
                    <w:rPr>
                      <w:rFonts w:hint="default"/>
                    </w:rPr>
                  </w:pPr>
                </w:p>
              </w:tc>
              <w:tc>
                <w:tcPr>
                  <w:tcW w:w="464" w:type="pct"/>
                  <w:vMerge w:val="restart"/>
                  <w:noWrap w:val="0"/>
                  <w:vAlign w:val="center"/>
                </w:tcPr>
                <w:p>
                  <w:pPr>
                    <w:pStyle w:val="76"/>
                    <w:bidi w:val="0"/>
                    <w:rPr>
                      <w:rFonts w:hint="default"/>
                    </w:rPr>
                  </w:pPr>
                  <w:r>
                    <w:rPr>
                      <w:rFonts w:hint="default"/>
                    </w:rPr>
                    <w:t>废水</w:t>
                  </w:r>
                </w:p>
              </w:tc>
              <w:tc>
                <w:tcPr>
                  <w:tcW w:w="943"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default"/>
                      <w:lang w:val="en-US" w:eastAsia="zh-CN"/>
                    </w:rPr>
                    <w:t>钻井</w:t>
                  </w:r>
                  <w:r>
                    <w:rPr>
                      <w:rFonts w:hint="default"/>
                      <w:lang w:eastAsia="zh-CN"/>
                    </w:rPr>
                    <w:t>设备冲洗水</w:t>
                  </w:r>
                </w:p>
              </w:tc>
              <w:tc>
                <w:tcPr>
                  <w:tcW w:w="2694"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default"/>
                      <w:lang w:val="en-US" w:eastAsia="zh-CN"/>
                    </w:rPr>
                    <w:t>防渗沉淀池收集后循环使用，不外排</w:t>
                  </w:r>
                </w:p>
              </w:tc>
              <w:tc>
                <w:tcPr>
                  <w:tcW w:w="388"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eastAsia"/>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76"/>
                    <w:bidi w:val="0"/>
                    <w:rPr>
                      <w:rFonts w:hint="default"/>
                    </w:rPr>
                  </w:pPr>
                </w:p>
              </w:tc>
              <w:tc>
                <w:tcPr>
                  <w:tcW w:w="464" w:type="pct"/>
                  <w:vMerge w:val="continue"/>
                  <w:noWrap w:val="0"/>
                  <w:vAlign w:val="center"/>
                </w:tcPr>
                <w:p>
                  <w:pPr>
                    <w:pStyle w:val="76"/>
                    <w:bidi w:val="0"/>
                    <w:rPr>
                      <w:rFonts w:hint="default"/>
                    </w:rPr>
                  </w:pPr>
                </w:p>
              </w:tc>
              <w:tc>
                <w:tcPr>
                  <w:tcW w:w="943"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default"/>
                      <w:lang w:val="en-US" w:eastAsia="zh-CN"/>
                    </w:rPr>
                    <w:t>泥浆废水</w:t>
                  </w:r>
                </w:p>
              </w:tc>
              <w:tc>
                <w:tcPr>
                  <w:tcW w:w="2694"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default"/>
                      <w:lang w:val="en-US" w:eastAsia="zh-CN"/>
                    </w:rPr>
                    <w:t>排入移动式泥浆沉淀池处理后全部回用于泥浆配制，循环使用，不外排</w:t>
                  </w:r>
                </w:p>
              </w:tc>
              <w:tc>
                <w:tcPr>
                  <w:tcW w:w="388"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eastAsia"/>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76"/>
                    <w:bidi w:val="0"/>
                    <w:rPr>
                      <w:rFonts w:hint="default"/>
                    </w:rPr>
                  </w:pPr>
                </w:p>
              </w:tc>
              <w:tc>
                <w:tcPr>
                  <w:tcW w:w="464" w:type="pct"/>
                  <w:vMerge w:val="restart"/>
                  <w:noWrap w:val="0"/>
                  <w:vAlign w:val="center"/>
                </w:tcPr>
                <w:p>
                  <w:pPr>
                    <w:pStyle w:val="76"/>
                    <w:bidi w:val="0"/>
                    <w:rPr>
                      <w:rFonts w:hint="default"/>
                    </w:rPr>
                  </w:pPr>
                  <w:r>
                    <w:rPr>
                      <w:rFonts w:hint="default"/>
                    </w:rPr>
                    <w:t>固废</w:t>
                  </w:r>
                </w:p>
              </w:tc>
              <w:tc>
                <w:tcPr>
                  <w:tcW w:w="943" w:type="pct"/>
                  <w:noWrap w:val="0"/>
                  <w:vAlign w:val="center"/>
                </w:tcPr>
                <w:p>
                  <w:pPr>
                    <w:pStyle w:val="76"/>
                    <w:bidi w:val="0"/>
                    <w:rPr>
                      <w:rFonts w:hint="default"/>
                      <w:lang w:val="en-US" w:eastAsia="zh-CN"/>
                    </w:rPr>
                  </w:pPr>
                  <w:r>
                    <w:rPr>
                      <w:rFonts w:hint="default"/>
                    </w:rPr>
                    <w:t>生活垃圾</w:t>
                  </w:r>
                </w:p>
              </w:tc>
              <w:tc>
                <w:tcPr>
                  <w:tcW w:w="2694" w:type="pct"/>
                  <w:noWrap w:val="0"/>
                  <w:vAlign w:val="center"/>
                </w:tcPr>
                <w:p>
                  <w:pPr>
                    <w:pStyle w:val="76"/>
                    <w:bidi w:val="0"/>
                    <w:rPr>
                      <w:rFonts w:hint="default"/>
                    </w:rPr>
                  </w:pPr>
                  <w:r>
                    <w:rPr>
                      <w:rFonts w:hint="default"/>
                      <w:lang w:val="en-US" w:eastAsia="zh-CN"/>
                    </w:rPr>
                    <w:t>配置带盖密封分类收集桶，每日随车带回交环卫部门收集处理</w:t>
                  </w:r>
                </w:p>
              </w:tc>
              <w:tc>
                <w:tcPr>
                  <w:tcW w:w="388" w:type="pct"/>
                  <w:noWrap w:val="0"/>
                  <w:vAlign w:val="center"/>
                </w:tcPr>
                <w:p>
                  <w:pPr>
                    <w:pStyle w:val="76"/>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76"/>
                    <w:bidi w:val="0"/>
                    <w:rPr>
                      <w:rFonts w:hint="default"/>
                    </w:rPr>
                  </w:pPr>
                </w:p>
              </w:tc>
              <w:tc>
                <w:tcPr>
                  <w:tcW w:w="464" w:type="pct"/>
                  <w:vMerge w:val="continue"/>
                  <w:noWrap w:val="0"/>
                  <w:vAlign w:val="center"/>
                </w:tcPr>
                <w:p>
                  <w:pPr>
                    <w:pStyle w:val="76"/>
                    <w:bidi w:val="0"/>
                    <w:rPr>
                      <w:rFonts w:hint="default"/>
                    </w:rPr>
                  </w:pPr>
                </w:p>
              </w:tc>
              <w:tc>
                <w:tcPr>
                  <w:tcW w:w="943"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default"/>
                      <w:lang w:val="en-US" w:eastAsia="zh-CN"/>
                    </w:rPr>
                    <w:t>泥浆、岩屑及沉淀池沉渣</w:t>
                  </w:r>
                </w:p>
              </w:tc>
              <w:tc>
                <w:tcPr>
                  <w:tcW w:w="2694" w:type="pct"/>
                  <w:shd w:val="clear" w:color="auto" w:fill="auto"/>
                  <w:noWrap w:val="0"/>
                  <w:vAlign w:val="center"/>
                </w:tcPr>
                <w:p>
                  <w:pPr>
                    <w:pStyle w:val="76"/>
                    <w:bidi w:val="0"/>
                    <w:rPr>
                      <w:rFonts w:hint="default" w:ascii="Times New Roman" w:hAnsi="Times New Roman" w:eastAsia="宋体" w:cs="Times New Roman"/>
                      <w:kern w:val="2"/>
                      <w:sz w:val="21"/>
                      <w:szCs w:val="21"/>
                      <w:lang w:val="en-US" w:eastAsia="zh-CN" w:bidi="ar-SA"/>
                    </w:rPr>
                  </w:pPr>
                  <w:r>
                    <w:rPr>
                      <w:rFonts w:hint="default"/>
                      <w:lang w:val="en-US" w:eastAsia="zh-CN"/>
                    </w:rPr>
                    <w:t>泥浆固化后交由一般固废处置单位统一处理，岩屑用于钻孔回填，沉淀池沉渣交由一般固废处置单位统一处理</w:t>
                  </w:r>
                </w:p>
              </w:tc>
              <w:tc>
                <w:tcPr>
                  <w:tcW w:w="388" w:type="pct"/>
                  <w:shd w:val="clear" w:color="auto" w:fill="auto"/>
                  <w:noWrap w:val="0"/>
                  <w:vAlign w:val="center"/>
                </w:tcPr>
                <w:p>
                  <w:pPr>
                    <w:pStyle w:val="76"/>
                    <w:bidi w:val="0"/>
                    <w:rPr>
                      <w:rFonts w:hint="default"/>
                      <w:lang w:val="en-US" w:eastAsia="zh-CN"/>
                    </w:rPr>
                  </w:pPr>
                  <w:r>
                    <w:rPr>
                      <w:rFonts w:hint="eastAsia"/>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508" w:type="pct"/>
                  <w:vMerge w:val="continue"/>
                  <w:noWrap w:val="0"/>
                  <w:vAlign w:val="center"/>
                </w:tcPr>
                <w:p>
                  <w:pPr>
                    <w:pStyle w:val="76"/>
                    <w:bidi w:val="0"/>
                    <w:rPr>
                      <w:rFonts w:hint="default"/>
                      <w:lang w:eastAsia="zh-CN"/>
                    </w:rPr>
                  </w:pPr>
                </w:p>
              </w:tc>
              <w:tc>
                <w:tcPr>
                  <w:tcW w:w="1408" w:type="pct"/>
                  <w:gridSpan w:val="2"/>
                  <w:tcBorders>
                    <w:left w:val="single" w:color="auto" w:sz="4" w:space="0"/>
                    <w:right w:val="single" w:color="auto" w:sz="4" w:space="0"/>
                  </w:tcBorders>
                  <w:noWrap w:val="0"/>
                  <w:vAlign w:val="center"/>
                </w:tcPr>
                <w:p>
                  <w:pPr>
                    <w:pStyle w:val="76"/>
                    <w:bidi w:val="0"/>
                    <w:rPr>
                      <w:rFonts w:hint="default"/>
                    </w:rPr>
                  </w:pPr>
                  <w:r>
                    <w:rPr>
                      <w:rFonts w:hint="default"/>
                    </w:rPr>
                    <w:t>生态保护与恢复措施</w:t>
                  </w:r>
                </w:p>
              </w:tc>
              <w:tc>
                <w:tcPr>
                  <w:tcW w:w="2694" w:type="pct"/>
                  <w:tcBorders>
                    <w:left w:val="single" w:color="auto" w:sz="4" w:space="0"/>
                  </w:tcBorders>
                  <w:noWrap w:val="0"/>
                  <w:vAlign w:val="center"/>
                </w:tcPr>
                <w:p>
                  <w:pPr>
                    <w:pStyle w:val="76"/>
                    <w:bidi w:val="0"/>
                    <w:rPr>
                      <w:rFonts w:hint="default"/>
                    </w:rPr>
                  </w:pPr>
                  <w:r>
                    <w:rPr>
                      <w:rFonts w:hint="default"/>
                    </w:rPr>
                    <w:t>勘探工作完成后，拆除临时设施，及时回填并恢复原有地貌，后期采取自然恢复</w:t>
                  </w:r>
                </w:p>
              </w:tc>
              <w:tc>
                <w:tcPr>
                  <w:tcW w:w="388" w:type="pct"/>
                  <w:noWrap w:val="0"/>
                  <w:vAlign w:val="center"/>
                </w:tcPr>
                <w:p>
                  <w:pPr>
                    <w:pStyle w:val="76"/>
                    <w:bidi w:val="0"/>
                    <w:rPr>
                      <w:rFonts w:hint="default"/>
                      <w:lang w:val="en-US" w:eastAsia="zh-CN"/>
                    </w:rPr>
                  </w:pPr>
                  <w:r>
                    <w:rPr>
                      <w:rFonts w:hint="eastAsia"/>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1916" w:type="pct"/>
                  <w:gridSpan w:val="3"/>
                  <w:tcBorders>
                    <w:right w:val="single" w:color="auto" w:sz="4" w:space="0"/>
                  </w:tcBorders>
                  <w:noWrap w:val="0"/>
                  <w:vAlign w:val="center"/>
                </w:tcPr>
                <w:p>
                  <w:pPr>
                    <w:pStyle w:val="76"/>
                    <w:bidi w:val="0"/>
                    <w:rPr>
                      <w:rFonts w:hint="default"/>
                    </w:rPr>
                  </w:pPr>
                  <w:r>
                    <w:rPr>
                      <w:rFonts w:hint="default"/>
                      <w:lang w:val="en-US" w:eastAsia="zh-CN"/>
                    </w:rPr>
                    <w:t>环境风险防范工程</w:t>
                  </w:r>
                </w:p>
              </w:tc>
              <w:tc>
                <w:tcPr>
                  <w:tcW w:w="2694" w:type="pct"/>
                  <w:tcBorders>
                    <w:left w:val="single" w:color="auto" w:sz="4" w:space="0"/>
                  </w:tcBorders>
                  <w:noWrap w:val="0"/>
                  <w:vAlign w:val="center"/>
                </w:tcPr>
                <w:p>
                  <w:pPr>
                    <w:pStyle w:val="76"/>
                    <w:bidi w:val="0"/>
                    <w:rPr>
                      <w:rFonts w:hint="default"/>
                      <w:lang w:val="en-US"/>
                    </w:rPr>
                  </w:pPr>
                  <w:r>
                    <w:rPr>
                      <w:rFonts w:hint="default"/>
                      <w:lang w:val="en-US" w:eastAsia="zh-CN"/>
                    </w:rPr>
                    <w:t>制定环境风险管理制度、设置柴油贮存</w:t>
                  </w:r>
                  <w:r>
                    <w:rPr>
                      <w:rFonts w:hint="eastAsia"/>
                      <w:lang w:val="en-US" w:eastAsia="zh-CN"/>
                    </w:rPr>
                    <w:t>点</w:t>
                  </w:r>
                </w:p>
              </w:tc>
              <w:tc>
                <w:tcPr>
                  <w:tcW w:w="388" w:type="pct"/>
                  <w:noWrap w:val="0"/>
                  <w:vAlign w:val="center"/>
                </w:tcPr>
                <w:p>
                  <w:pPr>
                    <w:pStyle w:val="76"/>
                    <w:bidi w:val="0"/>
                    <w:rPr>
                      <w:rFonts w:hint="default"/>
                      <w:lang w:val="en-US" w:eastAsia="zh-CN"/>
                    </w:rPr>
                  </w:pPr>
                  <w:r>
                    <w:rPr>
                      <w:rFonts w:hint="eastAsia"/>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90" w:hRule="atLeast"/>
                <w:jc w:val="center"/>
              </w:trPr>
              <w:tc>
                <w:tcPr>
                  <w:tcW w:w="4611" w:type="pct"/>
                  <w:gridSpan w:val="4"/>
                  <w:noWrap w:val="0"/>
                  <w:vAlign w:val="center"/>
                </w:tcPr>
                <w:p>
                  <w:pPr>
                    <w:pStyle w:val="76"/>
                    <w:bidi w:val="0"/>
                    <w:rPr>
                      <w:rFonts w:hint="default"/>
                      <w:lang w:val="en-US" w:eastAsia="zh-CN"/>
                    </w:rPr>
                  </w:pPr>
                  <w:r>
                    <w:rPr>
                      <w:rFonts w:hint="default"/>
                    </w:rPr>
                    <w:t>合计</w:t>
                  </w:r>
                </w:p>
              </w:tc>
              <w:tc>
                <w:tcPr>
                  <w:tcW w:w="388" w:type="pct"/>
                  <w:noWrap w:val="0"/>
                  <w:vAlign w:val="center"/>
                </w:tcPr>
                <w:p>
                  <w:pPr>
                    <w:pStyle w:val="76"/>
                    <w:bidi w:val="0"/>
                    <w:rPr>
                      <w:rFonts w:hint="default"/>
                      <w:lang w:val="en-US" w:eastAsia="zh-CN"/>
                    </w:rPr>
                  </w:pPr>
                  <w:r>
                    <w:rPr>
                      <w:rFonts w:hint="eastAsia"/>
                      <w:lang w:val="en-US" w:eastAsia="zh-CN"/>
                    </w:rPr>
                    <w:t>15</w:t>
                  </w:r>
                </w:p>
              </w:tc>
            </w:tr>
          </w:tbl>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9"/>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174"/>
        <w:gridCol w:w="1408"/>
        <w:gridCol w:w="2516"/>
        <w:gridCol w:w="23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restart"/>
            <w:tcBorders>
              <w:tl2br w:val="single" w:color="auto" w:sz="4" w:space="0"/>
            </w:tcBorders>
            <w:noWrap w:val="0"/>
            <w:vAlign w:val="top"/>
          </w:tcPr>
          <w:p>
            <w:pPr>
              <w:pStyle w:val="59"/>
              <w:keepNext w:val="0"/>
              <w:keepLines w:val="0"/>
              <w:pageBreakBefore w:val="0"/>
              <w:widowControl w:val="0"/>
              <w:kinsoku/>
              <w:wordWrap w:val="0"/>
              <w:overflowPunct/>
              <w:topLinePunct w:val="0"/>
              <w:autoSpaceDE/>
              <w:autoSpaceDN/>
              <w:bidi w:val="0"/>
              <w:adjustRightInd/>
              <w:snapToGrid/>
              <w:textAlignment w:val="auto"/>
              <w:rPr>
                <w:rFonts w:hint="eastAsia"/>
              </w:rPr>
            </w:pPr>
          </w:p>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 xml:space="preserve">    内容</w:t>
            </w:r>
          </w:p>
          <w:p>
            <w:pPr>
              <w:pStyle w:val="59"/>
              <w:keepNext w:val="0"/>
              <w:keepLines w:val="0"/>
              <w:pageBreakBefore w:val="0"/>
              <w:widowControl w:val="0"/>
              <w:kinsoku/>
              <w:wordWrap w:val="0"/>
              <w:overflowPunct/>
              <w:topLinePunct w:val="0"/>
              <w:autoSpaceDE/>
              <w:autoSpaceDN/>
              <w:bidi w:val="0"/>
              <w:adjustRightInd/>
              <w:snapToGrid/>
              <w:textAlignment w:val="auto"/>
              <w:rPr>
                <w:rFonts w:hint="eastAsia"/>
              </w:rPr>
            </w:pPr>
            <w:r>
              <w:rPr>
                <w:rFonts w:hint="eastAsia"/>
              </w:rPr>
              <w:t xml:space="preserve">  </w:t>
            </w:r>
          </w:p>
          <w:p>
            <w:pPr>
              <w:pStyle w:val="59"/>
              <w:keepNext w:val="0"/>
              <w:keepLines w:val="0"/>
              <w:pageBreakBefore w:val="0"/>
              <w:widowControl w:val="0"/>
              <w:kinsoku/>
              <w:wordWrap w:val="0"/>
              <w:overflowPunct/>
              <w:topLinePunct w:val="0"/>
              <w:autoSpaceDE/>
              <w:autoSpaceDN/>
              <w:bidi w:val="0"/>
              <w:adjustRightInd/>
              <w:snapToGrid/>
              <w:jc w:val="left"/>
              <w:textAlignment w:val="auto"/>
              <w:rPr>
                <w:rFonts w:hint="eastAsia"/>
              </w:rPr>
            </w:pPr>
            <w:r>
              <w:rPr>
                <w:rFonts w:hint="eastAsia"/>
              </w:rPr>
              <w:t>要素</w:t>
            </w:r>
          </w:p>
        </w:tc>
        <w:tc>
          <w:tcPr>
            <w:tcW w:w="1514" w:type="pct"/>
            <w:gridSpan w:val="2"/>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施工期</w:t>
            </w:r>
          </w:p>
        </w:tc>
        <w:tc>
          <w:tcPr>
            <w:tcW w:w="2837" w:type="pct"/>
            <w:gridSpan w:val="2"/>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continue"/>
            <w:noWrap w:val="0"/>
            <w:vAlign w:val="top"/>
          </w:tcPr>
          <w:p>
            <w:pPr>
              <w:pStyle w:val="59"/>
              <w:keepNext w:val="0"/>
              <w:keepLines w:val="0"/>
              <w:pageBreakBefore w:val="0"/>
              <w:widowControl w:val="0"/>
              <w:kinsoku/>
              <w:wordWrap w:val="0"/>
              <w:overflowPunct/>
              <w:topLinePunct w:val="0"/>
              <w:autoSpaceDE/>
              <w:autoSpaceDN/>
              <w:bidi w:val="0"/>
              <w:adjustRightInd/>
              <w:snapToGrid/>
              <w:textAlignment w:val="auto"/>
            </w:pPr>
          </w:p>
        </w:tc>
        <w:tc>
          <w:tcPr>
            <w:tcW w:w="688" w:type="pct"/>
            <w:noWrap w:val="0"/>
            <w:vAlign w:val="center"/>
          </w:tcPr>
          <w:p>
            <w:pPr>
              <w:pStyle w:val="76"/>
              <w:bidi w:val="0"/>
            </w:pPr>
            <w:r>
              <w:rPr>
                <w:rFonts w:hint="eastAsia"/>
              </w:rPr>
              <w:t>环境保护措施</w:t>
            </w:r>
          </w:p>
        </w:tc>
        <w:tc>
          <w:tcPr>
            <w:tcW w:w="826" w:type="pct"/>
            <w:noWrap w:val="0"/>
            <w:vAlign w:val="center"/>
          </w:tcPr>
          <w:p>
            <w:pPr>
              <w:pStyle w:val="76"/>
              <w:bidi w:val="0"/>
            </w:pPr>
            <w:r>
              <w:rPr>
                <w:rFonts w:hint="eastAsia"/>
              </w:rPr>
              <w:t>验收要求</w:t>
            </w:r>
          </w:p>
        </w:tc>
        <w:tc>
          <w:tcPr>
            <w:tcW w:w="1476" w:type="pct"/>
            <w:noWrap w:val="0"/>
            <w:vAlign w:val="center"/>
          </w:tcPr>
          <w:p>
            <w:pPr>
              <w:pStyle w:val="76"/>
              <w:bidi w:val="0"/>
            </w:pPr>
            <w:r>
              <w:rPr>
                <w:rFonts w:hint="eastAsia"/>
              </w:rPr>
              <w:t>环境保护措施</w:t>
            </w:r>
          </w:p>
        </w:tc>
        <w:tc>
          <w:tcPr>
            <w:tcW w:w="1361" w:type="pct"/>
            <w:noWrap w:val="0"/>
            <w:vAlign w:val="center"/>
          </w:tcPr>
          <w:p>
            <w:pPr>
              <w:pStyle w:val="76"/>
              <w:bidi w:val="0"/>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陆生生态</w:t>
            </w:r>
          </w:p>
        </w:tc>
        <w:tc>
          <w:tcPr>
            <w:tcW w:w="688" w:type="pct"/>
            <w:noWrap w:val="0"/>
            <w:vAlign w:val="center"/>
          </w:tcPr>
          <w:p>
            <w:pPr>
              <w:pStyle w:val="76"/>
              <w:bidi w:val="0"/>
              <w:rPr>
                <w:rFonts w:hint="eastAsia" w:eastAsia="宋体"/>
                <w:lang w:val="en-US" w:eastAsia="zh-CN"/>
              </w:rPr>
            </w:pPr>
            <w:r>
              <w:rPr>
                <w:rFonts w:hint="eastAsia"/>
                <w:lang w:val="en-US" w:eastAsia="zh-CN"/>
              </w:rPr>
              <w:t>/</w:t>
            </w:r>
          </w:p>
        </w:tc>
        <w:tc>
          <w:tcPr>
            <w:tcW w:w="826" w:type="pct"/>
            <w:noWrap w:val="0"/>
            <w:vAlign w:val="center"/>
          </w:tcPr>
          <w:p>
            <w:pPr>
              <w:pStyle w:val="76"/>
              <w:bidi w:val="0"/>
              <w:rPr>
                <w:rFonts w:hint="default"/>
                <w:lang w:val="en-US" w:eastAsia="zh-CN"/>
              </w:rPr>
            </w:pPr>
            <w:r>
              <w:rPr>
                <w:rFonts w:hint="eastAsia"/>
                <w:lang w:val="en-US" w:eastAsia="zh-CN"/>
              </w:rPr>
              <w:t>/</w:t>
            </w:r>
          </w:p>
        </w:tc>
        <w:tc>
          <w:tcPr>
            <w:tcW w:w="1476" w:type="pct"/>
            <w:noWrap w:val="0"/>
            <w:vAlign w:val="center"/>
          </w:tcPr>
          <w:p>
            <w:pPr>
              <w:pStyle w:val="76"/>
              <w:bidi w:val="0"/>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w:t>
            </w:r>
            <w:r>
              <w:rPr>
                <w:rFonts w:hint="eastAsia"/>
                <w:lang w:val="en-US" w:eastAsia="zh-CN"/>
              </w:rPr>
              <w:t>回填</w:t>
            </w:r>
            <w:r>
              <w:rPr>
                <w:rFonts w:hint="default"/>
              </w:rPr>
              <w:t>平整</w:t>
            </w:r>
            <w:r>
              <w:rPr>
                <w:rFonts w:hint="eastAsia"/>
                <w:lang w:eastAsia="zh-CN"/>
              </w:rPr>
              <w:t>，</w:t>
            </w:r>
            <w:r>
              <w:rPr>
                <w:rFonts w:hint="eastAsia"/>
                <w:lang w:val="en-US" w:eastAsia="zh-CN"/>
              </w:rPr>
              <w:t>自然</w:t>
            </w:r>
            <w:r>
              <w:rPr>
                <w:rFonts w:hint="default"/>
              </w:rPr>
              <w:t>恢复</w:t>
            </w:r>
          </w:p>
        </w:tc>
        <w:tc>
          <w:tcPr>
            <w:tcW w:w="1361" w:type="pct"/>
            <w:noWrap w:val="0"/>
            <w:vAlign w:val="center"/>
          </w:tcPr>
          <w:p>
            <w:pPr>
              <w:pStyle w:val="76"/>
              <w:bidi w:val="0"/>
              <w:rPr>
                <w:rFonts w:hint="default"/>
                <w:lang w:val="en-US" w:eastAsia="zh-CN"/>
              </w:rPr>
            </w:pPr>
            <w:r>
              <w:rPr>
                <w:rFonts w:hint="eastAsia"/>
                <w:lang w:val="en-US" w:eastAsia="zh-CN"/>
              </w:rPr>
              <w:t>探槽严格分层回填压实，定期巡检回填区域沉降情况；施工扰动地块完成场地整平、渣土清理，依托荒漠本土条件自然演替，逐步恢复原生植被风貌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水生生态</w:t>
            </w:r>
          </w:p>
        </w:tc>
        <w:tc>
          <w:tcPr>
            <w:tcW w:w="688" w:type="pct"/>
            <w:noWrap w:val="0"/>
            <w:vAlign w:val="center"/>
          </w:tcPr>
          <w:p>
            <w:pPr>
              <w:pStyle w:val="76"/>
              <w:bidi w:val="0"/>
            </w:pPr>
            <w:r>
              <w:rPr>
                <w:rFonts w:hint="eastAsia"/>
                <w:lang w:val="en-US" w:eastAsia="zh-CN"/>
              </w:rPr>
              <w:t>/</w:t>
            </w:r>
          </w:p>
        </w:tc>
        <w:tc>
          <w:tcPr>
            <w:tcW w:w="826" w:type="pct"/>
            <w:noWrap w:val="0"/>
            <w:vAlign w:val="center"/>
          </w:tcPr>
          <w:p>
            <w:pPr>
              <w:pStyle w:val="76"/>
              <w:bidi w:val="0"/>
            </w:pPr>
            <w:r>
              <w:rPr>
                <w:rFonts w:hint="eastAsia"/>
                <w:lang w:val="en-US" w:eastAsia="zh-CN"/>
              </w:rPr>
              <w:t>/</w:t>
            </w:r>
          </w:p>
        </w:tc>
        <w:tc>
          <w:tcPr>
            <w:tcW w:w="1476" w:type="pct"/>
            <w:noWrap w:val="0"/>
            <w:vAlign w:val="center"/>
          </w:tcPr>
          <w:p>
            <w:pPr>
              <w:pStyle w:val="76"/>
              <w:bidi w:val="0"/>
            </w:pPr>
            <w:r>
              <w:rPr>
                <w:rFonts w:hint="eastAsia"/>
                <w:lang w:val="en-US" w:eastAsia="zh-CN"/>
              </w:rPr>
              <w:t>/</w:t>
            </w:r>
          </w:p>
        </w:tc>
        <w:tc>
          <w:tcPr>
            <w:tcW w:w="1361" w:type="pct"/>
            <w:noWrap w:val="0"/>
            <w:vAlign w:val="center"/>
          </w:tcPr>
          <w:p>
            <w:pPr>
              <w:pStyle w:val="76"/>
              <w:bidi w:val="0"/>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地表水环境</w:t>
            </w:r>
          </w:p>
        </w:tc>
        <w:tc>
          <w:tcPr>
            <w:tcW w:w="688" w:type="pct"/>
            <w:noWrap w:val="0"/>
            <w:vAlign w:val="center"/>
          </w:tcPr>
          <w:p>
            <w:pPr>
              <w:pStyle w:val="76"/>
              <w:bidi w:val="0"/>
              <w:rPr>
                <w:rFonts w:hint="default"/>
                <w:lang w:val="en-US"/>
              </w:rPr>
            </w:pPr>
            <w:r>
              <w:rPr>
                <w:rFonts w:hint="eastAsia"/>
                <w:lang w:val="en-US" w:eastAsia="zh-CN"/>
              </w:rPr>
              <w:t>/</w:t>
            </w:r>
          </w:p>
        </w:tc>
        <w:tc>
          <w:tcPr>
            <w:tcW w:w="826" w:type="pct"/>
            <w:noWrap w:val="0"/>
            <w:vAlign w:val="center"/>
          </w:tcPr>
          <w:p>
            <w:pPr>
              <w:pStyle w:val="76"/>
              <w:bidi w:val="0"/>
              <w:rPr>
                <w:rFonts w:hint="default"/>
                <w:lang w:val="en-US"/>
              </w:rPr>
            </w:pPr>
            <w:r>
              <w:rPr>
                <w:rFonts w:hint="eastAsia"/>
                <w:lang w:val="en-US" w:eastAsia="zh-CN"/>
              </w:rPr>
              <w:t>/</w:t>
            </w:r>
          </w:p>
        </w:tc>
        <w:tc>
          <w:tcPr>
            <w:tcW w:w="1476" w:type="pct"/>
            <w:noWrap w:val="0"/>
            <w:vAlign w:val="center"/>
          </w:tcPr>
          <w:p>
            <w:pPr>
              <w:pStyle w:val="76"/>
              <w:bidi w:val="0"/>
              <w:rPr>
                <w:rFonts w:hint="default"/>
                <w:lang w:val="en-US"/>
              </w:rPr>
            </w:pPr>
            <w:r>
              <w:rPr>
                <w:rFonts w:hint="eastAsia"/>
                <w:lang w:val="en-US" w:eastAsia="zh-CN"/>
              </w:rPr>
              <w:t>勘查现场不产生生活污水；钻井设备冲洗水沉淀后用于洒水降尘，泥浆废水循环使用，不外排</w:t>
            </w:r>
          </w:p>
        </w:tc>
        <w:tc>
          <w:tcPr>
            <w:tcW w:w="1361" w:type="pct"/>
            <w:noWrap w:val="0"/>
            <w:vAlign w:val="center"/>
          </w:tcPr>
          <w:p>
            <w:pPr>
              <w:pStyle w:val="76"/>
              <w:bidi w:val="0"/>
            </w:pPr>
            <w:r>
              <w:rPr>
                <w:rFonts w:hint="default"/>
                <w:lang w:val="en-US" w:eastAsia="zh-CN"/>
              </w:rPr>
              <w:t>钻井设备冲洗水沉淀后用于洒水降尘，泥浆废水循环使用，不外排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地下水及土壤环境</w:t>
            </w:r>
          </w:p>
        </w:tc>
        <w:tc>
          <w:tcPr>
            <w:tcW w:w="688" w:type="pct"/>
            <w:noWrap w:val="0"/>
            <w:vAlign w:val="center"/>
          </w:tcPr>
          <w:p>
            <w:pPr>
              <w:pStyle w:val="76"/>
              <w:bidi w:val="0"/>
            </w:pPr>
            <w:r>
              <w:rPr>
                <w:rFonts w:hint="eastAsia"/>
                <w:lang w:val="en-US" w:eastAsia="zh-CN"/>
              </w:rPr>
              <w:t>/</w:t>
            </w:r>
          </w:p>
        </w:tc>
        <w:tc>
          <w:tcPr>
            <w:tcW w:w="826" w:type="pct"/>
            <w:noWrap w:val="0"/>
            <w:vAlign w:val="center"/>
          </w:tcPr>
          <w:p>
            <w:pPr>
              <w:pStyle w:val="76"/>
              <w:bidi w:val="0"/>
            </w:pPr>
            <w:r>
              <w:rPr>
                <w:rFonts w:hint="eastAsia"/>
                <w:lang w:val="en-US" w:eastAsia="zh-CN"/>
              </w:rPr>
              <w:t>/</w:t>
            </w:r>
          </w:p>
        </w:tc>
        <w:tc>
          <w:tcPr>
            <w:tcW w:w="1476" w:type="pct"/>
            <w:noWrap w:val="0"/>
            <w:vAlign w:val="center"/>
          </w:tcPr>
          <w:p>
            <w:pPr>
              <w:pStyle w:val="76"/>
              <w:bidi w:val="0"/>
            </w:pPr>
            <w:r>
              <w:rPr>
                <w:rFonts w:hint="default"/>
                <w:lang w:val="en-US" w:eastAsia="zh-CN"/>
              </w:rPr>
              <w:t>/</w:t>
            </w:r>
          </w:p>
        </w:tc>
        <w:tc>
          <w:tcPr>
            <w:tcW w:w="1361" w:type="pct"/>
            <w:noWrap w:val="0"/>
            <w:vAlign w:val="center"/>
          </w:tcPr>
          <w:p>
            <w:pPr>
              <w:pStyle w:val="76"/>
              <w:bidi w:val="0"/>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声环境</w:t>
            </w:r>
          </w:p>
        </w:tc>
        <w:tc>
          <w:tcPr>
            <w:tcW w:w="688" w:type="pct"/>
            <w:noWrap w:val="0"/>
            <w:vAlign w:val="center"/>
          </w:tcPr>
          <w:p>
            <w:pPr>
              <w:pStyle w:val="76"/>
              <w:bidi w:val="0"/>
              <w:rPr>
                <w:rFonts w:hint="default"/>
                <w:lang w:val="en-US" w:eastAsia="zh-CN"/>
              </w:rPr>
            </w:pPr>
            <w:r>
              <w:rPr>
                <w:rFonts w:hint="eastAsia"/>
                <w:lang w:val="en-US" w:eastAsia="zh-CN"/>
              </w:rPr>
              <w:t>/</w:t>
            </w:r>
          </w:p>
        </w:tc>
        <w:tc>
          <w:tcPr>
            <w:tcW w:w="826" w:type="pct"/>
            <w:noWrap w:val="0"/>
            <w:vAlign w:val="center"/>
          </w:tcPr>
          <w:p>
            <w:pPr>
              <w:pStyle w:val="76"/>
              <w:bidi w:val="0"/>
              <w:rPr>
                <w:rFonts w:hint="eastAsia"/>
                <w:lang w:val="en-US" w:eastAsia="zh-CN"/>
              </w:rPr>
            </w:pPr>
            <w:r>
              <w:rPr>
                <w:rFonts w:hint="eastAsia"/>
                <w:lang w:val="en-US" w:eastAsia="zh-CN"/>
              </w:rPr>
              <w:t>/</w:t>
            </w:r>
          </w:p>
        </w:tc>
        <w:tc>
          <w:tcPr>
            <w:tcW w:w="1476" w:type="pct"/>
            <w:noWrap w:val="0"/>
            <w:vAlign w:val="center"/>
          </w:tcPr>
          <w:p>
            <w:pPr>
              <w:pStyle w:val="76"/>
              <w:bidi w:val="0"/>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76"/>
              <w:bidi w:val="0"/>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1361" w:type="pct"/>
            <w:noWrap w:val="0"/>
            <w:vAlign w:val="center"/>
          </w:tcPr>
          <w:p>
            <w:pPr>
              <w:pStyle w:val="76"/>
              <w:bidi w:val="0"/>
              <w:rPr>
                <w:rFonts w:hint="default"/>
                <w:lang w:val="en-US" w:eastAsia="zh-CN"/>
              </w:rPr>
            </w:pPr>
            <w:r>
              <w:rPr>
                <w:rFonts w:hint="eastAsia"/>
                <w:lang w:eastAsia="zh-CN"/>
              </w:rPr>
              <w:t>执行《建筑施工噪声排放标准》（GB12523-2025）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振动</w:t>
            </w:r>
          </w:p>
        </w:tc>
        <w:tc>
          <w:tcPr>
            <w:tcW w:w="688" w:type="pct"/>
            <w:noWrap w:val="0"/>
            <w:vAlign w:val="center"/>
          </w:tcPr>
          <w:p>
            <w:pPr>
              <w:pStyle w:val="76"/>
              <w:bidi w:val="0"/>
              <w:rPr>
                <w:rFonts w:hint="default"/>
                <w:lang w:val="en-US" w:eastAsia="zh-CN"/>
              </w:rPr>
            </w:pPr>
            <w:r>
              <w:rPr>
                <w:rFonts w:hint="eastAsia"/>
                <w:lang w:val="en-US" w:eastAsia="zh-CN"/>
              </w:rPr>
              <w:t>/</w:t>
            </w:r>
          </w:p>
        </w:tc>
        <w:tc>
          <w:tcPr>
            <w:tcW w:w="826" w:type="pct"/>
            <w:noWrap w:val="0"/>
            <w:vAlign w:val="center"/>
          </w:tcPr>
          <w:p>
            <w:pPr>
              <w:pStyle w:val="76"/>
              <w:bidi w:val="0"/>
              <w:rPr>
                <w:rFonts w:hint="default"/>
                <w:lang w:val="en-US" w:eastAsia="zh-CN"/>
              </w:rPr>
            </w:pPr>
            <w:r>
              <w:rPr>
                <w:rFonts w:hint="eastAsia"/>
                <w:lang w:val="en-US" w:eastAsia="zh-CN"/>
              </w:rPr>
              <w:t>/</w:t>
            </w:r>
          </w:p>
        </w:tc>
        <w:tc>
          <w:tcPr>
            <w:tcW w:w="1476" w:type="pct"/>
            <w:noWrap w:val="0"/>
            <w:vAlign w:val="center"/>
          </w:tcPr>
          <w:p>
            <w:pPr>
              <w:pStyle w:val="76"/>
              <w:bidi w:val="0"/>
              <w:rPr>
                <w:rFonts w:hint="default"/>
                <w:lang w:val="en-US" w:eastAsia="zh-CN"/>
              </w:rPr>
            </w:pPr>
            <w:r>
              <w:rPr>
                <w:rFonts w:hint="default"/>
                <w:lang w:val="en-US" w:eastAsia="zh-CN"/>
              </w:rPr>
              <w:t>/</w:t>
            </w:r>
          </w:p>
        </w:tc>
        <w:tc>
          <w:tcPr>
            <w:tcW w:w="1361" w:type="pct"/>
            <w:noWrap w:val="0"/>
            <w:vAlign w:val="center"/>
          </w:tcPr>
          <w:p>
            <w:pPr>
              <w:pStyle w:val="76"/>
              <w:bidi w:val="0"/>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大气环境</w:t>
            </w:r>
          </w:p>
        </w:tc>
        <w:tc>
          <w:tcPr>
            <w:tcW w:w="688" w:type="pct"/>
            <w:noWrap w:val="0"/>
            <w:vAlign w:val="center"/>
          </w:tcPr>
          <w:p>
            <w:pPr>
              <w:pStyle w:val="76"/>
              <w:bidi w:val="0"/>
            </w:pPr>
            <w:r>
              <w:rPr>
                <w:rFonts w:hint="eastAsia"/>
                <w:lang w:val="en-US" w:eastAsia="zh-CN"/>
              </w:rPr>
              <w:t>/</w:t>
            </w:r>
          </w:p>
        </w:tc>
        <w:tc>
          <w:tcPr>
            <w:tcW w:w="826" w:type="pct"/>
            <w:noWrap w:val="0"/>
            <w:vAlign w:val="center"/>
          </w:tcPr>
          <w:p>
            <w:pPr>
              <w:pStyle w:val="76"/>
              <w:bidi w:val="0"/>
            </w:pPr>
            <w:r>
              <w:rPr>
                <w:rFonts w:hint="eastAsia"/>
                <w:lang w:val="en-US" w:eastAsia="zh-CN"/>
              </w:rPr>
              <w:t>/</w:t>
            </w:r>
          </w:p>
        </w:tc>
        <w:tc>
          <w:tcPr>
            <w:tcW w:w="1476" w:type="pct"/>
            <w:noWrap w:val="0"/>
            <w:vAlign w:val="center"/>
          </w:tcPr>
          <w:p>
            <w:pPr>
              <w:pStyle w:val="76"/>
              <w:bidi w:val="0"/>
            </w:pPr>
            <w:r>
              <w:rPr>
                <w:rFonts w:hint="default"/>
              </w:rPr>
              <w:t>开挖土</w:t>
            </w:r>
            <w:r>
              <w:rPr>
                <w:rFonts w:hint="eastAsia"/>
                <w:lang w:val="en-US" w:eastAsia="zh-CN"/>
              </w:rPr>
              <w:t>石</w:t>
            </w:r>
            <w:r>
              <w:rPr>
                <w:rFonts w:hint="default"/>
              </w:rPr>
              <w:t>方使用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1361" w:type="pct"/>
            <w:noWrap w:val="0"/>
            <w:vAlign w:val="center"/>
          </w:tcPr>
          <w:p>
            <w:pPr>
              <w:pStyle w:val="76"/>
              <w:bidi w:val="0"/>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固体废物</w:t>
            </w:r>
          </w:p>
        </w:tc>
        <w:tc>
          <w:tcPr>
            <w:tcW w:w="688" w:type="pct"/>
            <w:noWrap w:val="0"/>
            <w:vAlign w:val="center"/>
          </w:tcPr>
          <w:p>
            <w:pPr>
              <w:pStyle w:val="76"/>
              <w:bidi w:val="0"/>
              <w:rPr>
                <w:rFonts w:hint="default"/>
                <w:lang w:val="en-US" w:eastAsia="zh-CN"/>
              </w:rPr>
            </w:pPr>
            <w:r>
              <w:rPr>
                <w:rFonts w:hint="eastAsia"/>
                <w:lang w:val="en-US" w:eastAsia="zh-CN"/>
              </w:rPr>
              <w:t>/</w:t>
            </w:r>
          </w:p>
        </w:tc>
        <w:tc>
          <w:tcPr>
            <w:tcW w:w="826" w:type="pct"/>
            <w:noWrap w:val="0"/>
            <w:vAlign w:val="center"/>
          </w:tcPr>
          <w:p>
            <w:pPr>
              <w:pStyle w:val="76"/>
              <w:bidi w:val="0"/>
              <w:rPr>
                <w:rFonts w:hint="default"/>
                <w:lang w:val="en-US" w:eastAsia="zh-CN"/>
              </w:rPr>
            </w:pPr>
            <w:r>
              <w:rPr>
                <w:rFonts w:hint="eastAsia"/>
                <w:lang w:val="en-US" w:eastAsia="zh-CN"/>
              </w:rPr>
              <w:t>/</w:t>
            </w:r>
          </w:p>
        </w:tc>
        <w:tc>
          <w:tcPr>
            <w:tcW w:w="1476" w:type="pct"/>
            <w:noWrap w:val="0"/>
            <w:vAlign w:val="center"/>
          </w:tcPr>
          <w:p>
            <w:pPr>
              <w:pStyle w:val="76"/>
              <w:bidi w:val="0"/>
              <w:rPr>
                <w:rFonts w:hint="default"/>
                <w:lang w:val="en-US" w:eastAsia="zh-CN"/>
              </w:rPr>
            </w:pPr>
            <w:r>
              <w:rPr>
                <w:rFonts w:hint="default"/>
              </w:rPr>
              <w:t>槽探开挖产生的土石方在勘探期结束后全部回填至开挖地</w:t>
            </w:r>
            <w:r>
              <w:rPr>
                <w:rFonts w:hint="default"/>
                <w:lang w:eastAsia="zh-CN"/>
              </w:rPr>
              <w:t>，</w:t>
            </w:r>
            <w:r>
              <w:rPr>
                <w:rFonts w:hint="default"/>
                <w:lang w:val="en-US" w:eastAsia="zh-CN"/>
              </w:rPr>
              <w:t>临时占地应及时恢复</w:t>
            </w:r>
            <w:r>
              <w:rPr>
                <w:rFonts w:hint="eastAsia"/>
                <w:lang w:val="en-US" w:eastAsia="zh-CN"/>
              </w:rPr>
              <w:t>；泥浆固化后交由一般固废处置单位统一处理，岩屑用于钻孔回填，沉淀池沉渣交由一般固废处置单位统一处理；生活垃圾</w:t>
            </w:r>
            <w:r>
              <w:rPr>
                <w:rFonts w:hint="default"/>
                <w:lang w:val="en-US" w:eastAsia="zh-CN"/>
              </w:rPr>
              <w:t>配置带盖密封分类收集桶，每日随车带回交环卫部门收集处理</w:t>
            </w:r>
          </w:p>
        </w:tc>
        <w:tc>
          <w:tcPr>
            <w:tcW w:w="1361" w:type="pct"/>
            <w:noWrap w:val="0"/>
            <w:vAlign w:val="center"/>
          </w:tcPr>
          <w:p>
            <w:pPr>
              <w:pStyle w:val="76"/>
              <w:bidi w:val="0"/>
              <w:rPr>
                <w:rFonts w:hint="default"/>
                <w:lang w:val="en-US" w:eastAsia="zh-CN"/>
              </w:rPr>
            </w:pPr>
            <w:r>
              <w:rPr>
                <w:rFonts w:hint="eastAsia"/>
                <w:lang w:val="en-US" w:eastAsia="zh-CN"/>
              </w:rPr>
              <w:t>一般固废执行《中华人民共和国固体废物污染环境防治法》（2020年9月1日起施行）要求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pPr>
            <w:r>
              <w:rPr>
                <w:rFonts w:hint="eastAsia"/>
              </w:rPr>
              <w:t>电磁环境</w:t>
            </w:r>
          </w:p>
        </w:tc>
        <w:tc>
          <w:tcPr>
            <w:tcW w:w="688" w:type="pct"/>
            <w:noWrap w:val="0"/>
            <w:vAlign w:val="center"/>
          </w:tcPr>
          <w:p>
            <w:pPr>
              <w:pStyle w:val="76"/>
              <w:bidi w:val="0"/>
            </w:pPr>
            <w:r>
              <w:rPr>
                <w:rFonts w:hint="eastAsia"/>
                <w:lang w:val="en-US" w:eastAsia="zh-CN"/>
              </w:rPr>
              <w:t>/</w:t>
            </w:r>
          </w:p>
        </w:tc>
        <w:tc>
          <w:tcPr>
            <w:tcW w:w="826" w:type="pct"/>
            <w:noWrap w:val="0"/>
            <w:vAlign w:val="center"/>
          </w:tcPr>
          <w:p>
            <w:pPr>
              <w:pStyle w:val="76"/>
              <w:bidi w:val="0"/>
            </w:pPr>
            <w:r>
              <w:rPr>
                <w:rFonts w:hint="eastAsia"/>
                <w:lang w:val="en-US" w:eastAsia="zh-CN"/>
              </w:rPr>
              <w:t>/</w:t>
            </w:r>
          </w:p>
        </w:tc>
        <w:tc>
          <w:tcPr>
            <w:tcW w:w="1476" w:type="pct"/>
            <w:noWrap w:val="0"/>
            <w:vAlign w:val="center"/>
          </w:tcPr>
          <w:p>
            <w:pPr>
              <w:pStyle w:val="76"/>
              <w:bidi w:val="0"/>
            </w:pPr>
            <w:r>
              <w:rPr>
                <w:rFonts w:hint="default"/>
                <w:lang w:val="en-US" w:eastAsia="zh-CN"/>
              </w:rPr>
              <w:t>/</w:t>
            </w:r>
          </w:p>
        </w:tc>
        <w:tc>
          <w:tcPr>
            <w:tcW w:w="1361" w:type="pct"/>
            <w:noWrap w:val="0"/>
            <w:vAlign w:val="center"/>
          </w:tcPr>
          <w:p>
            <w:pPr>
              <w:pStyle w:val="76"/>
              <w:bidi w:val="0"/>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bidi w:val="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环境风险</w:t>
            </w:r>
          </w:p>
        </w:tc>
        <w:tc>
          <w:tcPr>
            <w:tcW w:w="688" w:type="pct"/>
            <w:noWrap w:val="0"/>
            <w:vAlign w:val="center"/>
          </w:tcPr>
          <w:p>
            <w:pPr>
              <w:pStyle w:val="76"/>
              <w:bidi w:val="0"/>
              <w:rPr>
                <w:rFonts w:hint="default"/>
                <w:lang w:val="en-US" w:eastAsia="zh-CN"/>
              </w:rPr>
            </w:pPr>
            <w:r>
              <w:rPr>
                <w:rFonts w:hint="eastAsia"/>
                <w:lang w:val="en-US" w:eastAsia="zh-CN"/>
              </w:rPr>
              <w:t>/</w:t>
            </w:r>
          </w:p>
        </w:tc>
        <w:tc>
          <w:tcPr>
            <w:tcW w:w="826" w:type="pct"/>
            <w:noWrap w:val="0"/>
            <w:vAlign w:val="center"/>
          </w:tcPr>
          <w:p>
            <w:pPr>
              <w:pStyle w:val="76"/>
              <w:bidi w:val="0"/>
              <w:rPr>
                <w:rFonts w:hint="default"/>
                <w:lang w:val="en-US" w:eastAsia="zh-CN"/>
              </w:rPr>
            </w:pPr>
            <w:r>
              <w:rPr>
                <w:rFonts w:hint="eastAsia"/>
                <w:lang w:val="en-US" w:eastAsia="zh-CN"/>
              </w:rPr>
              <w:t>/</w:t>
            </w:r>
          </w:p>
        </w:tc>
        <w:tc>
          <w:tcPr>
            <w:tcW w:w="1476" w:type="pct"/>
            <w:noWrap w:val="0"/>
            <w:vAlign w:val="center"/>
          </w:tcPr>
          <w:p>
            <w:pPr>
              <w:pStyle w:val="76"/>
              <w:bidi w:val="0"/>
              <w:rPr>
                <w:rFonts w:hint="default"/>
                <w:lang w:val="en-US" w:eastAsia="zh-CN"/>
              </w:rPr>
            </w:pPr>
            <w:r>
              <w:rPr>
                <w:rFonts w:hint="default"/>
                <w:lang w:val="en-US" w:eastAsia="zh-CN"/>
              </w:rPr>
              <w:t>建立健全突发环境事件应急预案；加强设备保养，保证设备设施的正常运行</w:t>
            </w:r>
          </w:p>
        </w:tc>
        <w:tc>
          <w:tcPr>
            <w:tcW w:w="1361" w:type="pct"/>
            <w:noWrap w:val="0"/>
            <w:vAlign w:val="center"/>
          </w:tcPr>
          <w:p>
            <w:pPr>
              <w:pStyle w:val="76"/>
              <w:bidi w:val="0"/>
              <w:rPr>
                <w:rFonts w:hint="default"/>
                <w:lang w:val="en-US" w:eastAsia="zh-CN"/>
              </w:rPr>
            </w:pPr>
            <w:r>
              <w:rPr>
                <w:rFonts w:hint="eastAsia"/>
                <w:lang w:val="en-US" w:eastAsia="zh-CN"/>
              </w:rPr>
              <w:t>落实执行情况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bidi w:val="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环境监测</w:t>
            </w:r>
          </w:p>
        </w:tc>
        <w:tc>
          <w:tcPr>
            <w:tcW w:w="688" w:type="pct"/>
            <w:noWrap w:val="0"/>
            <w:vAlign w:val="center"/>
          </w:tcPr>
          <w:p>
            <w:pPr>
              <w:pStyle w:val="76"/>
              <w:bidi w:val="0"/>
              <w:rPr>
                <w:rFonts w:hint="default"/>
                <w:lang w:val="en-US" w:eastAsia="zh-CN"/>
              </w:rPr>
            </w:pPr>
            <w:r>
              <w:rPr>
                <w:rFonts w:hint="eastAsia"/>
                <w:lang w:val="en-US" w:eastAsia="zh-CN"/>
              </w:rPr>
              <w:t>/</w:t>
            </w:r>
          </w:p>
        </w:tc>
        <w:tc>
          <w:tcPr>
            <w:tcW w:w="826" w:type="pct"/>
            <w:noWrap w:val="0"/>
            <w:vAlign w:val="center"/>
          </w:tcPr>
          <w:p>
            <w:pPr>
              <w:pStyle w:val="76"/>
              <w:bidi w:val="0"/>
              <w:rPr>
                <w:rFonts w:hint="default"/>
                <w:lang w:val="en-US" w:eastAsia="zh-CN"/>
              </w:rPr>
            </w:pPr>
            <w:r>
              <w:rPr>
                <w:rFonts w:hint="eastAsia"/>
                <w:lang w:val="en-US" w:eastAsia="zh-CN"/>
              </w:rPr>
              <w:t>/</w:t>
            </w:r>
          </w:p>
        </w:tc>
        <w:tc>
          <w:tcPr>
            <w:tcW w:w="1476" w:type="pct"/>
            <w:noWrap w:val="0"/>
            <w:vAlign w:val="center"/>
          </w:tcPr>
          <w:p>
            <w:pPr>
              <w:pStyle w:val="76"/>
              <w:bidi w:val="0"/>
              <w:rPr>
                <w:rFonts w:hint="default"/>
                <w:lang w:val="en-US" w:eastAsia="zh-CN"/>
              </w:rPr>
            </w:pPr>
            <w:r>
              <w:rPr>
                <w:rFonts w:hint="eastAsia"/>
                <w:lang w:val="en-US" w:eastAsia="zh-CN"/>
              </w:rPr>
              <w:t>常态化巡检勘探场地的固体废物处置情况；出现突发环境事故即刻开展溯源监测；勘探完工后核验作业现场渣土清理成效，同步检查临时占地覆土、地貌复原情况</w:t>
            </w:r>
          </w:p>
        </w:tc>
        <w:tc>
          <w:tcPr>
            <w:tcW w:w="1361" w:type="pct"/>
            <w:noWrap w:val="0"/>
            <w:vAlign w:val="center"/>
          </w:tcPr>
          <w:p>
            <w:pPr>
              <w:pStyle w:val="76"/>
              <w:bidi w:val="0"/>
              <w:rPr>
                <w:rFonts w:hint="default"/>
                <w:lang w:val="en-US" w:eastAsia="zh-CN"/>
              </w:rPr>
            </w:pPr>
            <w:r>
              <w:rPr>
                <w:rFonts w:hint="eastAsia"/>
                <w:lang w:val="en-US" w:eastAsia="zh-CN"/>
              </w:rPr>
              <w:t>严格按照环境监测计划执行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noWrap w:val="0"/>
            <w:vAlign w:val="center"/>
          </w:tcPr>
          <w:p>
            <w:pPr>
              <w:pStyle w:val="59"/>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688" w:type="pct"/>
            <w:noWrap w:val="0"/>
            <w:vAlign w:val="center"/>
          </w:tcPr>
          <w:p>
            <w:pPr>
              <w:pStyle w:val="76"/>
              <w:bidi w:val="0"/>
              <w:rPr>
                <w:rFonts w:hint="default"/>
                <w:lang w:val="en-US" w:eastAsia="zh-CN"/>
              </w:rPr>
            </w:pPr>
            <w:r>
              <w:rPr>
                <w:rFonts w:hint="default"/>
                <w:lang w:val="en-US" w:eastAsia="zh-CN"/>
              </w:rPr>
              <w:t>/</w:t>
            </w:r>
          </w:p>
        </w:tc>
        <w:tc>
          <w:tcPr>
            <w:tcW w:w="826" w:type="pct"/>
            <w:noWrap w:val="0"/>
            <w:vAlign w:val="center"/>
          </w:tcPr>
          <w:p>
            <w:pPr>
              <w:pStyle w:val="76"/>
              <w:bidi w:val="0"/>
              <w:rPr>
                <w:rFonts w:hint="eastAsia"/>
                <w:lang w:val="en-US" w:eastAsia="zh-CN"/>
              </w:rPr>
            </w:pPr>
            <w:r>
              <w:rPr>
                <w:rFonts w:hint="eastAsia"/>
                <w:lang w:val="en-US" w:eastAsia="zh-CN"/>
              </w:rPr>
              <w:t>/</w:t>
            </w:r>
          </w:p>
        </w:tc>
        <w:tc>
          <w:tcPr>
            <w:tcW w:w="1476" w:type="pct"/>
            <w:noWrap w:val="0"/>
            <w:vAlign w:val="center"/>
          </w:tcPr>
          <w:p>
            <w:pPr>
              <w:pStyle w:val="76"/>
              <w:bidi w:val="0"/>
              <w:rPr>
                <w:rFonts w:hint="default"/>
                <w:lang w:val="en-US" w:eastAsia="zh-CN"/>
              </w:rPr>
            </w:pPr>
            <w:r>
              <w:rPr>
                <w:rFonts w:hint="default"/>
                <w:lang w:val="en-US" w:eastAsia="zh-CN"/>
              </w:rPr>
              <w:t>/</w:t>
            </w:r>
          </w:p>
        </w:tc>
        <w:tc>
          <w:tcPr>
            <w:tcW w:w="1361" w:type="pct"/>
            <w:noWrap w:val="0"/>
            <w:vAlign w:val="center"/>
          </w:tcPr>
          <w:p>
            <w:pPr>
              <w:pStyle w:val="76"/>
              <w:bidi w:val="0"/>
              <w:rPr>
                <w:rFonts w:hint="default"/>
                <w:lang w:val="en-US" w:eastAsia="zh-CN"/>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4"/>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704" w:hRule="atLeast"/>
          <w:jc w:val="center"/>
        </w:trPr>
        <w:tc>
          <w:tcPr>
            <w:tcW w:w="9289" w:type="dxa"/>
            <w:noWrap w:val="0"/>
            <w:vAlign w:val="top"/>
          </w:tcPr>
          <w:p>
            <w:pPr>
              <w:pStyle w:val="49"/>
              <w:bidi w:val="0"/>
              <w:jc w:val="left"/>
              <w:rPr>
                <w:rFonts w:ascii="宋体" w:hAnsi="宋体" w:cs="宋体"/>
                <w:szCs w:val="21"/>
              </w:rPr>
            </w:pPr>
            <w:r>
              <w:t>综合上述，项目方应严格实施本环评报告提出的各项环保措施和建议，做到污染物达标排放，做好生态环境的保护与恢复。在严格落实本环评提出的各项污染物治理和生态保护措施的前提下，该项目的建设不会对区域环境质量及生态</w:t>
            </w:r>
            <w:r>
              <w:rPr>
                <w:rFonts w:hint="eastAsia"/>
              </w:rPr>
              <w:t>环境</w:t>
            </w:r>
            <w:r>
              <w:t>产生大的影响，从环境保护角度分析，本项</w:t>
            </w:r>
            <w:r>
              <w:rPr>
                <w:rFonts w:hint="eastAsia"/>
                <w:lang w:eastAsia="zh-CN"/>
              </w:rPr>
              <w:t>目环境影响</w:t>
            </w:r>
            <w: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1786BBB-7BD9-445C-BCA3-D2352B74BFCA}"/>
  </w:font>
  <w:font w:name="黑体">
    <w:panose1 w:val="02010609060101010101"/>
    <w:charset w:val="86"/>
    <w:family w:val="auto"/>
    <w:pitch w:val="default"/>
    <w:sig w:usb0="800002BF" w:usb1="38CF7CFA" w:usb2="00000016" w:usb3="00000000" w:csb0="00040001" w:csb1="00000000"/>
    <w:embedRegular r:id="rId2" w:fontKey="{8460966C-BA13-4443-8613-0EF2E7F957B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D0B30048-F24C-4524-9B73-1E9DF4557F71}"/>
  </w:font>
  <w:font w:name="仿宋">
    <w:panose1 w:val="02010609060101010101"/>
    <w:charset w:val="86"/>
    <w:family w:val="auto"/>
    <w:pitch w:val="default"/>
    <w:sig w:usb0="800002BF" w:usb1="38CF7CFA" w:usb2="00000016" w:usb3="00000000" w:csb0="00040001" w:csb1="00000000"/>
    <w:embedRegular r:id="rId4" w:fontKey="{34D29268-8382-4102-BC82-9FA90D41AF6F}"/>
  </w:font>
  <w:font w:name="仿宋_GB2312">
    <w:panose1 w:val="02010609030101010101"/>
    <w:charset w:val="86"/>
    <w:family w:val="modern"/>
    <w:pitch w:val="default"/>
    <w:sig w:usb0="00000001" w:usb1="080E0000" w:usb2="00000000" w:usb3="00000000" w:csb0="00040000" w:csb1="00000000"/>
    <w:embedRegular r:id="rId5" w:fontKey="{718B6D43-1910-41EC-B38B-BF86DC33BA2F}"/>
  </w:font>
  <w:font w:name="方正小标宋_GBK">
    <w:panose1 w:val="03000509000000000000"/>
    <w:charset w:val="86"/>
    <w:family w:val="script"/>
    <w:pitch w:val="default"/>
    <w:sig w:usb0="00000001" w:usb1="080E0000" w:usb2="00000000" w:usb3="00000000" w:csb0="00040000" w:csb1="00000000"/>
    <w:embedRegular r:id="rId6" w:fontKey="{9315DD62-5A0E-4D66-9916-639402446CB7}"/>
  </w:font>
  <w:font w:name="华文仿宋">
    <w:panose1 w:val="02010600040101010101"/>
    <w:charset w:val="86"/>
    <w:family w:val="auto"/>
    <w:pitch w:val="default"/>
    <w:sig w:usb0="00000287" w:usb1="080F0000" w:usb2="00000000" w:usb3="00000000" w:csb0="0004009F" w:csb1="DFD70000"/>
    <w:embedRegular r:id="rId7" w:fontKey="{87729FDB-C27E-4180-AEB5-EF2D2025D9AD}"/>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outside" w:y="1"/>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szCs w:val="20"/>
      </w:rPr>
      <w:t xml:space="preserve">  </w:t>
    </w:r>
    <w:r>
      <w:rPr>
        <w:rStyle w:val="28"/>
        <w:rFonts w:ascii="宋体" w:hAnsi="宋体"/>
        <w:sz w:val="26"/>
        <w:szCs w:val="26"/>
      </w:rPr>
      <w:fldChar w:fldCharType="begin"/>
    </w:r>
    <w:r>
      <w:rPr>
        <w:rStyle w:val="28"/>
        <w:rFonts w:ascii="宋体" w:hAnsi="宋体"/>
        <w:sz w:val="26"/>
        <w:szCs w:val="26"/>
      </w:rPr>
      <w:instrText xml:space="preserve">PAGE  </w:instrText>
    </w:r>
    <w:r>
      <w:rPr>
        <w:rStyle w:val="28"/>
        <w:rFonts w:ascii="宋体" w:hAnsi="宋体"/>
        <w:sz w:val="26"/>
        <w:szCs w:val="26"/>
      </w:rPr>
      <w:fldChar w:fldCharType="separate"/>
    </w:r>
    <w:r>
      <w:rPr>
        <w:rStyle w:val="28"/>
        <w:rFonts w:ascii="宋体" w:hAnsi="宋体"/>
        <w:sz w:val="26"/>
        <w:szCs w:val="26"/>
      </w:rPr>
      <w:t>22</w:t>
    </w:r>
    <w:r>
      <w:rPr>
        <w:rStyle w:val="28"/>
        <w:rFonts w:ascii="宋体" w:hAnsi="宋体"/>
        <w:sz w:val="26"/>
        <w:szCs w:val="26"/>
      </w:rPr>
      <w:fldChar w:fldCharType="end"/>
    </w:r>
    <w:r>
      <w:rPr>
        <w:rStyle w:val="28"/>
        <w:rFonts w:hint="eastAsia" w:ascii="宋体" w:hAnsi="宋体"/>
        <w:sz w:val="20"/>
        <w:szCs w:val="20"/>
      </w:rPr>
      <w:t xml:space="preserve">  </w:t>
    </w:r>
    <w:r>
      <w:rPr>
        <w:rStyle w:val="28"/>
        <w:rFonts w:hint="eastAsia" w:ascii="宋体" w:hAnsi="宋体"/>
        <w:sz w:val="28"/>
        <w:szCs w:val="28"/>
      </w:rPr>
      <w:t>—</w:t>
    </w:r>
  </w:p>
  <w:p>
    <w:pPr>
      <w:pStyle w:val="19"/>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6479E"/>
    <w:multiLevelType w:val="singleLevel"/>
    <w:tmpl w:val="A806479E"/>
    <w:lvl w:ilvl="0" w:tentative="0">
      <w:start w:val="2"/>
      <w:numFmt w:val="decimal"/>
      <w:suff w:val="nothing"/>
      <w:lvlText w:val="（%1）"/>
      <w:lvlJc w:val="left"/>
    </w:lvl>
  </w:abstractNum>
  <w:abstractNum w:abstractNumId="1">
    <w:nsid w:val="5BA5D222"/>
    <w:multiLevelType w:val="singleLevel"/>
    <w:tmpl w:val="5BA5D22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3349B"/>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07852"/>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1E1D"/>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29AF"/>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1383"/>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6705F"/>
    <w:rsid w:val="00A7031E"/>
    <w:rsid w:val="00A728B1"/>
    <w:rsid w:val="00A763DE"/>
    <w:rsid w:val="00A77C00"/>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BE7797"/>
    <w:rsid w:val="00C019DE"/>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CE72AE"/>
    <w:rsid w:val="00D0072E"/>
    <w:rsid w:val="00D15727"/>
    <w:rsid w:val="00D16332"/>
    <w:rsid w:val="00D24972"/>
    <w:rsid w:val="00D2515E"/>
    <w:rsid w:val="00D308ED"/>
    <w:rsid w:val="00D370F7"/>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4276"/>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41D00"/>
    <w:rsid w:val="01062EEC"/>
    <w:rsid w:val="010D262E"/>
    <w:rsid w:val="010D427B"/>
    <w:rsid w:val="010F53D5"/>
    <w:rsid w:val="01101675"/>
    <w:rsid w:val="01196E52"/>
    <w:rsid w:val="011D7843"/>
    <w:rsid w:val="012C1A19"/>
    <w:rsid w:val="01320EC9"/>
    <w:rsid w:val="014B78B6"/>
    <w:rsid w:val="015C1523"/>
    <w:rsid w:val="015E6B1D"/>
    <w:rsid w:val="01655E65"/>
    <w:rsid w:val="01661B19"/>
    <w:rsid w:val="01730582"/>
    <w:rsid w:val="017417EB"/>
    <w:rsid w:val="017635A2"/>
    <w:rsid w:val="01857C73"/>
    <w:rsid w:val="018759AC"/>
    <w:rsid w:val="018B21C1"/>
    <w:rsid w:val="01915731"/>
    <w:rsid w:val="019978BC"/>
    <w:rsid w:val="01AD6E7F"/>
    <w:rsid w:val="01B140BF"/>
    <w:rsid w:val="01B42207"/>
    <w:rsid w:val="01B645C6"/>
    <w:rsid w:val="01BA61B0"/>
    <w:rsid w:val="01BB2C92"/>
    <w:rsid w:val="01C16C2C"/>
    <w:rsid w:val="01C66596"/>
    <w:rsid w:val="01CF52F9"/>
    <w:rsid w:val="01D6466C"/>
    <w:rsid w:val="01D82621"/>
    <w:rsid w:val="01DC5340"/>
    <w:rsid w:val="01E27A17"/>
    <w:rsid w:val="01FD7E4B"/>
    <w:rsid w:val="02110AC4"/>
    <w:rsid w:val="0216309A"/>
    <w:rsid w:val="021653B1"/>
    <w:rsid w:val="021C128D"/>
    <w:rsid w:val="02240624"/>
    <w:rsid w:val="022E14F7"/>
    <w:rsid w:val="02323E22"/>
    <w:rsid w:val="023C308D"/>
    <w:rsid w:val="02490F73"/>
    <w:rsid w:val="025905B8"/>
    <w:rsid w:val="025E2CEB"/>
    <w:rsid w:val="02611106"/>
    <w:rsid w:val="02671768"/>
    <w:rsid w:val="02737AF6"/>
    <w:rsid w:val="02786C45"/>
    <w:rsid w:val="027C2221"/>
    <w:rsid w:val="02973D5F"/>
    <w:rsid w:val="02973F5D"/>
    <w:rsid w:val="02A4476B"/>
    <w:rsid w:val="02A8142E"/>
    <w:rsid w:val="02B66AA6"/>
    <w:rsid w:val="02D44580"/>
    <w:rsid w:val="02E244D2"/>
    <w:rsid w:val="02E52166"/>
    <w:rsid w:val="02FB6862"/>
    <w:rsid w:val="030516AD"/>
    <w:rsid w:val="030C3E9B"/>
    <w:rsid w:val="0313544C"/>
    <w:rsid w:val="03173601"/>
    <w:rsid w:val="03256780"/>
    <w:rsid w:val="033E2799"/>
    <w:rsid w:val="03517621"/>
    <w:rsid w:val="035A31DA"/>
    <w:rsid w:val="036C4379"/>
    <w:rsid w:val="03773579"/>
    <w:rsid w:val="03773C2D"/>
    <w:rsid w:val="037B760F"/>
    <w:rsid w:val="039105B6"/>
    <w:rsid w:val="039849B2"/>
    <w:rsid w:val="03A04F32"/>
    <w:rsid w:val="03AC4D56"/>
    <w:rsid w:val="03B679C7"/>
    <w:rsid w:val="03C04774"/>
    <w:rsid w:val="03C17E7E"/>
    <w:rsid w:val="03DE5A5A"/>
    <w:rsid w:val="03E73206"/>
    <w:rsid w:val="04026C8D"/>
    <w:rsid w:val="042F3D71"/>
    <w:rsid w:val="04432C66"/>
    <w:rsid w:val="044E7D8A"/>
    <w:rsid w:val="04513BA5"/>
    <w:rsid w:val="04584E73"/>
    <w:rsid w:val="04632D76"/>
    <w:rsid w:val="04694C49"/>
    <w:rsid w:val="046C750A"/>
    <w:rsid w:val="049F4F72"/>
    <w:rsid w:val="04A02746"/>
    <w:rsid w:val="04E2157A"/>
    <w:rsid w:val="04F14D2A"/>
    <w:rsid w:val="050E75A9"/>
    <w:rsid w:val="05104806"/>
    <w:rsid w:val="05170C7F"/>
    <w:rsid w:val="051847BF"/>
    <w:rsid w:val="051B38A9"/>
    <w:rsid w:val="051C101F"/>
    <w:rsid w:val="051F41C0"/>
    <w:rsid w:val="051F7A75"/>
    <w:rsid w:val="0526590B"/>
    <w:rsid w:val="05337791"/>
    <w:rsid w:val="053E7690"/>
    <w:rsid w:val="05447C28"/>
    <w:rsid w:val="054D6C22"/>
    <w:rsid w:val="05551283"/>
    <w:rsid w:val="055E4077"/>
    <w:rsid w:val="05605B0F"/>
    <w:rsid w:val="05742AC8"/>
    <w:rsid w:val="057E73DF"/>
    <w:rsid w:val="057E74F5"/>
    <w:rsid w:val="058E0B21"/>
    <w:rsid w:val="058F48C8"/>
    <w:rsid w:val="05926C4E"/>
    <w:rsid w:val="05964489"/>
    <w:rsid w:val="05A3087C"/>
    <w:rsid w:val="05B103D8"/>
    <w:rsid w:val="05BB42A5"/>
    <w:rsid w:val="05C55E8E"/>
    <w:rsid w:val="05D642CE"/>
    <w:rsid w:val="05EC0669"/>
    <w:rsid w:val="0603741A"/>
    <w:rsid w:val="06175B47"/>
    <w:rsid w:val="0619728A"/>
    <w:rsid w:val="062C6F51"/>
    <w:rsid w:val="06352F05"/>
    <w:rsid w:val="063A0FE6"/>
    <w:rsid w:val="063C333F"/>
    <w:rsid w:val="063E7D85"/>
    <w:rsid w:val="06411B4C"/>
    <w:rsid w:val="065B1053"/>
    <w:rsid w:val="0662621F"/>
    <w:rsid w:val="06683799"/>
    <w:rsid w:val="069409F0"/>
    <w:rsid w:val="06B536D7"/>
    <w:rsid w:val="06CA61A3"/>
    <w:rsid w:val="06CC2DD0"/>
    <w:rsid w:val="06E114C2"/>
    <w:rsid w:val="06ED60F1"/>
    <w:rsid w:val="06F22278"/>
    <w:rsid w:val="06FA704F"/>
    <w:rsid w:val="070875E0"/>
    <w:rsid w:val="071252CD"/>
    <w:rsid w:val="0716462A"/>
    <w:rsid w:val="071C7F9D"/>
    <w:rsid w:val="07240D7C"/>
    <w:rsid w:val="07293586"/>
    <w:rsid w:val="07295285"/>
    <w:rsid w:val="073D0B7A"/>
    <w:rsid w:val="075208D7"/>
    <w:rsid w:val="07594F89"/>
    <w:rsid w:val="076444C8"/>
    <w:rsid w:val="076B3AA9"/>
    <w:rsid w:val="076E638B"/>
    <w:rsid w:val="07770C56"/>
    <w:rsid w:val="077E558A"/>
    <w:rsid w:val="07994C79"/>
    <w:rsid w:val="07A5586E"/>
    <w:rsid w:val="07BB67DE"/>
    <w:rsid w:val="07C76659"/>
    <w:rsid w:val="07F25F78"/>
    <w:rsid w:val="07F65C31"/>
    <w:rsid w:val="07FA3DBD"/>
    <w:rsid w:val="08002443"/>
    <w:rsid w:val="08065580"/>
    <w:rsid w:val="081E0B1B"/>
    <w:rsid w:val="082D5987"/>
    <w:rsid w:val="082E17EA"/>
    <w:rsid w:val="08377FAD"/>
    <w:rsid w:val="08387E2F"/>
    <w:rsid w:val="084B2F0B"/>
    <w:rsid w:val="084F33CB"/>
    <w:rsid w:val="085F6661"/>
    <w:rsid w:val="086A00E6"/>
    <w:rsid w:val="088B4C81"/>
    <w:rsid w:val="088F46E0"/>
    <w:rsid w:val="08990393"/>
    <w:rsid w:val="08A61E87"/>
    <w:rsid w:val="08AE049D"/>
    <w:rsid w:val="08BC3BAE"/>
    <w:rsid w:val="08C401C2"/>
    <w:rsid w:val="08CF48B6"/>
    <w:rsid w:val="08D97D1B"/>
    <w:rsid w:val="08DA0EE6"/>
    <w:rsid w:val="08EF10FC"/>
    <w:rsid w:val="08F63846"/>
    <w:rsid w:val="08F75856"/>
    <w:rsid w:val="091457BC"/>
    <w:rsid w:val="091D7619"/>
    <w:rsid w:val="092217DD"/>
    <w:rsid w:val="093A7294"/>
    <w:rsid w:val="093D20B4"/>
    <w:rsid w:val="094D790A"/>
    <w:rsid w:val="094E63E5"/>
    <w:rsid w:val="094F10C7"/>
    <w:rsid w:val="09523CDC"/>
    <w:rsid w:val="09561A6E"/>
    <w:rsid w:val="095F52E7"/>
    <w:rsid w:val="09607FAA"/>
    <w:rsid w:val="096A6D08"/>
    <w:rsid w:val="097B5CAC"/>
    <w:rsid w:val="09907FC4"/>
    <w:rsid w:val="09A20C96"/>
    <w:rsid w:val="09A22E34"/>
    <w:rsid w:val="09A314F6"/>
    <w:rsid w:val="09A45050"/>
    <w:rsid w:val="09BC5743"/>
    <w:rsid w:val="09D879EF"/>
    <w:rsid w:val="09E57B43"/>
    <w:rsid w:val="09F4070E"/>
    <w:rsid w:val="0A073817"/>
    <w:rsid w:val="0A147B34"/>
    <w:rsid w:val="0A1A64AA"/>
    <w:rsid w:val="0A1F4703"/>
    <w:rsid w:val="0A231EDD"/>
    <w:rsid w:val="0A474359"/>
    <w:rsid w:val="0A5A1DC7"/>
    <w:rsid w:val="0A5C28F1"/>
    <w:rsid w:val="0A6E0464"/>
    <w:rsid w:val="0A721F4B"/>
    <w:rsid w:val="0A9A7AEB"/>
    <w:rsid w:val="0AE73511"/>
    <w:rsid w:val="0B085BAA"/>
    <w:rsid w:val="0B0C55A3"/>
    <w:rsid w:val="0B1A18FA"/>
    <w:rsid w:val="0B204BAA"/>
    <w:rsid w:val="0B4A156F"/>
    <w:rsid w:val="0B4B7E79"/>
    <w:rsid w:val="0B8C2821"/>
    <w:rsid w:val="0B9B2926"/>
    <w:rsid w:val="0BB00343"/>
    <w:rsid w:val="0BB166B1"/>
    <w:rsid w:val="0BC55E7E"/>
    <w:rsid w:val="0BC95F15"/>
    <w:rsid w:val="0BD04096"/>
    <w:rsid w:val="0BD27BF6"/>
    <w:rsid w:val="0BDC5FA9"/>
    <w:rsid w:val="0BE90AC2"/>
    <w:rsid w:val="0BE91E37"/>
    <w:rsid w:val="0BE978FB"/>
    <w:rsid w:val="0BF06A72"/>
    <w:rsid w:val="0BFD6797"/>
    <w:rsid w:val="0C0221CB"/>
    <w:rsid w:val="0C032AB2"/>
    <w:rsid w:val="0C037555"/>
    <w:rsid w:val="0C1734E6"/>
    <w:rsid w:val="0C2B3807"/>
    <w:rsid w:val="0C3A0244"/>
    <w:rsid w:val="0C442FE8"/>
    <w:rsid w:val="0C452B1A"/>
    <w:rsid w:val="0C581A09"/>
    <w:rsid w:val="0C601A20"/>
    <w:rsid w:val="0C676F35"/>
    <w:rsid w:val="0C820FC8"/>
    <w:rsid w:val="0C8E4FDD"/>
    <w:rsid w:val="0C9308B1"/>
    <w:rsid w:val="0CB200C5"/>
    <w:rsid w:val="0CB34CF4"/>
    <w:rsid w:val="0CD62D8F"/>
    <w:rsid w:val="0CDD691A"/>
    <w:rsid w:val="0CE271A4"/>
    <w:rsid w:val="0CF109A7"/>
    <w:rsid w:val="0D04290B"/>
    <w:rsid w:val="0D1169EC"/>
    <w:rsid w:val="0D301348"/>
    <w:rsid w:val="0D3B62E5"/>
    <w:rsid w:val="0D3C2711"/>
    <w:rsid w:val="0D405695"/>
    <w:rsid w:val="0D471D25"/>
    <w:rsid w:val="0D521FD5"/>
    <w:rsid w:val="0D523741"/>
    <w:rsid w:val="0D5C4BD0"/>
    <w:rsid w:val="0D646FD0"/>
    <w:rsid w:val="0D7F3E0A"/>
    <w:rsid w:val="0D8C6527"/>
    <w:rsid w:val="0DB07359"/>
    <w:rsid w:val="0DB96E36"/>
    <w:rsid w:val="0DBA0A0C"/>
    <w:rsid w:val="0DC45CC1"/>
    <w:rsid w:val="0DCA3C27"/>
    <w:rsid w:val="0DD11376"/>
    <w:rsid w:val="0DE03144"/>
    <w:rsid w:val="0DED3F7D"/>
    <w:rsid w:val="0DF149A6"/>
    <w:rsid w:val="0DFE1D1F"/>
    <w:rsid w:val="0E110D06"/>
    <w:rsid w:val="0E130311"/>
    <w:rsid w:val="0E266AC3"/>
    <w:rsid w:val="0E2A1FC8"/>
    <w:rsid w:val="0E2B5D40"/>
    <w:rsid w:val="0E492AD6"/>
    <w:rsid w:val="0E4E1A06"/>
    <w:rsid w:val="0E565112"/>
    <w:rsid w:val="0E572FD9"/>
    <w:rsid w:val="0E5F3AD9"/>
    <w:rsid w:val="0E62253D"/>
    <w:rsid w:val="0EA55AF2"/>
    <w:rsid w:val="0EAA2B43"/>
    <w:rsid w:val="0EAE684C"/>
    <w:rsid w:val="0EB65F51"/>
    <w:rsid w:val="0EC92C77"/>
    <w:rsid w:val="0EDD0135"/>
    <w:rsid w:val="0EF36439"/>
    <w:rsid w:val="0EF949B1"/>
    <w:rsid w:val="0EFA4090"/>
    <w:rsid w:val="0F13775A"/>
    <w:rsid w:val="0F346E76"/>
    <w:rsid w:val="0F607C6B"/>
    <w:rsid w:val="0F6B6D3C"/>
    <w:rsid w:val="0F7428EE"/>
    <w:rsid w:val="0F791001"/>
    <w:rsid w:val="0F9A112B"/>
    <w:rsid w:val="0FA97864"/>
    <w:rsid w:val="0FAF2860"/>
    <w:rsid w:val="0FD37F53"/>
    <w:rsid w:val="0FDE2D02"/>
    <w:rsid w:val="0FEF179E"/>
    <w:rsid w:val="0FF860F6"/>
    <w:rsid w:val="0FFA6753"/>
    <w:rsid w:val="0FFC07FE"/>
    <w:rsid w:val="10164837"/>
    <w:rsid w:val="101F1965"/>
    <w:rsid w:val="10343006"/>
    <w:rsid w:val="10390BE8"/>
    <w:rsid w:val="103B55CC"/>
    <w:rsid w:val="1058689E"/>
    <w:rsid w:val="10620F29"/>
    <w:rsid w:val="106D2F64"/>
    <w:rsid w:val="107439CE"/>
    <w:rsid w:val="10757746"/>
    <w:rsid w:val="107E484D"/>
    <w:rsid w:val="107F689D"/>
    <w:rsid w:val="10881228"/>
    <w:rsid w:val="108A7467"/>
    <w:rsid w:val="10AF2C58"/>
    <w:rsid w:val="10B01A9F"/>
    <w:rsid w:val="10B244F7"/>
    <w:rsid w:val="10B63710"/>
    <w:rsid w:val="10CF4CD1"/>
    <w:rsid w:val="10D23005"/>
    <w:rsid w:val="10E130BF"/>
    <w:rsid w:val="10E20B40"/>
    <w:rsid w:val="11072A94"/>
    <w:rsid w:val="111749F9"/>
    <w:rsid w:val="11182474"/>
    <w:rsid w:val="111C2F7A"/>
    <w:rsid w:val="112002C2"/>
    <w:rsid w:val="112924B4"/>
    <w:rsid w:val="112A6783"/>
    <w:rsid w:val="113013DE"/>
    <w:rsid w:val="11350618"/>
    <w:rsid w:val="11385BBB"/>
    <w:rsid w:val="11446485"/>
    <w:rsid w:val="11455CCA"/>
    <w:rsid w:val="114678B8"/>
    <w:rsid w:val="116427AF"/>
    <w:rsid w:val="11716160"/>
    <w:rsid w:val="11841112"/>
    <w:rsid w:val="118F65E6"/>
    <w:rsid w:val="11A7236D"/>
    <w:rsid w:val="11AB65BF"/>
    <w:rsid w:val="11B4024C"/>
    <w:rsid w:val="11B8015A"/>
    <w:rsid w:val="11C46F35"/>
    <w:rsid w:val="11C743A6"/>
    <w:rsid w:val="11CC3D75"/>
    <w:rsid w:val="11D93DA0"/>
    <w:rsid w:val="11DB3FFF"/>
    <w:rsid w:val="11E15093"/>
    <w:rsid w:val="11E84674"/>
    <w:rsid w:val="11EA051C"/>
    <w:rsid w:val="11EA29C0"/>
    <w:rsid w:val="11EF5056"/>
    <w:rsid w:val="11FC011F"/>
    <w:rsid w:val="12023727"/>
    <w:rsid w:val="12086A9C"/>
    <w:rsid w:val="122072AA"/>
    <w:rsid w:val="12267B49"/>
    <w:rsid w:val="122B06C2"/>
    <w:rsid w:val="123D74D6"/>
    <w:rsid w:val="12445229"/>
    <w:rsid w:val="124E4E5A"/>
    <w:rsid w:val="124E53FA"/>
    <w:rsid w:val="124F51D5"/>
    <w:rsid w:val="12502C70"/>
    <w:rsid w:val="12605BA3"/>
    <w:rsid w:val="12613C54"/>
    <w:rsid w:val="126B3B83"/>
    <w:rsid w:val="12736E94"/>
    <w:rsid w:val="1279351E"/>
    <w:rsid w:val="128F2D41"/>
    <w:rsid w:val="129077DE"/>
    <w:rsid w:val="12960DCE"/>
    <w:rsid w:val="12A2059C"/>
    <w:rsid w:val="12BE1260"/>
    <w:rsid w:val="12C60256"/>
    <w:rsid w:val="12C765B7"/>
    <w:rsid w:val="12CE4E68"/>
    <w:rsid w:val="12D3750A"/>
    <w:rsid w:val="12D6271E"/>
    <w:rsid w:val="12D86EA3"/>
    <w:rsid w:val="12EF6AB8"/>
    <w:rsid w:val="131E40C5"/>
    <w:rsid w:val="132822F9"/>
    <w:rsid w:val="13286CF2"/>
    <w:rsid w:val="13497732"/>
    <w:rsid w:val="134E5C22"/>
    <w:rsid w:val="136441CE"/>
    <w:rsid w:val="13647E73"/>
    <w:rsid w:val="136E2957"/>
    <w:rsid w:val="13737F6D"/>
    <w:rsid w:val="13765CAF"/>
    <w:rsid w:val="138A1793"/>
    <w:rsid w:val="138B18F3"/>
    <w:rsid w:val="13951726"/>
    <w:rsid w:val="13A15444"/>
    <w:rsid w:val="13BC5A7B"/>
    <w:rsid w:val="13C609E5"/>
    <w:rsid w:val="13CB075B"/>
    <w:rsid w:val="13D628C0"/>
    <w:rsid w:val="13EB044B"/>
    <w:rsid w:val="13ED5118"/>
    <w:rsid w:val="13F16624"/>
    <w:rsid w:val="13F50E66"/>
    <w:rsid w:val="13F6014E"/>
    <w:rsid w:val="14060550"/>
    <w:rsid w:val="141A01E7"/>
    <w:rsid w:val="142E20E6"/>
    <w:rsid w:val="14353475"/>
    <w:rsid w:val="14377E57"/>
    <w:rsid w:val="14396509"/>
    <w:rsid w:val="14397409"/>
    <w:rsid w:val="143E60BA"/>
    <w:rsid w:val="1447165C"/>
    <w:rsid w:val="14475755"/>
    <w:rsid w:val="145255D4"/>
    <w:rsid w:val="14556DB3"/>
    <w:rsid w:val="145E70D4"/>
    <w:rsid w:val="146410A1"/>
    <w:rsid w:val="146B50E8"/>
    <w:rsid w:val="14750D5A"/>
    <w:rsid w:val="147E33C3"/>
    <w:rsid w:val="14870A36"/>
    <w:rsid w:val="14881E66"/>
    <w:rsid w:val="148F7029"/>
    <w:rsid w:val="149A2AF2"/>
    <w:rsid w:val="14A01875"/>
    <w:rsid w:val="14B20F8C"/>
    <w:rsid w:val="14B41379"/>
    <w:rsid w:val="14BC29D6"/>
    <w:rsid w:val="14DC1BA5"/>
    <w:rsid w:val="14E86BD0"/>
    <w:rsid w:val="14F10473"/>
    <w:rsid w:val="14FA32EB"/>
    <w:rsid w:val="14FC21E4"/>
    <w:rsid w:val="150A42DA"/>
    <w:rsid w:val="15205755"/>
    <w:rsid w:val="152B3BAE"/>
    <w:rsid w:val="152C7305"/>
    <w:rsid w:val="152D05F0"/>
    <w:rsid w:val="154701F2"/>
    <w:rsid w:val="154D1CD8"/>
    <w:rsid w:val="15581F72"/>
    <w:rsid w:val="155B0F75"/>
    <w:rsid w:val="15604521"/>
    <w:rsid w:val="156100F4"/>
    <w:rsid w:val="15646E47"/>
    <w:rsid w:val="156B7CCE"/>
    <w:rsid w:val="156F1F69"/>
    <w:rsid w:val="15916DD0"/>
    <w:rsid w:val="159468C1"/>
    <w:rsid w:val="15AC4A14"/>
    <w:rsid w:val="15CA710D"/>
    <w:rsid w:val="15CE4223"/>
    <w:rsid w:val="15CE5420"/>
    <w:rsid w:val="15DA4676"/>
    <w:rsid w:val="161B6867"/>
    <w:rsid w:val="16220563"/>
    <w:rsid w:val="162623BA"/>
    <w:rsid w:val="16290DB7"/>
    <w:rsid w:val="162952E3"/>
    <w:rsid w:val="162A4334"/>
    <w:rsid w:val="162B3378"/>
    <w:rsid w:val="162C3809"/>
    <w:rsid w:val="16361310"/>
    <w:rsid w:val="166221AA"/>
    <w:rsid w:val="167A5AB7"/>
    <w:rsid w:val="1691733D"/>
    <w:rsid w:val="16941F55"/>
    <w:rsid w:val="1695644C"/>
    <w:rsid w:val="169E79F7"/>
    <w:rsid w:val="16AB24F1"/>
    <w:rsid w:val="16B70AB9"/>
    <w:rsid w:val="16C17BF4"/>
    <w:rsid w:val="16D108B7"/>
    <w:rsid w:val="16F65FFD"/>
    <w:rsid w:val="170D06D9"/>
    <w:rsid w:val="170F179D"/>
    <w:rsid w:val="171A0D87"/>
    <w:rsid w:val="171F3E2C"/>
    <w:rsid w:val="172345B4"/>
    <w:rsid w:val="1724463E"/>
    <w:rsid w:val="17277927"/>
    <w:rsid w:val="173326A4"/>
    <w:rsid w:val="173D173B"/>
    <w:rsid w:val="1759533F"/>
    <w:rsid w:val="17625724"/>
    <w:rsid w:val="1764623E"/>
    <w:rsid w:val="176B1EA6"/>
    <w:rsid w:val="17735226"/>
    <w:rsid w:val="17754F34"/>
    <w:rsid w:val="177C3206"/>
    <w:rsid w:val="178611DC"/>
    <w:rsid w:val="17902473"/>
    <w:rsid w:val="17991C3C"/>
    <w:rsid w:val="17A806BC"/>
    <w:rsid w:val="17B423BF"/>
    <w:rsid w:val="17C0399D"/>
    <w:rsid w:val="17C11909"/>
    <w:rsid w:val="17C528EE"/>
    <w:rsid w:val="17C67D06"/>
    <w:rsid w:val="17CE1006"/>
    <w:rsid w:val="17D3708B"/>
    <w:rsid w:val="17D77582"/>
    <w:rsid w:val="17DF1C59"/>
    <w:rsid w:val="17E41539"/>
    <w:rsid w:val="17E80B02"/>
    <w:rsid w:val="17EF7DDE"/>
    <w:rsid w:val="18112FB1"/>
    <w:rsid w:val="181459D7"/>
    <w:rsid w:val="181F1822"/>
    <w:rsid w:val="18214C5F"/>
    <w:rsid w:val="18294C4F"/>
    <w:rsid w:val="183655F6"/>
    <w:rsid w:val="183A374F"/>
    <w:rsid w:val="18420856"/>
    <w:rsid w:val="1853036D"/>
    <w:rsid w:val="18666832"/>
    <w:rsid w:val="18832596"/>
    <w:rsid w:val="188D7D23"/>
    <w:rsid w:val="1890511D"/>
    <w:rsid w:val="18955D8E"/>
    <w:rsid w:val="18A36F6F"/>
    <w:rsid w:val="18BC5B4D"/>
    <w:rsid w:val="18C15C1F"/>
    <w:rsid w:val="18C96881"/>
    <w:rsid w:val="18DA672E"/>
    <w:rsid w:val="18FD3358"/>
    <w:rsid w:val="1906512C"/>
    <w:rsid w:val="190A44F3"/>
    <w:rsid w:val="191653D9"/>
    <w:rsid w:val="19431B6D"/>
    <w:rsid w:val="19481E9C"/>
    <w:rsid w:val="19616ABA"/>
    <w:rsid w:val="196216A7"/>
    <w:rsid w:val="19766A09"/>
    <w:rsid w:val="198549D1"/>
    <w:rsid w:val="199454D6"/>
    <w:rsid w:val="199E4403"/>
    <w:rsid w:val="19A12E37"/>
    <w:rsid w:val="19A35684"/>
    <w:rsid w:val="19B173EC"/>
    <w:rsid w:val="19BB08C0"/>
    <w:rsid w:val="19C534ED"/>
    <w:rsid w:val="19CD180A"/>
    <w:rsid w:val="19DD2CB2"/>
    <w:rsid w:val="19F62B74"/>
    <w:rsid w:val="1A127842"/>
    <w:rsid w:val="1A1C66C0"/>
    <w:rsid w:val="1A1D6E85"/>
    <w:rsid w:val="1A220073"/>
    <w:rsid w:val="1A307DAC"/>
    <w:rsid w:val="1A3B145C"/>
    <w:rsid w:val="1A407E0C"/>
    <w:rsid w:val="1A42393B"/>
    <w:rsid w:val="1A4C59BC"/>
    <w:rsid w:val="1A4C6BF6"/>
    <w:rsid w:val="1A524411"/>
    <w:rsid w:val="1A5550F6"/>
    <w:rsid w:val="1A670100"/>
    <w:rsid w:val="1A7570AC"/>
    <w:rsid w:val="1A8245D6"/>
    <w:rsid w:val="1A9952ED"/>
    <w:rsid w:val="1ABA7CDE"/>
    <w:rsid w:val="1AD269A5"/>
    <w:rsid w:val="1AD72F6D"/>
    <w:rsid w:val="1AE25F5A"/>
    <w:rsid w:val="1AEF014E"/>
    <w:rsid w:val="1AFE39A3"/>
    <w:rsid w:val="1B000BBA"/>
    <w:rsid w:val="1B046F80"/>
    <w:rsid w:val="1B166543"/>
    <w:rsid w:val="1B3267B5"/>
    <w:rsid w:val="1B326FF0"/>
    <w:rsid w:val="1B3430F7"/>
    <w:rsid w:val="1B485930"/>
    <w:rsid w:val="1B523D51"/>
    <w:rsid w:val="1B59213E"/>
    <w:rsid w:val="1B6A5A24"/>
    <w:rsid w:val="1B753136"/>
    <w:rsid w:val="1B815128"/>
    <w:rsid w:val="1B825A10"/>
    <w:rsid w:val="1B8B7B95"/>
    <w:rsid w:val="1B8C4D6B"/>
    <w:rsid w:val="1B9E5B74"/>
    <w:rsid w:val="1BAE33B0"/>
    <w:rsid w:val="1BB13F6D"/>
    <w:rsid w:val="1BBC447B"/>
    <w:rsid w:val="1BC10824"/>
    <w:rsid w:val="1BC25DC8"/>
    <w:rsid w:val="1BC4107F"/>
    <w:rsid w:val="1BD23C9F"/>
    <w:rsid w:val="1BD935D1"/>
    <w:rsid w:val="1BF133BC"/>
    <w:rsid w:val="1BF51C89"/>
    <w:rsid w:val="1BF52CF8"/>
    <w:rsid w:val="1BFC2ACA"/>
    <w:rsid w:val="1C183B46"/>
    <w:rsid w:val="1C197B20"/>
    <w:rsid w:val="1C1F5136"/>
    <w:rsid w:val="1C2C2182"/>
    <w:rsid w:val="1C2C7A15"/>
    <w:rsid w:val="1C4526C3"/>
    <w:rsid w:val="1C4E77C9"/>
    <w:rsid w:val="1C4F709D"/>
    <w:rsid w:val="1C574168"/>
    <w:rsid w:val="1C5E7925"/>
    <w:rsid w:val="1C663AE3"/>
    <w:rsid w:val="1C765C9F"/>
    <w:rsid w:val="1C7669CC"/>
    <w:rsid w:val="1C766D20"/>
    <w:rsid w:val="1C7E0123"/>
    <w:rsid w:val="1C864762"/>
    <w:rsid w:val="1C887FC8"/>
    <w:rsid w:val="1C8A55DB"/>
    <w:rsid w:val="1C8C20A0"/>
    <w:rsid w:val="1CA777C8"/>
    <w:rsid w:val="1CAA153D"/>
    <w:rsid w:val="1CB514A9"/>
    <w:rsid w:val="1CC161ED"/>
    <w:rsid w:val="1CC57360"/>
    <w:rsid w:val="1CC61FCF"/>
    <w:rsid w:val="1CCD3268"/>
    <w:rsid w:val="1CE05A16"/>
    <w:rsid w:val="1CF218F5"/>
    <w:rsid w:val="1D0216DB"/>
    <w:rsid w:val="1D081FED"/>
    <w:rsid w:val="1D1E5089"/>
    <w:rsid w:val="1D2A3FA0"/>
    <w:rsid w:val="1D472D06"/>
    <w:rsid w:val="1D4E6A68"/>
    <w:rsid w:val="1D5F5A7E"/>
    <w:rsid w:val="1D5F6196"/>
    <w:rsid w:val="1D6132A5"/>
    <w:rsid w:val="1D63465A"/>
    <w:rsid w:val="1D6A43DB"/>
    <w:rsid w:val="1D8E56D5"/>
    <w:rsid w:val="1D9C4564"/>
    <w:rsid w:val="1DA46927"/>
    <w:rsid w:val="1DC63DF7"/>
    <w:rsid w:val="1DD145C1"/>
    <w:rsid w:val="1DEF48B1"/>
    <w:rsid w:val="1E053DEB"/>
    <w:rsid w:val="1E1C064C"/>
    <w:rsid w:val="1E1C7453"/>
    <w:rsid w:val="1E1E2F7C"/>
    <w:rsid w:val="1E1E766F"/>
    <w:rsid w:val="1E2644A4"/>
    <w:rsid w:val="1E3A3D1A"/>
    <w:rsid w:val="1E3A67DB"/>
    <w:rsid w:val="1E473B8F"/>
    <w:rsid w:val="1E4F7829"/>
    <w:rsid w:val="1E5168F6"/>
    <w:rsid w:val="1E5915BE"/>
    <w:rsid w:val="1E5D3CF4"/>
    <w:rsid w:val="1E635082"/>
    <w:rsid w:val="1E6432D4"/>
    <w:rsid w:val="1E732AF6"/>
    <w:rsid w:val="1E7847F7"/>
    <w:rsid w:val="1E7A43DA"/>
    <w:rsid w:val="1E932132"/>
    <w:rsid w:val="1E9828AC"/>
    <w:rsid w:val="1E9B0CC0"/>
    <w:rsid w:val="1EA35913"/>
    <w:rsid w:val="1EA47B74"/>
    <w:rsid w:val="1EA731C1"/>
    <w:rsid w:val="1EB26E5D"/>
    <w:rsid w:val="1EB277FE"/>
    <w:rsid w:val="1ED15AF8"/>
    <w:rsid w:val="1ED63087"/>
    <w:rsid w:val="1ED85DBC"/>
    <w:rsid w:val="1EDD6FFC"/>
    <w:rsid w:val="1EE6018D"/>
    <w:rsid w:val="1EF67CA4"/>
    <w:rsid w:val="1EFD4150"/>
    <w:rsid w:val="1F046673"/>
    <w:rsid w:val="1F05338C"/>
    <w:rsid w:val="1F1419B3"/>
    <w:rsid w:val="1F246799"/>
    <w:rsid w:val="1F26796B"/>
    <w:rsid w:val="1F2C1918"/>
    <w:rsid w:val="1F3E1885"/>
    <w:rsid w:val="1F550E6F"/>
    <w:rsid w:val="1F5F658A"/>
    <w:rsid w:val="1F606B81"/>
    <w:rsid w:val="1F64759C"/>
    <w:rsid w:val="1F7832BB"/>
    <w:rsid w:val="1F816AB1"/>
    <w:rsid w:val="1F882B80"/>
    <w:rsid w:val="1F9A5A5A"/>
    <w:rsid w:val="1F9F1DE5"/>
    <w:rsid w:val="1FAD0CAB"/>
    <w:rsid w:val="1FBD6E1F"/>
    <w:rsid w:val="1FC2787D"/>
    <w:rsid w:val="1FCE4BA0"/>
    <w:rsid w:val="1FE7539E"/>
    <w:rsid w:val="1FFB37C4"/>
    <w:rsid w:val="1FFB7C68"/>
    <w:rsid w:val="200A38BF"/>
    <w:rsid w:val="200F56D3"/>
    <w:rsid w:val="20105ECA"/>
    <w:rsid w:val="202A5E57"/>
    <w:rsid w:val="202F1927"/>
    <w:rsid w:val="203F2581"/>
    <w:rsid w:val="20450FBD"/>
    <w:rsid w:val="20611216"/>
    <w:rsid w:val="20664974"/>
    <w:rsid w:val="206F66E4"/>
    <w:rsid w:val="20825115"/>
    <w:rsid w:val="20883E97"/>
    <w:rsid w:val="20895274"/>
    <w:rsid w:val="20963CB8"/>
    <w:rsid w:val="20A2041A"/>
    <w:rsid w:val="20A7394C"/>
    <w:rsid w:val="20AA62AC"/>
    <w:rsid w:val="20B07FB6"/>
    <w:rsid w:val="20B63B8F"/>
    <w:rsid w:val="20D02EA3"/>
    <w:rsid w:val="20D45886"/>
    <w:rsid w:val="20E5555B"/>
    <w:rsid w:val="20E97AC1"/>
    <w:rsid w:val="20EC77BF"/>
    <w:rsid w:val="21063FC7"/>
    <w:rsid w:val="2113307A"/>
    <w:rsid w:val="21360DC6"/>
    <w:rsid w:val="213B74B1"/>
    <w:rsid w:val="213D4223"/>
    <w:rsid w:val="215A2310"/>
    <w:rsid w:val="216658D2"/>
    <w:rsid w:val="216830DB"/>
    <w:rsid w:val="216D248C"/>
    <w:rsid w:val="21897DBB"/>
    <w:rsid w:val="21976550"/>
    <w:rsid w:val="219C3A6F"/>
    <w:rsid w:val="21A25DD1"/>
    <w:rsid w:val="21B2144D"/>
    <w:rsid w:val="21C22E7F"/>
    <w:rsid w:val="21C2776E"/>
    <w:rsid w:val="21CB5418"/>
    <w:rsid w:val="21D45DE6"/>
    <w:rsid w:val="21DE318A"/>
    <w:rsid w:val="21EF5B80"/>
    <w:rsid w:val="21F82280"/>
    <w:rsid w:val="21F93BC8"/>
    <w:rsid w:val="22007FFE"/>
    <w:rsid w:val="22010FDF"/>
    <w:rsid w:val="220A4192"/>
    <w:rsid w:val="22274D44"/>
    <w:rsid w:val="223B60CC"/>
    <w:rsid w:val="22576990"/>
    <w:rsid w:val="225A5A6F"/>
    <w:rsid w:val="2266602C"/>
    <w:rsid w:val="226F4570"/>
    <w:rsid w:val="22757749"/>
    <w:rsid w:val="22794E74"/>
    <w:rsid w:val="2294245C"/>
    <w:rsid w:val="229C4EAB"/>
    <w:rsid w:val="22AE0C5F"/>
    <w:rsid w:val="22B23823"/>
    <w:rsid w:val="22B27B4D"/>
    <w:rsid w:val="22B3038A"/>
    <w:rsid w:val="22B65A6E"/>
    <w:rsid w:val="22C51B6E"/>
    <w:rsid w:val="22CF718A"/>
    <w:rsid w:val="22DA23E2"/>
    <w:rsid w:val="22E92CDD"/>
    <w:rsid w:val="22F610D4"/>
    <w:rsid w:val="23035EA9"/>
    <w:rsid w:val="2309444A"/>
    <w:rsid w:val="23166730"/>
    <w:rsid w:val="23203542"/>
    <w:rsid w:val="232E02C7"/>
    <w:rsid w:val="234423F0"/>
    <w:rsid w:val="23671FD6"/>
    <w:rsid w:val="236D2C2B"/>
    <w:rsid w:val="236D4403"/>
    <w:rsid w:val="23737D01"/>
    <w:rsid w:val="237C1F25"/>
    <w:rsid w:val="23827156"/>
    <w:rsid w:val="238D46E4"/>
    <w:rsid w:val="238F1D10"/>
    <w:rsid w:val="23923F53"/>
    <w:rsid w:val="23953573"/>
    <w:rsid w:val="23970AF1"/>
    <w:rsid w:val="23C14D25"/>
    <w:rsid w:val="23C44F0A"/>
    <w:rsid w:val="23C46D54"/>
    <w:rsid w:val="23C47A74"/>
    <w:rsid w:val="23C73B1B"/>
    <w:rsid w:val="23E9569E"/>
    <w:rsid w:val="23F130F4"/>
    <w:rsid w:val="23F15571"/>
    <w:rsid w:val="23F8626D"/>
    <w:rsid w:val="24014120"/>
    <w:rsid w:val="240F73B9"/>
    <w:rsid w:val="24134F0B"/>
    <w:rsid w:val="241A7F42"/>
    <w:rsid w:val="24222AD5"/>
    <w:rsid w:val="2424436B"/>
    <w:rsid w:val="243C0204"/>
    <w:rsid w:val="24480FA2"/>
    <w:rsid w:val="24486D5C"/>
    <w:rsid w:val="24586973"/>
    <w:rsid w:val="245D1BD9"/>
    <w:rsid w:val="246D6C5B"/>
    <w:rsid w:val="247A6A25"/>
    <w:rsid w:val="24804B18"/>
    <w:rsid w:val="24875A24"/>
    <w:rsid w:val="248975AD"/>
    <w:rsid w:val="248C70E1"/>
    <w:rsid w:val="24A878BD"/>
    <w:rsid w:val="24B1044B"/>
    <w:rsid w:val="24B12ABC"/>
    <w:rsid w:val="24BA341D"/>
    <w:rsid w:val="24D6038A"/>
    <w:rsid w:val="24E54A43"/>
    <w:rsid w:val="24ED7441"/>
    <w:rsid w:val="24EE7D9B"/>
    <w:rsid w:val="24FE78B3"/>
    <w:rsid w:val="250A27B1"/>
    <w:rsid w:val="252830C1"/>
    <w:rsid w:val="252D53FE"/>
    <w:rsid w:val="25483FFD"/>
    <w:rsid w:val="254F125D"/>
    <w:rsid w:val="255243EF"/>
    <w:rsid w:val="25545725"/>
    <w:rsid w:val="255A50AD"/>
    <w:rsid w:val="255F0C6E"/>
    <w:rsid w:val="256E1EA7"/>
    <w:rsid w:val="25796182"/>
    <w:rsid w:val="257F27A2"/>
    <w:rsid w:val="258C4EBE"/>
    <w:rsid w:val="2592441B"/>
    <w:rsid w:val="25B53114"/>
    <w:rsid w:val="25B81091"/>
    <w:rsid w:val="25BA1039"/>
    <w:rsid w:val="25C15374"/>
    <w:rsid w:val="25EC2D81"/>
    <w:rsid w:val="25EE4EC1"/>
    <w:rsid w:val="25F17E48"/>
    <w:rsid w:val="26032D97"/>
    <w:rsid w:val="260D3D3C"/>
    <w:rsid w:val="261A696E"/>
    <w:rsid w:val="26213859"/>
    <w:rsid w:val="26357304"/>
    <w:rsid w:val="263A6EE2"/>
    <w:rsid w:val="263B7010"/>
    <w:rsid w:val="264528BD"/>
    <w:rsid w:val="26485621"/>
    <w:rsid w:val="265C0D35"/>
    <w:rsid w:val="265E4AAD"/>
    <w:rsid w:val="265F14A3"/>
    <w:rsid w:val="266417B3"/>
    <w:rsid w:val="266D6C98"/>
    <w:rsid w:val="26721FBD"/>
    <w:rsid w:val="26A245BE"/>
    <w:rsid w:val="26A56238"/>
    <w:rsid w:val="26A94D1C"/>
    <w:rsid w:val="26AA58BF"/>
    <w:rsid w:val="26B56800"/>
    <w:rsid w:val="26BE6B2A"/>
    <w:rsid w:val="26CC6975"/>
    <w:rsid w:val="26DB5FC7"/>
    <w:rsid w:val="26EE19AF"/>
    <w:rsid w:val="26EE562D"/>
    <w:rsid w:val="26F80972"/>
    <w:rsid w:val="26FF2C9C"/>
    <w:rsid w:val="271E159B"/>
    <w:rsid w:val="272343DC"/>
    <w:rsid w:val="272560F0"/>
    <w:rsid w:val="27335FDD"/>
    <w:rsid w:val="27340FD7"/>
    <w:rsid w:val="27383550"/>
    <w:rsid w:val="27661C4E"/>
    <w:rsid w:val="27695881"/>
    <w:rsid w:val="277F2F2D"/>
    <w:rsid w:val="27821EC9"/>
    <w:rsid w:val="2785219A"/>
    <w:rsid w:val="279B2689"/>
    <w:rsid w:val="27AC1848"/>
    <w:rsid w:val="27B0569E"/>
    <w:rsid w:val="27B77C28"/>
    <w:rsid w:val="27C3506D"/>
    <w:rsid w:val="27D15DD1"/>
    <w:rsid w:val="27DB76F9"/>
    <w:rsid w:val="27E04456"/>
    <w:rsid w:val="27E47B16"/>
    <w:rsid w:val="27EA0853"/>
    <w:rsid w:val="280107B4"/>
    <w:rsid w:val="280D5100"/>
    <w:rsid w:val="280F3966"/>
    <w:rsid w:val="280F4E65"/>
    <w:rsid w:val="28120712"/>
    <w:rsid w:val="2816159A"/>
    <w:rsid w:val="28200659"/>
    <w:rsid w:val="282E405C"/>
    <w:rsid w:val="28341F69"/>
    <w:rsid w:val="283A6E54"/>
    <w:rsid w:val="283D58BA"/>
    <w:rsid w:val="283E5C4B"/>
    <w:rsid w:val="283F0080"/>
    <w:rsid w:val="284657F9"/>
    <w:rsid w:val="284967A8"/>
    <w:rsid w:val="287556F2"/>
    <w:rsid w:val="288959FF"/>
    <w:rsid w:val="28924926"/>
    <w:rsid w:val="28936446"/>
    <w:rsid w:val="28944720"/>
    <w:rsid w:val="289742A6"/>
    <w:rsid w:val="28984110"/>
    <w:rsid w:val="28A76295"/>
    <w:rsid w:val="28B704A4"/>
    <w:rsid w:val="28D155C8"/>
    <w:rsid w:val="28D453DC"/>
    <w:rsid w:val="28DE1ED5"/>
    <w:rsid w:val="28F72F97"/>
    <w:rsid w:val="290A227E"/>
    <w:rsid w:val="290C37E4"/>
    <w:rsid w:val="2916341D"/>
    <w:rsid w:val="29206EB8"/>
    <w:rsid w:val="29223BD4"/>
    <w:rsid w:val="29230EE1"/>
    <w:rsid w:val="292E4C0A"/>
    <w:rsid w:val="29387837"/>
    <w:rsid w:val="296044D3"/>
    <w:rsid w:val="296E1FD7"/>
    <w:rsid w:val="297C2A05"/>
    <w:rsid w:val="297C2B4D"/>
    <w:rsid w:val="298E19E8"/>
    <w:rsid w:val="29A6389C"/>
    <w:rsid w:val="29C54E43"/>
    <w:rsid w:val="29C7422F"/>
    <w:rsid w:val="29CA4B8D"/>
    <w:rsid w:val="29D273F6"/>
    <w:rsid w:val="29DC2793"/>
    <w:rsid w:val="29E325E0"/>
    <w:rsid w:val="29FB7994"/>
    <w:rsid w:val="2A0911D4"/>
    <w:rsid w:val="2A0C5D48"/>
    <w:rsid w:val="2A0F0A83"/>
    <w:rsid w:val="2A110D2B"/>
    <w:rsid w:val="2A111BBA"/>
    <w:rsid w:val="2A1404BC"/>
    <w:rsid w:val="2A156FFA"/>
    <w:rsid w:val="2A1927CF"/>
    <w:rsid w:val="2A452503"/>
    <w:rsid w:val="2A461F23"/>
    <w:rsid w:val="2A490384"/>
    <w:rsid w:val="2A4C4BE5"/>
    <w:rsid w:val="2A4E643C"/>
    <w:rsid w:val="2A506E02"/>
    <w:rsid w:val="2A5C7555"/>
    <w:rsid w:val="2A63069C"/>
    <w:rsid w:val="2A696BE2"/>
    <w:rsid w:val="2A73719B"/>
    <w:rsid w:val="2A742553"/>
    <w:rsid w:val="2A872000"/>
    <w:rsid w:val="2A9F6E40"/>
    <w:rsid w:val="2AA03D05"/>
    <w:rsid w:val="2AAC6200"/>
    <w:rsid w:val="2AAD6003"/>
    <w:rsid w:val="2AB50F6F"/>
    <w:rsid w:val="2ABB0A6C"/>
    <w:rsid w:val="2AC9482C"/>
    <w:rsid w:val="2AD217A2"/>
    <w:rsid w:val="2AE055CA"/>
    <w:rsid w:val="2AE2772E"/>
    <w:rsid w:val="2AEA7171"/>
    <w:rsid w:val="2B035C23"/>
    <w:rsid w:val="2B1240B8"/>
    <w:rsid w:val="2B165705"/>
    <w:rsid w:val="2B3316C3"/>
    <w:rsid w:val="2B397896"/>
    <w:rsid w:val="2B3B467B"/>
    <w:rsid w:val="2B604E23"/>
    <w:rsid w:val="2B6A05B5"/>
    <w:rsid w:val="2B703EF5"/>
    <w:rsid w:val="2B8C3E6A"/>
    <w:rsid w:val="2B944ACD"/>
    <w:rsid w:val="2B981596"/>
    <w:rsid w:val="2B9944E0"/>
    <w:rsid w:val="2B9E0089"/>
    <w:rsid w:val="2BA57E24"/>
    <w:rsid w:val="2BA85397"/>
    <w:rsid w:val="2BA936A8"/>
    <w:rsid w:val="2BBB4072"/>
    <w:rsid w:val="2BC37404"/>
    <w:rsid w:val="2BCC6F8A"/>
    <w:rsid w:val="2BCE6522"/>
    <w:rsid w:val="2BDB21E0"/>
    <w:rsid w:val="2BDF3F0E"/>
    <w:rsid w:val="2BFE2949"/>
    <w:rsid w:val="2C032C2F"/>
    <w:rsid w:val="2C0B3B29"/>
    <w:rsid w:val="2C113CE1"/>
    <w:rsid w:val="2C23290B"/>
    <w:rsid w:val="2C2D1D71"/>
    <w:rsid w:val="2C2F1949"/>
    <w:rsid w:val="2C31056E"/>
    <w:rsid w:val="2C315A5A"/>
    <w:rsid w:val="2C3165D7"/>
    <w:rsid w:val="2C3F5C19"/>
    <w:rsid w:val="2C6C7279"/>
    <w:rsid w:val="2C7B2222"/>
    <w:rsid w:val="2C801934"/>
    <w:rsid w:val="2C813804"/>
    <w:rsid w:val="2C8C35AA"/>
    <w:rsid w:val="2C907B46"/>
    <w:rsid w:val="2C923C0C"/>
    <w:rsid w:val="2C934D84"/>
    <w:rsid w:val="2CA07176"/>
    <w:rsid w:val="2CA84CAA"/>
    <w:rsid w:val="2CB561BD"/>
    <w:rsid w:val="2CC413E2"/>
    <w:rsid w:val="2CC53720"/>
    <w:rsid w:val="2CE46656"/>
    <w:rsid w:val="2D031F0A"/>
    <w:rsid w:val="2D045C82"/>
    <w:rsid w:val="2D1C2904"/>
    <w:rsid w:val="2D214A86"/>
    <w:rsid w:val="2D470B5D"/>
    <w:rsid w:val="2D573FF2"/>
    <w:rsid w:val="2D5C59D6"/>
    <w:rsid w:val="2D690450"/>
    <w:rsid w:val="2D6D5C98"/>
    <w:rsid w:val="2D7579BD"/>
    <w:rsid w:val="2D7626DC"/>
    <w:rsid w:val="2D7638ED"/>
    <w:rsid w:val="2D842796"/>
    <w:rsid w:val="2D921791"/>
    <w:rsid w:val="2D981A9F"/>
    <w:rsid w:val="2D9E56F5"/>
    <w:rsid w:val="2D9E60D7"/>
    <w:rsid w:val="2DA10DD0"/>
    <w:rsid w:val="2DA23F11"/>
    <w:rsid w:val="2DCA0C7A"/>
    <w:rsid w:val="2DD02CED"/>
    <w:rsid w:val="2DD90EBD"/>
    <w:rsid w:val="2DD9710F"/>
    <w:rsid w:val="2DEB19C0"/>
    <w:rsid w:val="2E073308"/>
    <w:rsid w:val="2E0903C4"/>
    <w:rsid w:val="2E144AF5"/>
    <w:rsid w:val="2E163DF8"/>
    <w:rsid w:val="2E3B2871"/>
    <w:rsid w:val="2E3F3416"/>
    <w:rsid w:val="2E482E0D"/>
    <w:rsid w:val="2E491DE7"/>
    <w:rsid w:val="2E59496A"/>
    <w:rsid w:val="2E667F96"/>
    <w:rsid w:val="2E6F11C8"/>
    <w:rsid w:val="2E716C3A"/>
    <w:rsid w:val="2E813A2E"/>
    <w:rsid w:val="2E8226AB"/>
    <w:rsid w:val="2E936FD0"/>
    <w:rsid w:val="2E9A4067"/>
    <w:rsid w:val="2EA97C9B"/>
    <w:rsid w:val="2EC45323"/>
    <w:rsid w:val="2ED66A29"/>
    <w:rsid w:val="2EDC6EB7"/>
    <w:rsid w:val="2EF34C4B"/>
    <w:rsid w:val="2EF37171"/>
    <w:rsid w:val="2F1048FF"/>
    <w:rsid w:val="2F444C9A"/>
    <w:rsid w:val="2F4B1213"/>
    <w:rsid w:val="2F4F2BF6"/>
    <w:rsid w:val="2F570EAC"/>
    <w:rsid w:val="2F5C3B54"/>
    <w:rsid w:val="2F6056DE"/>
    <w:rsid w:val="2F652FB2"/>
    <w:rsid w:val="2F677BD1"/>
    <w:rsid w:val="2F6916AA"/>
    <w:rsid w:val="2F6A6F3F"/>
    <w:rsid w:val="2F832C79"/>
    <w:rsid w:val="2FC02334"/>
    <w:rsid w:val="2FD91648"/>
    <w:rsid w:val="2FE20ECB"/>
    <w:rsid w:val="2FEF2D58"/>
    <w:rsid w:val="2FF210E0"/>
    <w:rsid w:val="2FF25082"/>
    <w:rsid w:val="30103067"/>
    <w:rsid w:val="3016316E"/>
    <w:rsid w:val="301914A6"/>
    <w:rsid w:val="303B1D8C"/>
    <w:rsid w:val="30556B50"/>
    <w:rsid w:val="30564A47"/>
    <w:rsid w:val="30580BC9"/>
    <w:rsid w:val="306236DA"/>
    <w:rsid w:val="30662EDC"/>
    <w:rsid w:val="306E2476"/>
    <w:rsid w:val="307775C1"/>
    <w:rsid w:val="309E6346"/>
    <w:rsid w:val="30A546C9"/>
    <w:rsid w:val="30A9101A"/>
    <w:rsid w:val="30B978AD"/>
    <w:rsid w:val="30C95B7C"/>
    <w:rsid w:val="30CD16E2"/>
    <w:rsid w:val="30D83E02"/>
    <w:rsid w:val="30DF62C7"/>
    <w:rsid w:val="30EF1355"/>
    <w:rsid w:val="30F77C75"/>
    <w:rsid w:val="31083F93"/>
    <w:rsid w:val="31184CE2"/>
    <w:rsid w:val="31197F4E"/>
    <w:rsid w:val="311E2ED7"/>
    <w:rsid w:val="312A552A"/>
    <w:rsid w:val="31324374"/>
    <w:rsid w:val="313558AC"/>
    <w:rsid w:val="313855F1"/>
    <w:rsid w:val="31490EED"/>
    <w:rsid w:val="315C449C"/>
    <w:rsid w:val="31602870"/>
    <w:rsid w:val="31727625"/>
    <w:rsid w:val="31794357"/>
    <w:rsid w:val="318416EF"/>
    <w:rsid w:val="31850E90"/>
    <w:rsid w:val="31905D36"/>
    <w:rsid w:val="31966E80"/>
    <w:rsid w:val="3197127B"/>
    <w:rsid w:val="319C0B7F"/>
    <w:rsid w:val="31B82709"/>
    <w:rsid w:val="31BD4A2C"/>
    <w:rsid w:val="31C37EBA"/>
    <w:rsid w:val="31D245A1"/>
    <w:rsid w:val="31D2535D"/>
    <w:rsid w:val="31F168A6"/>
    <w:rsid w:val="31FB713A"/>
    <w:rsid w:val="31FC6025"/>
    <w:rsid w:val="31FD48C6"/>
    <w:rsid w:val="32056A82"/>
    <w:rsid w:val="320F75A3"/>
    <w:rsid w:val="321E639F"/>
    <w:rsid w:val="32242987"/>
    <w:rsid w:val="323F30EA"/>
    <w:rsid w:val="323F6356"/>
    <w:rsid w:val="32400B34"/>
    <w:rsid w:val="324803BF"/>
    <w:rsid w:val="3277593D"/>
    <w:rsid w:val="327C2D11"/>
    <w:rsid w:val="329217C9"/>
    <w:rsid w:val="32953A89"/>
    <w:rsid w:val="329E6876"/>
    <w:rsid w:val="32A852AA"/>
    <w:rsid w:val="32B1065A"/>
    <w:rsid w:val="32B16170"/>
    <w:rsid w:val="32B211FA"/>
    <w:rsid w:val="32BA306B"/>
    <w:rsid w:val="32BA5629"/>
    <w:rsid w:val="32DA7A87"/>
    <w:rsid w:val="32E479AB"/>
    <w:rsid w:val="331E6D79"/>
    <w:rsid w:val="332130EA"/>
    <w:rsid w:val="33235DD3"/>
    <w:rsid w:val="332D6825"/>
    <w:rsid w:val="33323549"/>
    <w:rsid w:val="333C7D1C"/>
    <w:rsid w:val="334100E2"/>
    <w:rsid w:val="336057C5"/>
    <w:rsid w:val="336A1A14"/>
    <w:rsid w:val="336F4286"/>
    <w:rsid w:val="338213DC"/>
    <w:rsid w:val="33923D3D"/>
    <w:rsid w:val="3396053C"/>
    <w:rsid w:val="339731A0"/>
    <w:rsid w:val="339C6C14"/>
    <w:rsid w:val="33AC63B4"/>
    <w:rsid w:val="33B26FA6"/>
    <w:rsid w:val="33B479F7"/>
    <w:rsid w:val="33B645E2"/>
    <w:rsid w:val="33D53B72"/>
    <w:rsid w:val="33D934D4"/>
    <w:rsid w:val="33E472C3"/>
    <w:rsid w:val="33E52FA1"/>
    <w:rsid w:val="33EE2197"/>
    <w:rsid w:val="33F013E9"/>
    <w:rsid w:val="33F660E8"/>
    <w:rsid w:val="33F8502F"/>
    <w:rsid w:val="33FE2F6A"/>
    <w:rsid w:val="34052A0C"/>
    <w:rsid w:val="34117416"/>
    <w:rsid w:val="34197824"/>
    <w:rsid w:val="34216F41"/>
    <w:rsid w:val="342713F4"/>
    <w:rsid w:val="342A2472"/>
    <w:rsid w:val="342E7216"/>
    <w:rsid w:val="34453574"/>
    <w:rsid w:val="34563CE3"/>
    <w:rsid w:val="34691A70"/>
    <w:rsid w:val="348F1BDE"/>
    <w:rsid w:val="34974931"/>
    <w:rsid w:val="349E333C"/>
    <w:rsid w:val="34A118FF"/>
    <w:rsid w:val="34B8182C"/>
    <w:rsid w:val="34D77967"/>
    <w:rsid w:val="34D81ECE"/>
    <w:rsid w:val="34F97C6A"/>
    <w:rsid w:val="350967BD"/>
    <w:rsid w:val="350B691C"/>
    <w:rsid w:val="3520443C"/>
    <w:rsid w:val="35463620"/>
    <w:rsid w:val="35491BD9"/>
    <w:rsid w:val="35504103"/>
    <w:rsid w:val="35614940"/>
    <w:rsid w:val="35814314"/>
    <w:rsid w:val="35831767"/>
    <w:rsid w:val="358374A7"/>
    <w:rsid w:val="359F5039"/>
    <w:rsid w:val="359F6611"/>
    <w:rsid w:val="35A22AB8"/>
    <w:rsid w:val="35AB7641"/>
    <w:rsid w:val="35AE0E2F"/>
    <w:rsid w:val="35AE5DEE"/>
    <w:rsid w:val="35B355F7"/>
    <w:rsid w:val="35E949AD"/>
    <w:rsid w:val="35F80CE6"/>
    <w:rsid w:val="36064819"/>
    <w:rsid w:val="36074A7F"/>
    <w:rsid w:val="360945A4"/>
    <w:rsid w:val="36107446"/>
    <w:rsid w:val="361D5769"/>
    <w:rsid w:val="362F3A4D"/>
    <w:rsid w:val="36361FEC"/>
    <w:rsid w:val="36542DBD"/>
    <w:rsid w:val="366074F2"/>
    <w:rsid w:val="3667350A"/>
    <w:rsid w:val="366A4DA8"/>
    <w:rsid w:val="366D0D29"/>
    <w:rsid w:val="367023D8"/>
    <w:rsid w:val="367B3862"/>
    <w:rsid w:val="36807682"/>
    <w:rsid w:val="36923549"/>
    <w:rsid w:val="36B0782A"/>
    <w:rsid w:val="36B75FBF"/>
    <w:rsid w:val="36B77CE8"/>
    <w:rsid w:val="36BE7876"/>
    <w:rsid w:val="36C96C50"/>
    <w:rsid w:val="36D52B89"/>
    <w:rsid w:val="36E030CE"/>
    <w:rsid w:val="36E94DEA"/>
    <w:rsid w:val="36EC570D"/>
    <w:rsid w:val="36F54FB9"/>
    <w:rsid w:val="36FB4891"/>
    <w:rsid w:val="370D15D3"/>
    <w:rsid w:val="37162CA1"/>
    <w:rsid w:val="37166CDE"/>
    <w:rsid w:val="37177E1B"/>
    <w:rsid w:val="371F762E"/>
    <w:rsid w:val="37227D0E"/>
    <w:rsid w:val="3723490B"/>
    <w:rsid w:val="37265F77"/>
    <w:rsid w:val="37346E22"/>
    <w:rsid w:val="3737640B"/>
    <w:rsid w:val="37482E8A"/>
    <w:rsid w:val="374A3AED"/>
    <w:rsid w:val="374B4BD9"/>
    <w:rsid w:val="37615898"/>
    <w:rsid w:val="37676698"/>
    <w:rsid w:val="3774006A"/>
    <w:rsid w:val="3774310E"/>
    <w:rsid w:val="377B0137"/>
    <w:rsid w:val="378749FA"/>
    <w:rsid w:val="378E0F6A"/>
    <w:rsid w:val="37916E18"/>
    <w:rsid w:val="37923DC9"/>
    <w:rsid w:val="37961A4D"/>
    <w:rsid w:val="37AF5632"/>
    <w:rsid w:val="37B947E7"/>
    <w:rsid w:val="37BE6B2A"/>
    <w:rsid w:val="37D800AA"/>
    <w:rsid w:val="37EA6EBE"/>
    <w:rsid w:val="37F36451"/>
    <w:rsid w:val="37F9032E"/>
    <w:rsid w:val="38042FD6"/>
    <w:rsid w:val="380D1E8F"/>
    <w:rsid w:val="381834D0"/>
    <w:rsid w:val="38206810"/>
    <w:rsid w:val="382A2218"/>
    <w:rsid w:val="382B0567"/>
    <w:rsid w:val="383E6B55"/>
    <w:rsid w:val="383F2078"/>
    <w:rsid w:val="38571D22"/>
    <w:rsid w:val="385B18FF"/>
    <w:rsid w:val="385F45BE"/>
    <w:rsid w:val="386878A2"/>
    <w:rsid w:val="387A7301"/>
    <w:rsid w:val="38912AC0"/>
    <w:rsid w:val="3894603B"/>
    <w:rsid w:val="389C54E6"/>
    <w:rsid w:val="38A43AD0"/>
    <w:rsid w:val="38A91071"/>
    <w:rsid w:val="38C868F6"/>
    <w:rsid w:val="38CF6F69"/>
    <w:rsid w:val="38D330D8"/>
    <w:rsid w:val="38DA751E"/>
    <w:rsid w:val="38E54BBA"/>
    <w:rsid w:val="38E861A2"/>
    <w:rsid w:val="38F12CD3"/>
    <w:rsid w:val="38F47066"/>
    <w:rsid w:val="38F94775"/>
    <w:rsid w:val="39020A10"/>
    <w:rsid w:val="390A6409"/>
    <w:rsid w:val="390C55B1"/>
    <w:rsid w:val="39112E4E"/>
    <w:rsid w:val="391A6EAA"/>
    <w:rsid w:val="39292CF8"/>
    <w:rsid w:val="392971ED"/>
    <w:rsid w:val="392C6831"/>
    <w:rsid w:val="392D6269"/>
    <w:rsid w:val="39316051"/>
    <w:rsid w:val="394332ED"/>
    <w:rsid w:val="39482A81"/>
    <w:rsid w:val="395137E4"/>
    <w:rsid w:val="395960C9"/>
    <w:rsid w:val="396446BF"/>
    <w:rsid w:val="396B44C6"/>
    <w:rsid w:val="398A32F4"/>
    <w:rsid w:val="398C3287"/>
    <w:rsid w:val="399436D2"/>
    <w:rsid w:val="399C4100"/>
    <w:rsid w:val="39A7241F"/>
    <w:rsid w:val="39B75184"/>
    <w:rsid w:val="39BD4334"/>
    <w:rsid w:val="39C24EFB"/>
    <w:rsid w:val="39C3033A"/>
    <w:rsid w:val="39D30EB6"/>
    <w:rsid w:val="39DB4EEB"/>
    <w:rsid w:val="39DE2DAD"/>
    <w:rsid w:val="39E61106"/>
    <w:rsid w:val="39F02433"/>
    <w:rsid w:val="39F350B4"/>
    <w:rsid w:val="39FC6C85"/>
    <w:rsid w:val="3A033549"/>
    <w:rsid w:val="3A121975"/>
    <w:rsid w:val="3A253B5C"/>
    <w:rsid w:val="3A2F2EE2"/>
    <w:rsid w:val="3A2F6E47"/>
    <w:rsid w:val="3A323E2F"/>
    <w:rsid w:val="3A340B0B"/>
    <w:rsid w:val="3A3A52A7"/>
    <w:rsid w:val="3A564669"/>
    <w:rsid w:val="3A565C15"/>
    <w:rsid w:val="3A655FB2"/>
    <w:rsid w:val="3A6A767D"/>
    <w:rsid w:val="3A792D38"/>
    <w:rsid w:val="3A9832FF"/>
    <w:rsid w:val="3AAF7B70"/>
    <w:rsid w:val="3AB42A96"/>
    <w:rsid w:val="3ABE0A76"/>
    <w:rsid w:val="3AC86100"/>
    <w:rsid w:val="3AE10AFA"/>
    <w:rsid w:val="3AE3204D"/>
    <w:rsid w:val="3AF85078"/>
    <w:rsid w:val="3B014A93"/>
    <w:rsid w:val="3B2A0FAA"/>
    <w:rsid w:val="3B320E8D"/>
    <w:rsid w:val="3B3616FD"/>
    <w:rsid w:val="3B3763D1"/>
    <w:rsid w:val="3B401F03"/>
    <w:rsid w:val="3B491DD3"/>
    <w:rsid w:val="3B582E1E"/>
    <w:rsid w:val="3B5B576D"/>
    <w:rsid w:val="3B5D58D4"/>
    <w:rsid w:val="3B6816D8"/>
    <w:rsid w:val="3B697CF5"/>
    <w:rsid w:val="3B783AC3"/>
    <w:rsid w:val="3B7848F3"/>
    <w:rsid w:val="3B8308D2"/>
    <w:rsid w:val="3B853517"/>
    <w:rsid w:val="3B892DA3"/>
    <w:rsid w:val="3B8E31E3"/>
    <w:rsid w:val="3B935CDD"/>
    <w:rsid w:val="3B971BE6"/>
    <w:rsid w:val="3B9755D7"/>
    <w:rsid w:val="3BA23004"/>
    <w:rsid w:val="3BA47BA1"/>
    <w:rsid w:val="3BB32D4D"/>
    <w:rsid w:val="3BD313B2"/>
    <w:rsid w:val="3BDD4151"/>
    <w:rsid w:val="3BDF3B42"/>
    <w:rsid w:val="3C0E030A"/>
    <w:rsid w:val="3C16040A"/>
    <w:rsid w:val="3C2F1D1B"/>
    <w:rsid w:val="3C357C06"/>
    <w:rsid w:val="3C763519"/>
    <w:rsid w:val="3C8041A7"/>
    <w:rsid w:val="3C9031B9"/>
    <w:rsid w:val="3CAB099C"/>
    <w:rsid w:val="3CAF17E7"/>
    <w:rsid w:val="3CB23BBC"/>
    <w:rsid w:val="3CB52AF5"/>
    <w:rsid w:val="3CC01BC6"/>
    <w:rsid w:val="3CDA245A"/>
    <w:rsid w:val="3CEE0A37"/>
    <w:rsid w:val="3CF1603F"/>
    <w:rsid w:val="3CF950D8"/>
    <w:rsid w:val="3D0B619B"/>
    <w:rsid w:val="3D0C6BB9"/>
    <w:rsid w:val="3D164CBE"/>
    <w:rsid w:val="3D1D0DC6"/>
    <w:rsid w:val="3D295850"/>
    <w:rsid w:val="3D332398"/>
    <w:rsid w:val="3D343A76"/>
    <w:rsid w:val="3D3703C7"/>
    <w:rsid w:val="3D371198"/>
    <w:rsid w:val="3D37175C"/>
    <w:rsid w:val="3D3C05D3"/>
    <w:rsid w:val="3D483969"/>
    <w:rsid w:val="3D4E66AD"/>
    <w:rsid w:val="3D5E72E1"/>
    <w:rsid w:val="3D65451B"/>
    <w:rsid w:val="3D6562C9"/>
    <w:rsid w:val="3D6E3062"/>
    <w:rsid w:val="3D7E5251"/>
    <w:rsid w:val="3D7F21CE"/>
    <w:rsid w:val="3D845004"/>
    <w:rsid w:val="3D8517BA"/>
    <w:rsid w:val="3D883510"/>
    <w:rsid w:val="3D8C3369"/>
    <w:rsid w:val="3D950CBD"/>
    <w:rsid w:val="3D980813"/>
    <w:rsid w:val="3D9F76BF"/>
    <w:rsid w:val="3DAA0180"/>
    <w:rsid w:val="3DB23AF4"/>
    <w:rsid w:val="3DD340EC"/>
    <w:rsid w:val="3DE50E6C"/>
    <w:rsid w:val="3DE73182"/>
    <w:rsid w:val="3DF0662A"/>
    <w:rsid w:val="3DFC5379"/>
    <w:rsid w:val="3E0E5BB0"/>
    <w:rsid w:val="3E187D3B"/>
    <w:rsid w:val="3E1C3B38"/>
    <w:rsid w:val="3E2148E6"/>
    <w:rsid w:val="3E3A750F"/>
    <w:rsid w:val="3E3B7293"/>
    <w:rsid w:val="3E491824"/>
    <w:rsid w:val="3E4C4F04"/>
    <w:rsid w:val="3E615292"/>
    <w:rsid w:val="3E6A003B"/>
    <w:rsid w:val="3E780225"/>
    <w:rsid w:val="3E840A3D"/>
    <w:rsid w:val="3E8D5AD7"/>
    <w:rsid w:val="3E923FE9"/>
    <w:rsid w:val="3EAA270B"/>
    <w:rsid w:val="3EB05EF1"/>
    <w:rsid w:val="3EC55271"/>
    <w:rsid w:val="3ECD05CA"/>
    <w:rsid w:val="3EE55913"/>
    <w:rsid w:val="3EED6196"/>
    <w:rsid w:val="3EF75647"/>
    <w:rsid w:val="3EFB6EE5"/>
    <w:rsid w:val="3EFE6A8B"/>
    <w:rsid w:val="3F10435E"/>
    <w:rsid w:val="3F29225B"/>
    <w:rsid w:val="3F3372C6"/>
    <w:rsid w:val="3F3D7BE8"/>
    <w:rsid w:val="3F43263A"/>
    <w:rsid w:val="3F4F6143"/>
    <w:rsid w:val="3F5209D1"/>
    <w:rsid w:val="3F660E74"/>
    <w:rsid w:val="3F71488F"/>
    <w:rsid w:val="3F86087E"/>
    <w:rsid w:val="3FA07A8C"/>
    <w:rsid w:val="3FB329A2"/>
    <w:rsid w:val="3FE673A7"/>
    <w:rsid w:val="3FFC248D"/>
    <w:rsid w:val="40017E70"/>
    <w:rsid w:val="400A2F55"/>
    <w:rsid w:val="40175FA1"/>
    <w:rsid w:val="40307C5E"/>
    <w:rsid w:val="405465FD"/>
    <w:rsid w:val="40647F06"/>
    <w:rsid w:val="40657C6B"/>
    <w:rsid w:val="4070745F"/>
    <w:rsid w:val="40713C8B"/>
    <w:rsid w:val="4079618D"/>
    <w:rsid w:val="407A6407"/>
    <w:rsid w:val="40897515"/>
    <w:rsid w:val="408A147C"/>
    <w:rsid w:val="409940E6"/>
    <w:rsid w:val="40A823FF"/>
    <w:rsid w:val="40AE0330"/>
    <w:rsid w:val="40B732E0"/>
    <w:rsid w:val="40BC6B48"/>
    <w:rsid w:val="40DC2D46"/>
    <w:rsid w:val="40DD6579"/>
    <w:rsid w:val="40E63BC5"/>
    <w:rsid w:val="410A5D60"/>
    <w:rsid w:val="411F6AF6"/>
    <w:rsid w:val="412169AB"/>
    <w:rsid w:val="413B1439"/>
    <w:rsid w:val="415131CB"/>
    <w:rsid w:val="41560DD0"/>
    <w:rsid w:val="415702E0"/>
    <w:rsid w:val="4159130B"/>
    <w:rsid w:val="416C5E78"/>
    <w:rsid w:val="41814577"/>
    <w:rsid w:val="418A40DA"/>
    <w:rsid w:val="418D4040"/>
    <w:rsid w:val="41A75102"/>
    <w:rsid w:val="41A7646C"/>
    <w:rsid w:val="41B31CF9"/>
    <w:rsid w:val="41D60885"/>
    <w:rsid w:val="41DF69BD"/>
    <w:rsid w:val="42004213"/>
    <w:rsid w:val="420049FD"/>
    <w:rsid w:val="420111A8"/>
    <w:rsid w:val="42054F0F"/>
    <w:rsid w:val="42071629"/>
    <w:rsid w:val="421A1C49"/>
    <w:rsid w:val="421E426D"/>
    <w:rsid w:val="4231661A"/>
    <w:rsid w:val="423A3BCC"/>
    <w:rsid w:val="423B2AF6"/>
    <w:rsid w:val="423B30A8"/>
    <w:rsid w:val="424D4634"/>
    <w:rsid w:val="42535488"/>
    <w:rsid w:val="42562624"/>
    <w:rsid w:val="426B5D0D"/>
    <w:rsid w:val="42717834"/>
    <w:rsid w:val="427746B3"/>
    <w:rsid w:val="42784CF1"/>
    <w:rsid w:val="427A3A47"/>
    <w:rsid w:val="427E6FF7"/>
    <w:rsid w:val="42870A90"/>
    <w:rsid w:val="42977F77"/>
    <w:rsid w:val="429E2606"/>
    <w:rsid w:val="42B4071F"/>
    <w:rsid w:val="42B45D29"/>
    <w:rsid w:val="42B81ABC"/>
    <w:rsid w:val="42BA2CCA"/>
    <w:rsid w:val="42C46384"/>
    <w:rsid w:val="42CD0B98"/>
    <w:rsid w:val="42CD2946"/>
    <w:rsid w:val="430C7F46"/>
    <w:rsid w:val="43150DBB"/>
    <w:rsid w:val="431C38CE"/>
    <w:rsid w:val="43282273"/>
    <w:rsid w:val="432B0845"/>
    <w:rsid w:val="432B52F7"/>
    <w:rsid w:val="432B5830"/>
    <w:rsid w:val="43367C06"/>
    <w:rsid w:val="433A6FE6"/>
    <w:rsid w:val="43431778"/>
    <w:rsid w:val="434844DE"/>
    <w:rsid w:val="4350713C"/>
    <w:rsid w:val="43607D93"/>
    <w:rsid w:val="436653E0"/>
    <w:rsid w:val="436E72E2"/>
    <w:rsid w:val="437833E7"/>
    <w:rsid w:val="437C5A4F"/>
    <w:rsid w:val="438230AB"/>
    <w:rsid w:val="43841169"/>
    <w:rsid w:val="438B690F"/>
    <w:rsid w:val="438F3CDD"/>
    <w:rsid w:val="43A66FCE"/>
    <w:rsid w:val="43AE1EF7"/>
    <w:rsid w:val="43B22E88"/>
    <w:rsid w:val="43BB49FE"/>
    <w:rsid w:val="43BF3FB9"/>
    <w:rsid w:val="43C33DCA"/>
    <w:rsid w:val="43C346CA"/>
    <w:rsid w:val="43C35C1B"/>
    <w:rsid w:val="43D62CBE"/>
    <w:rsid w:val="43D75300"/>
    <w:rsid w:val="43E56907"/>
    <w:rsid w:val="43F2077F"/>
    <w:rsid w:val="43F82399"/>
    <w:rsid w:val="43FB0A8D"/>
    <w:rsid w:val="43FE3CB8"/>
    <w:rsid w:val="440467FC"/>
    <w:rsid w:val="4409050C"/>
    <w:rsid w:val="440B10FC"/>
    <w:rsid w:val="441C1C24"/>
    <w:rsid w:val="442A283A"/>
    <w:rsid w:val="442F1B0F"/>
    <w:rsid w:val="443D3AFC"/>
    <w:rsid w:val="4440393A"/>
    <w:rsid w:val="446C2633"/>
    <w:rsid w:val="4477557D"/>
    <w:rsid w:val="44797F00"/>
    <w:rsid w:val="448B3E4F"/>
    <w:rsid w:val="448F2567"/>
    <w:rsid w:val="4499153B"/>
    <w:rsid w:val="44A616A1"/>
    <w:rsid w:val="44B459CC"/>
    <w:rsid w:val="44BC0EC5"/>
    <w:rsid w:val="44BC3FEE"/>
    <w:rsid w:val="44C33ACC"/>
    <w:rsid w:val="44C935E1"/>
    <w:rsid w:val="44CD14E0"/>
    <w:rsid w:val="44DE20BF"/>
    <w:rsid w:val="44EC6B76"/>
    <w:rsid w:val="44F75334"/>
    <w:rsid w:val="45043F93"/>
    <w:rsid w:val="4515575F"/>
    <w:rsid w:val="45220687"/>
    <w:rsid w:val="452F5B3A"/>
    <w:rsid w:val="45344BF2"/>
    <w:rsid w:val="4537637C"/>
    <w:rsid w:val="454406F1"/>
    <w:rsid w:val="45576302"/>
    <w:rsid w:val="455A27D4"/>
    <w:rsid w:val="457272D0"/>
    <w:rsid w:val="45737E49"/>
    <w:rsid w:val="45857895"/>
    <w:rsid w:val="458946E9"/>
    <w:rsid w:val="45A91659"/>
    <w:rsid w:val="45B147A1"/>
    <w:rsid w:val="45CB49F3"/>
    <w:rsid w:val="45D205E0"/>
    <w:rsid w:val="45D63146"/>
    <w:rsid w:val="45E23A9D"/>
    <w:rsid w:val="45F955F7"/>
    <w:rsid w:val="45FB14C5"/>
    <w:rsid w:val="46121554"/>
    <w:rsid w:val="46164604"/>
    <w:rsid w:val="461F17AF"/>
    <w:rsid w:val="462F47F4"/>
    <w:rsid w:val="46313BA0"/>
    <w:rsid w:val="46363FA1"/>
    <w:rsid w:val="464C306C"/>
    <w:rsid w:val="465852A6"/>
    <w:rsid w:val="466F11C7"/>
    <w:rsid w:val="468D6EA3"/>
    <w:rsid w:val="469E55F6"/>
    <w:rsid w:val="46B61793"/>
    <w:rsid w:val="46C03441"/>
    <w:rsid w:val="46C04E5C"/>
    <w:rsid w:val="46C53F32"/>
    <w:rsid w:val="46C54024"/>
    <w:rsid w:val="46CA3945"/>
    <w:rsid w:val="46CD6556"/>
    <w:rsid w:val="46CF693C"/>
    <w:rsid w:val="46D7195E"/>
    <w:rsid w:val="46D83FB0"/>
    <w:rsid w:val="46D955A7"/>
    <w:rsid w:val="46DC68D2"/>
    <w:rsid w:val="46E0403D"/>
    <w:rsid w:val="46E110B6"/>
    <w:rsid w:val="46EB00CE"/>
    <w:rsid w:val="46F47588"/>
    <w:rsid w:val="471274C2"/>
    <w:rsid w:val="47133957"/>
    <w:rsid w:val="471C7124"/>
    <w:rsid w:val="4723695D"/>
    <w:rsid w:val="472E597E"/>
    <w:rsid w:val="473302F3"/>
    <w:rsid w:val="4746589D"/>
    <w:rsid w:val="474A2312"/>
    <w:rsid w:val="47514036"/>
    <w:rsid w:val="47600578"/>
    <w:rsid w:val="47635578"/>
    <w:rsid w:val="4779329E"/>
    <w:rsid w:val="477E06B3"/>
    <w:rsid w:val="477F442B"/>
    <w:rsid w:val="479B0BA0"/>
    <w:rsid w:val="479B74B7"/>
    <w:rsid w:val="47A07E0C"/>
    <w:rsid w:val="47B265AF"/>
    <w:rsid w:val="47B51639"/>
    <w:rsid w:val="47B576EE"/>
    <w:rsid w:val="47BF0CC8"/>
    <w:rsid w:val="47C86F90"/>
    <w:rsid w:val="47D81FA9"/>
    <w:rsid w:val="47D96394"/>
    <w:rsid w:val="47EC7D13"/>
    <w:rsid w:val="47EF2935"/>
    <w:rsid w:val="48052D08"/>
    <w:rsid w:val="480E46F8"/>
    <w:rsid w:val="481C6EE1"/>
    <w:rsid w:val="481D16D1"/>
    <w:rsid w:val="481D6B0C"/>
    <w:rsid w:val="48376AB4"/>
    <w:rsid w:val="4842667B"/>
    <w:rsid w:val="48435459"/>
    <w:rsid w:val="48585234"/>
    <w:rsid w:val="48585B34"/>
    <w:rsid w:val="48617AEA"/>
    <w:rsid w:val="486C4F5F"/>
    <w:rsid w:val="4870272E"/>
    <w:rsid w:val="48873598"/>
    <w:rsid w:val="48AE671E"/>
    <w:rsid w:val="48B1464B"/>
    <w:rsid w:val="48BC5490"/>
    <w:rsid w:val="48BE0884"/>
    <w:rsid w:val="48BF5427"/>
    <w:rsid w:val="48C040AA"/>
    <w:rsid w:val="48DC7D87"/>
    <w:rsid w:val="48DD765B"/>
    <w:rsid w:val="48E96000"/>
    <w:rsid w:val="48EE5D90"/>
    <w:rsid w:val="48FA4F21"/>
    <w:rsid w:val="49090450"/>
    <w:rsid w:val="491858F0"/>
    <w:rsid w:val="491F1A22"/>
    <w:rsid w:val="492E435B"/>
    <w:rsid w:val="49415E3C"/>
    <w:rsid w:val="494A2E8F"/>
    <w:rsid w:val="4959732F"/>
    <w:rsid w:val="495F4514"/>
    <w:rsid w:val="49683266"/>
    <w:rsid w:val="49694ED7"/>
    <w:rsid w:val="49794AF8"/>
    <w:rsid w:val="498843CF"/>
    <w:rsid w:val="49AE7234"/>
    <w:rsid w:val="49BE129E"/>
    <w:rsid w:val="49C0532A"/>
    <w:rsid w:val="49C32CF5"/>
    <w:rsid w:val="49CD6A5C"/>
    <w:rsid w:val="49D024C2"/>
    <w:rsid w:val="49D17C2D"/>
    <w:rsid w:val="49D561EC"/>
    <w:rsid w:val="49DC7715"/>
    <w:rsid w:val="49EB06AE"/>
    <w:rsid w:val="4A023139"/>
    <w:rsid w:val="4A072E04"/>
    <w:rsid w:val="4A1277D9"/>
    <w:rsid w:val="4A27689B"/>
    <w:rsid w:val="4A286FFC"/>
    <w:rsid w:val="4A2B058E"/>
    <w:rsid w:val="4A332BFD"/>
    <w:rsid w:val="4A3B25F9"/>
    <w:rsid w:val="4A482542"/>
    <w:rsid w:val="4A536BCB"/>
    <w:rsid w:val="4A5E47CC"/>
    <w:rsid w:val="4A71383E"/>
    <w:rsid w:val="4A735A25"/>
    <w:rsid w:val="4A783D80"/>
    <w:rsid w:val="4A7B576F"/>
    <w:rsid w:val="4A7F6E0D"/>
    <w:rsid w:val="4A852A36"/>
    <w:rsid w:val="4A903496"/>
    <w:rsid w:val="4A9140FF"/>
    <w:rsid w:val="4A9F2732"/>
    <w:rsid w:val="4AA368EC"/>
    <w:rsid w:val="4AAA6C0E"/>
    <w:rsid w:val="4AAA7A11"/>
    <w:rsid w:val="4ACC3E2B"/>
    <w:rsid w:val="4AD40244"/>
    <w:rsid w:val="4AEC7372"/>
    <w:rsid w:val="4AEF3676"/>
    <w:rsid w:val="4AF8077D"/>
    <w:rsid w:val="4AFA62A3"/>
    <w:rsid w:val="4AFB5971"/>
    <w:rsid w:val="4B035107"/>
    <w:rsid w:val="4B0D32E2"/>
    <w:rsid w:val="4B0D4E47"/>
    <w:rsid w:val="4B11098D"/>
    <w:rsid w:val="4B1347E5"/>
    <w:rsid w:val="4B137A40"/>
    <w:rsid w:val="4B187071"/>
    <w:rsid w:val="4B1C090F"/>
    <w:rsid w:val="4B2012CE"/>
    <w:rsid w:val="4B2C6678"/>
    <w:rsid w:val="4B715842"/>
    <w:rsid w:val="4B7C1CC0"/>
    <w:rsid w:val="4B8245DA"/>
    <w:rsid w:val="4BA24238"/>
    <w:rsid w:val="4BAD7871"/>
    <w:rsid w:val="4BBC5C4E"/>
    <w:rsid w:val="4BCC79C4"/>
    <w:rsid w:val="4BDD5354"/>
    <w:rsid w:val="4BE36845"/>
    <w:rsid w:val="4BFD0FED"/>
    <w:rsid w:val="4BFE4852"/>
    <w:rsid w:val="4BFE6267"/>
    <w:rsid w:val="4C2C2250"/>
    <w:rsid w:val="4C4A0649"/>
    <w:rsid w:val="4C567718"/>
    <w:rsid w:val="4C725465"/>
    <w:rsid w:val="4C7708FD"/>
    <w:rsid w:val="4C9E49B2"/>
    <w:rsid w:val="4CA76B27"/>
    <w:rsid w:val="4CAB40AA"/>
    <w:rsid w:val="4CAF7561"/>
    <w:rsid w:val="4CCD186E"/>
    <w:rsid w:val="4CD2055C"/>
    <w:rsid w:val="4CD356E0"/>
    <w:rsid w:val="4CD7062B"/>
    <w:rsid w:val="4CD945DE"/>
    <w:rsid w:val="4CE470D3"/>
    <w:rsid w:val="4CEA0CFB"/>
    <w:rsid w:val="4CFA4B92"/>
    <w:rsid w:val="4D003831"/>
    <w:rsid w:val="4D095CC2"/>
    <w:rsid w:val="4D187B9C"/>
    <w:rsid w:val="4D1C7F38"/>
    <w:rsid w:val="4D1F7DF0"/>
    <w:rsid w:val="4D250793"/>
    <w:rsid w:val="4D2A18DE"/>
    <w:rsid w:val="4D2D60B9"/>
    <w:rsid w:val="4D3F453D"/>
    <w:rsid w:val="4D4B54DB"/>
    <w:rsid w:val="4D65092C"/>
    <w:rsid w:val="4D6632B1"/>
    <w:rsid w:val="4D665E71"/>
    <w:rsid w:val="4D726C18"/>
    <w:rsid w:val="4D90440A"/>
    <w:rsid w:val="4D9E5C73"/>
    <w:rsid w:val="4D9F3131"/>
    <w:rsid w:val="4DA651AE"/>
    <w:rsid w:val="4DB46FC6"/>
    <w:rsid w:val="4DC969B3"/>
    <w:rsid w:val="4DCA28A4"/>
    <w:rsid w:val="4DCB2A58"/>
    <w:rsid w:val="4DEC4FB0"/>
    <w:rsid w:val="4DF8561A"/>
    <w:rsid w:val="4DFA480C"/>
    <w:rsid w:val="4E075D8A"/>
    <w:rsid w:val="4E0B5312"/>
    <w:rsid w:val="4E4769A2"/>
    <w:rsid w:val="4E506598"/>
    <w:rsid w:val="4E513743"/>
    <w:rsid w:val="4E571C5E"/>
    <w:rsid w:val="4E5A0417"/>
    <w:rsid w:val="4E611B9A"/>
    <w:rsid w:val="4E6C07EA"/>
    <w:rsid w:val="4E73286E"/>
    <w:rsid w:val="4E9609D8"/>
    <w:rsid w:val="4E9E7AAE"/>
    <w:rsid w:val="4E9F0C87"/>
    <w:rsid w:val="4EB127EA"/>
    <w:rsid w:val="4EB80F4C"/>
    <w:rsid w:val="4EBA70BD"/>
    <w:rsid w:val="4EBA746F"/>
    <w:rsid w:val="4ECC0D3D"/>
    <w:rsid w:val="4ECC660A"/>
    <w:rsid w:val="4EE8035A"/>
    <w:rsid w:val="4EF525D6"/>
    <w:rsid w:val="4F0A7EDE"/>
    <w:rsid w:val="4F29214E"/>
    <w:rsid w:val="4F3709BD"/>
    <w:rsid w:val="4F3D0E54"/>
    <w:rsid w:val="4F5B33BA"/>
    <w:rsid w:val="4F7A3479"/>
    <w:rsid w:val="4F991859"/>
    <w:rsid w:val="4F9F68AD"/>
    <w:rsid w:val="4FA107F2"/>
    <w:rsid w:val="4FA267CB"/>
    <w:rsid w:val="4FAC7DC3"/>
    <w:rsid w:val="4FB27BB5"/>
    <w:rsid w:val="4FC44945"/>
    <w:rsid w:val="4FC62A8C"/>
    <w:rsid w:val="4FC913EA"/>
    <w:rsid w:val="4FCF2ACA"/>
    <w:rsid w:val="4FD83119"/>
    <w:rsid w:val="4FE20F0D"/>
    <w:rsid w:val="4FE623E8"/>
    <w:rsid w:val="4FE85BD4"/>
    <w:rsid w:val="4FF358B1"/>
    <w:rsid w:val="4FFE6835"/>
    <w:rsid w:val="500278C5"/>
    <w:rsid w:val="5005507B"/>
    <w:rsid w:val="50067073"/>
    <w:rsid w:val="50281264"/>
    <w:rsid w:val="502B33A2"/>
    <w:rsid w:val="5035654E"/>
    <w:rsid w:val="504639A3"/>
    <w:rsid w:val="50502E09"/>
    <w:rsid w:val="50504C4B"/>
    <w:rsid w:val="5060129E"/>
    <w:rsid w:val="506D0500"/>
    <w:rsid w:val="50772144"/>
    <w:rsid w:val="507B22BA"/>
    <w:rsid w:val="508A6399"/>
    <w:rsid w:val="508B0AF1"/>
    <w:rsid w:val="508B13F1"/>
    <w:rsid w:val="5090545C"/>
    <w:rsid w:val="50907B43"/>
    <w:rsid w:val="509C6E7C"/>
    <w:rsid w:val="509D2DB8"/>
    <w:rsid w:val="50A05456"/>
    <w:rsid w:val="50A815FE"/>
    <w:rsid w:val="50AA7C6B"/>
    <w:rsid w:val="50B96C00"/>
    <w:rsid w:val="50C454ED"/>
    <w:rsid w:val="50C76717"/>
    <w:rsid w:val="50E0152B"/>
    <w:rsid w:val="50E4045D"/>
    <w:rsid w:val="50EC5412"/>
    <w:rsid w:val="51016C27"/>
    <w:rsid w:val="51122D44"/>
    <w:rsid w:val="51153507"/>
    <w:rsid w:val="511B3417"/>
    <w:rsid w:val="512A5408"/>
    <w:rsid w:val="513514A8"/>
    <w:rsid w:val="513B7615"/>
    <w:rsid w:val="51436893"/>
    <w:rsid w:val="514B60EC"/>
    <w:rsid w:val="51544699"/>
    <w:rsid w:val="51553621"/>
    <w:rsid w:val="515F3A7B"/>
    <w:rsid w:val="5162104E"/>
    <w:rsid w:val="5175687A"/>
    <w:rsid w:val="51825244"/>
    <w:rsid w:val="51A46843"/>
    <w:rsid w:val="51AE428B"/>
    <w:rsid w:val="51C847D3"/>
    <w:rsid w:val="51D90B0E"/>
    <w:rsid w:val="51E111B6"/>
    <w:rsid w:val="51F53C68"/>
    <w:rsid w:val="5200736B"/>
    <w:rsid w:val="52067C23"/>
    <w:rsid w:val="521A1920"/>
    <w:rsid w:val="521C465F"/>
    <w:rsid w:val="5234135F"/>
    <w:rsid w:val="524C288E"/>
    <w:rsid w:val="524F5CF2"/>
    <w:rsid w:val="52506D4F"/>
    <w:rsid w:val="526B217C"/>
    <w:rsid w:val="526D1F45"/>
    <w:rsid w:val="527E1028"/>
    <w:rsid w:val="527E3C5D"/>
    <w:rsid w:val="52820787"/>
    <w:rsid w:val="52916F1A"/>
    <w:rsid w:val="529945F3"/>
    <w:rsid w:val="52996A7D"/>
    <w:rsid w:val="529B3274"/>
    <w:rsid w:val="52C17D00"/>
    <w:rsid w:val="52CB63DF"/>
    <w:rsid w:val="52DB5553"/>
    <w:rsid w:val="52E31D12"/>
    <w:rsid w:val="52F17EB3"/>
    <w:rsid w:val="531044E6"/>
    <w:rsid w:val="53137801"/>
    <w:rsid w:val="5322283B"/>
    <w:rsid w:val="534157F1"/>
    <w:rsid w:val="535B1C8C"/>
    <w:rsid w:val="535D3873"/>
    <w:rsid w:val="536B2FE6"/>
    <w:rsid w:val="538F3C48"/>
    <w:rsid w:val="53913289"/>
    <w:rsid w:val="53990A5B"/>
    <w:rsid w:val="539D2159"/>
    <w:rsid w:val="539F77FF"/>
    <w:rsid w:val="53A039CC"/>
    <w:rsid w:val="53A1505A"/>
    <w:rsid w:val="53A47025"/>
    <w:rsid w:val="53B86CFB"/>
    <w:rsid w:val="53B9306E"/>
    <w:rsid w:val="53C01A47"/>
    <w:rsid w:val="53C241CE"/>
    <w:rsid w:val="53C73F79"/>
    <w:rsid w:val="53CE651E"/>
    <w:rsid w:val="53E25C9A"/>
    <w:rsid w:val="53E90DF2"/>
    <w:rsid w:val="53F51CFD"/>
    <w:rsid w:val="540339DE"/>
    <w:rsid w:val="54063E08"/>
    <w:rsid w:val="54072661"/>
    <w:rsid w:val="540A6FA1"/>
    <w:rsid w:val="540A77A2"/>
    <w:rsid w:val="540D0BB3"/>
    <w:rsid w:val="543437E8"/>
    <w:rsid w:val="5444152C"/>
    <w:rsid w:val="54480953"/>
    <w:rsid w:val="544D7D8B"/>
    <w:rsid w:val="544E765F"/>
    <w:rsid w:val="547B46EA"/>
    <w:rsid w:val="54843081"/>
    <w:rsid w:val="548A5BF9"/>
    <w:rsid w:val="54972E53"/>
    <w:rsid w:val="549A54AC"/>
    <w:rsid w:val="549C2D9C"/>
    <w:rsid w:val="54AA6EBE"/>
    <w:rsid w:val="54B35F7D"/>
    <w:rsid w:val="54BF0D1B"/>
    <w:rsid w:val="54C867F3"/>
    <w:rsid w:val="54C93498"/>
    <w:rsid w:val="54C94094"/>
    <w:rsid w:val="54D23DEC"/>
    <w:rsid w:val="54E75AF6"/>
    <w:rsid w:val="54E80EA4"/>
    <w:rsid w:val="55214023"/>
    <w:rsid w:val="55253301"/>
    <w:rsid w:val="55262800"/>
    <w:rsid w:val="5527132A"/>
    <w:rsid w:val="55276C7B"/>
    <w:rsid w:val="55382027"/>
    <w:rsid w:val="553A5EE6"/>
    <w:rsid w:val="556914AB"/>
    <w:rsid w:val="55733821"/>
    <w:rsid w:val="557912EA"/>
    <w:rsid w:val="557B5277"/>
    <w:rsid w:val="559B174B"/>
    <w:rsid w:val="55C60090"/>
    <w:rsid w:val="55CE055B"/>
    <w:rsid w:val="55CE0CF4"/>
    <w:rsid w:val="55D20672"/>
    <w:rsid w:val="55D32512"/>
    <w:rsid w:val="55DF4BE8"/>
    <w:rsid w:val="55E14DD3"/>
    <w:rsid w:val="55E31AE3"/>
    <w:rsid w:val="55EA5F01"/>
    <w:rsid w:val="55FB18B5"/>
    <w:rsid w:val="560307EB"/>
    <w:rsid w:val="56044DC2"/>
    <w:rsid w:val="560C332E"/>
    <w:rsid w:val="561A36DD"/>
    <w:rsid w:val="5656765D"/>
    <w:rsid w:val="56723AD9"/>
    <w:rsid w:val="56754B5B"/>
    <w:rsid w:val="56794E67"/>
    <w:rsid w:val="567C7047"/>
    <w:rsid w:val="5684174D"/>
    <w:rsid w:val="569210B7"/>
    <w:rsid w:val="569A4794"/>
    <w:rsid w:val="56A7565F"/>
    <w:rsid w:val="56A919C7"/>
    <w:rsid w:val="56AD2F30"/>
    <w:rsid w:val="56AE5351"/>
    <w:rsid w:val="56B22A9C"/>
    <w:rsid w:val="56BF4B95"/>
    <w:rsid w:val="56CA5E49"/>
    <w:rsid w:val="56CD51B3"/>
    <w:rsid w:val="56D979A5"/>
    <w:rsid w:val="56FB0E38"/>
    <w:rsid w:val="56FE536D"/>
    <w:rsid w:val="57062473"/>
    <w:rsid w:val="571C57F3"/>
    <w:rsid w:val="571D1CAB"/>
    <w:rsid w:val="572172AD"/>
    <w:rsid w:val="572E6B98"/>
    <w:rsid w:val="573C4502"/>
    <w:rsid w:val="57435BF8"/>
    <w:rsid w:val="574A4432"/>
    <w:rsid w:val="5765719A"/>
    <w:rsid w:val="57664CC0"/>
    <w:rsid w:val="577108D4"/>
    <w:rsid w:val="578C6E05"/>
    <w:rsid w:val="579D75CB"/>
    <w:rsid w:val="57B72A76"/>
    <w:rsid w:val="57B851ED"/>
    <w:rsid w:val="57CA41EB"/>
    <w:rsid w:val="57D1482F"/>
    <w:rsid w:val="57DC5214"/>
    <w:rsid w:val="57DF519E"/>
    <w:rsid w:val="57EC78BB"/>
    <w:rsid w:val="57F624E8"/>
    <w:rsid w:val="58065D6B"/>
    <w:rsid w:val="581026FC"/>
    <w:rsid w:val="58245193"/>
    <w:rsid w:val="582836A2"/>
    <w:rsid w:val="58360B56"/>
    <w:rsid w:val="584119B5"/>
    <w:rsid w:val="58457759"/>
    <w:rsid w:val="585242DC"/>
    <w:rsid w:val="585E71A5"/>
    <w:rsid w:val="5862495B"/>
    <w:rsid w:val="58683662"/>
    <w:rsid w:val="58A77952"/>
    <w:rsid w:val="58AF60A7"/>
    <w:rsid w:val="58C3426C"/>
    <w:rsid w:val="58CC267F"/>
    <w:rsid w:val="58CF5213"/>
    <w:rsid w:val="58D04AE7"/>
    <w:rsid w:val="58DA1BC8"/>
    <w:rsid w:val="58E14F46"/>
    <w:rsid w:val="58F06F55"/>
    <w:rsid w:val="58F3077A"/>
    <w:rsid w:val="58F9040C"/>
    <w:rsid w:val="5902799B"/>
    <w:rsid w:val="59123710"/>
    <w:rsid w:val="59145852"/>
    <w:rsid w:val="59163876"/>
    <w:rsid w:val="591C0E16"/>
    <w:rsid w:val="59215148"/>
    <w:rsid w:val="592212C0"/>
    <w:rsid w:val="5923465F"/>
    <w:rsid w:val="59280CA5"/>
    <w:rsid w:val="592F6606"/>
    <w:rsid w:val="593111DC"/>
    <w:rsid w:val="593A75C2"/>
    <w:rsid w:val="595079D6"/>
    <w:rsid w:val="595606C9"/>
    <w:rsid w:val="596C2A61"/>
    <w:rsid w:val="59775960"/>
    <w:rsid w:val="59795220"/>
    <w:rsid w:val="59907AF6"/>
    <w:rsid w:val="59983E95"/>
    <w:rsid w:val="59A170F7"/>
    <w:rsid w:val="59A637DF"/>
    <w:rsid w:val="59A93F65"/>
    <w:rsid w:val="59AA08C4"/>
    <w:rsid w:val="59BF2E55"/>
    <w:rsid w:val="59CC1A83"/>
    <w:rsid w:val="59DB3E06"/>
    <w:rsid w:val="59E41262"/>
    <w:rsid w:val="59FF63EB"/>
    <w:rsid w:val="5A0A227A"/>
    <w:rsid w:val="5A252C10"/>
    <w:rsid w:val="5A283E83"/>
    <w:rsid w:val="5A3A6AAE"/>
    <w:rsid w:val="5A3C747D"/>
    <w:rsid w:val="5A415526"/>
    <w:rsid w:val="5A4B0393"/>
    <w:rsid w:val="5A6A6727"/>
    <w:rsid w:val="5A7D584B"/>
    <w:rsid w:val="5A874076"/>
    <w:rsid w:val="5A8F5970"/>
    <w:rsid w:val="5A953722"/>
    <w:rsid w:val="5A9662A1"/>
    <w:rsid w:val="5A9F4737"/>
    <w:rsid w:val="5AA1498D"/>
    <w:rsid w:val="5AA41CEA"/>
    <w:rsid w:val="5AA71877"/>
    <w:rsid w:val="5ABD70AB"/>
    <w:rsid w:val="5ABE2233"/>
    <w:rsid w:val="5AC73436"/>
    <w:rsid w:val="5ACE7AC6"/>
    <w:rsid w:val="5AEB0587"/>
    <w:rsid w:val="5AEE75AA"/>
    <w:rsid w:val="5AFB639C"/>
    <w:rsid w:val="5B0031FB"/>
    <w:rsid w:val="5B022AC1"/>
    <w:rsid w:val="5B056434"/>
    <w:rsid w:val="5B0D59C4"/>
    <w:rsid w:val="5B112FE6"/>
    <w:rsid w:val="5B16746E"/>
    <w:rsid w:val="5B174BD9"/>
    <w:rsid w:val="5B1832E1"/>
    <w:rsid w:val="5B276D18"/>
    <w:rsid w:val="5B3A093D"/>
    <w:rsid w:val="5B4256B7"/>
    <w:rsid w:val="5B4A6146"/>
    <w:rsid w:val="5B4C0C4A"/>
    <w:rsid w:val="5B597737"/>
    <w:rsid w:val="5B5A5D02"/>
    <w:rsid w:val="5B621404"/>
    <w:rsid w:val="5B65337D"/>
    <w:rsid w:val="5B752102"/>
    <w:rsid w:val="5B773003"/>
    <w:rsid w:val="5B8F47E5"/>
    <w:rsid w:val="5B9D68C6"/>
    <w:rsid w:val="5B9E5670"/>
    <w:rsid w:val="5BA04A9C"/>
    <w:rsid w:val="5BA26C0E"/>
    <w:rsid w:val="5BA65DCC"/>
    <w:rsid w:val="5BAC0560"/>
    <w:rsid w:val="5BB40BA6"/>
    <w:rsid w:val="5BC764F6"/>
    <w:rsid w:val="5BCF382F"/>
    <w:rsid w:val="5BD01244"/>
    <w:rsid w:val="5BD12F11"/>
    <w:rsid w:val="5BD57A5E"/>
    <w:rsid w:val="5BDC37A3"/>
    <w:rsid w:val="5BDF5D95"/>
    <w:rsid w:val="5BEB33AD"/>
    <w:rsid w:val="5BED3473"/>
    <w:rsid w:val="5BF109C1"/>
    <w:rsid w:val="5BF22FC6"/>
    <w:rsid w:val="5C040E9A"/>
    <w:rsid w:val="5C096684"/>
    <w:rsid w:val="5C11169E"/>
    <w:rsid w:val="5C1C63A8"/>
    <w:rsid w:val="5C245645"/>
    <w:rsid w:val="5C285A3E"/>
    <w:rsid w:val="5C29540E"/>
    <w:rsid w:val="5C516770"/>
    <w:rsid w:val="5C5D48E3"/>
    <w:rsid w:val="5C766E4A"/>
    <w:rsid w:val="5C783DC5"/>
    <w:rsid w:val="5C875E04"/>
    <w:rsid w:val="5C891B7C"/>
    <w:rsid w:val="5C9950C8"/>
    <w:rsid w:val="5C9E454D"/>
    <w:rsid w:val="5CA2679A"/>
    <w:rsid w:val="5CA37228"/>
    <w:rsid w:val="5CA72E3F"/>
    <w:rsid w:val="5CB079D7"/>
    <w:rsid w:val="5CB868F2"/>
    <w:rsid w:val="5CBD35D4"/>
    <w:rsid w:val="5CDB70F2"/>
    <w:rsid w:val="5D1D14DE"/>
    <w:rsid w:val="5D272491"/>
    <w:rsid w:val="5D2C7751"/>
    <w:rsid w:val="5D2E6280"/>
    <w:rsid w:val="5D343B95"/>
    <w:rsid w:val="5D3A69D3"/>
    <w:rsid w:val="5D3D751A"/>
    <w:rsid w:val="5D5757D7"/>
    <w:rsid w:val="5D790B6E"/>
    <w:rsid w:val="5D7A7717"/>
    <w:rsid w:val="5D804894"/>
    <w:rsid w:val="5D811E11"/>
    <w:rsid w:val="5D877544"/>
    <w:rsid w:val="5DAA3E0E"/>
    <w:rsid w:val="5DAF2F7B"/>
    <w:rsid w:val="5DBF0F58"/>
    <w:rsid w:val="5DCD3CEB"/>
    <w:rsid w:val="5DCD5A99"/>
    <w:rsid w:val="5DCE7E16"/>
    <w:rsid w:val="5DD1377F"/>
    <w:rsid w:val="5DD21301"/>
    <w:rsid w:val="5DD91686"/>
    <w:rsid w:val="5DDC5BCF"/>
    <w:rsid w:val="5DEF412A"/>
    <w:rsid w:val="5DF136A3"/>
    <w:rsid w:val="5DF87A0F"/>
    <w:rsid w:val="5DFD716B"/>
    <w:rsid w:val="5E062D59"/>
    <w:rsid w:val="5E1075E1"/>
    <w:rsid w:val="5E1C013A"/>
    <w:rsid w:val="5E1C51EC"/>
    <w:rsid w:val="5E2C7C1E"/>
    <w:rsid w:val="5E364C03"/>
    <w:rsid w:val="5E4332B3"/>
    <w:rsid w:val="5E4966A0"/>
    <w:rsid w:val="5E4A2B2E"/>
    <w:rsid w:val="5E5B12F6"/>
    <w:rsid w:val="5E5C75F5"/>
    <w:rsid w:val="5E7E4670"/>
    <w:rsid w:val="5E856D27"/>
    <w:rsid w:val="5E8E550E"/>
    <w:rsid w:val="5E983162"/>
    <w:rsid w:val="5E99463E"/>
    <w:rsid w:val="5EA048F9"/>
    <w:rsid w:val="5EA54320"/>
    <w:rsid w:val="5EB237E6"/>
    <w:rsid w:val="5EB84053"/>
    <w:rsid w:val="5ECC4315"/>
    <w:rsid w:val="5EE404C5"/>
    <w:rsid w:val="5EF944CD"/>
    <w:rsid w:val="5EFC18D7"/>
    <w:rsid w:val="5F092816"/>
    <w:rsid w:val="5F103A21"/>
    <w:rsid w:val="5F1A2B43"/>
    <w:rsid w:val="5F1D035A"/>
    <w:rsid w:val="5F253005"/>
    <w:rsid w:val="5F285AE4"/>
    <w:rsid w:val="5F322057"/>
    <w:rsid w:val="5F322752"/>
    <w:rsid w:val="5F447E3D"/>
    <w:rsid w:val="5F58578F"/>
    <w:rsid w:val="5F631071"/>
    <w:rsid w:val="5F796DF2"/>
    <w:rsid w:val="5F7E2339"/>
    <w:rsid w:val="5F9F3EE1"/>
    <w:rsid w:val="5FA365D5"/>
    <w:rsid w:val="5FA56DDB"/>
    <w:rsid w:val="5FB27708"/>
    <w:rsid w:val="5FB3015C"/>
    <w:rsid w:val="5FB837BB"/>
    <w:rsid w:val="5FBA204D"/>
    <w:rsid w:val="5FC13DAD"/>
    <w:rsid w:val="5FD163C4"/>
    <w:rsid w:val="5FDF7B54"/>
    <w:rsid w:val="5FE06EEA"/>
    <w:rsid w:val="5FE3356B"/>
    <w:rsid w:val="5FE556D8"/>
    <w:rsid w:val="5FE82AA9"/>
    <w:rsid w:val="5FED5F7E"/>
    <w:rsid w:val="5FEE5745"/>
    <w:rsid w:val="5FF23595"/>
    <w:rsid w:val="60085DAB"/>
    <w:rsid w:val="600D75AD"/>
    <w:rsid w:val="601367AA"/>
    <w:rsid w:val="601377FC"/>
    <w:rsid w:val="6025396A"/>
    <w:rsid w:val="602A71D2"/>
    <w:rsid w:val="603138EA"/>
    <w:rsid w:val="603508D6"/>
    <w:rsid w:val="603F692C"/>
    <w:rsid w:val="6045400C"/>
    <w:rsid w:val="604E1976"/>
    <w:rsid w:val="6055425E"/>
    <w:rsid w:val="605E50CE"/>
    <w:rsid w:val="606A01E6"/>
    <w:rsid w:val="606B77E0"/>
    <w:rsid w:val="608A282A"/>
    <w:rsid w:val="608D0753"/>
    <w:rsid w:val="608F727F"/>
    <w:rsid w:val="609749F5"/>
    <w:rsid w:val="609A4F3D"/>
    <w:rsid w:val="60B77FA4"/>
    <w:rsid w:val="60C457EE"/>
    <w:rsid w:val="60D10950"/>
    <w:rsid w:val="60D57568"/>
    <w:rsid w:val="60E03D35"/>
    <w:rsid w:val="60E31C84"/>
    <w:rsid w:val="60E32D61"/>
    <w:rsid w:val="60E814EB"/>
    <w:rsid w:val="60F5392F"/>
    <w:rsid w:val="60FE422C"/>
    <w:rsid w:val="61053764"/>
    <w:rsid w:val="61316CF9"/>
    <w:rsid w:val="61393EFB"/>
    <w:rsid w:val="613F72A1"/>
    <w:rsid w:val="613F7BEC"/>
    <w:rsid w:val="614537CD"/>
    <w:rsid w:val="6149217F"/>
    <w:rsid w:val="61495DD0"/>
    <w:rsid w:val="614E41B0"/>
    <w:rsid w:val="615501AE"/>
    <w:rsid w:val="61554FB0"/>
    <w:rsid w:val="615E2D65"/>
    <w:rsid w:val="616616D2"/>
    <w:rsid w:val="616B1851"/>
    <w:rsid w:val="61706E67"/>
    <w:rsid w:val="6171498D"/>
    <w:rsid w:val="617A1A94"/>
    <w:rsid w:val="617C3A5E"/>
    <w:rsid w:val="617C7D2B"/>
    <w:rsid w:val="61994C6D"/>
    <w:rsid w:val="61A46B11"/>
    <w:rsid w:val="61AE1315"/>
    <w:rsid w:val="61B74A96"/>
    <w:rsid w:val="61BC3E5A"/>
    <w:rsid w:val="61D01CF8"/>
    <w:rsid w:val="61E737AA"/>
    <w:rsid w:val="61E84E43"/>
    <w:rsid w:val="61E9114E"/>
    <w:rsid w:val="6208709F"/>
    <w:rsid w:val="62205C3F"/>
    <w:rsid w:val="62206ADF"/>
    <w:rsid w:val="62214DFA"/>
    <w:rsid w:val="622540F5"/>
    <w:rsid w:val="62364782"/>
    <w:rsid w:val="624833DC"/>
    <w:rsid w:val="625614D2"/>
    <w:rsid w:val="626544F2"/>
    <w:rsid w:val="626B6A12"/>
    <w:rsid w:val="62732C26"/>
    <w:rsid w:val="62752C1C"/>
    <w:rsid w:val="62830E1C"/>
    <w:rsid w:val="62AA26A1"/>
    <w:rsid w:val="62CC4571"/>
    <w:rsid w:val="62FC712E"/>
    <w:rsid w:val="62FD05C2"/>
    <w:rsid w:val="62FE5F36"/>
    <w:rsid w:val="630C6EA9"/>
    <w:rsid w:val="632443AD"/>
    <w:rsid w:val="63352116"/>
    <w:rsid w:val="63412DD7"/>
    <w:rsid w:val="634942E6"/>
    <w:rsid w:val="634C7460"/>
    <w:rsid w:val="63514A76"/>
    <w:rsid w:val="63656AFC"/>
    <w:rsid w:val="637403CC"/>
    <w:rsid w:val="637846F9"/>
    <w:rsid w:val="63917843"/>
    <w:rsid w:val="63A1212E"/>
    <w:rsid w:val="63A454EE"/>
    <w:rsid w:val="63A8314E"/>
    <w:rsid w:val="63AE3C76"/>
    <w:rsid w:val="63BD0899"/>
    <w:rsid w:val="63D40BE9"/>
    <w:rsid w:val="63D60CF2"/>
    <w:rsid w:val="63E0211F"/>
    <w:rsid w:val="63F94D40"/>
    <w:rsid w:val="63FD12C8"/>
    <w:rsid w:val="63FF44D2"/>
    <w:rsid w:val="64050106"/>
    <w:rsid w:val="640E2967"/>
    <w:rsid w:val="64287C1B"/>
    <w:rsid w:val="642F7CE0"/>
    <w:rsid w:val="64341D49"/>
    <w:rsid w:val="64364A89"/>
    <w:rsid w:val="643B2965"/>
    <w:rsid w:val="64436AB5"/>
    <w:rsid w:val="644E185F"/>
    <w:rsid w:val="645E7BDA"/>
    <w:rsid w:val="648A0240"/>
    <w:rsid w:val="64963B81"/>
    <w:rsid w:val="64972872"/>
    <w:rsid w:val="64A04C33"/>
    <w:rsid w:val="64AA3A15"/>
    <w:rsid w:val="64BD5068"/>
    <w:rsid w:val="64C554BE"/>
    <w:rsid w:val="64CD45D0"/>
    <w:rsid w:val="64DF4E7D"/>
    <w:rsid w:val="64E56E1C"/>
    <w:rsid w:val="64E65629"/>
    <w:rsid w:val="64FC6011"/>
    <w:rsid w:val="65102E3B"/>
    <w:rsid w:val="652A31DB"/>
    <w:rsid w:val="653463FD"/>
    <w:rsid w:val="65373578"/>
    <w:rsid w:val="65415EB7"/>
    <w:rsid w:val="65420B1A"/>
    <w:rsid w:val="65436A9C"/>
    <w:rsid w:val="654F2EE5"/>
    <w:rsid w:val="655A1441"/>
    <w:rsid w:val="656239A2"/>
    <w:rsid w:val="657B402C"/>
    <w:rsid w:val="65A173AE"/>
    <w:rsid w:val="65D327C2"/>
    <w:rsid w:val="65DC0F6F"/>
    <w:rsid w:val="65E027BC"/>
    <w:rsid w:val="65E81919"/>
    <w:rsid w:val="65F46C16"/>
    <w:rsid w:val="66001677"/>
    <w:rsid w:val="660B22CD"/>
    <w:rsid w:val="662621EA"/>
    <w:rsid w:val="66281865"/>
    <w:rsid w:val="662B36E0"/>
    <w:rsid w:val="663629FF"/>
    <w:rsid w:val="663C7C5F"/>
    <w:rsid w:val="663D0790"/>
    <w:rsid w:val="665B6338"/>
    <w:rsid w:val="665B7D83"/>
    <w:rsid w:val="66613051"/>
    <w:rsid w:val="666431EA"/>
    <w:rsid w:val="66680A54"/>
    <w:rsid w:val="666F43D1"/>
    <w:rsid w:val="668524C1"/>
    <w:rsid w:val="6688431D"/>
    <w:rsid w:val="669E4620"/>
    <w:rsid w:val="66AD290B"/>
    <w:rsid w:val="66B43C9A"/>
    <w:rsid w:val="66B85F6D"/>
    <w:rsid w:val="66BD7E36"/>
    <w:rsid w:val="66C22A14"/>
    <w:rsid w:val="66C3141F"/>
    <w:rsid w:val="66C832A1"/>
    <w:rsid w:val="66CC3515"/>
    <w:rsid w:val="66D81826"/>
    <w:rsid w:val="66F22E0A"/>
    <w:rsid w:val="66FB69C9"/>
    <w:rsid w:val="67053AFC"/>
    <w:rsid w:val="671C1593"/>
    <w:rsid w:val="67265724"/>
    <w:rsid w:val="672C3AE2"/>
    <w:rsid w:val="67303483"/>
    <w:rsid w:val="673E2696"/>
    <w:rsid w:val="673F2C7A"/>
    <w:rsid w:val="67446DEC"/>
    <w:rsid w:val="6760172C"/>
    <w:rsid w:val="676705E3"/>
    <w:rsid w:val="67680108"/>
    <w:rsid w:val="67725DFD"/>
    <w:rsid w:val="67871936"/>
    <w:rsid w:val="678D04E0"/>
    <w:rsid w:val="679565B5"/>
    <w:rsid w:val="67B41AC4"/>
    <w:rsid w:val="67C560BE"/>
    <w:rsid w:val="67D47004"/>
    <w:rsid w:val="67E404B6"/>
    <w:rsid w:val="67EB5499"/>
    <w:rsid w:val="67ED6375"/>
    <w:rsid w:val="67FB3C27"/>
    <w:rsid w:val="68022EED"/>
    <w:rsid w:val="68030E0A"/>
    <w:rsid w:val="6804655B"/>
    <w:rsid w:val="680A6139"/>
    <w:rsid w:val="680D6040"/>
    <w:rsid w:val="68177056"/>
    <w:rsid w:val="681F6961"/>
    <w:rsid w:val="682870D1"/>
    <w:rsid w:val="684D1CB0"/>
    <w:rsid w:val="68610A2F"/>
    <w:rsid w:val="68612D68"/>
    <w:rsid w:val="68664B20"/>
    <w:rsid w:val="68727F42"/>
    <w:rsid w:val="6874548F"/>
    <w:rsid w:val="68805514"/>
    <w:rsid w:val="68991C3F"/>
    <w:rsid w:val="689A6B3D"/>
    <w:rsid w:val="689F5992"/>
    <w:rsid w:val="68A81BF4"/>
    <w:rsid w:val="68A828DA"/>
    <w:rsid w:val="68AB721C"/>
    <w:rsid w:val="68B021BE"/>
    <w:rsid w:val="68C405FA"/>
    <w:rsid w:val="68CF3CB4"/>
    <w:rsid w:val="68D221B5"/>
    <w:rsid w:val="68DB550E"/>
    <w:rsid w:val="68DC3258"/>
    <w:rsid w:val="68DE5385"/>
    <w:rsid w:val="68DF122C"/>
    <w:rsid w:val="68E92CAD"/>
    <w:rsid w:val="68FB36A6"/>
    <w:rsid w:val="68FD5B33"/>
    <w:rsid w:val="68FD5F3D"/>
    <w:rsid w:val="69092490"/>
    <w:rsid w:val="69097014"/>
    <w:rsid w:val="691664EE"/>
    <w:rsid w:val="691B6B54"/>
    <w:rsid w:val="69313380"/>
    <w:rsid w:val="693B4E23"/>
    <w:rsid w:val="694959C6"/>
    <w:rsid w:val="694B6EB9"/>
    <w:rsid w:val="694E2071"/>
    <w:rsid w:val="69613B48"/>
    <w:rsid w:val="697A3B33"/>
    <w:rsid w:val="697A7DBE"/>
    <w:rsid w:val="69905DD7"/>
    <w:rsid w:val="699062F3"/>
    <w:rsid w:val="6997151D"/>
    <w:rsid w:val="699D23D7"/>
    <w:rsid w:val="699E2456"/>
    <w:rsid w:val="69BE2739"/>
    <w:rsid w:val="69BE423C"/>
    <w:rsid w:val="69C24B64"/>
    <w:rsid w:val="69D211A4"/>
    <w:rsid w:val="69DD1E58"/>
    <w:rsid w:val="69E42540"/>
    <w:rsid w:val="69EF49DE"/>
    <w:rsid w:val="6A126AF2"/>
    <w:rsid w:val="6A254F5A"/>
    <w:rsid w:val="6A257AFF"/>
    <w:rsid w:val="6A2A6BDA"/>
    <w:rsid w:val="6A2F784C"/>
    <w:rsid w:val="6A324629"/>
    <w:rsid w:val="6A396EA9"/>
    <w:rsid w:val="6A3A44B6"/>
    <w:rsid w:val="6A42336B"/>
    <w:rsid w:val="6A485AEF"/>
    <w:rsid w:val="6A4B521B"/>
    <w:rsid w:val="6A5079A9"/>
    <w:rsid w:val="6A675E4D"/>
    <w:rsid w:val="6A705D42"/>
    <w:rsid w:val="6A713A2E"/>
    <w:rsid w:val="6A782DA5"/>
    <w:rsid w:val="6A78576F"/>
    <w:rsid w:val="6A852A55"/>
    <w:rsid w:val="6A9A32A0"/>
    <w:rsid w:val="6AB06526"/>
    <w:rsid w:val="6AB24B59"/>
    <w:rsid w:val="6AC15C71"/>
    <w:rsid w:val="6AC2028C"/>
    <w:rsid w:val="6AC36259"/>
    <w:rsid w:val="6ACD783B"/>
    <w:rsid w:val="6AD8207B"/>
    <w:rsid w:val="6ADD62AD"/>
    <w:rsid w:val="6AE078B7"/>
    <w:rsid w:val="6AEA0B3C"/>
    <w:rsid w:val="6AEF5EFF"/>
    <w:rsid w:val="6AF01018"/>
    <w:rsid w:val="6AF02DC7"/>
    <w:rsid w:val="6AFC79BD"/>
    <w:rsid w:val="6B1E6F16"/>
    <w:rsid w:val="6B295AA1"/>
    <w:rsid w:val="6B322639"/>
    <w:rsid w:val="6B3724F2"/>
    <w:rsid w:val="6B3F3FDB"/>
    <w:rsid w:val="6B454EC0"/>
    <w:rsid w:val="6B487D6B"/>
    <w:rsid w:val="6B5C3F06"/>
    <w:rsid w:val="6B637A3C"/>
    <w:rsid w:val="6B6A2B79"/>
    <w:rsid w:val="6B7A4F14"/>
    <w:rsid w:val="6B951E5C"/>
    <w:rsid w:val="6BB35604"/>
    <w:rsid w:val="6BBF6F18"/>
    <w:rsid w:val="6BD61FBC"/>
    <w:rsid w:val="6BD758BC"/>
    <w:rsid w:val="6BE12B9A"/>
    <w:rsid w:val="6BE244AA"/>
    <w:rsid w:val="6BE350EA"/>
    <w:rsid w:val="6BE92BB1"/>
    <w:rsid w:val="6BF7070A"/>
    <w:rsid w:val="6C033A1C"/>
    <w:rsid w:val="6C052E0C"/>
    <w:rsid w:val="6C111246"/>
    <w:rsid w:val="6C270EF5"/>
    <w:rsid w:val="6C336698"/>
    <w:rsid w:val="6C375151"/>
    <w:rsid w:val="6C427652"/>
    <w:rsid w:val="6C432EB8"/>
    <w:rsid w:val="6C472CF7"/>
    <w:rsid w:val="6C530C66"/>
    <w:rsid w:val="6C5C75F7"/>
    <w:rsid w:val="6C636C38"/>
    <w:rsid w:val="6C653CD7"/>
    <w:rsid w:val="6C707ECB"/>
    <w:rsid w:val="6C717819"/>
    <w:rsid w:val="6C786982"/>
    <w:rsid w:val="6C807100"/>
    <w:rsid w:val="6CA36342"/>
    <w:rsid w:val="6CA7196F"/>
    <w:rsid w:val="6CAC1237"/>
    <w:rsid w:val="6CB2505C"/>
    <w:rsid w:val="6CBA7124"/>
    <w:rsid w:val="6CE801EE"/>
    <w:rsid w:val="6CE81FD1"/>
    <w:rsid w:val="6CF30EFC"/>
    <w:rsid w:val="6CFD6CF2"/>
    <w:rsid w:val="6D0B213A"/>
    <w:rsid w:val="6D1E7AB0"/>
    <w:rsid w:val="6D2A3CB8"/>
    <w:rsid w:val="6D3726C0"/>
    <w:rsid w:val="6D3C13EF"/>
    <w:rsid w:val="6D417C28"/>
    <w:rsid w:val="6D4F40E1"/>
    <w:rsid w:val="6D566DCE"/>
    <w:rsid w:val="6D5E04BB"/>
    <w:rsid w:val="6D60344B"/>
    <w:rsid w:val="6D610768"/>
    <w:rsid w:val="6D615924"/>
    <w:rsid w:val="6D6758F6"/>
    <w:rsid w:val="6D70286F"/>
    <w:rsid w:val="6D726375"/>
    <w:rsid w:val="6D8605B7"/>
    <w:rsid w:val="6D86469A"/>
    <w:rsid w:val="6DB0737B"/>
    <w:rsid w:val="6DB12CE1"/>
    <w:rsid w:val="6DB27B28"/>
    <w:rsid w:val="6DB34098"/>
    <w:rsid w:val="6DB545B6"/>
    <w:rsid w:val="6DBE560D"/>
    <w:rsid w:val="6DD01EAE"/>
    <w:rsid w:val="6DD84FE3"/>
    <w:rsid w:val="6DDF2BA1"/>
    <w:rsid w:val="6DF0064C"/>
    <w:rsid w:val="6DF901E4"/>
    <w:rsid w:val="6E0C6D84"/>
    <w:rsid w:val="6E0E3640"/>
    <w:rsid w:val="6E1D7CFF"/>
    <w:rsid w:val="6E4375A0"/>
    <w:rsid w:val="6E4A5348"/>
    <w:rsid w:val="6E514CED"/>
    <w:rsid w:val="6E5F380F"/>
    <w:rsid w:val="6E632885"/>
    <w:rsid w:val="6E6708D6"/>
    <w:rsid w:val="6E68124A"/>
    <w:rsid w:val="6E761835"/>
    <w:rsid w:val="6E79491A"/>
    <w:rsid w:val="6E7D0E15"/>
    <w:rsid w:val="6E7E3225"/>
    <w:rsid w:val="6E8126B3"/>
    <w:rsid w:val="6E833E77"/>
    <w:rsid w:val="6E8A48AD"/>
    <w:rsid w:val="6EB1286D"/>
    <w:rsid w:val="6EB563D5"/>
    <w:rsid w:val="6EB84FAC"/>
    <w:rsid w:val="6EBE2657"/>
    <w:rsid w:val="6EC010B0"/>
    <w:rsid w:val="6ED61BD6"/>
    <w:rsid w:val="6EE43096"/>
    <w:rsid w:val="6EF76598"/>
    <w:rsid w:val="6F0B34FD"/>
    <w:rsid w:val="6F0F745A"/>
    <w:rsid w:val="6F157DF0"/>
    <w:rsid w:val="6F165D50"/>
    <w:rsid w:val="6F191AC6"/>
    <w:rsid w:val="6F202742"/>
    <w:rsid w:val="6F225983"/>
    <w:rsid w:val="6F2F2676"/>
    <w:rsid w:val="6F474FFF"/>
    <w:rsid w:val="6F4B0F13"/>
    <w:rsid w:val="6F583B84"/>
    <w:rsid w:val="6F685621"/>
    <w:rsid w:val="6FB30830"/>
    <w:rsid w:val="6FB3753A"/>
    <w:rsid w:val="6FD11419"/>
    <w:rsid w:val="6FD57B35"/>
    <w:rsid w:val="6FE3419F"/>
    <w:rsid w:val="6FF25F04"/>
    <w:rsid w:val="6FFB0243"/>
    <w:rsid w:val="6FFC5590"/>
    <w:rsid w:val="70301DA3"/>
    <w:rsid w:val="70390FB7"/>
    <w:rsid w:val="70486433"/>
    <w:rsid w:val="704A4117"/>
    <w:rsid w:val="705A70B3"/>
    <w:rsid w:val="70623977"/>
    <w:rsid w:val="706D1DD0"/>
    <w:rsid w:val="70763D6E"/>
    <w:rsid w:val="70856B87"/>
    <w:rsid w:val="70891CF3"/>
    <w:rsid w:val="708960A3"/>
    <w:rsid w:val="708B529E"/>
    <w:rsid w:val="70B054D2"/>
    <w:rsid w:val="70BD1BC9"/>
    <w:rsid w:val="70CC4DD8"/>
    <w:rsid w:val="70D13BDC"/>
    <w:rsid w:val="70D527EE"/>
    <w:rsid w:val="70DC329D"/>
    <w:rsid w:val="70DE3EF0"/>
    <w:rsid w:val="70F5516F"/>
    <w:rsid w:val="70F90889"/>
    <w:rsid w:val="70FE3E32"/>
    <w:rsid w:val="70FE48F8"/>
    <w:rsid w:val="711F4406"/>
    <w:rsid w:val="7128470E"/>
    <w:rsid w:val="715A1226"/>
    <w:rsid w:val="715B5300"/>
    <w:rsid w:val="715F4BD7"/>
    <w:rsid w:val="716B0995"/>
    <w:rsid w:val="7178018F"/>
    <w:rsid w:val="71793B16"/>
    <w:rsid w:val="718F3339"/>
    <w:rsid w:val="71A306A7"/>
    <w:rsid w:val="71B11502"/>
    <w:rsid w:val="71BB2D89"/>
    <w:rsid w:val="71D27F8A"/>
    <w:rsid w:val="71D340B8"/>
    <w:rsid w:val="71DF5810"/>
    <w:rsid w:val="71E847F7"/>
    <w:rsid w:val="71ED1AE4"/>
    <w:rsid w:val="71EF3DD8"/>
    <w:rsid w:val="71F744C6"/>
    <w:rsid w:val="71F960CF"/>
    <w:rsid w:val="71FA428B"/>
    <w:rsid w:val="72007998"/>
    <w:rsid w:val="72040EDF"/>
    <w:rsid w:val="720B3FAF"/>
    <w:rsid w:val="72167F76"/>
    <w:rsid w:val="72200435"/>
    <w:rsid w:val="722B0C93"/>
    <w:rsid w:val="7230498D"/>
    <w:rsid w:val="72417A2A"/>
    <w:rsid w:val="7250733B"/>
    <w:rsid w:val="72525666"/>
    <w:rsid w:val="72606A84"/>
    <w:rsid w:val="72A21274"/>
    <w:rsid w:val="72BB1F0C"/>
    <w:rsid w:val="72CD440E"/>
    <w:rsid w:val="72D046E2"/>
    <w:rsid w:val="72D0499C"/>
    <w:rsid w:val="72FE1DE6"/>
    <w:rsid w:val="730D40BD"/>
    <w:rsid w:val="73153620"/>
    <w:rsid w:val="731F5D5E"/>
    <w:rsid w:val="733650F3"/>
    <w:rsid w:val="733F2D28"/>
    <w:rsid w:val="73427283"/>
    <w:rsid w:val="7359750C"/>
    <w:rsid w:val="735A6AC0"/>
    <w:rsid w:val="73644352"/>
    <w:rsid w:val="736600CA"/>
    <w:rsid w:val="736912ED"/>
    <w:rsid w:val="73723EC4"/>
    <w:rsid w:val="73733E55"/>
    <w:rsid w:val="739D4185"/>
    <w:rsid w:val="73A01AA0"/>
    <w:rsid w:val="73A0375E"/>
    <w:rsid w:val="73AF3ED7"/>
    <w:rsid w:val="73B17736"/>
    <w:rsid w:val="73C21E17"/>
    <w:rsid w:val="73CF3EC6"/>
    <w:rsid w:val="73D4451E"/>
    <w:rsid w:val="73DF3DB1"/>
    <w:rsid w:val="73E55116"/>
    <w:rsid w:val="73E7597F"/>
    <w:rsid w:val="73E9749F"/>
    <w:rsid w:val="73F317FA"/>
    <w:rsid w:val="73FA5677"/>
    <w:rsid w:val="74031DBD"/>
    <w:rsid w:val="74032EFE"/>
    <w:rsid w:val="740F3F2A"/>
    <w:rsid w:val="74135DC8"/>
    <w:rsid w:val="7416389E"/>
    <w:rsid w:val="741915E0"/>
    <w:rsid w:val="741E793C"/>
    <w:rsid w:val="74341F76"/>
    <w:rsid w:val="745F5557"/>
    <w:rsid w:val="746A5783"/>
    <w:rsid w:val="746B0BAD"/>
    <w:rsid w:val="746D7236"/>
    <w:rsid w:val="746F1200"/>
    <w:rsid w:val="746F2FAE"/>
    <w:rsid w:val="74B66177"/>
    <w:rsid w:val="74C23A26"/>
    <w:rsid w:val="74C62050"/>
    <w:rsid w:val="74D448E6"/>
    <w:rsid w:val="74EA49FD"/>
    <w:rsid w:val="74FA5D86"/>
    <w:rsid w:val="74FD05BA"/>
    <w:rsid w:val="74FE2D6F"/>
    <w:rsid w:val="75022BDD"/>
    <w:rsid w:val="750F158B"/>
    <w:rsid w:val="752E10BB"/>
    <w:rsid w:val="753C7334"/>
    <w:rsid w:val="7544268D"/>
    <w:rsid w:val="754729DC"/>
    <w:rsid w:val="754F4AD5"/>
    <w:rsid w:val="75530B22"/>
    <w:rsid w:val="75565720"/>
    <w:rsid w:val="755A18C8"/>
    <w:rsid w:val="755A6C79"/>
    <w:rsid w:val="755B7732"/>
    <w:rsid w:val="755E784D"/>
    <w:rsid w:val="7560120D"/>
    <w:rsid w:val="7561323F"/>
    <w:rsid w:val="75680129"/>
    <w:rsid w:val="756C6357"/>
    <w:rsid w:val="75851C18"/>
    <w:rsid w:val="758D75E2"/>
    <w:rsid w:val="759877EE"/>
    <w:rsid w:val="75992D4C"/>
    <w:rsid w:val="75B01439"/>
    <w:rsid w:val="75B14511"/>
    <w:rsid w:val="75B74C0D"/>
    <w:rsid w:val="75B95F6C"/>
    <w:rsid w:val="75BD407D"/>
    <w:rsid w:val="75BD7F3E"/>
    <w:rsid w:val="75C20CE1"/>
    <w:rsid w:val="75C8039D"/>
    <w:rsid w:val="75D51148"/>
    <w:rsid w:val="75D565B5"/>
    <w:rsid w:val="7608190C"/>
    <w:rsid w:val="761141EE"/>
    <w:rsid w:val="763515C6"/>
    <w:rsid w:val="76426BCC"/>
    <w:rsid w:val="765207E8"/>
    <w:rsid w:val="76634D94"/>
    <w:rsid w:val="767A1145"/>
    <w:rsid w:val="76BC1226"/>
    <w:rsid w:val="76D11CFE"/>
    <w:rsid w:val="76D77426"/>
    <w:rsid w:val="76E11F70"/>
    <w:rsid w:val="76E16C86"/>
    <w:rsid w:val="76ED456A"/>
    <w:rsid w:val="76F60514"/>
    <w:rsid w:val="770A0FA4"/>
    <w:rsid w:val="770C2D36"/>
    <w:rsid w:val="77131F0C"/>
    <w:rsid w:val="771B4F77"/>
    <w:rsid w:val="77376CED"/>
    <w:rsid w:val="774059AB"/>
    <w:rsid w:val="77550B81"/>
    <w:rsid w:val="775B37B3"/>
    <w:rsid w:val="775B5A6C"/>
    <w:rsid w:val="77626DFA"/>
    <w:rsid w:val="77762421"/>
    <w:rsid w:val="77785105"/>
    <w:rsid w:val="777F2645"/>
    <w:rsid w:val="77AB3A64"/>
    <w:rsid w:val="77AB7369"/>
    <w:rsid w:val="77B13B07"/>
    <w:rsid w:val="77BD15A4"/>
    <w:rsid w:val="77E912C9"/>
    <w:rsid w:val="77E95495"/>
    <w:rsid w:val="78075902"/>
    <w:rsid w:val="780D6D66"/>
    <w:rsid w:val="780F09F4"/>
    <w:rsid w:val="782B3690"/>
    <w:rsid w:val="78382EF8"/>
    <w:rsid w:val="783A38D3"/>
    <w:rsid w:val="784A10DC"/>
    <w:rsid w:val="7850458F"/>
    <w:rsid w:val="786C6827"/>
    <w:rsid w:val="787B248E"/>
    <w:rsid w:val="788007E2"/>
    <w:rsid w:val="78801C2E"/>
    <w:rsid w:val="788267F7"/>
    <w:rsid w:val="7886117B"/>
    <w:rsid w:val="789C4F47"/>
    <w:rsid w:val="789C633C"/>
    <w:rsid w:val="78A90480"/>
    <w:rsid w:val="78C31C0F"/>
    <w:rsid w:val="78DF1AD6"/>
    <w:rsid w:val="78E8332F"/>
    <w:rsid w:val="78F24CB5"/>
    <w:rsid w:val="78F9378E"/>
    <w:rsid w:val="790418E6"/>
    <w:rsid w:val="791C3DF8"/>
    <w:rsid w:val="79222CE5"/>
    <w:rsid w:val="792E3438"/>
    <w:rsid w:val="7931546B"/>
    <w:rsid w:val="79352681"/>
    <w:rsid w:val="793C4A8E"/>
    <w:rsid w:val="79556C16"/>
    <w:rsid w:val="795A247F"/>
    <w:rsid w:val="79667D10"/>
    <w:rsid w:val="79701CA2"/>
    <w:rsid w:val="79811327"/>
    <w:rsid w:val="79865022"/>
    <w:rsid w:val="79930A94"/>
    <w:rsid w:val="79954AEE"/>
    <w:rsid w:val="79982FA7"/>
    <w:rsid w:val="79A67472"/>
    <w:rsid w:val="79AE27CB"/>
    <w:rsid w:val="79AE6327"/>
    <w:rsid w:val="79BD4575"/>
    <w:rsid w:val="79C630CB"/>
    <w:rsid w:val="79C956DF"/>
    <w:rsid w:val="79D722A7"/>
    <w:rsid w:val="79DA5B24"/>
    <w:rsid w:val="79DD4919"/>
    <w:rsid w:val="79F959FA"/>
    <w:rsid w:val="79FB4964"/>
    <w:rsid w:val="7A0302E5"/>
    <w:rsid w:val="7A115712"/>
    <w:rsid w:val="7A1F7224"/>
    <w:rsid w:val="7A2158DD"/>
    <w:rsid w:val="7A364017"/>
    <w:rsid w:val="7A444E4A"/>
    <w:rsid w:val="7A4C15F4"/>
    <w:rsid w:val="7A5310CD"/>
    <w:rsid w:val="7A595F92"/>
    <w:rsid w:val="7A601D17"/>
    <w:rsid w:val="7A620597"/>
    <w:rsid w:val="7A6E76E1"/>
    <w:rsid w:val="7A8265E1"/>
    <w:rsid w:val="7A842CA7"/>
    <w:rsid w:val="7A9B4AFD"/>
    <w:rsid w:val="7ABD2CC5"/>
    <w:rsid w:val="7AE15030"/>
    <w:rsid w:val="7AE56F93"/>
    <w:rsid w:val="7AEF4E49"/>
    <w:rsid w:val="7AF83F51"/>
    <w:rsid w:val="7B0D52CF"/>
    <w:rsid w:val="7B117990"/>
    <w:rsid w:val="7B162434"/>
    <w:rsid w:val="7B263E32"/>
    <w:rsid w:val="7B2C1881"/>
    <w:rsid w:val="7B2F7570"/>
    <w:rsid w:val="7B4D22AB"/>
    <w:rsid w:val="7B5109BD"/>
    <w:rsid w:val="7B511678"/>
    <w:rsid w:val="7B614279"/>
    <w:rsid w:val="7B686D42"/>
    <w:rsid w:val="7B791DDF"/>
    <w:rsid w:val="7B817F6A"/>
    <w:rsid w:val="7B821819"/>
    <w:rsid w:val="7B841746"/>
    <w:rsid w:val="7B86755B"/>
    <w:rsid w:val="7B8C29DC"/>
    <w:rsid w:val="7B902188"/>
    <w:rsid w:val="7BB265A2"/>
    <w:rsid w:val="7BB424C3"/>
    <w:rsid w:val="7BEB768C"/>
    <w:rsid w:val="7BF23C6E"/>
    <w:rsid w:val="7BF92B4E"/>
    <w:rsid w:val="7BFA609C"/>
    <w:rsid w:val="7C077D96"/>
    <w:rsid w:val="7C0A4D10"/>
    <w:rsid w:val="7C0A6A36"/>
    <w:rsid w:val="7C0B3B92"/>
    <w:rsid w:val="7C0C51EE"/>
    <w:rsid w:val="7C1C7EBF"/>
    <w:rsid w:val="7C226A0C"/>
    <w:rsid w:val="7C3B7650"/>
    <w:rsid w:val="7C3E65E2"/>
    <w:rsid w:val="7C572CA5"/>
    <w:rsid w:val="7C6153C2"/>
    <w:rsid w:val="7C673344"/>
    <w:rsid w:val="7C6D071B"/>
    <w:rsid w:val="7C787319"/>
    <w:rsid w:val="7C8C0B9E"/>
    <w:rsid w:val="7C994AFF"/>
    <w:rsid w:val="7CA26DD4"/>
    <w:rsid w:val="7CA35EEB"/>
    <w:rsid w:val="7CAA00E0"/>
    <w:rsid w:val="7CCC7A15"/>
    <w:rsid w:val="7CDF7C7E"/>
    <w:rsid w:val="7CE64A4C"/>
    <w:rsid w:val="7CED360A"/>
    <w:rsid w:val="7D0239FF"/>
    <w:rsid w:val="7D037488"/>
    <w:rsid w:val="7D264C9A"/>
    <w:rsid w:val="7D382AD7"/>
    <w:rsid w:val="7D5E40CD"/>
    <w:rsid w:val="7D6514FE"/>
    <w:rsid w:val="7D693BED"/>
    <w:rsid w:val="7D6F68FF"/>
    <w:rsid w:val="7D725C18"/>
    <w:rsid w:val="7D8056AC"/>
    <w:rsid w:val="7D876AA7"/>
    <w:rsid w:val="7D8D7B32"/>
    <w:rsid w:val="7D961A6D"/>
    <w:rsid w:val="7DA96855"/>
    <w:rsid w:val="7DAD6864"/>
    <w:rsid w:val="7DB647A8"/>
    <w:rsid w:val="7DCA0DE6"/>
    <w:rsid w:val="7DD30A52"/>
    <w:rsid w:val="7DDA520A"/>
    <w:rsid w:val="7DDE31B9"/>
    <w:rsid w:val="7DEA542C"/>
    <w:rsid w:val="7E122809"/>
    <w:rsid w:val="7E2D0915"/>
    <w:rsid w:val="7E325778"/>
    <w:rsid w:val="7E3F75FE"/>
    <w:rsid w:val="7E402C0C"/>
    <w:rsid w:val="7E435D95"/>
    <w:rsid w:val="7E553C2B"/>
    <w:rsid w:val="7E576F8D"/>
    <w:rsid w:val="7E800F17"/>
    <w:rsid w:val="7E8F35E5"/>
    <w:rsid w:val="7E9A66E0"/>
    <w:rsid w:val="7EA5274C"/>
    <w:rsid w:val="7EAE7081"/>
    <w:rsid w:val="7EB00FFA"/>
    <w:rsid w:val="7EB90E2D"/>
    <w:rsid w:val="7EBA751C"/>
    <w:rsid w:val="7EDA196C"/>
    <w:rsid w:val="7EDC1B29"/>
    <w:rsid w:val="7EFD18A2"/>
    <w:rsid w:val="7EFE14E9"/>
    <w:rsid w:val="7F0B53D9"/>
    <w:rsid w:val="7F101EAE"/>
    <w:rsid w:val="7F185F3D"/>
    <w:rsid w:val="7F2826D7"/>
    <w:rsid w:val="7F2A63D2"/>
    <w:rsid w:val="7F3A5D6A"/>
    <w:rsid w:val="7F4A0143"/>
    <w:rsid w:val="7F552938"/>
    <w:rsid w:val="7F6B7CCC"/>
    <w:rsid w:val="7F7407A6"/>
    <w:rsid w:val="7F7605F4"/>
    <w:rsid w:val="7F7C22C3"/>
    <w:rsid w:val="7F83193F"/>
    <w:rsid w:val="7F8C25F6"/>
    <w:rsid w:val="7F977AA3"/>
    <w:rsid w:val="7F9F0E2D"/>
    <w:rsid w:val="7FB0202F"/>
    <w:rsid w:val="7FCA6E59"/>
    <w:rsid w:val="7FCB7C32"/>
    <w:rsid w:val="7FE47E50"/>
    <w:rsid w:val="7FE848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7">
    <w:name w:val="heading 2"/>
    <w:basedOn w:val="8"/>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9">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10">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6"/>
    <w:semiHidden/>
    <w:qFormat/>
    <w:uiPriority w:val="0"/>
    <w:pPr>
      <w:spacing w:after="120"/>
      <w:ind w:left="420" w:leftChars="200"/>
    </w:pPr>
  </w:style>
  <w:style w:type="paragraph" w:styleId="4">
    <w:name w:val="Body Text First Indent"/>
    <w:basedOn w:val="5"/>
    <w:next w:val="1"/>
    <w:qFormat/>
    <w:uiPriority w:val="0"/>
    <w:pPr>
      <w:ind w:firstLine="420" w:firstLineChars="100"/>
    </w:pPr>
    <w:rPr>
      <w:szCs w:val="24"/>
    </w:rPr>
  </w:style>
  <w:style w:type="paragraph" w:styleId="5">
    <w:name w:val="Body Text"/>
    <w:basedOn w:val="1"/>
    <w:link w:val="35"/>
    <w:qFormat/>
    <w:uiPriority w:val="0"/>
    <w:pPr>
      <w:widowControl/>
      <w:snapToGrid w:val="0"/>
      <w:spacing w:before="60" w:after="160" w:line="259" w:lineRule="auto"/>
      <w:ind w:right="113"/>
    </w:pPr>
    <w:rPr>
      <w:kern w:val="0"/>
      <w:sz w:val="18"/>
      <w:szCs w:val="18"/>
    </w:rPr>
  </w:style>
  <w:style w:type="paragraph" w:styleId="8">
    <w:name w:val="Title"/>
    <w:basedOn w:val="1"/>
    <w:next w:val="7"/>
    <w:qFormat/>
    <w:locked/>
    <w:uiPriority w:val="0"/>
    <w:pPr>
      <w:spacing w:before="240" w:after="60"/>
      <w:jc w:val="center"/>
      <w:outlineLvl w:val="0"/>
    </w:pPr>
    <w:rPr>
      <w:rFonts w:ascii="Arial" w:hAnsi="Arial"/>
      <w:b/>
      <w:sz w:val="32"/>
      <w:szCs w:val="20"/>
    </w:rPr>
  </w:style>
  <w:style w:type="paragraph" w:styleId="11">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2">
    <w:name w:val="index 5"/>
    <w:basedOn w:val="1"/>
    <w:next w:val="1"/>
    <w:qFormat/>
    <w:uiPriority w:val="0"/>
    <w:pPr>
      <w:ind w:left="800" w:leftChars="800"/>
    </w:pPr>
    <w:rPr>
      <w:szCs w:val="24"/>
    </w:rPr>
  </w:style>
  <w:style w:type="paragraph" w:styleId="13">
    <w:name w:val="annotation text"/>
    <w:basedOn w:val="1"/>
    <w:link w:val="34"/>
    <w:semiHidden/>
    <w:qFormat/>
    <w:uiPriority w:val="0"/>
    <w:pPr>
      <w:jc w:val="left"/>
    </w:pPr>
    <w:rPr>
      <w:kern w:val="0"/>
      <w:sz w:val="20"/>
    </w:rPr>
  </w:style>
  <w:style w:type="paragraph" w:styleId="14">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5">
    <w:name w:val="Plain Text"/>
    <w:basedOn w:val="1"/>
    <w:next w:val="12"/>
    <w:unhideWhenUsed/>
    <w:qFormat/>
    <w:uiPriority w:val="99"/>
    <w:rPr>
      <w:rFonts w:ascii="宋体" w:hAnsi="Courier New"/>
      <w:bCs/>
      <w:sz w:val="21"/>
    </w:rPr>
  </w:style>
  <w:style w:type="paragraph" w:styleId="16">
    <w:name w:val="Date"/>
    <w:basedOn w:val="1"/>
    <w:next w:val="1"/>
    <w:link w:val="37"/>
    <w:qFormat/>
    <w:uiPriority w:val="0"/>
    <w:pPr>
      <w:ind w:left="100" w:leftChars="2500"/>
    </w:pPr>
    <w:rPr>
      <w:kern w:val="0"/>
      <w:sz w:val="20"/>
    </w:rPr>
  </w:style>
  <w:style w:type="paragraph" w:styleId="17">
    <w:name w:val="Body Text Indent 2"/>
    <w:basedOn w:val="1"/>
    <w:qFormat/>
    <w:uiPriority w:val="0"/>
    <w:pPr>
      <w:spacing w:after="120" w:afterLines="0" w:line="480" w:lineRule="auto"/>
      <w:ind w:left="420" w:leftChars="200"/>
    </w:pPr>
    <w:rPr>
      <w:szCs w:val="24"/>
    </w:rPr>
  </w:style>
  <w:style w:type="paragraph" w:styleId="18">
    <w:name w:val="Balloon Text"/>
    <w:basedOn w:val="1"/>
    <w:link w:val="38"/>
    <w:semiHidden/>
    <w:qFormat/>
    <w:uiPriority w:val="0"/>
    <w:rPr>
      <w:sz w:val="18"/>
      <w:szCs w:val="18"/>
    </w:rPr>
  </w:style>
  <w:style w:type="paragraph" w:styleId="19">
    <w:name w:val="footer"/>
    <w:basedOn w:val="1"/>
    <w:link w:val="39"/>
    <w:qFormat/>
    <w:uiPriority w:val="0"/>
    <w:pPr>
      <w:tabs>
        <w:tab w:val="center" w:pos="4153"/>
        <w:tab w:val="right" w:pos="8306"/>
      </w:tabs>
      <w:snapToGrid w:val="0"/>
      <w:jc w:val="left"/>
    </w:pPr>
    <w:rPr>
      <w:sz w:val="18"/>
      <w:szCs w:val="18"/>
    </w:rPr>
  </w:style>
  <w:style w:type="paragraph" w:styleId="20">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next w:val="1"/>
    <w:qFormat/>
    <w:uiPriority w:val="0"/>
    <w:pPr>
      <w:spacing w:line="360" w:lineRule="auto"/>
      <w:ind w:left="200" w:hanging="200" w:hangingChars="200"/>
    </w:pPr>
    <w:rPr>
      <w:sz w:val="24"/>
    </w:rPr>
  </w:style>
  <w:style w:type="paragraph" w:styleId="22">
    <w:name w:val="Normal (Web)"/>
    <w:basedOn w:val="1"/>
    <w:link w:val="41"/>
    <w:qFormat/>
    <w:uiPriority w:val="0"/>
    <w:pPr>
      <w:widowControl/>
      <w:spacing w:before="100" w:beforeAutospacing="1" w:after="100" w:afterAutospacing="1"/>
      <w:jc w:val="left"/>
    </w:pPr>
    <w:rPr>
      <w:rFonts w:ascii="宋体" w:hAnsi="宋体"/>
      <w:kern w:val="0"/>
      <w:sz w:val="24"/>
    </w:rPr>
  </w:style>
  <w:style w:type="paragraph" w:styleId="23">
    <w:name w:val="annotation subject"/>
    <w:basedOn w:val="13"/>
    <w:next w:val="13"/>
    <w:link w:val="42"/>
    <w:semiHidden/>
    <w:qFormat/>
    <w:uiPriority w:val="0"/>
    <w:rPr>
      <w:b/>
      <w:bCs/>
    </w:rPr>
  </w:style>
  <w:style w:type="table" w:styleId="25">
    <w:name w:val="Table Grid"/>
    <w:basedOn w:val="2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locked/>
    <w:uiPriority w:val="0"/>
    <w:rPr>
      <w:b/>
    </w:rPr>
  </w:style>
  <w:style w:type="character" w:styleId="28">
    <w:name w:val="page number"/>
    <w:basedOn w:val="26"/>
    <w:qFormat/>
    <w:uiPriority w:val="0"/>
  </w:style>
  <w:style w:type="character" w:styleId="29">
    <w:name w:val="Emphasis"/>
    <w:qFormat/>
    <w:locked/>
    <w:uiPriority w:val="0"/>
    <w:rPr>
      <w:i/>
    </w:rPr>
  </w:style>
  <w:style w:type="character" w:styleId="30">
    <w:name w:val="Hyperlink"/>
    <w:basedOn w:val="26"/>
    <w:qFormat/>
    <w:uiPriority w:val="0"/>
    <w:rPr>
      <w:color w:val="0000FF"/>
      <w:u w:val="single"/>
    </w:rPr>
  </w:style>
  <w:style w:type="character" w:styleId="31">
    <w:name w:val="annotation reference"/>
    <w:basedOn w:val="26"/>
    <w:semiHidden/>
    <w:qFormat/>
    <w:uiPriority w:val="0"/>
    <w:rPr>
      <w:sz w:val="21"/>
    </w:rPr>
  </w:style>
  <w:style w:type="paragraph" w:customStyle="1" w:styleId="32">
    <w:name w:val="Default"/>
    <w:basedOn w:val="33"/>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3">
    <w:name w:val="1 表头"/>
    <w:basedOn w:val="1"/>
    <w:qFormat/>
    <w:uiPriority w:val="0"/>
    <w:pPr>
      <w:spacing w:line="240" w:lineRule="auto"/>
      <w:ind w:firstLine="0" w:firstLineChars="0"/>
      <w:jc w:val="center"/>
    </w:pPr>
    <w:rPr>
      <w:b/>
      <w:color w:val="000000"/>
      <w:sz w:val="21"/>
      <w:szCs w:val="21"/>
    </w:rPr>
  </w:style>
  <w:style w:type="character" w:customStyle="1" w:styleId="34">
    <w:name w:val="Comment Text Char"/>
    <w:link w:val="13"/>
    <w:qFormat/>
    <w:locked/>
    <w:uiPriority w:val="0"/>
    <w:rPr>
      <w:rFonts w:ascii="Times New Roman" w:hAnsi="Times New Roman" w:eastAsia="宋体"/>
      <w:sz w:val="24"/>
    </w:rPr>
  </w:style>
  <w:style w:type="character" w:customStyle="1" w:styleId="35">
    <w:name w:val="Body Text Char"/>
    <w:link w:val="5"/>
    <w:qFormat/>
    <w:locked/>
    <w:uiPriority w:val="0"/>
    <w:rPr>
      <w:sz w:val="18"/>
    </w:rPr>
  </w:style>
  <w:style w:type="character" w:customStyle="1" w:styleId="36">
    <w:name w:val="Body Text Indent Char"/>
    <w:basedOn w:val="26"/>
    <w:link w:val="3"/>
    <w:semiHidden/>
    <w:qFormat/>
    <w:locked/>
    <w:uiPriority w:val="0"/>
    <w:rPr>
      <w:rFonts w:ascii="Times New Roman" w:hAnsi="Times New Roman" w:eastAsia="宋体" w:cs="Times New Roman"/>
      <w:sz w:val="24"/>
      <w:szCs w:val="24"/>
    </w:rPr>
  </w:style>
  <w:style w:type="character" w:customStyle="1" w:styleId="37">
    <w:name w:val="Date Char"/>
    <w:link w:val="16"/>
    <w:qFormat/>
    <w:locked/>
    <w:uiPriority w:val="0"/>
    <w:rPr>
      <w:rFonts w:ascii="Times New Roman" w:hAnsi="Times New Roman" w:eastAsia="宋体"/>
      <w:sz w:val="24"/>
    </w:rPr>
  </w:style>
  <w:style w:type="character" w:customStyle="1" w:styleId="38">
    <w:name w:val="Balloon Text Char"/>
    <w:basedOn w:val="26"/>
    <w:link w:val="18"/>
    <w:semiHidden/>
    <w:qFormat/>
    <w:locked/>
    <w:uiPriority w:val="0"/>
    <w:rPr>
      <w:rFonts w:ascii="Times New Roman" w:hAnsi="Times New Roman" w:eastAsia="宋体" w:cs="Times New Roman"/>
      <w:sz w:val="18"/>
      <w:szCs w:val="18"/>
    </w:rPr>
  </w:style>
  <w:style w:type="character" w:customStyle="1" w:styleId="39">
    <w:name w:val="Footer Char"/>
    <w:basedOn w:val="26"/>
    <w:link w:val="19"/>
    <w:qFormat/>
    <w:locked/>
    <w:uiPriority w:val="0"/>
    <w:rPr>
      <w:rFonts w:cs="Times New Roman"/>
      <w:sz w:val="18"/>
      <w:szCs w:val="18"/>
    </w:rPr>
  </w:style>
  <w:style w:type="character" w:customStyle="1" w:styleId="40">
    <w:name w:val="Header Char"/>
    <w:basedOn w:val="26"/>
    <w:link w:val="20"/>
    <w:qFormat/>
    <w:locked/>
    <w:uiPriority w:val="0"/>
    <w:rPr>
      <w:rFonts w:cs="Times New Roman"/>
      <w:sz w:val="18"/>
      <w:szCs w:val="18"/>
    </w:rPr>
  </w:style>
  <w:style w:type="character" w:customStyle="1" w:styleId="41">
    <w:name w:val="Normal (Web) Char"/>
    <w:link w:val="22"/>
    <w:qFormat/>
    <w:locked/>
    <w:uiPriority w:val="0"/>
    <w:rPr>
      <w:rFonts w:ascii="宋体" w:hAnsi="宋体" w:eastAsia="宋体"/>
      <w:sz w:val="24"/>
    </w:rPr>
  </w:style>
  <w:style w:type="character" w:customStyle="1" w:styleId="42">
    <w:name w:val="Comment Subject Char"/>
    <w:basedOn w:val="34"/>
    <w:link w:val="23"/>
    <w:semiHidden/>
    <w:qFormat/>
    <w:locked/>
    <w:uiPriority w:val="0"/>
    <w:rPr>
      <w:rFonts w:cs="Times New Roman"/>
      <w:b/>
      <w:bCs/>
      <w:kern w:val="2"/>
      <w:szCs w:val="24"/>
    </w:rPr>
  </w:style>
  <w:style w:type="character" w:customStyle="1" w:styleId="43">
    <w:name w:val="日期 字符"/>
    <w:basedOn w:val="26"/>
    <w:semiHidden/>
    <w:qFormat/>
    <w:uiPriority w:val="0"/>
    <w:rPr>
      <w:rFonts w:ascii="Times New Roman" w:hAnsi="Times New Roman" w:eastAsia="宋体" w:cs="Times New Roman"/>
      <w:sz w:val="24"/>
      <w:szCs w:val="24"/>
    </w:rPr>
  </w:style>
  <w:style w:type="character" w:customStyle="1" w:styleId="44">
    <w:name w:val="正文文本 字符1"/>
    <w:basedOn w:val="26"/>
    <w:semiHidden/>
    <w:qFormat/>
    <w:uiPriority w:val="0"/>
    <w:rPr>
      <w:rFonts w:ascii="Times New Roman" w:hAnsi="Times New Roman" w:eastAsia="宋体" w:cs="Times New Roman"/>
      <w:sz w:val="24"/>
      <w:szCs w:val="24"/>
    </w:rPr>
  </w:style>
  <w:style w:type="paragraph" w:customStyle="1" w:styleId="45">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6">
    <w:name w:val="表格 Char"/>
    <w:link w:val="47"/>
    <w:qFormat/>
    <w:locked/>
    <w:uiPriority w:val="0"/>
    <w:rPr>
      <w:rFonts w:ascii="宋体"/>
      <w:sz w:val="21"/>
    </w:rPr>
  </w:style>
  <w:style w:type="paragraph" w:customStyle="1" w:styleId="47">
    <w:name w:val="表格"/>
    <w:basedOn w:val="1"/>
    <w:link w:val="46"/>
    <w:qFormat/>
    <w:uiPriority w:val="0"/>
    <w:pPr>
      <w:adjustRightInd w:val="0"/>
      <w:snapToGrid w:val="0"/>
      <w:spacing w:beforeLines="10" w:afterLines="10" w:line="259" w:lineRule="auto"/>
      <w:jc w:val="center"/>
    </w:pPr>
    <w:rPr>
      <w:rFonts w:ascii="宋体"/>
      <w:kern w:val="0"/>
      <w:sz w:val="20"/>
      <w:szCs w:val="21"/>
    </w:rPr>
  </w:style>
  <w:style w:type="character" w:customStyle="1" w:styleId="48">
    <w:name w:val="批注文字 字符1"/>
    <w:basedOn w:val="26"/>
    <w:semiHidden/>
    <w:qFormat/>
    <w:uiPriority w:val="0"/>
    <w:rPr>
      <w:rFonts w:ascii="Times New Roman" w:hAnsi="Times New Roman" w:eastAsia="宋体" w:cs="Times New Roman"/>
      <w:sz w:val="24"/>
      <w:szCs w:val="24"/>
    </w:rPr>
  </w:style>
  <w:style w:type="paragraph" w:customStyle="1" w:styleId="49">
    <w:name w:val="正文格式啊啊啊啊"/>
    <w:basedOn w:val="1"/>
    <w:link w:val="50"/>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50">
    <w:name w:val="正文格式啊啊啊啊 Char"/>
    <w:link w:val="49"/>
    <w:qFormat/>
    <w:uiPriority w:val="0"/>
    <w:rPr>
      <w:rFonts w:ascii="Times New Roman" w:hAnsi="Times New Roman" w:eastAsia="宋体" w:cs="宋体"/>
      <w:kern w:val="0"/>
      <w:sz w:val="24"/>
    </w:rPr>
  </w:style>
  <w:style w:type="paragraph" w:customStyle="1" w:styleId="51">
    <w:name w:val="小标题啊啊啊啊啊"/>
    <w:basedOn w:val="1"/>
    <w:link w:val="52"/>
    <w:qFormat/>
    <w:uiPriority w:val="0"/>
    <w:pPr>
      <w:adjustRightInd w:val="0"/>
      <w:snapToGrid w:val="0"/>
      <w:spacing w:line="520" w:lineRule="exact"/>
      <w:jc w:val="left"/>
    </w:pPr>
    <w:rPr>
      <w:rFonts w:ascii="Times New Roman" w:hAnsi="Times New Roman" w:eastAsia="宋体" w:cs="宋体"/>
      <w:b/>
      <w:kern w:val="0"/>
      <w:sz w:val="24"/>
    </w:rPr>
  </w:style>
  <w:style w:type="character" w:customStyle="1" w:styleId="52">
    <w:name w:val="小标题啊啊啊啊啊 Char"/>
    <w:link w:val="51"/>
    <w:qFormat/>
    <w:uiPriority w:val="0"/>
    <w:rPr>
      <w:rFonts w:ascii="Times New Roman" w:hAnsi="Times New Roman" w:eastAsia="宋体" w:cs="宋体"/>
      <w:b/>
      <w:kern w:val="0"/>
      <w:sz w:val="24"/>
    </w:rPr>
  </w:style>
  <w:style w:type="paragraph" w:customStyle="1" w:styleId="53">
    <w:name w:val="表头啊啊啊啊"/>
    <w:basedOn w:val="1"/>
    <w:link w:val="54"/>
    <w:qFormat/>
    <w:uiPriority w:val="0"/>
    <w:pPr>
      <w:adjustRightInd w:val="0"/>
      <w:snapToGrid w:val="0"/>
      <w:jc w:val="center"/>
    </w:pPr>
    <w:rPr>
      <w:rFonts w:hint="eastAsia" w:ascii="Times New Roman" w:hAnsi="Times New Roman" w:cs="宋体"/>
      <w:b/>
      <w:szCs w:val="21"/>
    </w:rPr>
  </w:style>
  <w:style w:type="character" w:customStyle="1" w:styleId="54">
    <w:name w:val="表头啊啊啊啊 Char"/>
    <w:link w:val="53"/>
    <w:qFormat/>
    <w:uiPriority w:val="0"/>
    <w:rPr>
      <w:rFonts w:hint="eastAsia" w:ascii="Times New Roman" w:hAnsi="Times New Roman" w:cs="宋体"/>
      <w:b/>
      <w:szCs w:val="21"/>
    </w:rPr>
  </w:style>
  <w:style w:type="paragraph" w:customStyle="1" w:styleId="55">
    <w:name w:val="表格内文字啊啊啊啊"/>
    <w:basedOn w:val="1"/>
    <w:link w:val="56"/>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6">
    <w:name w:val="表格内文字啊啊啊啊 Char"/>
    <w:link w:val="55"/>
    <w:qFormat/>
    <w:uiPriority w:val="0"/>
    <w:rPr>
      <w:rFonts w:hint="eastAsia" w:ascii="Times New Roman" w:hAnsi="Times New Roman" w:eastAsia="宋体" w:cs="宋体"/>
      <w:color w:val="000000"/>
      <w:kern w:val="0"/>
      <w:szCs w:val="21"/>
    </w:rPr>
  </w:style>
  <w:style w:type="paragraph" w:customStyle="1" w:styleId="57">
    <w:name w:val="表头啊啊啊啊啊"/>
    <w:basedOn w:val="1"/>
    <w:link w:val="58"/>
    <w:qFormat/>
    <w:uiPriority w:val="0"/>
    <w:pPr>
      <w:jc w:val="center"/>
    </w:pPr>
    <w:rPr>
      <w:rFonts w:ascii="Times New Roman" w:hAnsi="Times New Roman" w:eastAsia="宋体" w:cs="Times New Roman"/>
      <w:b/>
      <w:bCs/>
      <w:szCs w:val="21"/>
    </w:rPr>
  </w:style>
  <w:style w:type="character" w:customStyle="1" w:styleId="58">
    <w:name w:val="表头啊啊啊啊啊 Char"/>
    <w:link w:val="57"/>
    <w:qFormat/>
    <w:uiPriority w:val="0"/>
    <w:rPr>
      <w:rFonts w:ascii="Times New Roman" w:hAnsi="Times New Roman" w:eastAsia="宋体" w:cs="Times New Roman"/>
      <w:b/>
      <w:bCs/>
      <w:szCs w:val="21"/>
    </w:rPr>
  </w:style>
  <w:style w:type="paragraph" w:customStyle="1" w:styleId="59">
    <w:name w:val="表格里面啊啊啊啊"/>
    <w:basedOn w:val="1"/>
    <w:qFormat/>
    <w:uiPriority w:val="0"/>
    <w:pPr>
      <w:jc w:val="center"/>
    </w:pPr>
    <w:rPr>
      <w:rFonts w:ascii="Times New Roman" w:hAnsi="Times New Roman" w:eastAsia="宋体" w:cs="Times New Roman"/>
      <w:szCs w:val="21"/>
    </w:rPr>
  </w:style>
  <w:style w:type="paragraph" w:customStyle="1" w:styleId="60">
    <w:name w:val="表格头jophy"/>
    <w:basedOn w:val="1"/>
    <w:qFormat/>
    <w:uiPriority w:val="0"/>
    <w:pPr>
      <w:adjustRightInd w:val="0"/>
      <w:snapToGrid w:val="0"/>
      <w:jc w:val="center"/>
      <w:textAlignment w:val="baseline"/>
    </w:pPr>
    <w:rPr>
      <w:b/>
      <w:bCs/>
      <w:spacing w:val="-10"/>
      <w:kern w:val="0"/>
      <w:szCs w:val="28"/>
    </w:rPr>
  </w:style>
  <w:style w:type="paragraph" w:customStyle="1" w:styleId="61">
    <w:name w:val="表格内容jophy"/>
    <w:basedOn w:val="1"/>
    <w:qFormat/>
    <w:uiPriority w:val="0"/>
    <w:pPr>
      <w:adjustRightInd w:val="0"/>
      <w:snapToGrid w:val="0"/>
      <w:jc w:val="center"/>
    </w:pPr>
    <w:rPr>
      <w:szCs w:val="18"/>
    </w:rPr>
  </w:style>
  <w:style w:type="table" w:customStyle="1" w:styleId="62">
    <w:name w:val="TableGrid"/>
    <w:basedOn w:val="24"/>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3">
    <w:name w:val="1正文段落"/>
    <w:basedOn w:val="1"/>
    <w:qFormat/>
    <w:uiPriority w:val="0"/>
    <w:pPr>
      <w:spacing w:line="360" w:lineRule="auto"/>
      <w:ind w:firstLine="480" w:firstLineChars="200"/>
      <w:jc w:val="left"/>
    </w:pPr>
    <w:rPr>
      <w:snapToGrid w:val="0"/>
      <w:kern w:val="0"/>
      <w:sz w:val="24"/>
    </w:rPr>
  </w:style>
  <w:style w:type="paragraph" w:customStyle="1" w:styleId="64">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5">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6">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 w:type="paragraph" w:customStyle="1" w:styleId="67">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8">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9">
    <w:name w:val="Plain Text"/>
    <w:basedOn w:val="1"/>
    <w:qFormat/>
    <w:uiPriority w:val="0"/>
    <w:pPr>
      <w:adjustRightInd w:val="0"/>
      <w:jc w:val="left"/>
    </w:pPr>
    <w:rPr>
      <w:sz w:val="24"/>
      <w:szCs w:val="20"/>
    </w:rPr>
  </w:style>
  <w:style w:type="paragraph" w:customStyle="1" w:styleId="70">
    <w:name w:val="海正文"/>
    <w:basedOn w:val="1"/>
    <w:qFormat/>
    <w:uiPriority w:val="0"/>
    <w:pPr>
      <w:spacing w:line="360" w:lineRule="auto"/>
      <w:ind w:firstLine="200" w:firstLineChars="200"/>
    </w:pPr>
    <w:rPr>
      <w:rFonts w:ascii="宋体" w:hAnsi="宋体" w:cs="宋体"/>
      <w:sz w:val="24"/>
      <w:szCs w:val="20"/>
    </w:rPr>
  </w:style>
  <w:style w:type="paragraph" w:customStyle="1" w:styleId="71">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2">
    <w:name w:val="fontstyle01"/>
    <w:basedOn w:val="26"/>
    <w:qFormat/>
    <w:uiPriority w:val="0"/>
    <w:rPr>
      <w:rFonts w:ascii="仿宋" w:hAnsi="仿宋" w:eastAsia="仿宋" w:cs="仿宋"/>
      <w:color w:val="000000"/>
      <w:sz w:val="30"/>
      <w:szCs w:val="30"/>
    </w:rPr>
  </w:style>
  <w:style w:type="paragraph" w:customStyle="1" w:styleId="73">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4">
    <w:name w:val="图名表名"/>
    <w:basedOn w:val="1"/>
    <w:qFormat/>
    <w:uiPriority w:val="0"/>
    <w:pPr>
      <w:kinsoku w:val="0"/>
      <w:overflowPunct w:val="0"/>
      <w:autoSpaceDE w:val="0"/>
      <w:autoSpaceDN w:val="0"/>
      <w:spacing w:line="240" w:lineRule="auto"/>
      <w:ind w:firstLine="0" w:firstLineChars="0"/>
      <w:jc w:val="center"/>
    </w:pPr>
    <w:rPr>
      <w:b/>
      <w:sz w:val="24"/>
    </w:rPr>
  </w:style>
  <w:style w:type="paragraph" w:customStyle="1" w:styleId="75">
    <w:name w:val="表内文字啊啊啊"/>
    <w:unhideWhenUsed/>
    <w:qFormat/>
    <w:uiPriority w:val="0"/>
    <w:pPr>
      <w:widowControl w:val="0"/>
      <w:adjustRightInd w:val="0"/>
      <w:snapToGrid w:val="0"/>
      <w:spacing w:beforeLines="0" w:afterLines="0"/>
      <w:jc w:val="center"/>
    </w:pPr>
    <w:rPr>
      <w:rFonts w:hint="eastAsia" w:ascii="Times New Roman" w:hAnsi="Times New Roman" w:eastAsia="宋体" w:cs="宋体"/>
      <w:color w:val="auto"/>
      <w:kern w:val="2"/>
      <w:sz w:val="21"/>
      <w:szCs w:val="21"/>
      <w:lang w:val="en-US" w:eastAsia="zh-CN" w:bidi="ar-SA"/>
    </w:rPr>
  </w:style>
  <w:style w:type="paragraph" w:customStyle="1" w:styleId="76">
    <w:name w:val="111表格内"/>
    <w:basedOn w:val="1"/>
    <w:qFormat/>
    <w:uiPriority w:val="0"/>
    <w:pPr>
      <w:wordWrap w:val="0"/>
      <w:jc w:val="center"/>
    </w:pPr>
    <w:rPr>
      <w:rFonts w:ascii="Times New Roman" w:hAnsi="Times New Roman" w:eastAsia="宋体"/>
      <w:szCs w:val="21"/>
    </w:rPr>
  </w:style>
  <w:style w:type="paragraph" w:customStyle="1" w:styleId="77">
    <w:name w:val="Table Text"/>
    <w:basedOn w:val="1"/>
    <w:semiHidden/>
    <w:qFormat/>
    <w:uiPriority w:val="0"/>
    <w:rPr>
      <w:rFonts w:ascii="宋体" w:hAnsi="宋体" w:eastAsia="宋体" w:cs="宋体"/>
      <w:sz w:val="24"/>
      <w:szCs w:val="24"/>
      <w:lang w:val="en-US" w:eastAsia="en-US" w:bidi="ar-SA"/>
    </w:rPr>
  </w:style>
  <w:style w:type="table" w:customStyle="1" w:styleId="7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U0TXpnbE4wUWxNa01sTWpKbGJHVnRaVzUwY3lVeU1pVXpRU1UzUWlVeU1tTjZkSGxMWmxodmJXZ3pNall3T1RB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pvSlRJeUpUTkJKVEl5YUNVeU1pVXlReVV5TW5nbE1qSWxNMEV4TUNVeVF5VXlNbmtsTWpJbE0wRXdKVGRFSlRKREpUSXlkR1Y0ZENVeU1pVXpRU1V5TWlWRk5pVTVOaVZDTUNWRk9TVkNNaVU1UXlWRk5pVkNNQ1ZDTkNVelEyUnBkaVV6UlRReU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NKVGswSlRsR0pVVTBKVUpCSlVFM0pVVTNKVGswSlVFNEpVVTJKVUl3SlVJ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4wUWxNa01sTWpKa1lYUmhRWFIwY21saWRYUmxjeVV5TWlVelFTVTFRaVUzUWlVeU1tNWhiV1VsTWpJbE0wRWxNaklsUlRVbFFrRWxPRVlsUlRVbE9FWWxRamNsTWpJbE1rTWxNakpwWkNVeU1pVXpRU1V5TW5kQmJWVnljbmRvWm0weU9USXdNekFsTWpJbE1rTWxNakowZVhCbEpUSXlKVE5CSlRJeWJuVnRZbVZ5SlRJeUpUSkRKVEl5WTJGMFpXZHZjbmtsTWpJbE0wRWxNakprWldaaGRXeDBKVEl5SlRKREpUSXlkbUZzZFdVbE1qSWxNMEVsTWpJbE1qSWxOMFFsTWtNbE4wSWxNakp1WVcxbEpUSXlKVE5CSlRJeUpVVTFKVGt3SlRoRUpVVTNKVUUzSlVJd0pUSXlKVEpESlRJeWFXUWxNaklsTTBFbE1qSkNkMWhMUW5SRlJsUnlNRFEyTmpnek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MyOXNhV1FsTWpJbE4wUWxNa01sTWpKMGFHVnRaU1V5TWlVelFTVTNRaVUzUkNVeVF5VXlNbWxrSlRJeUpUTkJKVEl5VmxaWlRrbE9jMHBaWnpFeU16STBPU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oyYTBGUlUyaDFiV1J5TURFeE9USTF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FlsUWpNbFFUVWxSVFlsUWpVbE9EWWxSVGdsUWpBbE9ETWxSVGtsT0RVbE9FUWxSVFlsUWpBbFFq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VFsRkJWSEZTUTNwMldUazFPRE14TmlVeU1pVXlReVV5TW5SNWNHVWxNaklsTTBFbE1qSnVkVzFpWlhJbE1qSWxNa01sTWpKallYUmxaMjl5ZVNVeU1pVXpRU1V5TW1SbFptRjFiSFFsTWpJbE1rTWxNakoyWVd4MVpTVXlNaVV6UVNVeU1pVXlNaVUzUkNVeVF5VTNRaVV5TW01aGJXVWxNaklsTTBFbE1qSWxSVFVsT1RBbE9FUWxSVGNsUVRjbFFqQWxNaklsTWtNbE1qSnBaQ1V5TWlVelFTVXlNblpWYzFCelpucDZkV00zTnpVd01Ea2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k52Ykdsa0pUSXlKVGRFSlRKREpUSXlkR2hsYldVbE1qSWxNMEVsTjBJbE4wUWxNa01sTWpKcFpDVXlNaVV6UVNVeU1uWnJRVkZUYUhWdFpISXdNVEU1TWpV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FYaHFiSEZUUkd0NmJUa3hOREF4TWl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NUpUa3lKVUpDSlVVMEpVSkJKVGsxSlVVNEpVRkZKVUpGSlVVMUpVRTBKVGczSlVVMUpUZzJKVUl5SlVVMkpVSTBKVGszSlVVMkpVSXdKVUkwSlRORFluSWxNM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WpKamIyeHZjaVV5TWlVelFTVXlNakkxTlNVeVF6STFOU1V5UXpJMU5TVXlNaVV5UXlVeU1uUjVjR1VsTWpJbE0wRWxNakp6YjJ4cFpDVXlNaVUzUkNVeVF5VXlNblJvWlcxbEpUSXlKVE5CSlRkQ0pUZEVKVEpESlRJeWFXUWxNaklsTTBFbE1qSkJlR3BzY1ZORWEzcHRPVEUwTURFeU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taExhV0pZWkhwSFVrSXlNemMzTWp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pVkNNaVU0T1NWRk5pVkNOeVU0TUNWRk5pVkNNU1ZCTU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GV0ZoS2FFSjZZWHBwTXpZek5EY3lKVEl5SlRKREpUSXlkSGx3WlNVeU1pVXpRU1V5TW01MWJXSmxjaVV5TWlVeVF5VXlNbU5oZEdWbmIzSjVKVEl5SlROQkpUSXlaR1ZtWVhWc2RDVXlNaVV5UXlVeU1uWmhiSFZsSlRJeUpUTkJKVEl5SlRJeUpUZEVKVEpESlRkQ0pUSXlibUZ0WlNVeU1pVXpRU1V5TWlWRk5TVTVNQ1U0UkNWRk55VkJOeVZDTUNVeU1pVXlReVV5TW1sa0pUSXlKVE5CSlRJeWMwRjJTM052VFc5V1dUTTBOVGd3T1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MyOXNhV1FsTWpJbE4wUWxNa01sTWpKMGFHVnRaU1V5TWlVelFTVTNRaVUzUkNVeVF5VXlNbWxrSlRJeUpUTkJKVEl5YUV0cFlsaGtla2RTUWpJek56Y3lNe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zVDIxSFQwOTZla0o1TnpnMk9UZ3l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FlsUWpJbE9Ea2xSVFlsUWpjbE9EQWxSVFlsUWpFbFFUQ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VJVMWhRWEZqVlVsU1NEQTVOalE1TmlVeU1pVXlReVV5TW5SNWNHVWxNaklsTTBFbE1qSnVkVzFpWlhJbE1qSWxNa01sTWpKallYUmxaMjl5ZVNVeU1pVXpRU1V5TW1SbFptRjFiSFFsTWpJbE1rTWxNakoyWVd4MVpTVXlNaVV6UVNVeU1pVXlNaVUzUkNVeVF5VTNRaVV5TW01aGJXVWxNaklsTTBFbE1qSWxSVFVsT1RBbE9FUWxSVGNsUVRjbFFqQWxNaklsTWtNbE1qSnBaQ1V5TWlVelFTVXlNbTlPZUhaQ2NrcDBTSG93TmpJMU16Z2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jbVZqZEdGdVoyeGxKVEl5SlRKREpUSXlabWxzYkZOMGVXeGxKVEl5SlROQkpUZENKVEl5WTI5c2IzSWxNaklsTTBFbE1qSXlOVFVsTWtNeU5UVWxNa015TlRVbE1qSWxNa01sTWpKMGVYQmxKVEl5SlROQkpUSXljMjlzYVdRbE1qSWxOMFFsTWtNbE1qSjBhR1Z0WlNVeU1pVXpRU1UzUWlVM1JDVXlReVV5TW1sa0pUSXlKVE5CSlRJeWJFOXRSMDlQZW5wQ2VUYzROams0TW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TlVtTmFlVXRYUVV4Sk9EZ3pNVGsw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VbFFrVWxRVUVsUlRjbE9FVWxRVVlsUlRRbFFrUWxRa1lsUlRjbE9UUWxRVGdsTTBOa2FYWWxNMFU0TlNVelF5VXlSbVJwZGlVelJ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RGIyeHZjaVV5TWlVelFTVXlNakkxTlNVeVF6STFOU1V5UXpJMU5TVXlNaVV5UXlVeU1teHBibVZYYVdSMGFDVXlNaVV6UVRB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ViMjVsSlRJeUpUSkRKVEl5WkhKaGQxUjVjR1VsTWpJbE0wRWxNakp1YjI1bEpUSXlKVGRFSlRKREpUSXlkR2hsYldVbE1qSWxNMEVsTjBJbE4wUWxNa01sTWpKcFpDVXlNaVV6UVNVeU1rMVNZMXA1UzFkQlRFazRPRE14T1RR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NYTnhRM0IzUlVabFdEUTJOVEV5TXl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MkpUaEVKVGxHSlVVNEpUZ3dKVGszSlRORFpHbDJKVE5GTXpRbE0wTWxNa1prYVhZbE0w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VltWkpWM2xxZGs1b1JqVXhPVFl5TnlVeU1pVXlReVV5TW5SNWNHVWxNaklsTTBFbE1qSnVkVzFpWlhJbE1qSWxNa01sTWpKallYUmxaMjl5ZVNVeU1pVXpRU1V5TW1SbFptRjFiSFFsTWpJbE1rTWxNakoyWVd4MVpTVXlNaVV6UVNVeU1pVXlNaVUzUkNVeVF5VTNRaVV5TW01aGJXVWxNaklsTTBFbE1qSWxSVFVsT1RBbE9FUWxSVGNsUVRjbFFqQWxNaklsTWtNbE1qSnBaQ1V5TWlVelFTVXlNbUZSWWtONFpuVnBXa1V5T1RZNU1UW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RGIyeHZjaVV5TWlVelFTVXlNakkxTlNVeVF6STFOU1V5UXpJMU5TVXlNaVV5UXlVeU1teHBibVZYYVdSMGFDVXlNaVV6UVRB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ViMjVsSlRJeUpUSkRKVEl5WkhKaGQxUjVjR1VsTWpJbE0wRWxNakp1YjI1bEpUSXlKVGRFSlRKREpUSXlkR2hsYldVbE1qSWxNMEVsTjBJbE4wUWxNa01sTWpKcFpDVXlNaVV6UVNVeU1rbHpjVU53ZDBWR1pWZzBOalV4TWpN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YwMWpkVlpJYm1GSFpqazVNelF4Tk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MkpUaEVKVGxHSlVVNEpUZ3dKVGszSlRORFpHbDJKVE5GTVM0Mk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tMVpaVTFQV2xkMVIyMDFNakkzTlRJbE1qSWxNa01sTWpKMGVYQmxKVEl5SlROQkpUSXliblZ0WW1WeUpUSXlKVEpESlRJeVkyRjBaV2R2Y25rbE1qSWxNMEVsTWpKa1pXWmhkV3gwSlRJeUpUSkRKVEl5ZG1Gc2RXVWxNaklsTTBFbE1qSWxNaklsTjBRbE1rTWxOMElsTWpKdVlXMWxKVEl5SlROQkpUSXlKVVUxSlRrd0pUaEVKVVUzSlVFM0pVSXdKVEl5SlRKREpUSXlhV1FsTWpJbE0wRWxNakpYVDJSMlVtTlViM05xTURRNE56VXh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jBhR1Z0WlNVeU1pVXpRU1UzUWlVM1JDVXlReVV5TW1sa0pUSXlKVE5CSlRJeVYwMWpkVlpJYm1GSFpqazVNelF4Tk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bFJrUmxabWRvUzJoT05EQTNOVEk0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kwTW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oyYmtKUVZFeHRVa3RqTVRZMk16TTNKVEl5SlRKREpUSXlkSGx3WlNVeU1pVXpRU1V5TW01MWJXSmxjaVV5TWlVeVF5VXlNbU5oZEdWbmIzSjVKVEl5SlROQkpUSXlaR1ZtWVhWc2RDVXlNaVV5UXlVeU1uWmhiSFZsSlRJeUpUTkJKVEl5SlRJeUpUZEVKVEpESlRkQ0pUSXlibUZ0WlNVeU1pVXpRU1V5TWlWRk5TVTVNQ1U0UkNWRk55VkJOeVZDTUNVeU1pVXlReVV5TW1sa0pUSXlKVE5CSlRJeWRuaEhhWFprWmxoVGNEazFNVEkxTl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14cGJtVkRiMnh2Y2lVeU1pVXpRU1V5TWpJMU5TVXlRekkxTlNVeVF6STFOU1V5TWlVeVF5VXlNbXhwYm1WWGFXUjBhQ1V5TWlVelFUQ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WpKamIyeHZjaVV5TWlVelFTVXlNakkxTlNVeVF6STFOU1V5UXpJMU5TVXlNaVV5UXlVeU1uUjVjR1VsTWpJbE0wRWxNakp1YjI1bEpUSXlKVEpESlRJeVpISmhkMVI1Y0dVbE1qSWxNMEVsTWpKdWIyNWxKVEl5SlRkRUpUSkRKVEl5ZEdobGJXVWxNaklsTTBFbE4wSWxOMFFsTWtNbE1qSnBaQ1V5TWlVelFTVXlNbVZHUkdWbVoyaExhRTQwTURjMU1qZ2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kRmxMZUZkQlRHeG9jek15TURrek1D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9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ZEVKVEpESlRJeVpHRjBZVUYwZEhKcFluVjBaWE1sTWpJbE0wRWxOVUlsTjBJbE1qSnVZVzFsSlRJeUpUTkJKVEl5SlVVMUpVSkJKVGhHSlVVMUpUaEdKVUkzSlRJeUpUSkRKVEl5YVdRbE1qSWxNMEVsTWpKbGRrVnZSVkJRU1Zsck5Ea3dOakV5SlRJeUpUSkRKVEl5ZEhsd1pTVXlNaVV6UVNVeU1tNTFiV0psY2lVeU1pVXlReVV5TW1OaGRHVm5iM0o1SlRJeUpUTkJKVEl5WkdWbVlYVnNkQ1V5TWlVeVF5VXlNblpoYkhWbEpUSXlKVE5CSlRJeUpUSXlKVGRFSlRKREpUZENKVEl5Ym1GdFpTVXlNaVV6UVNVeU1pVkZOU1U1TUNVNFJDVkZOeVZCTnlWQ01DVXlNaVV5UXlVeU1tbGtKVEl5SlROQkpUSXlibTlYUzJob1oyeEJlalF6TURBeU1T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RMjlzYjNJbE1qSWxNMEVsTWpJeU5UVWxNa015TlRVbE1rTXlOVFVsTWpJbE1rTWxNakpzYVc1bFYybGtkR2dsTWpJbE0wRXd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JeVkyOXNiM0lsTWpJbE0wRWxNakl5TlRVbE1rTXlOVFVsTWtNeU5UVWxNaklsTWtNbE1qSjBlWEJsSlRJeUpUTkJKVEl5Ym05dVpTVXlNaVV5UXlVeU1tUnlZWGRVZVhCbEpUSXlKVE5CSlRJeWJtOXVaU1V5TWlVM1JDVXlReVV5TW5Sb1pXMWxKVEl5SlROQkpUZENKVGRFSlRKREpUSXlhV1FsTWpJbE0wRWxNakowV1V0NFYwRk1iR2h6TXpJd09UTXd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bWhVYkVwTVZucFdSR0UzTWpJME1EQW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qTT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teGhZbXBCVDJwcFZGYzNPRGswTXpJbE1qSWxNa01sTWpKMGVYQmxKVEl5SlROQkpUSXliblZ0WW1WeUpUSXlKVEpESlRJeVkyRjBaV2R2Y25rbE1qSWxNMEVsTWpKa1pXWmhkV3gwSlRJeUpUSkRKVEl5ZG1Gc2RXVWxNaklsTTBFbE1qSWxNaklsTjBRbE1rTWxOMElsTWpKdVlXMWxKVEl5SlROQkpUSXlKVVUxSlRrd0pUaEVKVVUzSlVFM0pVSXdKVEl5SlRKREpUSXlhV1FsTWpJbE0wRWxNakpsYTAxWlYyMXRjblJJTURZek9USXd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Mkxq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WExcHFSVVp4VFZkVGJ6TXhOek14TXlVeU1pVXlReVV5TW5SNWNHVWxNaklsTTBFbE1qSnVkVzFpWlhJbE1qSWxNa01sTWpKallYUmxaMjl5ZVNVeU1pVXpRU1V5TW1SbFptRjFiSFFsTWpJbE1rTWxNakoyWVd4MVpTVXlNaVV6UVNVeU1pVXlNaVUzUkNVeVF5VTNRaVV5TW01aGJXVWxNaklsTTBFbE1qSWxSVFVsT1RBbE9FUWxSVGNsUVRjbFFqQWxNaklsTWtNbE1qSnBaQ1V5TWlVelFTVXlNazFGWTJaeFEyNVZSbGswT0RVMk56Z2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UTI5c2IzSWxNaklsTTBFbE1qSXlOVFVsTWtNeU5UVWxNa015TlRVbE1qSWxNa01sTWpKc2FXNWxWMmxrZEdnbE1qSWxNMEV3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JtOXVaU1V5TWlVeVF5VXlNbVJ5WVhkVWVYQmxKVEl5SlROQkpUSXlibTl1WlNVeU1pVTNSQ1V5UXlVeU1uUm9aVzFsSlRJeUpUTkJKVGRDSlRkRUpUSkRKVEl5YVdRbE1qSWxNMEVsTWpKa1NGRm1TVk42Vkd0Qk5qVXlOVEkx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OaVZDTkNVNU1pVkZOaVZDTUNWQ05DVkZPU1U1T1NVNFJDVkZOU1ZDTUNVNU9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ZEVKVEpESlRJeVpHRjBZVUYwZEhKcFluVjBaWE1sTWpJbE0wRWxOVUlsTjBJbE1qSnVZVzFsSlRJeUpUTkJKVEl5SlVVMUpVSkJKVGhHSlVVMUpUaEdKVUkzSlRJeUpUSkRKVEl5YVdRbE1qSWxNMEVsTWpKVFQwNXVaMHhPVUcxWE1EYzVORGd4SlRJeUpUSkRKVEl5ZEhsd1pTVXlNaVV6UVNVeU1tNTFiV0psY2lVeU1pVXlReVV5TW1OaGRHVm5iM0o1SlRJeUpUTkJKVEl5WkdWbVlYVnNkQ1V5TWlVeVF5VXlNblpoYkhWbEpUSXlKVE5CSlRJeUpUSXlKVGRFSlRKREpUZENKVEl5Ym1GdFpTVXlNaVV6UVNVeU1pVkZOU1U1TUNVNFJDVkZOeVZCTnlWQ01DVXlNaVV5UXlVeU1tbGtKVEl5SlROQkpUSXlWbE5FUjNwNlNVVlJaVGt6T0RBM05D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3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MyOXNhV1FsTWpJbE4wUWxNa01sTWpKMGFHVnRaU1V5TWlVelFTVTNRaVUzUkNVeVF5VXlNbWxrSlRJeUpUTkJKVEl5Vm5kWGFWRlNSVTVSYkRJNU1qRXpOa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TJM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jBhR1Z0WlNVeU1pVXpRU1UzUWlVM1JDVXlReVV5TW1sa0pUSXlKVE5CSlRJeVNXaHRaazVrV1hwVFRqVTNORFl6TU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OMFFsTWtNbE1qSmpiMjF0Wlc1MGN5VXlNaVV6UVNVMVFpVTFSQ1V5UXlVeU1uQnNkV2RwYm5NbE1qSWxNMEVsTjBJbE4wUWxNa01sTWpKaGFVTnZiblJoYVc1bGNuTWxNaklsTTBFbE4wSWxOMFFsTWtNbE1qSnBibk5sY25SUVlXZGxUM0IwY3lVeU1pVXpRU1UzUWlVM1JDVXlReVV5TW5CdmMzUlFZWGx0Wlc1MEpUSXlKVE5CSlRkQ0pUZEVKVEpESlRJeWRHaGxiV1VsTWpJbE0wRWxOMElsTWpKd1lXZGxKVEl5SlROQkpUZENKVEl5WW1GamEyZHliM1Z1WkVOdmJHOXlKVEl5SlROQkpUSXlkSEpoYm5Od1lYSmxiblFsTWpJbE4wUWxOMFFsTjBRPSIsCgkiRmlsZUlkIiA6ICI3YmMyZmJlMy05ODA1LTQ0MDctYWZkMi01YTcwNzQ5ZmJlYTEiCn0K"/>
    </extobj>
    <extobj name="F360BE8B-6686-4F3D-AEAF-501FE73E4058-2">
      <extobjdata type="F360BE8B-6686-4F3D-AEAF-501FE73E4058" data="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"/>
    </extobj>
    <extobj name="F360BE8B-6686-4F3D-AEAF-501FE73E4058-3">
      <extobjdata type="F360BE8B-6686-4F3D-AEAF-501FE73E4058" data="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"/>
    </extobj>
  </extobjs>
</s:customData>
</file>

<file path=customXml/item2.xml><?xml version="1.0" encoding="utf-8"?>
<contractReview xmlns="http://schemas.wps.cn/vas-ai-hub/contract-review">
  <reviewItems>
    <reviewItem>
      <errorID>60a4582b-abca-47d9-8de6-a95e29b7682d</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13528D88</paraID>
      <start>7</start>
      <end>10</end>
      <status>ignored</status>
      <modifiedWord/>
      <trackRevisions>false</trackRevisions>
    </reviewItem>
    <reviewItem>
      <errorID>a5122ed0-1e0b-4e58-b5d2-a413d071f414</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75345CB5</paraID>
      <start>2</start>
      <end>5</end>
      <status>ignored</status>
      <modifiedWord/>
      <trackRevisions>false</trackRevisions>
    </reviewItem>
    <reviewItem>
      <errorID>83b5373f-ac65-4b82-8b3f-26e219f86a98</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66761525</paraID>
      <start>17</start>
      <end>24</end>
      <status>modified</status>
      <modifiedWord>焉耆回族自治县</modifiedWord>
      <trackRevisions>false</trackRevisions>
    </reviewItem>
    <reviewItem>
      <errorID>424f2ceb-1612-45a3-8149-5dd45a595626</errorID>
      <errorWord> 方向，直线距离30千米</errorWord>
      <group>L1_Grammar</group>
      <groupName>语法问题</groupName>
      <ability>L2_Order</ability>
      <abilityName>语序不当</abilityName>
      <candidateList>
        <item>千米，直线距离30方向</item>
      </candidateList>
      <explain>句子可能没有遵循时空、逻辑顺序，或者介词、关联词等位置不当。</explain>
      <paraID>66761525</paraID>
      <start>29</start>
      <end>41</end>
      <status>unmodified</status>
      <modifiedWord/>
      <trackRevisions>false</trackRevisions>
    </reviewItem>
    <reviewItem>
      <errorID>69276df4-8f9c-4bb6-b3e5-5b7b996b653b</errorID>
      <errorWord>：</errorWord>
      <group>L1_Format</group>
      <groupName>格式问题</groupName>
      <ability>L2_HalfPunc</ability>
      <abilityName>全半角检查</abilityName>
      <candidateList>
        <item>:</item>
      </candidateList>
      <explain>文本全半角错误。</explain>
      <paraID>5301BF63</paraID>
      <start>1</start>
      <end>2</end>
      <status>unmodified</status>
      <modifiedWord/>
      <trackRevisions>false</trackRevisions>
    </reviewItem>
    <reviewItem>
      <errorID>e994b746-3790-491f-992c-3109ca67eeee</errorID>
      <errorWord>，</errorWord>
      <group>L1_Format</group>
      <groupName>格式问题</groupName>
      <ability>L2_HalfPunc</ability>
      <abilityName>全半角检查</abilityName>
      <candidateList>
        <item>, </item>
      </candidateList>
      <explain>文本全半角错误。</explain>
      <paraID>5301BF63</paraID>
      <start>15</start>
      <end>16</end>
      <status>unmodified</status>
      <modifiedWord/>
      <trackRevisions>false</trackRevisions>
    </reviewItem>
    <reviewItem>
      <errorID>3cb56521-ea16-46af-94ce-233f0a9e2ad1</errorID>
      <errorWord>：</errorWord>
      <group>L1_Format</group>
      <groupName>格式问题</groupName>
      <ability>L2_HalfPunc</ability>
      <abilityName>全半角检查</abilityName>
      <candidateList>
        <item>:</item>
      </candidateList>
      <explain>文本全半角错误。</explain>
      <paraID>5301BF63</paraID>
      <start>17</start>
      <end>18</end>
      <status>unmodified</status>
      <modifiedWord/>
      <trackRevisions>false</trackRevisions>
    </reviewItem>
    <reviewItem>
      <errorID>ac394429-9b58-46fb-8e56-64666bd03fc1</errorID>
      <errorWord>-</errorWord>
      <group>L1_Format</group>
      <groupName>格式问题</groupName>
      <ability>L2_HalfPunc</ability>
      <abilityName>全半角检查</abilityName>
      <candidateList>
        <item>－</item>
      </candidateList>
      <explain>文本全半角错误。</explain>
      <paraID>3D4C283D</paraID>
      <start>43</start>
      <end>44</end>
      <status>unmodified</status>
      <modifiedWord/>
      <trackRevisions>false</trackRevisions>
    </reviewItem>
    <reviewItem>
      <errorID>aa2adac7-bb5a-4ae6-aff4-3d9218eec494</errorID>
      <errorWord>(</errorWord>
      <group>L1_Format</group>
      <groupName>格式问题</groupName>
      <ability>L2_HalfPunc</ability>
      <abilityName>全半角检查</abilityName>
      <candidateList>
        <item>（</item>
      </candidateList>
      <explain>文本全半角错误。</explain>
      <paraID>3BB0326B</paraID>
      <start>97</start>
      <end>98</end>
      <status>unmodified</status>
      <modifiedWord/>
      <trackRevisions>false</trackRevisions>
    </reviewItem>
    <reviewItem>
      <errorID>ccc8185a-843c-4c44-a48f-c13a7262e74e</errorID>
      <errorWord>)</errorWord>
      <group>L1_Format</group>
      <groupName>格式问题</groupName>
      <ability>L2_HalfPunc</ability>
      <abilityName>全半角检查</abilityName>
      <candidateList>
        <item>）</item>
      </candidateList>
      <explain>文本全半角错误。</explain>
      <paraID>3BB0326B</paraID>
      <start>102</start>
      <end>103</end>
      <status>unmodified</status>
      <modifiedWord/>
      <trackRevisions>false</trackRevisions>
    </reviewItem>
    <reviewItem>
      <errorID>18f0489d-b12c-4f30-b391-21ea56f89896</errorID>
      <errorWord>(</errorWord>
      <group>L1_Format</group>
      <groupName>格式问题</groupName>
      <ability>L2_HalfPunc</ability>
      <abilityName>全半角检查</abilityName>
      <candidateList>
        <item>（</item>
      </candidateList>
      <explain>文本全半角错误。</explain>
      <paraID>3F45B8AE</paraID>
      <start>146</start>
      <end>147</end>
      <status>unmodified</status>
      <modifiedWord/>
      <trackRevisions>false</trackRevisions>
    </reviewItem>
    <reviewItem>
      <errorID>a4fdc707-7bfe-4202-846a-39f1f343ad83</errorID>
      <errorWord>)</errorWord>
      <group>L1_Format</group>
      <groupName>格式问题</groupName>
      <ability>L2_HalfPunc</ability>
      <abilityName>全半角检查</abilityName>
      <candidateList>
        <item>）</item>
      </candidateList>
      <explain>文本全半角错误。</explain>
      <paraID>3F45B8AE</paraID>
      <start>164</start>
      <end>165</end>
      <status>unmodified</status>
      <modifiedWord/>
      <trackRevisions>false</trackRevisions>
    </reviewItem>
    <reviewItem>
      <errorID>e70cb1c5-e619-4d1d-a407-ca2de79e8cc2</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f9606aa0-f296-48a2-a0ae-170b5282933a</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75</start>
      <end>84</end>
      <status>unmodified</status>
      <modifiedWord/>
      <trackRevisions>false</trackRevisions>
    </reviewItem>
    <reviewItem>
      <errorID>12ee778f-21ad-4ccc-b422-013be3f5c063</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 643E952</paraID>
      <start>0</start>
      <end>3</end>
      <status>unmodified</status>
      <modifiedWord/>
      <trackRevisions>false</trackRevisions>
    </reviewItem>
    <reviewItem>
      <errorID>f145c8ca-8a18-4653-9687-5f3c88c21726</errorID>
      <errorWord>，</errorWord>
      <group>L1_Word</group>
      <groupName>字词问题</groupName>
      <ability>L2_Typo</ability>
      <abilityName>字词错误</abilityName>
      <candidateList>
        <item>，在</item>
      </candidateList>
      <explain/>
      <paraID>3BCA6657</paraID>
      <start>42</start>
      <end>43</end>
      <status>unmodified</status>
      <modifiedWord/>
      <trackRevisions>false</trackRevisions>
    </reviewItem>
    <reviewItem>
      <errorID>796107ce-7202-46f5-9c54-2b457f9eaa55</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 3310520</paraID>
      <start>22</start>
      <end>29</end>
      <status>modified</status>
      <modifiedWord>焉耆回族自治县</modifiedWord>
      <trackRevisions>false</trackRevisions>
    </reviewItem>
    <reviewItem>
      <errorID>c2a2f112-2db6-4295-b0d0-9e6faac01ac9</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14A587A1</paraID>
      <start>7</start>
      <end>10</end>
      <status>ignored</status>
      <modifiedWord/>
      <trackRevisions>false</trackRevisions>
    </reviewItem>
    <reviewItem>
      <errorID>5c576fe0-0294-43d3-a6d5-f47f2363aee7</errorID>
      <errorWord>日至2026年</errorWord>
      <group>L1_Word</group>
      <groupName>字词问题</groupName>
      <ability>L2_Typo</ability>
      <abilityName>字词错误</abilityName>
      <candidateList>
        <item>日起至2026年</item>
      </candidateList>
      <explain/>
      <paraID>18EFE358</paraID>
      <start>14</start>
      <end>21</end>
      <status>unmodified</status>
      <modifiedWord/>
      <trackRevisions>false</trackRevisions>
    </reviewItem>
    <reviewItem>
      <errorID>755fb111-dc41-47d9-8afc-288b41f8c248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7808AAD1</paraID>
      <start>0</start>
      <end>2</end>
      <status>unmodified</status>
      <modifiedWord/>
      <trackRevisions>false</trackRevisions>
    </reviewItem>
    <reviewItem>
      <errorID>74cfcda5-4a88-4420-9163-9aeb836bbf18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764BA993</paraID>
      <start>0</start>
      <end>2</end>
      <status>unmodified</status>
      <modifiedWord/>
      <trackRevisions>false</trackRevisions>
    </reviewItem>
    <reviewItem>
      <errorID>0986d02a-60ee-48f9-9193-10b296a5effc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7620DE42</paraID>
      <start>0</start>
      <end>2</end>
      <status>unmodified</status>
      <modifiedWord/>
      <trackRevisions>false</trackRevisions>
    </reviewItem>
    <reviewItem>
      <errorID>4b332bb5-5da9-41c7-8ceb-86ceffd6cea4</errorID>
      <errorWord>：</errorWord>
      <group>L1_Format</group>
      <groupName>格式问题</groupName>
      <ability>L2_HalfPunc</ability>
      <abilityName>全半角检查</abilityName>
      <candidateList>
        <item>:</item>
      </candidateList>
      <explain>文本全半角错误。</explain>
      <paraID>77CB7F0E</paraID>
      <start>20</start>
      <end>21</end>
      <status>unmodified</status>
      <modifiedWord/>
      <trackRevisions>false</trackRevisions>
    </reviewItem>
    <reviewItem>
      <errorID>a1e75852-481d-45bf-b768-4f710be87d52</errorID>
      <errorWord>：</errorWord>
      <group>L1_Format</group>
      <groupName>格式问题</groupName>
      <ability>L2_HalfPunc</ability>
      <abilityName>全半角检查</abilityName>
      <candidateList>
        <item>:</item>
      </candidateList>
      <explain>文本全半角错误。</explain>
      <paraID>50235259</paraID>
      <start>18</start>
      <end>19</end>
      <status>unmodified</status>
      <modifiedWord/>
      <trackRevisions>false</trackRevisions>
    </reviewItem>
    <reviewItem>
      <errorID>ecc1c9f6-0df1-4135-a49c-354870efdc02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78F5A14E</paraID>
      <start>157</start>
      <end>158</end>
      <status>unmodified</status>
      <modifiedWord/>
      <trackRevisions>false</trackRevisions>
    </reviewItem>
    <reviewItem>
      <errorID>3c30fb86-cb72-4ae0-a58d-3acb4aac32e8</errorID>
      <errorWord>程</errorWord>
      <group>L1_Word</group>
      <groupName>字词问题</groupName>
      <ability>L2_Typo</ability>
      <abilityName>字词错误</abilityName>
      <candidateList>
        <item>程中</item>
      </candidateList>
      <explain/>
      <paraID>4B5DB524</paraID>
      <start>53</start>
      <end>54</end>
      <status>unmodified</status>
      <modifiedWord/>
      <trackRevisions>false</trackRevisions>
    </reviewItem>
    <reviewItem>
      <errorID>ec1c05f7-6466-4468-87ba-fe4c12034657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EC83E9D</paraID>
      <start>14</start>
      <end>15</end>
      <status>unmodified</status>
      <modifiedWord/>
      <trackRevisions>false</trackRevisions>
    </reviewItem>
    <reviewItem>
      <errorID>a783e968-3b32-4fbf-903c-06027ad5e313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16441AF8</paraID>
      <start>10</start>
      <end>11</end>
      <status>unmodified</status>
      <modifiedWord/>
      <trackRevisions>false</trackRevisions>
    </reviewItem>
    <reviewItem>
      <errorID>28d45784-9076-483d-9d9e-4317b912a140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36ED5196</paraID>
      <start>10</start>
      <end>11</end>
      <status>unmodified</status>
      <modifiedWord/>
      <trackRevisions>false</trackRevisions>
    </reviewItem>
    <reviewItem>
      <errorID>488e2ea2-7aad-4503-aaa5-30d4b7bf2c32</errorID>
      <errorWord>勘查</errorWord>
      <group>L1_Word</group>
      <groupName>字词问题</groupName>
      <ability>L2_Typo</ability>
      <abilityName>字词错误</abilityName>
      <candidateList>
        <item>勘察</item>
      </candidateList>
      <explain>存在发音相同字词的误用。</explain>
      <paraID>57ECC29F</paraID>
      <start>31</start>
      <end>33</end>
      <status>unmodified</status>
      <modifiedWord/>
      <trackRevisions>false</trackRevisions>
    </reviewItem>
    <reviewItem>
      <errorID>3b48e302-99bf-4093-a369-8e0f6e955463</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19265643-b894-45e4-8359-0ed20c49d0e1</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4548DD02</paraID>
      <start>5</start>
      <end>12</end>
      <status>unmodified</status>
      <modifiedWord/>
      <trackRevisions>false</trackRevisions>
    </reviewItem>
    <reviewItem>
      <errorID>e0aa2740-518f-4f93-af05-dbcf8b86a29e</errorID>
      <errorWord>Cricetulus</errorWord>
      <group>L1_English</group>
      <groupName>英文问题</groupName>
      <ability>L2_Spell</ability>
      <abilityName>拼写问题</abilityName>
      <candidateList>
        <item>Cricetus</item>
      </candidateList>
      <explain>疑似单词拼写有误，建议将Cricetulus修改为Cricetus</explain>
      <paraID>48935955</paraID>
      <start>0</start>
      <end>10</end>
      <status>unmodified</status>
      <modifiedWord/>
      <trackRevisions>false</trackRevisions>
    </reviewItem>
    <reviewItem>
      <errorID>0526ee8e-cd02-4c86-89b6-6111f924b391</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46DF04CE</paraID>
      <start>184</start>
      <end>191</end>
      <status>modified</status>
      <modifiedWord>焉耆回族自治县</modifiedWord>
      <trackRevisions>false</trackRevisions>
    </reviewItem>
    <reviewItem>
      <errorID>b6272c9a-cfaf-4b2a-8612-0ecd191c1cee</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69F95103</paraID>
      <start>6</start>
      <end>13</end>
      <status>modified</status>
      <modifiedWord>焉耆回族自治县</modifiedWord>
      <trackRevisions>false</trackRevisions>
    </reviewItem>
    <reviewItem>
      <errorID>5dc729ae-1020-406b-9e37-bb16d39c5aff</errorID>
      <errorWord>（</errorWord>
      <group>L1_Format</group>
      <groupName>格式问题</groupName>
      <ability>L2_HalfPunc</ability>
      <abilityName>全半角检查</abilityName>
      <candidateList>
        <item>(</item>
      </candidateList>
      <explain>文本全半角错误。</explain>
      <paraID>744C5851</paraID>
      <start>0</start>
      <end>1</end>
      <status>unmodified</status>
      <modifiedWord/>
      <trackRevisions>false</trackRevisions>
    </reviewItem>
    <reviewItem>
      <errorID>0fe0a75d-ff2c-487c-8f2c-951aa837a518</errorID>
      <errorWord>）</errorWord>
      <group>L1_Format</group>
      <groupName>格式问题</groupName>
      <ability>L2_HalfPunc</ability>
      <abilityName>全半角检查</abilityName>
      <candidateList>
        <item>)</item>
      </candidateList>
      <explain>文本全半角错误。</explain>
      <paraID>744C5851</paraID>
      <start>6</start>
      <end>7</end>
      <status>unmodified</status>
      <modifiedWord/>
      <trackRevisions>false</trackRevisions>
    </reviewItem>
    <reviewItem>
      <errorID>6e1de90f-06b6-4a78-b64c-cfe7633c743c</errorID>
      <errorWord>(</errorWord>
      <group>L1_Format</group>
      <groupName>格式问题</groupName>
      <ability>L2_HalfPunc</ability>
      <abilityName>全半角检查</abilityName>
      <candidateList>
        <item>（</item>
      </candidateList>
      <explain>文本全半角错误。</explain>
      <paraID> 10BB6F4</paraID>
      <start>26</start>
      <end>27</end>
      <status>unmodified</status>
      <modifiedWord/>
      <trackRevisions>false</trackRevisions>
    </reviewItem>
    <reviewItem>
      <errorID>899de0f1-d623-4bd0-954a-da659cc70650</errorID>
      <errorWord>)</errorWord>
      <group>L1_Format</group>
      <groupName>格式问题</groupName>
      <ability>L2_HalfPunc</ability>
      <abilityName>全半角检查</abilityName>
      <candidateList>
        <item>）</item>
      </candidateList>
      <explain>文本全半角错误。</explain>
      <paraID> 10BB6F4</paraID>
      <start>35</start>
      <end>36</end>
      <status>unmodified</status>
      <modifiedWord/>
      <trackRevisions>false</trackRevisions>
    </reviewItem>
    <reviewItem>
      <errorID>cff5b68e-c061-4e63-856e-6dd654feea26</errorID>
      <errorWord>(</errorWord>
      <group>L1_Format</group>
      <groupName>格式问题</groupName>
      <ability>L2_HalfPunc</ability>
      <abilityName>全半角检查</abilityName>
      <candidateList>
        <item>（</item>
      </candidateList>
      <explain>文本全半角错误。</explain>
      <paraID> 10BB6F4</paraID>
      <start>37</start>
      <end>38</end>
      <status>unmodified</status>
      <modifiedWord/>
      <trackRevisions>false</trackRevisions>
    </reviewItem>
    <reviewItem>
      <errorID>d1c1288b-d4a6-419f-8ec9-b3b5bc1b5af2</errorID>
      <errorWord>)</errorWord>
      <group>L1_Format</group>
      <groupName>格式问题</groupName>
      <ability>L2_HalfPunc</ability>
      <abilityName>全半角检查</abilityName>
      <candidateList>
        <item>）</item>
      </candidateList>
      <explain>文本全半角错误。</explain>
      <paraID> 10BB6F4</paraID>
      <start>51</start>
      <end>52</end>
      <status>unmodified</status>
      <modifiedWord/>
      <trackRevisions>false</trackRevisions>
    </reviewItem>
    <reviewItem>
      <errorID>43f9e4fe-3b16-486e-a929-ab96e0ef5872</errorID>
      <errorWord>)</errorWord>
      <group>L1_Format</group>
      <groupName>格式问题</groupName>
      <ability>L2_HalfPunc</ability>
      <abilityName>全半角检查</abilityName>
      <candidateList>
        <item>）</item>
      </candidateList>
      <explain>文本全半角错误。</explain>
      <paraID>404C06D1</paraID>
      <start>76</start>
      <end>77</end>
      <status>unmodified</status>
      <modifiedWord/>
      <trackRevisions>false</trackRevisions>
    </reviewItem>
    <reviewItem>
      <errorID>db1db758-ce6e-49ec-bb85-15b2c1d44896</errorID>
      <errorWord>，</errorWord>
      <group>L1_Word</group>
      <groupName>字词问题</groupName>
      <ability>L2_Typo</ability>
      <abilityName>字词错误</abilityName>
      <candidateList>
        <item>，可</item>
      </candidateList>
      <explain/>
      <paraID>64B2C6FB</paraID>
      <start>189</start>
      <end>190</end>
      <status>unmodified</status>
      <modifiedWord/>
      <trackRevisions>false</trackRevisions>
    </reviewItem>
    <reviewItem>
      <errorID>924f286c-f0c3-449b-8b80-733e739201e2</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72251239</paraID>
      <start>5</start>
      <end>12</end>
      <status>modified</status>
      <modifiedWord>焉耆回族自治县</modifiedWord>
      <trackRevisions>false</trackRevisions>
    </reviewItem>
    <reviewItem>
      <errorID>5615557b-18b4-4f00-b57e-ed8461f2490f</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72251239</paraID>
      <start>25</start>
      <end>32</end>
      <status>modified</status>
      <modifiedWord>焉耆回族自治县</modifiedWord>
      <trackRevisions>false</trackRevisions>
    </reviewItem>
    <reviewItem>
      <errorID>a664eef4-a758-4dfd-bab7-65e8dfd5a9b7</errorID>
      <errorWord>即为</errorWord>
      <group>L1_Word</group>
      <groupName>字词问题</groupName>
      <ability>L2_Typo</ability>
      <abilityName>字词错误</abilityName>
      <candidateList>
        <item>即</item>
      </candidateList>
      <explain/>
      <paraID>14A7168D</paraID>
      <start>40</start>
      <end>42</end>
      <status>unmodified</status>
      <modifiedWord/>
      <trackRevisions>false</trackRevisions>
    </reviewItem>
    <reviewItem>
      <errorID>b6e9ace0-7913-4245-91e5-4b6f9c07111e</errorID>
      <errorWord>巩固脱贫攻坚成果</errorWord>
      <group>L1_Word</group>
      <groupName>字词问题</groupName>
      <ability>L2_Typo</ability>
      <abilityName>字词错误</abilityName>
      <candidateList>
        <item>巩固拓展脱贫攻坚成果</item>
      </candidateList>
      <explain/>
      <paraID>14A7168D</paraID>
      <start>92</start>
      <end>100</end>
      <status>unmodified</status>
      <modifiedWord/>
      <trackRevisions>false</trackRevisions>
    </reviewItem>
    <reviewItem>
      <errorID>9768f597-ba62-4024-925e-84a66d44733f</errorID>
      <errorWord>须</errorWord>
      <group>L1_Word</group>
      <groupName>字词问题</groupName>
      <ability>L2_Typo</ability>
      <abilityName>字词错误</abilityName>
      <candidateList>
        <item>需</item>
      </candidateList>
      <explain>存在发音相同字词的误用。</explain>
      <paraID>61DA9344</paraID>
      <start>7</start>
      <end>8</end>
      <status>unmodified</status>
      <modifiedWord/>
      <trackRevisions>false</trackRevisions>
    </reviewItem>
    <reviewItem>
      <errorID>06e0e8f7-0a1b-4e3c-ac17-013d47359067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1B4B04C</paraID>
      <start>115</start>
      <end>116</end>
      <status>unmodified</status>
      <modifiedWord/>
      <trackRevisions>false</trackRevisions>
    </reviewItem>
    <reviewItem>
      <errorID>1d63821f-9051-4f39-a2dc-19f26c1cee94</errorID>
      <errorWord>期</errorWord>
      <group>L1_Word</group>
      <groupName>字词问题</groupName>
      <ability>L2_Typo</ability>
      <abilityName>字词错误</abilityName>
      <candidateList>
        <item>期间</item>
      </candidateList>
      <explain/>
      <paraID>6DDF1DFF</paraID>
      <start>2</start>
      <end>3</end>
      <status>unmodified</status>
      <modifiedWord/>
      <trackRevisions>false</trackRevisions>
    </reviewItem>
    <reviewItem>
      <errorID>cde98c41-3075-427c-ad6c-33da0cbf72bd</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4B5AE18E</paraID>
      <start>5</start>
      <end>12</end>
      <status>modified</status>
      <modifiedWord>焉耆回族自治县</modifiedWord>
      <trackRevisions>false</trackRevisions>
    </reviewItem>
    <reviewItem>
      <errorID>71ffe643-c816-457a-a1fd-c51b781fc993</errorID>
      <errorWord>(</errorWord>
      <group>L1_Format</group>
      <groupName>格式问题</groupName>
      <ability>L2_HalfPunc</ability>
      <abilityName>全半角检查</abilityName>
      <candidateList>
        <item>（</item>
      </candidateList>
      <explain>文本全半角错误。</explain>
      <paraID>537C2560</paraID>
      <start>20</start>
      <end>21</end>
      <status>unmodified</status>
      <modifiedWord/>
      <trackRevisions>false</trackRevisions>
    </reviewItem>
    <reviewItem>
      <errorID>d1e2a360-5457-49d3-8f04-e19a6b96732d</errorID>
      <errorWord>)</errorWord>
      <group>L1_Format</group>
      <groupName>格式问题</groupName>
      <ability>L2_HalfPunc</ability>
      <abilityName>全半角检查</abilityName>
      <candidateList>
        <item>）</item>
      </candidateList>
      <explain>文本全半角错误。</explain>
      <paraID>537C2560</paraID>
      <start>23</start>
      <end>24</end>
      <status>unmodified</status>
      <modifiedWord/>
      <trackRevisions>false</trackRevisions>
    </reviewItem>
    <reviewItem>
      <errorID>b2781f43-fd13-4799-a679-74de0450573b</errorID>
      <errorWord>(</errorWord>
      <group>L1_Format</group>
      <groupName>格式问题</groupName>
      <ability>L2_HalfPunc</ability>
      <abilityName>全半角检查</abilityName>
      <candidateList>
        <item>（</item>
      </candidateList>
      <explain>文本全半角错误。</explain>
      <paraID>537C2560</paraID>
      <start>25</start>
      <end>26</end>
      <status>unmodified</status>
      <modifiedWord/>
      <trackRevisions>false</trackRevisions>
    </reviewItem>
    <reviewItem>
      <errorID>92a371e9-3ee6-4321-aa18-90be3af38ba5</errorID>
      <errorWord>)</errorWord>
      <group>L1_Format</group>
      <groupName>格式问题</groupName>
      <ability>L2_HalfPunc</ability>
      <abilityName>全半角检查</abilityName>
      <candidateList>
        <item>）</item>
      </candidateList>
      <explain>文本全半角错误。</explain>
      <paraID>537C2560</paraID>
      <start>37</start>
      <end>38</end>
      <status>unmodified</status>
      <modifiedWord/>
      <trackRevisions>false</trackRevisions>
    </reviewItem>
    <reviewItem>
      <errorID>7ef875c8-f28c-44b3-ae6a-370a8686894a</errorID>
      <errorWord>，</errorWord>
      <group>L1_Word</group>
      <groupName>字词问题</groupName>
      <ability>L2_Typo</ability>
      <abilityName>字词错误</abilityName>
      <candidateList>
        <item>，可</item>
      </candidateList>
      <explain/>
      <paraID>22DFE0B9</paraID>
      <start>103</start>
      <end>104</end>
      <status>unmodified</status>
      <modifiedWord/>
      <trackRevisions>false</trackRevisions>
    </reviewItem>
    <reviewItem>
      <errorID>9b919dcf-65d8-42ff-b7bb-c3402320800f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190D395</paraID>
      <start>5</start>
      <end>9</end>
      <status>unmodified</status>
      <modifiedWord/>
      <trackRevisions>false</trackRevisions>
    </reviewItem>
    <reviewItem>
      <errorID>33c9cf04-feae-4f0f-82cd-2c6dd2bf69f3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7442A303</paraID>
      <start>125</start>
      <end>128</end>
      <status>unmodified</status>
      <modifiedWord/>
      <trackRevisions>false</trackRevisions>
    </reviewItem>
    <reviewItem>
      <errorID>278fceb0-e161-415d-b6bd-089d3b9ee7c2</errorID>
      <errorWord>IV</errorWord>
      <group>L1_Knowledge</group>
      <groupName>知识性问题</groupName>
      <ability>L2_Knowledge</ability>
      <abilityName>其他知识</abilityName>
      <candidateList>
        <item>Ⅳ</item>
      </candidateList>
      <explain>中文环境下罗马数字格式错误。</explain>
      <paraID>3F4B506A</paraID>
      <start>0</start>
      <end>2</end>
      <status>unmodified</status>
      <modifiedWord/>
      <trackRevisions>false</trackRevisions>
    </reviewItem>
    <reviewItem>
      <errorID>ff16497f-f557-4ece-b26f-2354ddda0368</errorID>
      <errorWord>III</errorWord>
      <group>L1_Word</group>
      <groupName>字词问题</groupName>
      <ability>L2_Typo</ability>
      <abilityName>字词错误</abilityName>
      <candidateList>
        <item>Ⅲ</item>
      </candidateList>
      <explain/>
      <paraID>65E37AE8</paraID>
      <start>0</start>
      <end>3</end>
      <status>unmodified</status>
      <modifiedWord/>
      <trackRevisions>false</trackRevisions>
    </reviewItem>
    <reviewItem>
      <errorID>670c0cd3-1ed6-4e08-bf3a-5b791418fd6e</errorID>
      <errorWord>*</errorWord>
      <group>L1_Punc</group>
      <groupName>标点问题</groupName>
      <ability>L2_Punc</ability>
      <abilityName>标点符号检查</abilityName>
      <candidateList/>
      <explain/>
      <paraID>18800007</paraID>
      <start>0</start>
      <end>1</end>
      <status>unmodified</status>
      <modifiedWord/>
      <trackRevisions>false</trackRevisions>
    </reviewItem>
    <reviewItem>
      <errorID>85b57dd8-8dff-4a11-b224-5b57795380c5</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192DB4DC</paraID>
      <start>2</start>
      <end>5</end>
      <status>unmodified</status>
      <modifiedWord/>
      <trackRevisions>false</trackRevisions>
    </reviewItem>
    <reviewItem>
      <errorID>0ceea3f3-7deb-412f-855d-0ba57e931f77</errorID>
      <errorWord>代表了</errorWord>
      <group>L1_Word</group>
      <groupName>字词问题</groupName>
      <ability>L2_Typo</ability>
      <abilityName>字词错误</abilityName>
      <candidateList>
        <item>代表</item>
      </candidateList>
      <explain/>
      <paraID>3B3D3CD6</paraID>
      <start>8</start>
      <end>11</end>
      <status>unmodified</status>
      <modifiedWord/>
      <trackRevisions>false</trackRevisions>
    </reviewItem>
    <reviewItem>
      <errorID>10e9e6db-2960-46b1-b8f2-8256b11c2f21</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6BD5CD1F</paraID>
      <start>43</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320745-c02a-4103-93b1-51d1d9af429f}">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59</Pages>
  <Words>115</Words>
  <Characters>118</Characters>
  <Lines>9</Lines>
  <Paragraphs>2</Paragraphs>
  <TotalTime>3</TotalTime>
  <ScaleCrop>false</ScaleCrop>
  <LinksUpToDate>false</LinksUpToDate>
  <CharactersWithSpaces>141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2026-08-03T09:19:00Z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D9052D55B67442649A62978D3AF9ABCF_13</vt:lpwstr>
  </property>
  <property fmtid="{D5CDD505-2E9C-101B-9397-08002B2CF9AE}" pid="4" name="KSOTemplateDocerSaveRecord">
    <vt:lpwstr>eyJoZGlkIjoiMmNiYWYxMDIxZjJkYzVlZGNmNGEwY2Y2Mzc0ZTlkNzQiLCJ1c2VySWQiOiI1Mjc2NDU0ODcifQ==</vt:lpwstr>
  </property>
</Properties>
</file>